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7C529" w14:textId="5555FFC8" w:rsidR="001171BD" w:rsidRPr="00C05305" w:rsidRDefault="001171BD" w:rsidP="00C05305">
      <w:pPr>
        <w:spacing w:before="120" w:after="120" w:line="240" w:lineRule="auto"/>
        <w:jc w:val="center"/>
        <w:rPr>
          <w:rFonts w:ascii="Times New Roman" w:hAnsi="Times New Roman" w:cs="Times New Roman"/>
          <w:spacing w:val="4"/>
          <w:w w:val="103"/>
          <w:kern w:val="14"/>
          <w:u w:val="single"/>
          <w:lang w:val="en-GB"/>
        </w:rPr>
      </w:pPr>
      <w:r w:rsidRPr="00C05305">
        <w:rPr>
          <w:rFonts w:ascii="Times New Roman" w:hAnsi="Times New Roman" w:cs="Times New Roman"/>
          <w:spacing w:val="4"/>
          <w:w w:val="103"/>
          <w:kern w:val="14"/>
          <w:u w:val="single"/>
          <w:lang w:val="en-GB"/>
        </w:rPr>
        <w:t xml:space="preserve">2018 High-level Political Forum Ministerial Declaration: Rev </w:t>
      </w:r>
      <w:r w:rsidR="0033090A" w:rsidRPr="00C05305">
        <w:rPr>
          <w:rFonts w:ascii="Times New Roman" w:hAnsi="Times New Roman" w:cs="Times New Roman"/>
          <w:spacing w:val="4"/>
          <w:w w:val="103"/>
          <w:kern w:val="14"/>
          <w:u w:val="single"/>
          <w:lang w:val="en-GB"/>
        </w:rPr>
        <w:t>2</w:t>
      </w:r>
    </w:p>
    <w:p w14:paraId="698393ED" w14:textId="77777777" w:rsidR="001171BD" w:rsidRPr="00C05305" w:rsidRDefault="001171BD" w:rsidP="00C05305">
      <w:pPr>
        <w:pStyle w:val="SingleTxt"/>
        <w:spacing w:before="120" w:line="240" w:lineRule="auto"/>
        <w:rPr>
          <w:sz w:val="22"/>
          <w:szCs w:val="22"/>
        </w:rPr>
      </w:pPr>
      <w:r w:rsidRPr="00C05305">
        <w:rPr>
          <w:sz w:val="22"/>
          <w:szCs w:val="22"/>
        </w:rPr>
        <w:t>We, the Ministers and high representatives, having met at United Nations Headquarters in New York,</w:t>
      </w:r>
    </w:p>
    <w:p w14:paraId="77CEE9B9" w14:textId="774AA891" w:rsidR="001171BD" w:rsidRPr="00C05305" w:rsidRDefault="001171BD" w:rsidP="00C05305">
      <w:pPr>
        <w:pStyle w:val="SingleTxt"/>
        <w:numPr>
          <w:ilvl w:val="0"/>
          <w:numId w:val="1"/>
        </w:numPr>
        <w:spacing w:before="120" w:line="240" w:lineRule="auto"/>
        <w:rPr>
          <w:sz w:val="22"/>
          <w:szCs w:val="22"/>
        </w:rPr>
      </w:pPr>
      <w:r w:rsidRPr="00C05305">
        <w:rPr>
          <w:sz w:val="22"/>
          <w:szCs w:val="22"/>
        </w:rPr>
        <w:t>Reaffirm our commitment to effectively implementing the 2030 Agenda for Sustainable Development,</w:t>
      </w:r>
      <w:r w:rsidRPr="00C05305">
        <w:rPr>
          <w:rStyle w:val="FootnoteReference"/>
          <w:sz w:val="22"/>
          <w:szCs w:val="22"/>
        </w:rPr>
        <w:footnoteReference w:id="1"/>
      </w:r>
      <w:r w:rsidRPr="00C05305">
        <w:rPr>
          <w:sz w:val="22"/>
          <w:szCs w:val="22"/>
        </w:rPr>
        <w:t xml:space="preserve"> for all people everywhere, ensuring that no one is left behind; </w:t>
      </w:r>
    </w:p>
    <w:p w14:paraId="57E95D5C" w14:textId="5B7005F5" w:rsidR="001171BD" w:rsidRPr="00C05305" w:rsidRDefault="001171BD" w:rsidP="00C05305">
      <w:pPr>
        <w:pStyle w:val="SingleTxt"/>
        <w:numPr>
          <w:ilvl w:val="0"/>
          <w:numId w:val="1"/>
        </w:numPr>
        <w:spacing w:before="120" w:line="240" w:lineRule="auto"/>
        <w:rPr>
          <w:sz w:val="22"/>
          <w:szCs w:val="22"/>
        </w:rPr>
      </w:pPr>
      <w:r w:rsidRPr="00C05305">
        <w:rPr>
          <w:sz w:val="22"/>
          <w:szCs w:val="22"/>
        </w:rPr>
        <w:t xml:space="preserve">Stress that the 2030 Agenda is people-centred, universal and transformative and that its Sustainable Development Goals are indivisible and balance the three dimensions of sustainable development – the economic, social and environmental; </w:t>
      </w:r>
    </w:p>
    <w:p w14:paraId="2EAF75B4" w14:textId="69870729" w:rsidR="001171BD" w:rsidRPr="00C05305" w:rsidRDefault="001171BD" w:rsidP="00C05305">
      <w:pPr>
        <w:pStyle w:val="SingleTxt"/>
        <w:numPr>
          <w:ilvl w:val="0"/>
          <w:numId w:val="1"/>
        </w:numPr>
        <w:spacing w:before="120" w:line="240" w:lineRule="auto"/>
        <w:rPr>
          <w:sz w:val="22"/>
          <w:szCs w:val="22"/>
        </w:rPr>
      </w:pPr>
      <w:r w:rsidRPr="00C05305">
        <w:rPr>
          <w:sz w:val="22"/>
          <w:szCs w:val="22"/>
        </w:rPr>
        <w:t>Reaffirm all the principles recognised in the 2030 Agenda and emphasise that eradicating poverty in all its forms and dimensions, including extreme poverty, is the greatest global challenge and an indispensable requirement for sustainable development</w:t>
      </w:r>
      <w:r w:rsidR="0033090A" w:rsidRPr="00C05305">
        <w:rPr>
          <w:sz w:val="22"/>
          <w:szCs w:val="22"/>
        </w:rPr>
        <w:t xml:space="preserve">. </w:t>
      </w:r>
      <w:r w:rsidR="0033090A" w:rsidRPr="00C05305">
        <w:rPr>
          <w:bCs/>
          <w:sz w:val="22"/>
          <w:szCs w:val="22"/>
        </w:rPr>
        <w:t>W</w:t>
      </w:r>
      <w:r w:rsidR="00311F38" w:rsidRPr="00C05305">
        <w:rPr>
          <w:bCs/>
          <w:sz w:val="22"/>
          <w:szCs w:val="22"/>
        </w:rPr>
        <w:t xml:space="preserve">e express concern that at the global level poverty remains a principal cause of hunger and that the number of undernourished people </w:t>
      </w:r>
      <w:r w:rsidR="00D96B0D" w:rsidRPr="00C05305">
        <w:rPr>
          <w:bCs/>
          <w:sz w:val="22"/>
          <w:szCs w:val="22"/>
        </w:rPr>
        <w:t>has increased</w:t>
      </w:r>
      <w:r w:rsidR="00311F38" w:rsidRPr="00C05305">
        <w:rPr>
          <w:bCs/>
          <w:sz w:val="22"/>
          <w:szCs w:val="22"/>
        </w:rPr>
        <w:t xml:space="preserve"> since </w:t>
      </w:r>
      <w:r w:rsidR="006E276A" w:rsidRPr="00C05305">
        <w:rPr>
          <w:bCs/>
          <w:sz w:val="22"/>
          <w:szCs w:val="22"/>
        </w:rPr>
        <w:t>2015</w:t>
      </w:r>
      <w:r w:rsidR="00311F38" w:rsidRPr="00C05305">
        <w:rPr>
          <w:bCs/>
          <w:sz w:val="22"/>
          <w:szCs w:val="22"/>
        </w:rPr>
        <w:t>,</w:t>
      </w:r>
      <w:r w:rsidR="006E276A" w:rsidRPr="00C05305">
        <w:rPr>
          <w:bCs/>
          <w:sz w:val="22"/>
          <w:szCs w:val="22"/>
        </w:rPr>
        <w:t xml:space="preserve"> to</w:t>
      </w:r>
      <w:r w:rsidR="00311F38" w:rsidRPr="00C05305">
        <w:rPr>
          <w:bCs/>
          <w:sz w:val="22"/>
          <w:szCs w:val="22"/>
        </w:rPr>
        <w:t xml:space="preserve"> an estimated 815 million in 2016</w:t>
      </w:r>
      <w:r w:rsidR="0033090A" w:rsidRPr="00C05305">
        <w:rPr>
          <w:bCs/>
          <w:sz w:val="22"/>
          <w:szCs w:val="22"/>
        </w:rPr>
        <w:t>.</w:t>
      </w:r>
      <w:r w:rsidR="002E0E49" w:rsidRPr="00C05305">
        <w:rPr>
          <w:bCs/>
          <w:sz w:val="22"/>
          <w:szCs w:val="22"/>
        </w:rPr>
        <w:t xml:space="preserve"> </w:t>
      </w:r>
      <w:r w:rsidR="0033090A" w:rsidRPr="00C05305">
        <w:rPr>
          <w:bCs/>
          <w:sz w:val="22"/>
          <w:szCs w:val="22"/>
        </w:rPr>
        <w:t xml:space="preserve">Ending </w:t>
      </w:r>
      <w:r w:rsidR="00311F38" w:rsidRPr="00C05305">
        <w:rPr>
          <w:bCs/>
          <w:sz w:val="22"/>
          <w:szCs w:val="22"/>
        </w:rPr>
        <w:t>hunger and achieving food security is fundamental for sustainable development</w:t>
      </w:r>
      <w:r w:rsidR="0033090A" w:rsidRPr="00C05305">
        <w:rPr>
          <w:bCs/>
          <w:sz w:val="22"/>
          <w:szCs w:val="22"/>
        </w:rPr>
        <w:t>. W</w:t>
      </w:r>
      <w:r w:rsidR="00311F38" w:rsidRPr="00C05305">
        <w:rPr>
          <w:bCs/>
          <w:sz w:val="22"/>
          <w:szCs w:val="22"/>
        </w:rPr>
        <w:t xml:space="preserve">e </w:t>
      </w:r>
      <w:r w:rsidRPr="00C05305">
        <w:rPr>
          <w:sz w:val="22"/>
          <w:szCs w:val="22"/>
        </w:rPr>
        <w:t xml:space="preserve">stress the importance of taking </w:t>
      </w:r>
      <w:r w:rsidR="00311F38" w:rsidRPr="00C05305">
        <w:rPr>
          <w:sz w:val="22"/>
          <w:szCs w:val="22"/>
        </w:rPr>
        <w:t xml:space="preserve">collective and </w:t>
      </w:r>
      <w:r w:rsidRPr="00C05305">
        <w:rPr>
          <w:sz w:val="22"/>
          <w:szCs w:val="22"/>
        </w:rPr>
        <w:t xml:space="preserve">targeted measures to eradicate poverty; </w:t>
      </w:r>
    </w:p>
    <w:p w14:paraId="1C4347B8" w14:textId="4ECDDF46" w:rsidR="001171BD" w:rsidRPr="00C05305" w:rsidRDefault="001171BD" w:rsidP="00C05305">
      <w:pPr>
        <w:pStyle w:val="SingleTxt"/>
        <w:numPr>
          <w:ilvl w:val="0"/>
          <w:numId w:val="1"/>
        </w:numPr>
        <w:spacing w:before="120" w:line="240" w:lineRule="auto"/>
        <w:rPr>
          <w:sz w:val="22"/>
          <w:szCs w:val="22"/>
        </w:rPr>
      </w:pPr>
      <w:r w:rsidRPr="00C05305">
        <w:rPr>
          <w:sz w:val="22"/>
          <w:szCs w:val="22"/>
        </w:rPr>
        <w:t>Reaffirm our commitment to the Addis Ababa Action Agenda,</w:t>
      </w:r>
      <w:r w:rsidRPr="00C05305">
        <w:rPr>
          <w:rStyle w:val="FootnoteReference"/>
          <w:sz w:val="22"/>
          <w:szCs w:val="22"/>
        </w:rPr>
        <w:footnoteReference w:id="2"/>
      </w:r>
      <w:r w:rsidRPr="00C05305">
        <w:rPr>
          <w:sz w:val="22"/>
          <w:szCs w:val="22"/>
        </w:rPr>
        <w:t xml:space="preserve"> which is an integral part of the 2030 Agenda for Sustainable Development, supports</w:t>
      </w:r>
      <w:r w:rsidR="0033090A" w:rsidRPr="00C05305">
        <w:rPr>
          <w:sz w:val="22"/>
          <w:szCs w:val="22"/>
        </w:rPr>
        <w:t xml:space="preserve">, </w:t>
      </w:r>
      <w:r w:rsidRPr="00C05305">
        <w:rPr>
          <w:sz w:val="22"/>
          <w:szCs w:val="22"/>
        </w:rPr>
        <w:t xml:space="preserve">complements and helps to contextualise its means of implementation with concrete policies and actions. We welcome the third Economic and Social Council Forum on Financing for Development Follow-up and take into account its intergovernmentally agreed conclusions and recommendations; </w:t>
      </w:r>
    </w:p>
    <w:p w14:paraId="5C2322B4" w14:textId="4AFB61FC" w:rsidR="001171BD" w:rsidRPr="00C05305" w:rsidRDefault="001171BD" w:rsidP="00C05305">
      <w:pPr>
        <w:pStyle w:val="SingleTxt"/>
        <w:numPr>
          <w:ilvl w:val="0"/>
          <w:numId w:val="1"/>
        </w:numPr>
        <w:spacing w:before="120" w:line="240" w:lineRule="auto"/>
        <w:rPr>
          <w:sz w:val="22"/>
          <w:szCs w:val="22"/>
        </w:rPr>
      </w:pPr>
      <w:r w:rsidRPr="00C05305">
        <w:rPr>
          <w:sz w:val="22"/>
          <w:szCs w:val="22"/>
          <w:lang w:val="en-US"/>
        </w:rPr>
        <w:t xml:space="preserve">Welcome the adoption of resolution </w:t>
      </w:r>
      <w:r w:rsidR="001D24F6" w:rsidRPr="00C05305">
        <w:rPr>
          <w:sz w:val="22"/>
          <w:szCs w:val="22"/>
          <w:lang w:val="en-US"/>
        </w:rPr>
        <w:t>A/Res/</w:t>
      </w:r>
      <w:r w:rsidRPr="00C05305">
        <w:rPr>
          <w:sz w:val="22"/>
          <w:szCs w:val="22"/>
          <w:lang w:val="en-US"/>
        </w:rPr>
        <w:t xml:space="preserve">72/279 on </w:t>
      </w:r>
      <w:r w:rsidR="006E276A" w:rsidRPr="00C05305">
        <w:rPr>
          <w:sz w:val="22"/>
          <w:szCs w:val="22"/>
          <w:lang w:val="en-US"/>
        </w:rPr>
        <w:t>“</w:t>
      </w:r>
      <w:r w:rsidR="009B3F66" w:rsidRPr="00C05305">
        <w:rPr>
          <w:sz w:val="22"/>
          <w:szCs w:val="22"/>
          <w:lang w:val="en-US"/>
        </w:rPr>
        <w:t>Re</w:t>
      </w:r>
      <w:r w:rsidRPr="00C05305">
        <w:rPr>
          <w:sz w:val="22"/>
          <w:szCs w:val="22"/>
          <w:lang w:val="en-US"/>
        </w:rPr>
        <w:t xml:space="preserve">positioning of the United Nations development system </w:t>
      </w:r>
      <w:r w:rsidR="00524D33" w:rsidRPr="00C05305">
        <w:rPr>
          <w:sz w:val="22"/>
          <w:szCs w:val="22"/>
          <w:lang w:val="en-US"/>
        </w:rPr>
        <w:t xml:space="preserve">in the context of the quadrennial </w:t>
      </w:r>
      <w:r w:rsidR="00F75854" w:rsidRPr="00C05305">
        <w:rPr>
          <w:sz w:val="22"/>
          <w:szCs w:val="22"/>
          <w:lang w:val="en-US"/>
        </w:rPr>
        <w:t xml:space="preserve">comprehensive policy review of operational activities </w:t>
      </w:r>
      <w:r w:rsidR="00504EA6" w:rsidRPr="00C05305">
        <w:rPr>
          <w:sz w:val="22"/>
          <w:szCs w:val="22"/>
          <w:lang w:val="en-US"/>
        </w:rPr>
        <w:t xml:space="preserve">for development </w:t>
      </w:r>
      <w:r w:rsidR="00F75854" w:rsidRPr="00C05305">
        <w:rPr>
          <w:sz w:val="22"/>
          <w:szCs w:val="22"/>
          <w:lang w:val="en-US"/>
        </w:rPr>
        <w:t xml:space="preserve">of the United </w:t>
      </w:r>
      <w:r w:rsidR="009B3F66" w:rsidRPr="00C05305">
        <w:rPr>
          <w:sz w:val="22"/>
          <w:szCs w:val="22"/>
          <w:lang w:val="en-US"/>
        </w:rPr>
        <w:t>N</w:t>
      </w:r>
      <w:r w:rsidR="00F75854" w:rsidRPr="00C05305">
        <w:rPr>
          <w:sz w:val="22"/>
          <w:szCs w:val="22"/>
          <w:lang w:val="en-US"/>
        </w:rPr>
        <w:t>ations system</w:t>
      </w:r>
      <w:r w:rsidR="006E276A" w:rsidRPr="00C05305">
        <w:rPr>
          <w:sz w:val="22"/>
          <w:szCs w:val="22"/>
          <w:lang w:val="en-US"/>
        </w:rPr>
        <w:t>”</w:t>
      </w:r>
      <w:r w:rsidR="00F75854" w:rsidRPr="00C05305">
        <w:rPr>
          <w:sz w:val="22"/>
          <w:szCs w:val="22"/>
          <w:lang w:val="en-US"/>
        </w:rPr>
        <w:t xml:space="preserve"> </w:t>
      </w:r>
      <w:r w:rsidRPr="00C05305">
        <w:rPr>
          <w:sz w:val="22"/>
          <w:szCs w:val="22"/>
          <w:lang w:val="en-US"/>
        </w:rPr>
        <w:t xml:space="preserve">and call for its full and early implementation in order to improve support to countries in their efforts to implement the 2030 Agenda; </w:t>
      </w:r>
    </w:p>
    <w:p w14:paraId="0401BD03" w14:textId="28EAED6B" w:rsidR="00DD55F6" w:rsidRPr="00C05305" w:rsidRDefault="00DD55F6" w:rsidP="00C05305">
      <w:pPr>
        <w:pStyle w:val="SingleTxt"/>
        <w:numPr>
          <w:ilvl w:val="0"/>
          <w:numId w:val="1"/>
        </w:numPr>
        <w:spacing w:before="120" w:line="240" w:lineRule="auto"/>
        <w:rPr>
          <w:sz w:val="22"/>
          <w:szCs w:val="22"/>
        </w:rPr>
      </w:pPr>
      <w:r w:rsidRPr="00C05305">
        <w:rPr>
          <w:sz w:val="22"/>
          <w:szCs w:val="22"/>
        </w:rPr>
        <w:t xml:space="preserve">Stress that three years into the implementation of the 2030 Agenda, progress has been made across some of the goals and targets, but it has not been at the pace required to achieve this ambitious agenda and has been uneven across countries and regions. We must urgently accelerate progress toward all targets, in particular those with a timeframe of 2020; </w:t>
      </w:r>
    </w:p>
    <w:p w14:paraId="0724A6E5" w14:textId="472A80CF" w:rsidR="001171BD" w:rsidRPr="00C05305" w:rsidRDefault="001171BD" w:rsidP="00C05305">
      <w:pPr>
        <w:pStyle w:val="SingleTxt"/>
        <w:numPr>
          <w:ilvl w:val="0"/>
          <w:numId w:val="1"/>
        </w:numPr>
        <w:spacing w:before="120" w:line="240" w:lineRule="auto"/>
        <w:rPr>
          <w:sz w:val="22"/>
          <w:szCs w:val="22"/>
        </w:rPr>
      </w:pPr>
      <w:r w:rsidRPr="00C05305">
        <w:rPr>
          <w:sz w:val="22"/>
          <w:szCs w:val="22"/>
        </w:rPr>
        <w:t xml:space="preserve">Emphasise that the High-level Political Forum on Sustainable Development </w:t>
      </w:r>
      <w:r w:rsidR="00D2796C" w:rsidRPr="00C05305">
        <w:rPr>
          <w:sz w:val="22"/>
          <w:szCs w:val="22"/>
        </w:rPr>
        <w:t>under the auspices of the General Assembly and the Economic and Social Council</w:t>
      </w:r>
      <w:r w:rsidR="00F762FA" w:rsidRPr="00C05305">
        <w:rPr>
          <w:sz w:val="22"/>
          <w:szCs w:val="22"/>
        </w:rPr>
        <w:t xml:space="preserve"> </w:t>
      </w:r>
      <w:r w:rsidRPr="00C05305">
        <w:rPr>
          <w:sz w:val="22"/>
          <w:szCs w:val="22"/>
        </w:rPr>
        <w:t>has a central role in overseeing the follow-up and review of the implementation of the 2030 Agenda at the global level. We recall its 2016 and 2017 Ministerial Declarations. We look forward to the convening of the Forum under the auspices of the Economic and Social Council in 2019 and the General Assembly during its 74</w:t>
      </w:r>
      <w:r w:rsidRPr="00C05305">
        <w:rPr>
          <w:sz w:val="22"/>
          <w:szCs w:val="22"/>
          <w:vertAlign w:val="superscript"/>
        </w:rPr>
        <w:t>th</w:t>
      </w:r>
      <w:r w:rsidRPr="00C05305">
        <w:rPr>
          <w:sz w:val="22"/>
          <w:szCs w:val="22"/>
        </w:rPr>
        <w:t xml:space="preserve"> session and recognise its importance for maintaining political momentum in support of the 2030 Agenda</w:t>
      </w:r>
      <w:r w:rsidR="002E0E49" w:rsidRPr="00C05305">
        <w:rPr>
          <w:sz w:val="22"/>
          <w:szCs w:val="22"/>
        </w:rPr>
        <w:t xml:space="preserve">. </w:t>
      </w:r>
      <w:r w:rsidRPr="00C05305">
        <w:rPr>
          <w:sz w:val="22"/>
          <w:szCs w:val="22"/>
        </w:rPr>
        <w:t xml:space="preserve"> We look forward to the </w:t>
      </w:r>
      <w:r w:rsidR="00DD55F6" w:rsidRPr="00C05305">
        <w:rPr>
          <w:sz w:val="22"/>
          <w:szCs w:val="22"/>
        </w:rPr>
        <w:t xml:space="preserve">quadrennial </w:t>
      </w:r>
      <w:r w:rsidRPr="00C05305">
        <w:rPr>
          <w:sz w:val="22"/>
          <w:szCs w:val="22"/>
        </w:rPr>
        <w:t xml:space="preserve">Global Sustainable Development Report, which will inform the 2019 Forum and strengthen the science-policy interface at all levels; </w:t>
      </w:r>
    </w:p>
    <w:p w14:paraId="2423513F" w14:textId="3681DE36" w:rsidR="001171BD" w:rsidRPr="00C05305" w:rsidRDefault="001171BD" w:rsidP="00C05305">
      <w:pPr>
        <w:pStyle w:val="SingleTxt"/>
        <w:numPr>
          <w:ilvl w:val="0"/>
          <w:numId w:val="1"/>
        </w:numPr>
        <w:spacing w:before="120" w:line="240" w:lineRule="auto"/>
        <w:rPr>
          <w:sz w:val="22"/>
          <w:szCs w:val="22"/>
        </w:rPr>
      </w:pPr>
      <w:r w:rsidRPr="00C05305">
        <w:rPr>
          <w:sz w:val="22"/>
          <w:szCs w:val="22"/>
        </w:rPr>
        <w:lastRenderedPageBreak/>
        <w:t>Note the report</w:t>
      </w:r>
      <w:r w:rsidRPr="00C05305">
        <w:rPr>
          <w:rStyle w:val="FootnoteReference"/>
          <w:sz w:val="22"/>
          <w:szCs w:val="22"/>
        </w:rPr>
        <w:footnoteReference w:id="3"/>
      </w:r>
      <w:r w:rsidRPr="00C05305">
        <w:rPr>
          <w:sz w:val="22"/>
          <w:szCs w:val="22"/>
        </w:rPr>
        <w:t xml:space="preserve"> of the UN Secretary-General on the progress made towards achieving the Sustainable Development Goals; </w:t>
      </w:r>
    </w:p>
    <w:p w14:paraId="79F09E3F" w14:textId="117041F0" w:rsidR="001171BD" w:rsidRPr="00C05305" w:rsidRDefault="001171BD" w:rsidP="00C05305">
      <w:pPr>
        <w:pStyle w:val="SingleTxt"/>
        <w:numPr>
          <w:ilvl w:val="0"/>
          <w:numId w:val="1"/>
        </w:numPr>
        <w:spacing w:before="120" w:line="240" w:lineRule="auto"/>
        <w:rPr>
          <w:sz w:val="22"/>
          <w:szCs w:val="22"/>
        </w:rPr>
      </w:pPr>
      <w:r w:rsidRPr="00C05305">
        <w:rPr>
          <w:sz w:val="22"/>
          <w:szCs w:val="22"/>
        </w:rPr>
        <w:t xml:space="preserve">Welcome the preparatory work that has been undertaken by the Economic and Social Council, including its functional and regional commissions, under the theme </w:t>
      </w:r>
      <w:r w:rsidRPr="00C05305">
        <w:rPr>
          <w:i/>
          <w:sz w:val="22"/>
          <w:szCs w:val="22"/>
        </w:rPr>
        <w:t>Transformation Towards Sustainable and Resilient Societies</w:t>
      </w:r>
      <w:r w:rsidRPr="00C05305">
        <w:rPr>
          <w:sz w:val="22"/>
          <w:szCs w:val="22"/>
        </w:rPr>
        <w:t xml:space="preserve"> and recognize the contributions made by its segments and its forums</w:t>
      </w:r>
      <w:r w:rsidR="00DD55F6" w:rsidRPr="00C05305">
        <w:rPr>
          <w:sz w:val="22"/>
          <w:szCs w:val="22"/>
        </w:rPr>
        <w:t xml:space="preserve">. </w:t>
      </w:r>
      <w:r w:rsidR="00280638" w:rsidRPr="00C05305">
        <w:rPr>
          <w:sz w:val="22"/>
          <w:szCs w:val="22"/>
        </w:rPr>
        <w:t xml:space="preserve">We recognize </w:t>
      </w:r>
      <w:r w:rsidR="00D96B0D" w:rsidRPr="00C05305">
        <w:rPr>
          <w:sz w:val="22"/>
          <w:szCs w:val="22"/>
        </w:rPr>
        <w:t xml:space="preserve">that </w:t>
      </w:r>
      <w:r w:rsidR="00280638" w:rsidRPr="00C05305">
        <w:rPr>
          <w:sz w:val="22"/>
          <w:szCs w:val="22"/>
        </w:rPr>
        <w:t xml:space="preserve">United Nations </w:t>
      </w:r>
      <w:r w:rsidR="006E276A" w:rsidRPr="00C05305">
        <w:rPr>
          <w:sz w:val="22"/>
          <w:szCs w:val="22"/>
        </w:rPr>
        <w:t xml:space="preserve">regional commissions </w:t>
      </w:r>
      <w:r w:rsidRPr="00C05305">
        <w:rPr>
          <w:sz w:val="22"/>
          <w:szCs w:val="22"/>
        </w:rPr>
        <w:t xml:space="preserve">provide useful opportunities for peer learning, reviews, sharing of best practices and discussion. </w:t>
      </w:r>
      <w:r w:rsidR="00DD55F6" w:rsidRPr="00C05305">
        <w:rPr>
          <w:sz w:val="22"/>
          <w:szCs w:val="22"/>
        </w:rPr>
        <w:t xml:space="preserve">We welcome the main outcomes of the third session of the United Nations Environment Assembly. </w:t>
      </w:r>
      <w:r w:rsidRPr="00C05305">
        <w:rPr>
          <w:sz w:val="22"/>
          <w:szCs w:val="22"/>
        </w:rPr>
        <w:t>We appreciate the input and expertise of all relevant thematic platforms and of all other stakeholders</w:t>
      </w:r>
      <w:r w:rsidR="00173F57" w:rsidRPr="00C05305">
        <w:rPr>
          <w:sz w:val="22"/>
          <w:szCs w:val="22"/>
        </w:rPr>
        <w:t xml:space="preserve">, </w:t>
      </w:r>
      <w:r w:rsidR="00D96B0D" w:rsidRPr="00C05305">
        <w:rPr>
          <w:sz w:val="22"/>
          <w:szCs w:val="22"/>
        </w:rPr>
        <w:t>as appropriate;</w:t>
      </w:r>
    </w:p>
    <w:p w14:paraId="1EF3D837" w14:textId="1EADA64B" w:rsidR="001171BD" w:rsidRPr="00C05305" w:rsidRDefault="001171BD" w:rsidP="00C05305">
      <w:pPr>
        <w:pStyle w:val="SingleTxt"/>
        <w:numPr>
          <w:ilvl w:val="0"/>
          <w:numId w:val="1"/>
        </w:numPr>
        <w:spacing w:before="120" w:line="240" w:lineRule="auto"/>
        <w:rPr>
          <w:sz w:val="22"/>
          <w:szCs w:val="22"/>
        </w:rPr>
      </w:pPr>
      <w:r w:rsidRPr="00C05305">
        <w:rPr>
          <w:sz w:val="22"/>
          <w:szCs w:val="22"/>
        </w:rPr>
        <w:t>Commend the 47 countries</w:t>
      </w:r>
      <w:r w:rsidRPr="00C05305">
        <w:rPr>
          <w:rStyle w:val="FootnoteReference"/>
          <w:sz w:val="22"/>
          <w:szCs w:val="22"/>
        </w:rPr>
        <w:footnoteReference w:id="4"/>
      </w:r>
      <w:r w:rsidRPr="00C05305">
        <w:rPr>
          <w:sz w:val="22"/>
          <w:szCs w:val="22"/>
        </w:rPr>
        <w:t xml:space="preserve"> that delivered voluntary national reviews at the 2018 High-level Political Forum and emphasise the importance of </w:t>
      </w:r>
      <w:r w:rsidR="007F3B18" w:rsidRPr="00C05305">
        <w:rPr>
          <w:sz w:val="22"/>
          <w:szCs w:val="22"/>
        </w:rPr>
        <w:t>sharing best prac</w:t>
      </w:r>
      <w:r w:rsidR="00A2627D" w:rsidRPr="00C05305">
        <w:rPr>
          <w:sz w:val="22"/>
          <w:szCs w:val="22"/>
        </w:rPr>
        <w:t xml:space="preserve">tice and </w:t>
      </w:r>
      <w:r w:rsidRPr="00C05305">
        <w:rPr>
          <w:sz w:val="22"/>
          <w:szCs w:val="22"/>
        </w:rPr>
        <w:t xml:space="preserve">making assistance available for building national capacities for follow up and review. The reviews highlight the importance of effective and coordinated government, including at the sub-national and local levels, </w:t>
      </w:r>
      <w:r w:rsidR="003941BF" w:rsidRPr="00C05305">
        <w:rPr>
          <w:sz w:val="22"/>
          <w:szCs w:val="22"/>
        </w:rPr>
        <w:t xml:space="preserve">as appropriate, </w:t>
      </w:r>
      <w:r w:rsidRPr="00C05305">
        <w:rPr>
          <w:sz w:val="22"/>
          <w:szCs w:val="22"/>
        </w:rPr>
        <w:t xml:space="preserve">as well as evidence-based policy making and innovation-driven development underpinned by high quality, timely, reliable and disaggregated data. We encourage all countries to make use of the lessons learned from these reviews to enhance their domestic implementation and support for international implementation of the 2030 Agenda, </w:t>
      </w:r>
      <w:proofErr w:type="gramStart"/>
      <w:r w:rsidRPr="00C05305">
        <w:rPr>
          <w:sz w:val="22"/>
          <w:szCs w:val="22"/>
        </w:rPr>
        <w:t xml:space="preserve">and </w:t>
      </w:r>
      <w:r w:rsidR="00DD55F6" w:rsidRPr="00C05305">
        <w:rPr>
          <w:sz w:val="22"/>
          <w:szCs w:val="22"/>
        </w:rPr>
        <w:t xml:space="preserve"> </w:t>
      </w:r>
      <w:r w:rsidR="00F762FA" w:rsidRPr="00C05305">
        <w:rPr>
          <w:sz w:val="22"/>
          <w:szCs w:val="22"/>
        </w:rPr>
        <w:t>encourage</w:t>
      </w:r>
      <w:proofErr w:type="gramEnd"/>
      <w:r w:rsidRPr="00C05305">
        <w:rPr>
          <w:sz w:val="22"/>
          <w:szCs w:val="22"/>
        </w:rPr>
        <w:t xml:space="preserve"> all countries who have not yet done so to carry out a voluntary national review; </w:t>
      </w:r>
    </w:p>
    <w:p w14:paraId="0BBA7D3E" w14:textId="26543A61" w:rsidR="001171BD" w:rsidRPr="00C05305" w:rsidRDefault="001171BD" w:rsidP="00C05305">
      <w:pPr>
        <w:pStyle w:val="SingleTxt"/>
        <w:numPr>
          <w:ilvl w:val="0"/>
          <w:numId w:val="1"/>
        </w:numPr>
        <w:spacing w:before="120" w:line="240" w:lineRule="auto"/>
        <w:rPr>
          <w:sz w:val="22"/>
          <w:szCs w:val="22"/>
        </w:rPr>
      </w:pPr>
      <w:r w:rsidRPr="00C05305">
        <w:rPr>
          <w:sz w:val="22"/>
          <w:szCs w:val="22"/>
        </w:rPr>
        <w:t xml:space="preserve">Stress that the commitment to leave no one behind is at the core of the 2030 Agenda and should be a guiding principle at all levels to shift the world onto a resilient and sustainable path. Leaving </w:t>
      </w:r>
      <w:proofErr w:type="gramStart"/>
      <w:r w:rsidRPr="00C05305">
        <w:rPr>
          <w:sz w:val="22"/>
          <w:szCs w:val="22"/>
        </w:rPr>
        <w:t>no</w:t>
      </w:r>
      <w:proofErr w:type="gramEnd"/>
      <w:r w:rsidRPr="00C05305">
        <w:rPr>
          <w:sz w:val="22"/>
          <w:szCs w:val="22"/>
        </w:rPr>
        <w:t xml:space="preserve"> one behind requires addressing the specific needs of people in vulnerable situations but also </w:t>
      </w:r>
      <w:r w:rsidR="003941BF" w:rsidRPr="00C05305">
        <w:rPr>
          <w:sz w:val="22"/>
          <w:szCs w:val="22"/>
        </w:rPr>
        <w:t xml:space="preserve">supporting their empowerment and participation in decision making that impacts their lives. </w:t>
      </w:r>
      <w:r w:rsidR="00083032" w:rsidRPr="00C05305">
        <w:rPr>
          <w:bCs/>
          <w:sz w:val="22"/>
          <w:szCs w:val="22"/>
        </w:rPr>
        <w:t xml:space="preserve"> </w:t>
      </w:r>
      <w:r w:rsidRPr="00C05305">
        <w:rPr>
          <w:sz w:val="22"/>
          <w:szCs w:val="22"/>
        </w:rPr>
        <w:t>Those whose needs are reflected in the 2030 Agenda include all children, youth, persons with disabilities</w:t>
      </w:r>
      <w:r w:rsidR="00684D3F" w:rsidRPr="00C05305">
        <w:rPr>
          <w:sz w:val="22"/>
          <w:szCs w:val="22"/>
        </w:rPr>
        <w:t xml:space="preserve"> (of whom more than 80 per cent live in poverty)</w:t>
      </w:r>
      <w:r w:rsidRPr="00C05305">
        <w:rPr>
          <w:sz w:val="22"/>
          <w:szCs w:val="22"/>
        </w:rPr>
        <w:t>, people living with HIV/AIDS, older persons, indigenous peoples, refugees and internally displaced persons,</w:t>
      </w:r>
      <w:r w:rsidR="00684D3F" w:rsidRPr="00C05305">
        <w:rPr>
          <w:sz w:val="22"/>
          <w:szCs w:val="22"/>
        </w:rPr>
        <w:t xml:space="preserve"> </w:t>
      </w:r>
      <w:r w:rsidRPr="00C05305">
        <w:rPr>
          <w:sz w:val="22"/>
          <w:szCs w:val="22"/>
        </w:rPr>
        <w:t>migrants</w:t>
      </w:r>
      <w:r w:rsidR="00606CB2" w:rsidRPr="00C05305">
        <w:rPr>
          <w:sz w:val="22"/>
          <w:szCs w:val="22"/>
        </w:rPr>
        <w:t xml:space="preserve"> </w:t>
      </w:r>
      <w:r w:rsidRPr="00C05305">
        <w:rPr>
          <w:sz w:val="22"/>
          <w:szCs w:val="22"/>
        </w:rPr>
        <w:t xml:space="preserve">and people living in areas affected by complex humanitarian emergencies, and peoples in areas affected by terrorism and conflict; </w:t>
      </w:r>
    </w:p>
    <w:p w14:paraId="0C635D0A" w14:textId="0C9FC7CF" w:rsidR="001171BD" w:rsidRPr="00C05305" w:rsidRDefault="001171BD" w:rsidP="00C05305">
      <w:pPr>
        <w:pStyle w:val="SingleTxt"/>
        <w:numPr>
          <w:ilvl w:val="0"/>
          <w:numId w:val="1"/>
        </w:numPr>
        <w:spacing w:before="120" w:line="240" w:lineRule="auto"/>
        <w:rPr>
          <w:sz w:val="22"/>
          <w:szCs w:val="22"/>
        </w:rPr>
      </w:pPr>
      <w:r w:rsidRPr="00C05305">
        <w:rPr>
          <w:sz w:val="22"/>
          <w:szCs w:val="22"/>
        </w:rPr>
        <w:t xml:space="preserve">Recognize that sustainable development cannot be realized without peace and security and that peace and security will be at risk without sustainable development. The 2030 Agenda recognizes the need to build peaceful, just and inclusive societies that provide equal access to justice and that are based on respect for human rights, including the right to development, on effective rule of law and good governance at all levels and on transparent, effective and accountable institutions. Factors which give rise to violence, insecurity and injustice, such as inequality, corruption, poor governance and illicit financial and arms flows, are addressed in the Agenda. We must redouble our efforts to resolve or prevent conflict and to support post-conflict countries, including by ensuring that women have a role in peacebuilding and State-building. We call for further effective measures and actions to be taken, in conformity with international law, to remove the obstacles to the full </w:t>
      </w:r>
      <w:r w:rsidRPr="00C05305">
        <w:rPr>
          <w:sz w:val="22"/>
          <w:szCs w:val="22"/>
        </w:rPr>
        <w:lastRenderedPageBreak/>
        <w:t xml:space="preserve">realization of the right of self-determination of peoples living under colonial and foreign occupation, which continue to adversely affect their economic and social development as well as their environment; </w:t>
      </w:r>
    </w:p>
    <w:p w14:paraId="5AF4EDDF" w14:textId="684D9BBF" w:rsidR="001171BD" w:rsidRPr="00C05305" w:rsidRDefault="001171BD" w:rsidP="00C05305">
      <w:pPr>
        <w:pStyle w:val="SingleTxt"/>
        <w:numPr>
          <w:ilvl w:val="0"/>
          <w:numId w:val="1"/>
        </w:numPr>
        <w:spacing w:before="120" w:line="240" w:lineRule="auto"/>
        <w:rPr>
          <w:sz w:val="22"/>
          <w:szCs w:val="22"/>
        </w:rPr>
      </w:pPr>
      <w:r w:rsidRPr="00C05305">
        <w:rPr>
          <w:sz w:val="22"/>
          <w:szCs w:val="22"/>
        </w:rPr>
        <w:t xml:space="preserve">Emphasize that universal respect for human rights and human dignity, peace, justice, equality and non-discrimination is central to our commitment to leaving no one behind. Our commitment also includes respect for race, ethnicity and cultural diversity, and equal opportunity, permitting the full realization of human potential and contributing to shared prosperity. We are committed to a world that invests in its children and youth and in which every child grows up free from all forms of violence and exploitation. We envision a world in which every woman and girl enjoys full gender equality and all legal, social and economic barriers to their empowerment have been removed. We will strive for a world where young women and young men are key agents of change, supported by a culture of innovation, sustainability and inclusiveness, to enable a better future for themselves and their communities; a just, equitable, tolerant, open, creative and socially inclusive world in which the needs of the most vulnerable are met; </w:t>
      </w:r>
    </w:p>
    <w:p w14:paraId="0156686B" w14:textId="1D1D3450" w:rsidR="001171BD" w:rsidRPr="00C05305" w:rsidRDefault="001171BD" w:rsidP="00C05305">
      <w:pPr>
        <w:pStyle w:val="SingleTxt"/>
        <w:numPr>
          <w:ilvl w:val="0"/>
          <w:numId w:val="1"/>
        </w:numPr>
        <w:spacing w:before="120" w:line="240" w:lineRule="auto"/>
        <w:rPr>
          <w:sz w:val="22"/>
          <w:szCs w:val="22"/>
        </w:rPr>
      </w:pPr>
      <w:r w:rsidRPr="00C05305">
        <w:rPr>
          <w:sz w:val="22"/>
          <w:szCs w:val="22"/>
        </w:rPr>
        <w:t>Emphasise our commitment to a world in which every country enjoys sustained, inclusive and sustainable economic growth, leading to decent work for all</w:t>
      </w:r>
      <w:r w:rsidR="00D96B0D" w:rsidRPr="00C05305">
        <w:rPr>
          <w:sz w:val="22"/>
          <w:szCs w:val="22"/>
        </w:rPr>
        <w:t>. A</w:t>
      </w:r>
      <w:r w:rsidRPr="00C05305">
        <w:rPr>
          <w:sz w:val="22"/>
          <w:szCs w:val="22"/>
        </w:rPr>
        <w:t xml:space="preserve"> world where innovation, industrialisation and cooperation in productive capacity can accelerate economic growth</w:t>
      </w:r>
      <w:r w:rsidR="00DD55F6" w:rsidRPr="00C05305">
        <w:rPr>
          <w:sz w:val="22"/>
          <w:szCs w:val="22"/>
        </w:rPr>
        <w:t>. W</w:t>
      </w:r>
      <w:r w:rsidR="00083032" w:rsidRPr="00C05305">
        <w:rPr>
          <w:sz w:val="22"/>
          <w:szCs w:val="22"/>
        </w:rPr>
        <w:t>e</w:t>
      </w:r>
      <w:r w:rsidR="00083032" w:rsidRPr="00C05305">
        <w:rPr>
          <w:bCs/>
          <w:sz w:val="22"/>
          <w:szCs w:val="22"/>
        </w:rPr>
        <w:t xml:space="preserve"> affirm the need to enhance infrastructure connectivity with concrete actions, maximizing synergies in infrastructure planning and development</w:t>
      </w:r>
      <w:r w:rsidR="00860EAB" w:rsidRPr="00C05305">
        <w:rPr>
          <w:bCs/>
          <w:sz w:val="22"/>
          <w:szCs w:val="22"/>
        </w:rPr>
        <w:t xml:space="preserve"> </w:t>
      </w:r>
      <w:r w:rsidR="00E75A5E" w:rsidRPr="00C05305">
        <w:rPr>
          <w:bCs/>
          <w:sz w:val="22"/>
          <w:szCs w:val="22"/>
        </w:rPr>
        <w:t>to achieve</w:t>
      </w:r>
      <w:r w:rsidR="00860EAB" w:rsidRPr="00C05305">
        <w:rPr>
          <w:bCs/>
          <w:sz w:val="22"/>
          <w:szCs w:val="22"/>
        </w:rPr>
        <w:t xml:space="preserve"> resilient societ</w:t>
      </w:r>
      <w:r w:rsidR="00E75A5E" w:rsidRPr="00C05305">
        <w:rPr>
          <w:bCs/>
          <w:sz w:val="22"/>
          <w:szCs w:val="22"/>
        </w:rPr>
        <w:t>ies;</w:t>
      </w:r>
    </w:p>
    <w:p w14:paraId="2A5C81A0" w14:textId="19C1A1CA" w:rsidR="001171BD" w:rsidRPr="00C05305" w:rsidRDefault="00860EAB" w:rsidP="00C05305">
      <w:pPr>
        <w:pStyle w:val="SingleTxt"/>
        <w:numPr>
          <w:ilvl w:val="0"/>
          <w:numId w:val="1"/>
        </w:numPr>
        <w:spacing w:before="120" w:line="240" w:lineRule="auto"/>
        <w:rPr>
          <w:sz w:val="22"/>
          <w:szCs w:val="22"/>
        </w:rPr>
      </w:pPr>
      <w:r w:rsidRPr="00C05305">
        <w:rPr>
          <w:sz w:val="22"/>
          <w:szCs w:val="22"/>
        </w:rPr>
        <w:t xml:space="preserve">Note the </w:t>
      </w:r>
      <w:r w:rsidR="001171BD" w:rsidRPr="00C05305">
        <w:rPr>
          <w:sz w:val="22"/>
          <w:szCs w:val="22"/>
        </w:rPr>
        <w:t>2030 Agenda is accepted by all countries and is applicable to all, taking into account different national realities, capacities and levels of development and respecting national policies and priorities</w:t>
      </w:r>
      <w:r w:rsidR="00B10920" w:rsidRPr="00C05305">
        <w:rPr>
          <w:sz w:val="22"/>
          <w:szCs w:val="22"/>
        </w:rPr>
        <w:t>.</w:t>
      </w:r>
      <w:r w:rsidR="00E75A5E" w:rsidRPr="00C05305">
        <w:rPr>
          <w:sz w:val="22"/>
          <w:szCs w:val="22"/>
        </w:rPr>
        <w:t xml:space="preserve"> Recognize that the most vulnerable countries and, in particular, African countries, least developed countries, landlocked developing countries and small island developing states deserve special attention, as do countries in situations of conflict and post-conflict. There are also serious challenges within many middle-income countries; </w:t>
      </w:r>
    </w:p>
    <w:p w14:paraId="2069AAE8" w14:textId="4AF60D21" w:rsidR="00262EB6" w:rsidRPr="00C05305" w:rsidRDefault="00262EB6" w:rsidP="00C05305">
      <w:pPr>
        <w:pStyle w:val="ListParagraph"/>
        <w:numPr>
          <w:ilvl w:val="0"/>
          <w:numId w:val="1"/>
        </w:numPr>
        <w:spacing w:before="120" w:after="120" w:line="240" w:lineRule="auto"/>
        <w:ind w:right="1275"/>
        <w:contextualSpacing w:val="0"/>
        <w:jc w:val="both"/>
        <w:rPr>
          <w:rFonts w:ascii="Times New Roman" w:hAnsi="Times New Roman" w:cs="Times New Roman"/>
          <w:spacing w:val="4"/>
          <w:w w:val="103"/>
          <w:kern w:val="14"/>
          <w:lang w:val="en-GB"/>
        </w:rPr>
      </w:pPr>
      <w:r w:rsidRPr="00C05305">
        <w:rPr>
          <w:rFonts w:ascii="Times New Roman" w:hAnsi="Times New Roman" w:cs="Times New Roman"/>
          <w:spacing w:val="4"/>
          <w:w w:val="103"/>
          <w:kern w:val="14"/>
          <w:lang w:val="en-GB"/>
        </w:rPr>
        <w:t xml:space="preserve">Reaffirm our commitment to achieve gender equality, the empowerment of all women and girls and the full realization of the human rights of all women and girls. To achieve inclusive, sustainable and resilient societies, we call for the leadership and full, effective and equal participation of women in decision-making in the design, budgeting, implementation and monitoring of policies and programmes that affect their livelihoods, wellbeing and resilience, and we recognize that unequal gender roles as reflected in women’s disproportionate share of unpaid care and domestic work holds women back in the economy and other areas. We reiterate the urgency to ensure women’s equal access to, and control over, land and natural resources. We reaffirm our commitment to prevent and respond to gender-based violence, sexual exploitation and abuse, sexual harassment and harmful practices. Our efforts will reinforce the linkages between </w:t>
      </w:r>
      <w:r w:rsidR="00B10920" w:rsidRPr="00C05305">
        <w:rPr>
          <w:rFonts w:ascii="Times New Roman" w:hAnsi="Times New Roman" w:cs="Times New Roman"/>
          <w:spacing w:val="4"/>
          <w:w w:val="103"/>
          <w:kern w:val="14"/>
          <w:lang w:val="en-GB"/>
        </w:rPr>
        <w:t>Sustainable Development Goal</w:t>
      </w:r>
      <w:r w:rsidRPr="00C05305">
        <w:rPr>
          <w:rFonts w:ascii="Times New Roman" w:hAnsi="Times New Roman" w:cs="Times New Roman"/>
          <w:spacing w:val="4"/>
          <w:w w:val="103"/>
          <w:kern w:val="14"/>
          <w:lang w:val="en-GB"/>
        </w:rPr>
        <w:t xml:space="preserve"> 5 and the other </w:t>
      </w:r>
      <w:r w:rsidR="00B10920" w:rsidRPr="00C05305">
        <w:rPr>
          <w:rFonts w:ascii="Times New Roman" w:hAnsi="Times New Roman" w:cs="Times New Roman"/>
          <w:spacing w:val="4"/>
          <w:w w:val="103"/>
          <w:kern w:val="14"/>
          <w:lang w:val="en-GB"/>
        </w:rPr>
        <w:t>Sustainable Development Goals</w:t>
      </w:r>
      <w:r w:rsidRPr="00C05305">
        <w:rPr>
          <w:rFonts w:ascii="Times New Roman" w:hAnsi="Times New Roman" w:cs="Times New Roman"/>
          <w:spacing w:val="4"/>
          <w:w w:val="103"/>
          <w:kern w:val="14"/>
          <w:lang w:val="en-GB"/>
        </w:rPr>
        <w:t xml:space="preserve">.  The systematic mainstreaming of a gender perspective into the implementation of the 2030 Agenda is crucial; </w:t>
      </w:r>
    </w:p>
    <w:p w14:paraId="382AEECA" w14:textId="15DF8213" w:rsidR="001171BD" w:rsidRPr="00C05305" w:rsidRDefault="001171BD" w:rsidP="00C05305">
      <w:pPr>
        <w:pStyle w:val="SingleTxt"/>
        <w:numPr>
          <w:ilvl w:val="0"/>
          <w:numId w:val="1"/>
        </w:numPr>
        <w:spacing w:before="120" w:line="240" w:lineRule="auto"/>
        <w:rPr>
          <w:sz w:val="22"/>
          <w:szCs w:val="22"/>
        </w:rPr>
      </w:pPr>
      <w:r w:rsidRPr="00C05305">
        <w:rPr>
          <w:sz w:val="22"/>
          <w:szCs w:val="22"/>
        </w:rPr>
        <w:t xml:space="preserve">Recognise that developing the human capital required to build sustainable and resilient societies must begin with investing in </w:t>
      </w:r>
      <w:r w:rsidR="00DE5B4F" w:rsidRPr="00C05305">
        <w:rPr>
          <w:sz w:val="22"/>
          <w:szCs w:val="22"/>
        </w:rPr>
        <w:t xml:space="preserve">all </w:t>
      </w:r>
      <w:r w:rsidRPr="00C05305">
        <w:rPr>
          <w:sz w:val="22"/>
          <w:szCs w:val="22"/>
        </w:rPr>
        <w:t xml:space="preserve">children, adolescents and youth, safeguarding their rights and ensuring that from early childhood they grow up </w:t>
      </w:r>
      <w:r w:rsidR="00DE5B4F" w:rsidRPr="00C05305">
        <w:rPr>
          <w:sz w:val="22"/>
          <w:szCs w:val="22"/>
        </w:rPr>
        <w:t>in a safe environment</w:t>
      </w:r>
      <w:r w:rsidR="00E75A5E" w:rsidRPr="00C05305">
        <w:rPr>
          <w:sz w:val="22"/>
          <w:szCs w:val="22"/>
        </w:rPr>
        <w:t>,</w:t>
      </w:r>
      <w:r w:rsidR="00DE5B4F" w:rsidRPr="00C05305">
        <w:rPr>
          <w:sz w:val="22"/>
          <w:szCs w:val="22"/>
        </w:rPr>
        <w:t xml:space="preserve"> </w:t>
      </w:r>
      <w:r w:rsidRPr="00C05305">
        <w:rPr>
          <w:sz w:val="22"/>
          <w:szCs w:val="22"/>
        </w:rPr>
        <w:t xml:space="preserve">free from all forms of violence, including </w:t>
      </w:r>
      <w:r w:rsidRPr="00C05305">
        <w:rPr>
          <w:sz w:val="22"/>
          <w:szCs w:val="22"/>
        </w:rPr>
        <w:lastRenderedPageBreak/>
        <w:t>neglect, abuse and exploitation and through the elimination of all harmful practices. In this regard, we</w:t>
      </w:r>
      <w:r w:rsidR="00BC1877" w:rsidRPr="00C05305">
        <w:rPr>
          <w:sz w:val="22"/>
          <w:szCs w:val="22"/>
        </w:rPr>
        <w:t xml:space="preserve"> note</w:t>
      </w:r>
      <w:r w:rsidRPr="00C05305">
        <w:rPr>
          <w:sz w:val="22"/>
          <w:szCs w:val="22"/>
        </w:rPr>
        <w:t xml:space="preserve"> the Buenos Aires Declaration on Child Labour, Forced Labour and Youth Employment. As critical agents of change and torch-bearers of the Agenda for current and future generations, we emphasise the importance of engaging and supporting the meaningful participation of children, adolescents and young people, particularly the most deprived and marginalized, in the implementation</w:t>
      </w:r>
      <w:r w:rsidR="0090788B" w:rsidRPr="00C05305">
        <w:rPr>
          <w:sz w:val="22"/>
          <w:szCs w:val="22"/>
        </w:rPr>
        <w:t>, follow</w:t>
      </w:r>
      <w:r w:rsidR="00262EB6" w:rsidRPr="00C05305">
        <w:rPr>
          <w:sz w:val="22"/>
          <w:szCs w:val="22"/>
        </w:rPr>
        <w:t>-</w:t>
      </w:r>
      <w:r w:rsidR="0090788B" w:rsidRPr="00C05305">
        <w:rPr>
          <w:sz w:val="22"/>
          <w:szCs w:val="22"/>
        </w:rPr>
        <w:t>up</w:t>
      </w:r>
      <w:r w:rsidRPr="00C05305">
        <w:rPr>
          <w:sz w:val="22"/>
          <w:szCs w:val="22"/>
        </w:rPr>
        <w:t xml:space="preserve"> and review of the 2030 Agenda and enabling their empowerment through information, knowledge and awareness of sustainable development. We commit to include youth perspectives in the development and assessment of strategies and programmes designed to address their specific needs and that youth education, skills development and decent employment are prioritised; </w:t>
      </w:r>
    </w:p>
    <w:p w14:paraId="60EDF7B0" w14:textId="061A9FC5" w:rsidR="00D96B0D" w:rsidRPr="00C05305" w:rsidRDefault="001171BD" w:rsidP="00C05305">
      <w:pPr>
        <w:pStyle w:val="SingleTxt"/>
        <w:numPr>
          <w:ilvl w:val="0"/>
          <w:numId w:val="1"/>
        </w:numPr>
        <w:spacing w:before="120" w:line="240" w:lineRule="auto"/>
        <w:rPr>
          <w:sz w:val="22"/>
          <w:szCs w:val="22"/>
        </w:rPr>
      </w:pPr>
      <w:r w:rsidRPr="00C05305">
        <w:rPr>
          <w:sz w:val="22"/>
          <w:szCs w:val="22"/>
        </w:rPr>
        <w:t xml:space="preserve">Emphasise that </w:t>
      </w:r>
      <w:r w:rsidR="00CD089C" w:rsidRPr="00C05305">
        <w:rPr>
          <w:sz w:val="22"/>
          <w:szCs w:val="22"/>
        </w:rPr>
        <w:t>high</w:t>
      </w:r>
      <w:r w:rsidR="00D96B0D" w:rsidRPr="00C05305">
        <w:rPr>
          <w:sz w:val="22"/>
          <w:szCs w:val="22"/>
        </w:rPr>
        <w:t xml:space="preserve"> quality, </w:t>
      </w:r>
      <w:r w:rsidR="00CD089C" w:rsidRPr="00C05305">
        <w:rPr>
          <w:sz w:val="22"/>
          <w:szCs w:val="22"/>
        </w:rPr>
        <w:t>accessible</w:t>
      </w:r>
      <w:r w:rsidR="00E75A5E" w:rsidRPr="00C05305">
        <w:rPr>
          <w:sz w:val="22"/>
          <w:szCs w:val="22"/>
        </w:rPr>
        <w:t xml:space="preserve">, </w:t>
      </w:r>
      <w:r w:rsidR="005A7E93" w:rsidRPr="00C05305">
        <w:rPr>
          <w:sz w:val="22"/>
          <w:szCs w:val="22"/>
        </w:rPr>
        <w:t>timely and</w:t>
      </w:r>
      <w:r w:rsidRPr="00C05305">
        <w:rPr>
          <w:sz w:val="22"/>
          <w:szCs w:val="22"/>
        </w:rPr>
        <w:t xml:space="preserve"> reliable data and statistics are central to the implementation of the 2030 Agenda. </w:t>
      </w:r>
      <w:r w:rsidR="00733362" w:rsidRPr="00C05305">
        <w:rPr>
          <w:sz w:val="22"/>
          <w:szCs w:val="22"/>
          <w:lang w:val="en-AU"/>
        </w:rPr>
        <w:t>We urge countries to further strengthen collaboration at</w:t>
      </w:r>
      <w:r w:rsidR="00E75A5E" w:rsidRPr="00C05305">
        <w:rPr>
          <w:sz w:val="22"/>
          <w:szCs w:val="22"/>
          <w:lang w:val="en-AU"/>
        </w:rPr>
        <w:t xml:space="preserve"> the</w:t>
      </w:r>
      <w:r w:rsidR="00733362" w:rsidRPr="00C05305">
        <w:rPr>
          <w:sz w:val="22"/>
          <w:szCs w:val="22"/>
          <w:lang w:val="en-AU"/>
        </w:rPr>
        <w:t xml:space="preserve"> bilateral, regional and global levels for capacity-building and sharing of best practices </w:t>
      </w:r>
      <w:r w:rsidRPr="00C05305">
        <w:rPr>
          <w:sz w:val="22"/>
          <w:szCs w:val="22"/>
        </w:rPr>
        <w:t>for collecting, producing, disseminating, analysing and using quality data and statistics, disaggregated by income, sex, age, race, ethnicity, migration status, disability, geographical location and other characteristics</w:t>
      </w:r>
      <w:r w:rsidR="00733362" w:rsidRPr="00C05305">
        <w:rPr>
          <w:sz w:val="22"/>
          <w:szCs w:val="22"/>
        </w:rPr>
        <w:t xml:space="preserve"> relevant in national contexts</w:t>
      </w:r>
      <w:r w:rsidRPr="00C05305">
        <w:rPr>
          <w:sz w:val="22"/>
          <w:szCs w:val="22"/>
        </w:rPr>
        <w:t xml:space="preserve">. Welcome the adoption of resolution </w:t>
      </w:r>
      <w:r w:rsidR="005A7E93" w:rsidRPr="00C05305">
        <w:rPr>
          <w:sz w:val="22"/>
          <w:szCs w:val="22"/>
        </w:rPr>
        <w:t>A/RES/</w:t>
      </w:r>
      <w:r w:rsidRPr="00C05305">
        <w:rPr>
          <w:sz w:val="22"/>
          <w:szCs w:val="22"/>
        </w:rPr>
        <w:t>71/313 on the work of the UN Statistical Commission</w:t>
      </w:r>
      <w:r w:rsidR="00D96B0D" w:rsidRPr="00C05305">
        <w:rPr>
          <w:sz w:val="22"/>
          <w:szCs w:val="22"/>
        </w:rPr>
        <w:t>;</w:t>
      </w:r>
    </w:p>
    <w:p w14:paraId="3A1B678A" w14:textId="466FF60C" w:rsidR="001171BD" w:rsidRPr="00C05305" w:rsidRDefault="00D96B0D" w:rsidP="00C05305">
      <w:pPr>
        <w:pStyle w:val="SingleTxt"/>
        <w:numPr>
          <w:ilvl w:val="0"/>
          <w:numId w:val="1"/>
        </w:numPr>
        <w:spacing w:before="120" w:line="240" w:lineRule="auto"/>
        <w:rPr>
          <w:sz w:val="22"/>
          <w:szCs w:val="22"/>
        </w:rPr>
      </w:pPr>
      <w:r w:rsidRPr="00C05305">
        <w:rPr>
          <w:sz w:val="22"/>
          <w:szCs w:val="22"/>
        </w:rPr>
        <w:t>Stress that climate change is one of the greatest challenges of our time and its widespread, unprecedented impacts disproportionately burden the poorest and most vulnerable. We recognise that 2017 was one of the three warmest years on record and that the average temperature was 1.1 degrees Celsius above pre-industrial levels. We recognise the need for an effective and progressive response to the urgent threat of climate change on the basis of the best available scientific knowledge. We welcome the Paris Agreement</w:t>
      </w:r>
      <w:r w:rsidR="00E91595" w:rsidRPr="00C05305">
        <w:rPr>
          <w:rStyle w:val="FootnoteReference"/>
          <w:sz w:val="22"/>
          <w:szCs w:val="22"/>
        </w:rPr>
        <w:footnoteReference w:id="5"/>
      </w:r>
      <w:r w:rsidRPr="00C05305">
        <w:rPr>
          <w:sz w:val="22"/>
          <w:szCs w:val="22"/>
        </w:rPr>
        <w:t xml:space="preserve"> </w:t>
      </w:r>
      <w:r w:rsidR="00E91595" w:rsidRPr="00C05305">
        <w:rPr>
          <w:sz w:val="22"/>
          <w:szCs w:val="22"/>
        </w:rPr>
        <w:t>and its early entry into force, encourage all parties to</w:t>
      </w:r>
      <w:r w:rsidR="005A7E93" w:rsidRPr="00C05305">
        <w:rPr>
          <w:sz w:val="22"/>
          <w:szCs w:val="22"/>
        </w:rPr>
        <w:t xml:space="preserve"> </w:t>
      </w:r>
      <w:r w:rsidR="00E91595" w:rsidRPr="00C05305">
        <w:rPr>
          <w:sz w:val="22"/>
          <w:szCs w:val="22"/>
        </w:rPr>
        <w:t>fully implement the Agreement, and parties to the United Nations Framework Convention on Climate Change</w:t>
      </w:r>
      <w:r w:rsidR="00E91595" w:rsidRPr="00C05305">
        <w:rPr>
          <w:rStyle w:val="FootnoteReference"/>
          <w:sz w:val="22"/>
          <w:szCs w:val="22"/>
        </w:rPr>
        <w:footnoteReference w:id="6"/>
      </w:r>
      <w:r w:rsidR="00E91595" w:rsidRPr="00C05305">
        <w:rPr>
          <w:sz w:val="22"/>
          <w:szCs w:val="22"/>
        </w:rPr>
        <w:t xml:space="preserve"> that have not yet done so to deposit their instruments of ratification, acceptance, approval or accession, where appropriate, as soon as possible. We r</w:t>
      </w:r>
      <w:r w:rsidR="001171BD" w:rsidRPr="00C05305">
        <w:rPr>
          <w:sz w:val="22"/>
          <w:szCs w:val="22"/>
        </w:rPr>
        <w:t xml:space="preserve">ecognize the synergies between the implementation of the Paris Agreement and the 2030 Agenda. </w:t>
      </w:r>
      <w:r w:rsidR="00E91595" w:rsidRPr="00C05305">
        <w:rPr>
          <w:sz w:val="22"/>
          <w:szCs w:val="22"/>
        </w:rPr>
        <w:t xml:space="preserve">We acknowledge the importance of continued support for and international cooperation on, adaptation and mitigation efforts and on strengthening resilience. We stress the necessity of adequate and predictable financial resources from a variety of sources, including public and private ones. </w:t>
      </w:r>
      <w:r w:rsidR="001171BD" w:rsidRPr="00C05305">
        <w:rPr>
          <w:sz w:val="22"/>
          <w:szCs w:val="22"/>
        </w:rPr>
        <w:t xml:space="preserve">We highlight the specific needs and special circumstances of developing countries, especially those that are particularly vulnerable to </w:t>
      </w:r>
      <w:r w:rsidR="00AD2B7A" w:rsidRPr="00C05305">
        <w:rPr>
          <w:sz w:val="22"/>
          <w:szCs w:val="22"/>
        </w:rPr>
        <w:t xml:space="preserve">the adverse effects of </w:t>
      </w:r>
      <w:r w:rsidR="001171BD" w:rsidRPr="00C05305">
        <w:rPr>
          <w:sz w:val="22"/>
          <w:szCs w:val="22"/>
        </w:rPr>
        <w:t>climate change</w:t>
      </w:r>
      <w:r w:rsidR="00E91595" w:rsidRPr="00C05305">
        <w:rPr>
          <w:sz w:val="22"/>
          <w:szCs w:val="22"/>
        </w:rPr>
        <w:t>;</w:t>
      </w:r>
    </w:p>
    <w:p w14:paraId="485FF345" w14:textId="5A4E8879" w:rsidR="001171BD" w:rsidRPr="00C05305" w:rsidRDefault="001171BD" w:rsidP="00C05305">
      <w:pPr>
        <w:pStyle w:val="SingleTxt"/>
        <w:numPr>
          <w:ilvl w:val="0"/>
          <w:numId w:val="1"/>
        </w:numPr>
        <w:spacing w:before="120" w:line="240" w:lineRule="auto"/>
        <w:rPr>
          <w:sz w:val="22"/>
          <w:szCs w:val="22"/>
        </w:rPr>
      </w:pPr>
      <w:r w:rsidRPr="00C05305">
        <w:rPr>
          <w:sz w:val="22"/>
          <w:szCs w:val="22"/>
        </w:rPr>
        <w:t>We reaffirm the Sendai Framework for Disaster Risk Reduction 2015-2030 and recognise that action towards sustainable and resilient societies requires a disaster risk-informed approach. We call for integrated strategies that encourage coherence in the implementation of the Sendai Framework and 2030 Agenda and augmented efforts to integrate disaster risk management into national</w:t>
      </w:r>
      <w:r w:rsidR="00E75A5E" w:rsidRPr="00C05305">
        <w:rPr>
          <w:sz w:val="22"/>
          <w:szCs w:val="22"/>
        </w:rPr>
        <w:t>, sub-national</w:t>
      </w:r>
      <w:r w:rsidRPr="00C05305">
        <w:rPr>
          <w:sz w:val="22"/>
          <w:szCs w:val="22"/>
        </w:rPr>
        <w:t xml:space="preserve"> and local sustainable de</w:t>
      </w:r>
      <w:r w:rsidR="00E91595" w:rsidRPr="00C05305">
        <w:rPr>
          <w:sz w:val="22"/>
          <w:szCs w:val="22"/>
        </w:rPr>
        <w:t>velopment strategies and plans, as appropriate;</w:t>
      </w:r>
    </w:p>
    <w:p w14:paraId="24048B9D" w14:textId="2D3E467B" w:rsidR="001171BD" w:rsidRPr="00C05305" w:rsidRDefault="001171BD" w:rsidP="00C05305">
      <w:pPr>
        <w:pStyle w:val="SingleTxt"/>
        <w:numPr>
          <w:ilvl w:val="0"/>
          <w:numId w:val="1"/>
        </w:numPr>
        <w:spacing w:before="120" w:line="240" w:lineRule="auto"/>
        <w:rPr>
          <w:sz w:val="22"/>
          <w:szCs w:val="22"/>
        </w:rPr>
      </w:pPr>
      <w:r w:rsidRPr="00C05305">
        <w:rPr>
          <w:sz w:val="22"/>
          <w:szCs w:val="22"/>
        </w:rPr>
        <w:t xml:space="preserve">Commit to embracing diversity in cities and human settlements, to strengthening social cohesion, intercultural dialogue and understanding, tolerance, mutual respect, gender equality, innovation, entrepreneurship, </w:t>
      </w:r>
      <w:r w:rsidRPr="00C05305">
        <w:rPr>
          <w:sz w:val="22"/>
          <w:szCs w:val="22"/>
        </w:rPr>
        <w:lastRenderedPageBreak/>
        <w:t xml:space="preserve">inclusion, identity and safety, and the dignity of all people, as well </w:t>
      </w:r>
      <w:r w:rsidR="00733362" w:rsidRPr="00C05305">
        <w:rPr>
          <w:sz w:val="22"/>
          <w:szCs w:val="22"/>
        </w:rPr>
        <w:t>as fostering</w:t>
      </w:r>
      <w:r w:rsidRPr="00C05305">
        <w:rPr>
          <w:sz w:val="22"/>
          <w:szCs w:val="22"/>
        </w:rPr>
        <w:t xml:space="preserve"> liveability and a vibrant urban economy.  We also commit ourselves to taking steps to ensure that our local institutions promote pluralism and peaceful coexistence within increasingly heterogeneou</w:t>
      </w:r>
      <w:r w:rsidR="00E91595" w:rsidRPr="00C05305">
        <w:rPr>
          <w:sz w:val="22"/>
          <w:szCs w:val="22"/>
        </w:rPr>
        <w:t xml:space="preserve">s and multicultural societies; </w:t>
      </w:r>
    </w:p>
    <w:p w14:paraId="324BC347" w14:textId="6F0CC0E4" w:rsidR="001171BD" w:rsidRPr="00C05305" w:rsidRDefault="001171BD" w:rsidP="00C05305">
      <w:pPr>
        <w:pStyle w:val="SingleTxt"/>
        <w:numPr>
          <w:ilvl w:val="0"/>
          <w:numId w:val="1"/>
        </w:numPr>
        <w:spacing w:before="120" w:line="240" w:lineRule="auto"/>
        <w:rPr>
          <w:sz w:val="22"/>
          <w:szCs w:val="22"/>
        </w:rPr>
      </w:pPr>
      <w:r w:rsidRPr="00C05305">
        <w:rPr>
          <w:sz w:val="22"/>
          <w:szCs w:val="22"/>
        </w:rPr>
        <w:t xml:space="preserve">Reiterate that while our 2018 review emphasizes Sustainable Development Goals 6, 7, 11, 12, 15 and 17, the integrated, indivisible and universal nature of the Goals makes it essential that we pay particular attention to leveraging synergies and co-benefits across all dimensions of sustainable development, while avoiding or minimizing trade-offs; </w:t>
      </w:r>
    </w:p>
    <w:p w14:paraId="1F8F3876" w14:textId="12390FB9" w:rsidR="001171BD" w:rsidRPr="00C05305" w:rsidRDefault="001171BD" w:rsidP="00C05305">
      <w:pPr>
        <w:pStyle w:val="SingleTxt"/>
        <w:numPr>
          <w:ilvl w:val="0"/>
          <w:numId w:val="1"/>
        </w:numPr>
        <w:spacing w:before="120" w:line="240" w:lineRule="auto"/>
        <w:rPr>
          <w:sz w:val="22"/>
          <w:szCs w:val="22"/>
          <w:lang w:val="en-US"/>
        </w:rPr>
      </w:pPr>
      <w:r w:rsidRPr="00C05305">
        <w:rPr>
          <w:sz w:val="22"/>
          <w:szCs w:val="22"/>
          <w:lang w:val="en-US"/>
        </w:rPr>
        <w:t>Note with concern that 844 million people lack basic water services</w:t>
      </w:r>
      <w:r w:rsidR="005A7E93" w:rsidRPr="00C05305">
        <w:rPr>
          <w:sz w:val="22"/>
          <w:szCs w:val="22"/>
          <w:lang w:val="en-US"/>
        </w:rPr>
        <w:t>,</w:t>
      </w:r>
      <w:r w:rsidRPr="00C05305">
        <w:rPr>
          <w:sz w:val="22"/>
          <w:szCs w:val="22"/>
          <w:lang w:val="en-US"/>
        </w:rPr>
        <w:t xml:space="preserve"> 2.1 billion people lack access to safe drinking water on premises available when needed and free from contamination</w:t>
      </w:r>
      <w:r w:rsidR="005A7E93" w:rsidRPr="00C05305">
        <w:rPr>
          <w:sz w:val="22"/>
          <w:szCs w:val="22"/>
          <w:lang w:val="en-US"/>
        </w:rPr>
        <w:t>,</w:t>
      </w:r>
      <w:r w:rsidRPr="00C05305">
        <w:rPr>
          <w:sz w:val="22"/>
          <w:szCs w:val="22"/>
          <w:lang w:val="en-US"/>
        </w:rPr>
        <w:t xml:space="preserve"> 4.5 billion lack access to safely managed sanitation</w:t>
      </w:r>
      <w:r w:rsidR="005A7E93" w:rsidRPr="00C05305">
        <w:rPr>
          <w:sz w:val="22"/>
          <w:szCs w:val="22"/>
          <w:lang w:val="en-US"/>
        </w:rPr>
        <w:t>,</w:t>
      </w:r>
      <w:r w:rsidRPr="00C05305">
        <w:rPr>
          <w:sz w:val="22"/>
          <w:szCs w:val="22"/>
          <w:lang w:val="en-US"/>
        </w:rPr>
        <w:t xml:space="preserve"> and 892 million still practice open defecation. </w:t>
      </w:r>
      <w:r w:rsidRPr="00C05305">
        <w:rPr>
          <w:sz w:val="22"/>
          <w:szCs w:val="22"/>
        </w:rPr>
        <w:t xml:space="preserve">Water pollution is affecting, among other things, water quality, </w:t>
      </w:r>
      <w:r w:rsidRPr="00C05305">
        <w:rPr>
          <w:bCs/>
          <w:sz w:val="22"/>
          <w:szCs w:val="22"/>
        </w:rPr>
        <w:t>public health and the environment</w:t>
      </w:r>
      <w:r w:rsidRPr="00C05305">
        <w:rPr>
          <w:sz w:val="22"/>
          <w:szCs w:val="22"/>
        </w:rPr>
        <w:t xml:space="preserve"> and decreasing water availability in a world that has lost 70 per cent of its wetlands over the last century. Water stress is above 70 per cent in some countries and regions. I</w:t>
      </w:r>
      <w:r w:rsidRPr="00C05305">
        <w:rPr>
          <w:bCs/>
          <w:sz w:val="22"/>
          <w:szCs w:val="22"/>
        </w:rPr>
        <w:t xml:space="preserve">nsufficient financing continues to prevent countries from meeting national water, sanitation and hygiene targets. </w:t>
      </w:r>
      <w:r w:rsidRPr="00C05305">
        <w:rPr>
          <w:sz w:val="22"/>
          <w:szCs w:val="22"/>
        </w:rPr>
        <w:t xml:space="preserve">Creating multi-stakeholder partnerships, ensuring quality public participation </w:t>
      </w:r>
      <w:r w:rsidR="00E91595" w:rsidRPr="00C05305">
        <w:rPr>
          <w:sz w:val="22"/>
          <w:szCs w:val="22"/>
        </w:rPr>
        <w:t>and integrated</w:t>
      </w:r>
      <w:r w:rsidR="00846767" w:rsidRPr="00C05305">
        <w:rPr>
          <w:sz w:val="22"/>
          <w:szCs w:val="22"/>
        </w:rPr>
        <w:t xml:space="preserve"> water resources</w:t>
      </w:r>
      <w:r w:rsidRPr="00C05305">
        <w:rPr>
          <w:sz w:val="22"/>
          <w:szCs w:val="22"/>
        </w:rPr>
        <w:t xml:space="preserve"> management </w:t>
      </w:r>
      <w:r w:rsidR="00846767" w:rsidRPr="00C05305">
        <w:rPr>
          <w:sz w:val="22"/>
          <w:szCs w:val="22"/>
        </w:rPr>
        <w:t xml:space="preserve">at all levels are </w:t>
      </w:r>
      <w:r w:rsidRPr="00C05305">
        <w:rPr>
          <w:sz w:val="22"/>
          <w:szCs w:val="22"/>
        </w:rPr>
        <w:t>key to effectively tackling these issues. We aim to increase water use efficiency across all sectors, and water resource allocation, and emphasise the need to address challenges of water scarcity. We commit to improving cooperation across borders, in transboundary waters</w:t>
      </w:r>
      <w:r w:rsidR="005A7E93" w:rsidRPr="00C05305">
        <w:rPr>
          <w:sz w:val="22"/>
          <w:szCs w:val="22"/>
        </w:rPr>
        <w:t>.</w:t>
      </w:r>
      <w:r w:rsidRPr="00C05305">
        <w:rPr>
          <w:sz w:val="22"/>
          <w:szCs w:val="22"/>
        </w:rPr>
        <w:t xml:space="preserve"> To achieve universal and sustainable access to safe drinking water and sanitation and to end open defecation substantial long-term investment and capacity building will be required, particularly in rapidly growing urban areas. Strengthening the institutional capacity of local, sub-national and national authorities</w:t>
      </w:r>
      <w:r w:rsidR="00AA53C0" w:rsidRPr="00C05305">
        <w:rPr>
          <w:sz w:val="22"/>
          <w:szCs w:val="22"/>
        </w:rPr>
        <w:t>, as appropriate,</w:t>
      </w:r>
      <w:r w:rsidRPr="00C05305">
        <w:rPr>
          <w:sz w:val="22"/>
          <w:szCs w:val="22"/>
        </w:rPr>
        <w:t xml:space="preserve"> to manage and regulate sanitation systems is a high priority. </w:t>
      </w:r>
      <w:bookmarkStart w:id="0" w:name="_GoBack"/>
      <w:r w:rsidRPr="00C05305">
        <w:rPr>
          <w:sz w:val="22"/>
          <w:szCs w:val="22"/>
        </w:rPr>
        <w:t>In particular, we must pay special attention to ensuring access to sanitation and hygiene facilities</w:t>
      </w:r>
      <w:r w:rsidR="009E55CF" w:rsidRPr="00C05305">
        <w:rPr>
          <w:sz w:val="22"/>
          <w:szCs w:val="22"/>
        </w:rPr>
        <w:t>,</w:t>
      </w:r>
      <w:r w:rsidR="00676864" w:rsidRPr="00C05305">
        <w:rPr>
          <w:sz w:val="22"/>
          <w:szCs w:val="22"/>
        </w:rPr>
        <w:t xml:space="preserve"> </w:t>
      </w:r>
      <w:r w:rsidR="00262EB6" w:rsidRPr="00C05305">
        <w:rPr>
          <w:sz w:val="22"/>
          <w:szCs w:val="22"/>
        </w:rPr>
        <w:t>taking into account the specific needs of</w:t>
      </w:r>
      <w:r w:rsidRPr="00C05305">
        <w:rPr>
          <w:sz w:val="22"/>
          <w:szCs w:val="22"/>
        </w:rPr>
        <w:t xml:space="preserve"> women and </w:t>
      </w:r>
      <w:proofErr w:type="gramStart"/>
      <w:r w:rsidRPr="00C05305">
        <w:rPr>
          <w:sz w:val="22"/>
          <w:szCs w:val="22"/>
        </w:rPr>
        <w:t xml:space="preserve">girls, </w:t>
      </w:r>
      <w:r w:rsidR="009E55CF" w:rsidRPr="00C05305">
        <w:rPr>
          <w:sz w:val="22"/>
          <w:szCs w:val="22"/>
        </w:rPr>
        <w:t xml:space="preserve">  </w:t>
      </w:r>
      <w:proofErr w:type="gramEnd"/>
      <w:r w:rsidR="00262EB6" w:rsidRPr="00C05305">
        <w:rPr>
          <w:sz w:val="22"/>
          <w:szCs w:val="22"/>
        </w:rPr>
        <w:t>for menstrual</w:t>
      </w:r>
      <w:r w:rsidRPr="00C05305">
        <w:rPr>
          <w:sz w:val="22"/>
          <w:szCs w:val="22"/>
        </w:rPr>
        <w:t xml:space="preserve"> hygiene management</w:t>
      </w:r>
      <w:r w:rsidR="009E55CF" w:rsidRPr="00C05305">
        <w:rPr>
          <w:sz w:val="22"/>
          <w:szCs w:val="22"/>
        </w:rPr>
        <w:t>, and for persons with disabilities, without compromising their safety and dignity.</w:t>
      </w:r>
      <w:bookmarkEnd w:id="0"/>
      <w:r w:rsidR="009E55CF" w:rsidRPr="00C05305">
        <w:rPr>
          <w:sz w:val="22"/>
          <w:szCs w:val="22"/>
        </w:rPr>
        <w:t xml:space="preserve"> </w:t>
      </w:r>
      <w:r w:rsidR="00E91595" w:rsidRPr="00C05305">
        <w:rPr>
          <w:sz w:val="22"/>
          <w:szCs w:val="22"/>
        </w:rPr>
        <w:t>Political</w:t>
      </w:r>
      <w:r w:rsidRPr="00C05305">
        <w:rPr>
          <w:sz w:val="22"/>
          <w:szCs w:val="22"/>
        </w:rPr>
        <w:t xml:space="preserve"> leadership to raise awareness of the matter’s urgency, concrete actions and cooperation from all stakeholders are essential. </w:t>
      </w:r>
      <w:r w:rsidRPr="00C05305">
        <w:rPr>
          <w:bCs/>
          <w:sz w:val="22"/>
          <w:szCs w:val="22"/>
          <w:lang w:val="en-AU"/>
        </w:rPr>
        <w:t xml:space="preserve">We call on the UN system to support countries in their efforts, according to national plans and priorities. </w:t>
      </w:r>
      <w:r w:rsidRPr="00C05305">
        <w:rPr>
          <w:sz w:val="22"/>
          <w:szCs w:val="22"/>
        </w:rPr>
        <w:t xml:space="preserve">We welcome the </w:t>
      </w:r>
      <w:r w:rsidRPr="00C05305">
        <w:rPr>
          <w:i/>
          <w:sz w:val="22"/>
          <w:szCs w:val="22"/>
        </w:rPr>
        <w:t>International Decade for Action on Water for Sustainable Development</w:t>
      </w:r>
      <w:r w:rsidRPr="00C05305">
        <w:rPr>
          <w:rStyle w:val="FootnoteReference"/>
          <w:sz w:val="22"/>
          <w:szCs w:val="22"/>
        </w:rPr>
        <w:footnoteReference w:id="7"/>
      </w:r>
      <w:r w:rsidRPr="00C05305">
        <w:rPr>
          <w:sz w:val="22"/>
          <w:szCs w:val="22"/>
        </w:rPr>
        <w:t xml:space="preserve"> and </w:t>
      </w:r>
      <w:r w:rsidR="00AB5E4B" w:rsidRPr="00C05305">
        <w:rPr>
          <w:sz w:val="22"/>
          <w:szCs w:val="22"/>
        </w:rPr>
        <w:t xml:space="preserve">note other water related </w:t>
      </w:r>
      <w:r w:rsidRPr="00C05305">
        <w:rPr>
          <w:sz w:val="22"/>
          <w:szCs w:val="22"/>
        </w:rPr>
        <w:t>reports</w:t>
      </w:r>
      <w:r w:rsidR="001D22EA" w:rsidRPr="00C05305">
        <w:rPr>
          <w:sz w:val="22"/>
          <w:szCs w:val="22"/>
        </w:rPr>
        <w:t xml:space="preserve">, </w:t>
      </w:r>
      <w:r w:rsidR="00AB5E4B" w:rsidRPr="00C05305">
        <w:rPr>
          <w:sz w:val="22"/>
          <w:szCs w:val="22"/>
        </w:rPr>
        <w:t>panels and outcomes of the major water conferences;</w:t>
      </w:r>
      <w:r w:rsidR="00AA53C0" w:rsidRPr="00C05305">
        <w:rPr>
          <w:rStyle w:val="FootnoteReference"/>
          <w:sz w:val="22"/>
          <w:szCs w:val="22"/>
        </w:rPr>
        <w:footnoteReference w:id="8"/>
      </w:r>
      <w:r w:rsidR="00AB5E4B" w:rsidRPr="00C05305">
        <w:rPr>
          <w:sz w:val="22"/>
          <w:szCs w:val="22"/>
        </w:rPr>
        <w:t xml:space="preserve"> </w:t>
      </w:r>
    </w:p>
    <w:p w14:paraId="5475CD26" w14:textId="1196D412" w:rsidR="001171BD" w:rsidRPr="00C05305" w:rsidRDefault="001171BD" w:rsidP="00C05305">
      <w:pPr>
        <w:pStyle w:val="SingleTxt"/>
        <w:numPr>
          <w:ilvl w:val="0"/>
          <w:numId w:val="1"/>
        </w:numPr>
        <w:spacing w:before="120" w:line="240" w:lineRule="auto"/>
        <w:rPr>
          <w:sz w:val="22"/>
          <w:szCs w:val="22"/>
        </w:rPr>
      </w:pPr>
      <w:r w:rsidRPr="00C05305">
        <w:rPr>
          <w:sz w:val="22"/>
          <w:szCs w:val="22"/>
        </w:rPr>
        <w:t xml:space="preserve">Note with concern that more than 1 billion people currently live without electricity, </w:t>
      </w:r>
      <w:r w:rsidRPr="00C05305">
        <w:rPr>
          <w:bCs/>
          <w:sz w:val="22"/>
          <w:szCs w:val="22"/>
        </w:rPr>
        <w:t>which prevents meaningful economic growth and job generation</w:t>
      </w:r>
      <w:r w:rsidRPr="00C05305">
        <w:rPr>
          <w:sz w:val="22"/>
          <w:szCs w:val="22"/>
        </w:rPr>
        <w:t>. Three billion people lack access to clean-cooking solutions and are exposed to dangerous levels of indoor air pollution, which cause an estimated 3.8 million premature deaths per year, with</w:t>
      </w:r>
      <w:r w:rsidRPr="00C05305">
        <w:rPr>
          <w:w w:val="105"/>
          <w:sz w:val="22"/>
          <w:szCs w:val="22"/>
        </w:rPr>
        <w:t xml:space="preserve"> women and children most at risk</w:t>
      </w:r>
      <w:r w:rsidRPr="00C05305">
        <w:rPr>
          <w:sz w:val="22"/>
          <w:szCs w:val="22"/>
        </w:rPr>
        <w:t xml:space="preserve">. We are encouraged that the transformation of the world’s energy systems is being accelerated by advances in technologies, rapid declines in the cost of renewable energy, deployment of least-cost decentralized solutions, policy </w:t>
      </w:r>
      <w:r w:rsidRPr="00C05305">
        <w:rPr>
          <w:sz w:val="22"/>
          <w:szCs w:val="22"/>
        </w:rPr>
        <w:lastRenderedPageBreak/>
        <w:t xml:space="preserve">support, new business models and sharing of best practices. </w:t>
      </w:r>
      <w:r w:rsidRPr="00C05305">
        <w:rPr>
          <w:bCs/>
          <w:sz w:val="22"/>
          <w:szCs w:val="22"/>
        </w:rPr>
        <w:t>In this regard, we</w:t>
      </w:r>
      <w:r w:rsidR="00E91595" w:rsidRPr="00C05305">
        <w:rPr>
          <w:bCs/>
          <w:sz w:val="22"/>
          <w:szCs w:val="22"/>
        </w:rPr>
        <w:t xml:space="preserve"> </w:t>
      </w:r>
      <w:r w:rsidRPr="00C05305">
        <w:rPr>
          <w:bCs/>
          <w:sz w:val="22"/>
          <w:szCs w:val="22"/>
        </w:rPr>
        <w:t>welcome the establishment of International Solar Alliance as an international organization</w:t>
      </w:r>
      <w:r w:rsidR="001D22EA" w:rsidRPr="00C05305">
        <w:rPr>
          <w:bCs/>
          <w:sz w:val="22"/>
          <w:szCs w:val="22"/>
        </w:rPr>
        <w:t xml:space="preserve"> and note the continued work of the International Renewable Energy Agency</w:t>
      </w:r>
      <w:r w:rsidRPr="00C05305">
        <w:rPr>
          <w:bCs/>
          <w:sz w:val="22"/>
          <w:szCs w:val="22"/>
        </w:rPr>
        <w:t xml:space="preserve">. </w:t>
      </w:r>
      <w:r w:rsidRPr="00C05305">
        <w:rPr>
          <w:sz w:val="22"/>
          <w:szCs w:val="22"/>
        </w:rPr>
        <w:t xml:space="preserve">We emphasize the need for strengthened political will and increased levels of investment and action by all stakeholders to increase access, on mutually agreed terms, to clean energy research and technology. </w:t>
      </w:r>
      <w:r w:rsidR="003019A0" w:rsidRPr="00C05305">
        <w:rPr>
          <w:sz w:val="22"/>
          <w:szCs w:val="22"/>
        </w:rPr>
        <w:t xml:space="preserve">We commit to enhance international cooperation to facilitate access to clean energy research and technology, including renewable energy, energy efficiency and advances and cleaner fossil-fuel technology, and promote investment in energy infrastructure and clean energy technology </w:t>
      </w:r>
      <w:r w:rsidRPr="00C05305">
        <w:rPr>
          <w:sz w:val="22"/>
          <w:szCs w:val="22"/>
        </w:rPr>
        <w:t xml:space="preserve">We call upon governments and all stakeholders to </w:t>
      </w:r>
      <w:r w:rsidR="00AA53C0" w:rsidRPr="00C05305">
        <w:rPr>
          <w:sz w:val="22"/>
          <w:szCs w:val="22"/>
        </w:rPr>
        <w:t xml:space="preserve">make </w:t>
      </w:r>
      <w:r w:rsidRPr="00C05305">
        <w:rPr>
          <w:sz w:val="22"/>
          <w:szCs w:val="22"/>
        </w:rPr>
        <w:t xml:space="preserve">clean cooking solutions </w:t>
      </w:r>
      <w:r w:rsidR="00B52CC5" w:rsidRPr="00C05305">
        <w:rPr>
          <w:sz w:val="22"/>
          <w:szCs w:val="22"/>
        </w:rPr>
        <w:t xml:space="preserve">a </w:t>
      </w:r>
      <w:r w:rsidRPr="00C05305">
        <w:rPr>
          <w:sz w:val="22"/>
          <w:szCs w:val="22"/>
        </w:rPr>
        <w:t xml:space="preserve">priority and to close the electricity access gap by </w:t>
      </w:r>
      <w:r w:rsidRPr="00C05305">
        <w:rPr>
          <w:w w:val="105"/>
          <w:sz w:val="22"/>
          <w:szCs w:val="22"/>
        </w:rPr>
        <w:t>harnessing the potential of decentralized renewable energy solutions</w:t>
      </w:r>
      <w:r w:rsidRPr="00C05305">
        <w:rPr>
          <w:sz w:val="22"/>
          <w:szCs w:val="22"/>
        </w:rPr>
        <w:t>. We support solutions that are in line with people’s needs and that support local economic activities such as the productive use of energy. We call upon Governments and other stakeholders to accelerate the pace of transition towards renewable energy, especially in end-use sectors such as transport,</w:t>
      </w:r>
      <w:r w:rsidR="00B52CC5" w:rsidRPr="00C05305">
        <w:rPr>
          <w:sz w:val="22"/>
          <w:szCs w:val="22"/>
        </w:rPr>
        <w:t xml:space="preserve"> </w:t>
      </w:r>
      <w:r w:rsidRPr="00C05305">
        <w:rPr>
          <w:sz w:val="22"/>
          <w:szCs w:val="22"/>
        </w:rPr>
        <w:t xml:space="preserve">buildings, agriculture and industry as well as the pace of energy efficiency across all sectors of the economy, including cooling and district heating. We reaffirm the commitment to rationalise inefficient fossil fuel subsidies taking into account the specific needs and conditions of developing countries.  It is also critical that we scale-up capacity-building, research and development including by sharing experiences and data and promoting innovation and investments in energy efficiency across all sectors of the economy and to support sustainable energy deployment, particularly in developing countries; </w:t>
      </w:r>
    </w:p>
    <w:p w14:paraId="464C132E" w14:textId="1FB3B1C8" w:rsidR="001171BD" w:rsidRPr="00C05305" w:rsidRDefault="001171BD" w:rsidP="00C05305">
      <w:pPr>
        <w:pStyle w:val="SingleTxt"/>
        <w:numPr>
          <w:ilvl w:val="0"/>
          <w:numId w:val="1"/>
        </w:numPr>
        <w:spacing w:before="120" w:line="240" w:lineRule="auto"/>
        <w:rPr>
          <w:rStyle w:val="A7"/>
          <w:rFonts w:cs="Times New Roman"/>
          <w:color w:val="auto"/>
          <w:sz w:val="22"/>
          <w:szCs w:val="22"/>
        </w:rPr>
      </w:pPr>
      <w:r w:rsidRPr="00C05305">
        <w:rPr>
          <w:sz w:val="22"/>
          <w:szCs w:val="22"/>
        </w:rPr>
        <w:t xml:space="preserve">Acknowledge that due to rapid urbanization many cities and local authorities face challenges in providing adequate housing and resilient infrastructure to support their growing populations, and are increasingly faced with the challenges of urban poverty, social exclusion and spatial inequality, over-crowding, conflict, crime and violence, vulnerability of infrastructure, poor basic service delivery, </w:t>
      </w:r>
      <w:r w:rsidR="00BF3F1A" w:rsidRPr="00C05305">
        <w:rPr>
          <w:sz w:val="22"/>
          <w:szCs w:val="22"/>
        </w:rPr>
        <w:t>e</w:t>
      </w:r>
      <w:r w:rsidRPr="00C05305">
        <w:rPr>
          <w:sz w:val="22"/>
          <w:szCs w:val="22"/>
        </w:rPr>
        <w:t>nvironmental degradation</w:t>
      </w:r>
      <w:r w:rsidR="00BF3F1A" w:rsidRPr="00C05305">
        <w:rPr>
          <w:sz w:val="22"/>
          <w:szCs w:val="22"/>
        </w:rPr>
        <w:t xml:space="preserve"> and pollution</w:t>
      </w:r>
      <w:r w:rsidRPr="00C05305">
        <w:rPr>
          <w:sz w:val="22"/>
          <w:szCs w:val="22"/>
        </w:rPr>
        <w:t xml:space="preserve">. </w:t>
      </w:r>
      <w:r w:rsidR="00AA53C0" w:rsidRPr="00C05305">
        <w:rPr>
          <w:sz w:val="22"/>
          <w:szCs w:val="22"/>
        </w:rPr>
        <w:t>M</w:t>
      </w:r>
      <w:r w:rsidRPr="00C05305">
        <w:rPr>
          <w:sz w:val="22"/>
          <w:szCs w:val="22"/>
        </w:rPr>
        <w:t>igratory and forced displacement flows</w:t>
      </w:r>
      <w:r w:rsidR="00DB2D6E" w:rsidRPr="00C05305">
        <w:rPr>
          <w:sz w:val="22"/>
          <w:szCs w:val="22"/>
        </w:rPr>
        <w:t xml:space="preserve"> </w:t>
      </w:r>
      <w:r w:rsidRPr="00C05305">
        <w:rPr>
          <w:sz w:val="22"/>
          <w:szCs w:val="22"/>
        </w:rPr>
        <w:t>further exacerbate these urban challenges. The vulnerability of cities to epidemics, disasters and to the impacts of climate change has increased because of rapid population growth and unplanned urbanization.</w:t>
      </w:r>
      <w:r w:rsidRPr="00C05305">
        <w:rPr>
          <w:i/>
          <w:sz w:val="22"/>
          <w:szCs w:val="22"/>
        </w:rPr>
        <w:t xml:space="preserve"> </w:t>
      </w:r>
      <w:r w:rsidRPr="00C05305">
        <w:rPr>
          <w:sz w:val="22"/>
          <w:szCs w:val="22"/>
        </w:rPr>
        <w:t>We note with concern the number of people living in slums has increased to 881 million globally. In many cities populations still breathe air that falls short of the World Health Organization’s Air Quality Guidelines value for particulate matter</w:t>
      </w:r>
      <w:r w:rsidR="003019A0" w:rsidRPr="00C05305">
        <w:rPr>
          <w:sz w:val="22"/>
          <w:szCs w:val="22"/>
        </w:rPr>
        <w:t xml:space="preserve">, leading to higher rates of non-communicable diseases and increasing the risk of premature mortality </w:t>
      </w:r>
      <w:r w:rsidR="00D85B5A" w:rsidRPr="00C05305">
        <w:rPr>
          <w:sz w:val="22"/>
          <w:szCs w:val="22"/>
        </w:rPr>
        <w:t>Minimizing and effectively m</w:t>
      </w:r>
      <w:r w:rsidRPr="00C05305">
        <w:rPr>
          <w:sz w:val="22"/>
          <w:szCs w:val="22"/>
        </w:rPr>
        <w:t>anaging solid waste continues to be a challenge in many regions, with significant and adverse effects from uncollected waste in cities, including direct and indirect effects on the health of residents and the environment. We stress that cities can act as agents of positive change, catalysts for inclusion, and powerhouses of equitable</w:t>
      </w:r>
      <w:r w:rsidR="00404A2F" w:rsidRPr="00C05305">
        <w:rPr>
          <w:sz w:val="22"/>
          <w:szCs w:val="22"/>
        </w:rPr>
        <w:t xml:space="preserve"> and sustainable</w:t>
      </w:r>
      <w:r w:rsidR="00335EE0" w:rsidRPr="00C05305">
        <w:rPr>
          <w:sz w:val="22"/>
          <w:szCs w:val="22"/>
        </w:rPr>
        <w:t xml:space="preserve"> </w:t>
      </w:r>
      <w:r w:rsidRPr="00C05305">
        <w:rPr>
          <w:sz w:val="22"/>
          <w:szCs w:val="22"/>
        </w:rPr>
        <w:t xml:space="preserve">economic growth.  We reaffirm our commitment </w:t>
      </w:r>
      <w:r w:rsidR="00E91595" w:rsidRPr="00C05305">
        <w:rPr>
          <w:sz w:val="22"/>
          <w:szCs w:val="22"/>
        </w:rPr>
        <w:t>to full</w:t>
      </w:r>
      <w:r w:rsidRPr="00C05305">
        <w:rPr>
          <w:sz w:val="22"/>
          <w:szCs w:val="22"/>
        </w:rPr>
        <w:t>, timely and effective implementation of the New Urban Agenda. We will embrace innovation-driven development, digitalization and new technologies, especially information and communication technologies, in managing cities more effectively and holistically, including intelligent and resource efficient transport systems and new efficiencies in energy consumption and waste management. We further stress the need for strengthening local authorities and cities’ technical and managerial capacity for developing and delivering integrated, multi-sector</w:t>
      </w:r>
      <w:r w:rsidR="00573C45" w:rsidRPr="00C05305">
        <w:rPr>
          <w:sz w:val="22"/>
          <w:szCs w:val="22"/>
        </w:rPr>
        <w:t>, sustainable and risk-informed</w:t>
      </w:r>
      <w:r w:rsidRPr="00C05305">
        <w:rPr>
          <w:sz w:val="22"/>
          <w:szCs w:val="22"/>
        </w:rPr>
        <w:t xml:space="preserve"> urban planning policies. </w:t>
      </w:r>
      <w:r w:rsidR="00AA53C0" w:rsidRPr="00C05305">
        <w:rPr>
          <w:sz w:val="22"/>
          <w:szCs w:val="22"/>
        </w:rPr>
        <w:t xml:space="preserve">Building resilience should be affordable with reduced economic </w:t>
      </w:r>
      <w:r w:rsidR="00AA53C0" w:rsidRPr="00C05305">
        <w:rPr>
          <w:sz w:val="22"/>
          <w:szCs w:val="22"/>
        </w:rPr>
        <w:lastRenderedPageBreak/>
        <w:t xml:space="preserve">incentives for unsustainable development. </w:t>
      </w:r>
      <w:r w:rsidRPr="00C05305">
        <w:rPr>
          <w:sz w:val="22"/>
          <w:szCs w:val="22"/>
        </w:rPr>
        <w:t xml:space="preserve">We call for the strengthening of normative and regulatory frameworks for disaster risk reduction in urban areas, including improving and enforcing land-use plans and building codes and support the development of early warning systems in order to increase resilience, in particular for the most vulnerable countries. We stress the importance of long-term and integrated urban and territorial planning and design, underlining that cities should not be developed in isolation from the surrounding peri-urban and rural areas and should adopt sustainable, people-centred, age and gender </w:t>
      </w:r>
      <w:proofErr w:type="gramStart"/>
      <w:r w:rsidRPr="00C05305">
        <w:rPr>
          <w:sz w:val="22"/>
          <w:szCs w:val="22"/>
        </w:rPr>
        <w:t>responsi</w:t>
      </w:r>
      <w:r w:rsidR="000514D3" w:rsidRPr="00C05305">
        <w:rPr>
          <w:sz w:val="22"/>
          <w:szCs w:val="22"/>
        </w:rPr>
        <w:t xml:space="preserve">ve </w:t>
      </w:r>
      <w:r w:rsidRPr="00C05305">
        <w:rPr>
          <w:sz w:val="22"/>
          <w:szCs w:val="22"/>
        </w:rPr>
        <w:t xml:space="preserve"> and</w:t>
      </w:r>
      <w:proofErr w:type="gramEnd"/>
      <w:r w:rsidRPr="00C05305">
        <w:rPr>
          <w:sz w:val="22"/>
          <w:szCs w:val="22"/>
        </w:rPr>
        <w:t xml:space="preserve"> integrated approaches to urban and territorial development</w:t>
      </w:r>
      <w:r w:rsidRPr="00C05305">
        <w:rPr>
          <w:rStyle w:val="A7"/>
          <w:rFonts w:cs="Times New Roman"/>
          <w:color w:val="auto"/>
          <w:sz w:val="22"/>
          <w:szCs w:val="22"/>
        </w:rPr>
        <w:t xml:space="preserve">; </w:t>
      </w:r>
    </w:p>
    <w:p w14:paraId="6F88A685" w14:textId="37932EA4" w:rsidR="001171BD" w:rsidRPr="00C05305" w:rsidRDefault="001171BD" w:rsidP="00C05305">
      <w:pPr>
        <w:pStyle w:val="SingleTxt"/>
        <w:numPr>
          <w:ilvl w:val="0"/>
          <w:numId w:val="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suppressAutoHyphens w:val="0"/>
        <w:spacing w:before="120" w:line="240" w:lineRule="auto"/>
        <w:rPr>
          <w:sz w:val="22"/>
          <w:szCs w:val="22"/>
        </w:rPr>
      </w:pPr>
      <w:r w:rsidRPr="00C05305">
        <w:rPr>
          <w:sz w:val="22"/>
          <w:szCs w:val="22"/>
        </w:rPr>
        <w:t>Note with concern that decoupling economic growth from resource use continues to be challenging. While an increasing number of countries have put in place national policies and initiatives related to sustainable consumption and production, including corporate social responsibility, efforts need to be scaled up. Resource efficiency must be increased taking a life cycle approach, from reduction of the resources used in the extraction and production phases to reuse and recycling, including by deploying innovation in technology and standards, including on materials quality.</w:t>
      </w:r>
      <w:r w:rsidRPr="00C05305">
        <w:rPr>
          <w:iCs/>
          <w:sz w:val="22"/>
          <w:szCs w:val="22"/>
        </w:rPr>
        <w:t xml:space="preserve"> We acknowledge the mid-term review of and progress achieved in the implementation of the </w:t>
      </w:r>
      <w:r w:rsidRPr="00C05305">
        <w:rPr>
          <w:sz w:val="22"/>
          <w:szCs w:val="22"/>
        </w:rPr>
        <w:t>10-Year Framework of Programmes on Sustainable Consumption and Production Patterns</w:t>
      </w:r>
      <w:r w:rsidRPr="00C05305">
        <w:rPr>
          <w:iCs/>
          <w:sz w:val="22"/>
          <w:szCs w:val="22"/>
        </w:rPr>
        <w:t xml:space="preserve"> (10YFP), including the development of the One Planet network, an important implementation mechanism for </w:t>
      </w:r>
      <w:r w:rsidR="005A7E93" w:rsidRPr="00C05305">
        <w:rPr>
          <w:iCs/>
          <w:sz w:val="22"/>
          <w:szCs w:val="22"/>
        </w:rPr>
        <w:t>Sustainable Development Goal 12</w:t>
      </w:r>
      <w:r w:rsidRPr="00C05305">
        <w:rPr>
          <w:iCs/>
          <w:sz w:val="22"/>
          <w:szCs w:val="22"/>
        </w:rPr>
        <w:t xml:space="preserve">. </w:t>
      </w:r>
      <w:r w:rsidRPr="00C05305">
        <w:rPr>
          <w:sz w:val="22"/>
          <w:szCs w:val="22"/>
        </w:rPr>
        <w:t xml:space="preserve">We will further accelerate action on the 10-Year Framework of Programmes on Sustainable Consumption and Production. We call on all stakeholders to </w:t>
      </w:r>
      <w:r w:rsidRPr="00C05305">
        <w:rPr>
          <w:bCs/>
          <w:sz w:val="22"/>
          <w:szCs w:val="22"/>
        </w:rPr>
        <w:t xml:space="preserve">adopt a sustainable food systems approach and </w:t>
      </w:r>
      <w:r w:rsidRPr="00C05305">
        <w:rPr>
          <w:sz w:val="22"/>
          <w:szCs w:val="22"/>
        </w:rPr>
        <w:t>to develop effective strategies and innovations to reduce food losses and waste. Resilient, sustainable and inclusive food systems that protect, enhance and restore natural resources, sustain rural and urban livelihoods, and provide access to nutritious foods from smallholder producers must be at the heart of efforts to promote sustainable consumption and production. We underline the challenges related to plastic waste, especially in the oceans</w:t>
      </w:r>
      <w:r w:rsidRPr="00C05305">
        <w:rPr>
          <w:i/>
          <w:sz w:val="22"/>
          <w:szCs w:val="22"/>
        </w:rPr>
        <w:t xml:space="preserve">. </w:t>
      </w:r>
      <w:r w:rsidRPr="00C05305">
        <w:rPr>
          <w:sz w:val="22"/>
          <w:szCs w:val="22"/>
        </w:rPr>
        <w:t xml:space="preserve"> We will encourage sustainable lifestyles by providing reliable sustainability information to consumers, increasing education and awareness raising, and making it easier to rethink, reuse, recycle, recover and remake </w:t>
      </w:r>
      <w:r w:rsidR="0029730D" w:rsidRPr="00C05305">
        <w:rPr>
          <w:sz w:val="22"/>
          <w:szCs w:val="22"/>
        </w:rPr>
        <w:t xml:space="preserve">any </w:t>
      </w:r>
      <w:r w:rsidRPr="00C05305">
        <w:rPr>
          <w:sz w:val="22"/>
          <w:szCs w:val="22"/>
        </w:rPr>
        <w:t>products and</w:t>
      </w:r>
      <w:r w:rsidR="0029730D" w:rsidRPr="00C05305">
        <w:rPr>
          <w:sz w:val="22"/>
          <w:szCs w:val="22"/>
        </w:rPr>
        <w:t>/or services</w:t>
      </w:r>
      <w:r w:rsidRPr="00C05305">
        <w:rPr>
          <w:sz w:val="22"/>
          <w:szCs w:val="22"/>
        </w:rPr>
        <w:t xml:space="preserve"> and prevent and reduce waste generation. We call for intensified efforts to achieve the targets for environmentally sound management of chemicals and all wastes throughout their life cycle by 2020 and beyond; </w:t>
      </w:r>
    </w:p>
    <w:p w14:paraId="68694236" w14:textId="27475C94" w:rsidR="001171BD" w:rsidRPr="00C05305" w:rsidRDefault="001171BD" w:rsidP="00C05305">
      <w:pPr>
        <w:pStyle w:val="SingleTxt"/>
        <w:numPr>
          <w:ilvl w:val="0"/>
          <w:numId w:val="1"/>
        </w:numPr>
        <w:spacing w:before="120" w:line="240" w:lineRule="auto"/>
        <w:rPr>
          <w:sz w:val="22"/>
          <w:szCs w:val="22"/>
        </w:rPr>
      </w:pPr>
      <w:r w:rsidRPr="00C05305">
        <w:rPr>
          <w:sz w:val="22"/>
          <w:szCs w:val="22"/>
        </w:rPr>
        <w:t xml:space="preserve">Emphasize that forests, wetlands, drylands and other natural ecosystems are essential for sustainable development, poverty alleviation and improved human well-being. Recognize that </w:t>
      </w:r>
      <w:r w:rsidRPr="00C05305">
        <w:rPr>
          <w:sz w:val="22"/>
          <w:szCs w:val="22"/>
          <w:lang w:val="en-US"/>
        </w:rPr>
        <w:t xml:space="preserve">climate change, habitat loss, invasive </w:t>
      </w:r>
      <w:r w:rsidR="00B93363" w:rsidRPr="00C05305">
        <w:rPr>
          <w:sz w:val="22"/>
          <w:szCs w:val="22"/>
          <w:lang w:val="en-US"/>
        </w:rPr>
        <w:t xml:space="preserve">alien </w:t>
      </w:r>
      <w:r w:rsidRPr="00C05305">
        <w:rPr>
          <w:sz w:val="22"/>
          <w:szCs w:val="22"/>
          <w:lang w:val="en-US"/>
        </w:rPr>
        <w:t xml:space="preserve">species, over-exploitation of natural resources, desertification, illegal logging, land-use change, </w:t>
      </w:r>
      <w:r w:rsidR="00B93363" w:rsidRPr="00C05305">
        <w:rPr>
          <w:sz w:val="22"/>
          <w:szCs w:val="22"/>
          <w:lang w:val="en-US"/>
        </w:rPr>
        <w:t xml:space="preserve">illegal wildlife poaching, </w:t>
      </w:r>
      <w:r w:rsidRPr="00C05305">
        <w:rPr>
          <w:sz w:val="22"/>
          <w:szCs w:val="22"/>
          <w:lang w:val="en-US"/>
        </w:rPr>
        <w:t xml:space="preserve">pollution and urbanization </w:t>
      </w:r>
      <w:r w:rsidRPr="00C05305">
        <w:rPr>
          <w:bCs/>
          <w:sz w:val="22"/>
          <w:szCs w:val="22"/>
          <w:lang w:val="en-US"/>
        </w:rPr>
        <w:t>are global drivers of biodiversity loss worldwide</w:t>
      </w:r>
      <w:r w:rsidRPr="00C05305">
        <w:rPr>
          <w:sz w:val="22"/>
          <w:szCs w:val="22"/>
        </w:rPr>
        <w:t xml:space="preserve">.While protected areas in forest and terrestrial ecosystems are on the rise and </w:t>
      </w:r>
      <w:r w:rsidR="00B93363" w:rsidRPr="00C05305">
        <w:rPr>
          <w:sz w:val="22"/>
          <w:szCs w:val="22"/>
        </w:rPr>
        <w:t>de</w:t>
      </w:r>
      <w:r w:rsidRPr="00C05305">
        <w:rPr>
          <w:sz w:val="22"/>
          <w:szCs w:val="22"/>
        </w:rPr>
        <w:t>forest</w:t>
      </w:r>
      <w:r w:rsidR="00B93363" w:rsidRPr="00C05305">
        <w:rPr>
          <w:sz w:val="22"/>
          <w:szCs w:val="22"/>
        </w:rPr>
        <w:t>ation</w:t>
      </w:r>
      <w:r w:rsidRPr="00C05305">
        <w:rPr>
          <w:sz w:val="22"/>
          <w:szCs w:val="22"/>
        </w:rPr>
        <w:t xml:space="preserve"> has slowed, other facets of terrestrial conservation continue to need accelerated efforts to </w:t>
      </w:r>
      <w:r w:rsidR="00B93363" w:rsidRPr="00C05305">
        <w:rPr>
          <w:sz w:val="22"/>
          <w:szCs w:val="22"/>
        </w:rPr>
        <w:t xml:space="preserve">conserve </w:t>
      </w:r>
      <w:r w:rsidRPr="00C05305">
        <w:rPr>
          <w:sz w:val="22"/>
          <w:szCs w:val="22"/>
        </w:rPr>
        <w:t xml:space="preserve"> ecosystems </w:t>
      </w:r>
      <w:r w:rsidR="00B93363" w:rsidRPr="00C05305">
        <w:rPr>
          <w:sz w:val="22"/>
          <w:szCs w:val="22"/>
        </w:rPr>
        <w:t xml:space="preserve">and </w:t>
      </w:r>
      <w:r w:rsidRPr="00C05305">
        <w:rPr>
          <w:sz w:val="22"/>
          <w:szCs w:val="22"/>
        </w:rPr>
        <w:t xml:space="preserve">biodiversity, </w:t>
      </w:r>
      <w:r w:rsidR="00B93363" w:rsidRPr="00C05305">
        <w:rPr>
          <w:sz w:val="22"/>
          <w:szCs w:val="22"/>
        </w:rPr>
        <w:t xml:space="preserve"> and improve </w:t>
      </w:r>
      <w:r w:rsidRPr="00C05305">
        <w:rPr>
          <w:sz w:val="22"/>
          <w:szCs w:val="22"/>
        </w:rPr>
        <w:t>land productivity</w:t>
      </w:r>
      <w:r w:rsidR="00B93363" w:rsidRPr="00C05305">
        <w:rPr>
          <w:sz w:val="22"/>
          <w:szCs w:val="22"/>
        </w:rPr>
        <w:t xml:space="preserve">. </w:t>
      </w:r>
      <w:r w:rsidRPr="00C05305">
        <w:rPr>
          <w:sz w:val="22"/>
          <w:szCs w:val="22"/>
        </w:rPr>
        <w:t xml:space="preserve">We acknowledge that the success of the biodiversity-related targets depends on </w:t>
      </w:r>
      <w:r w:rsidR="00F66197" w:rsidRPr="00C05305">
        <w:rPr>
          <w:sz w:val="22"/>
          <w:szCs w:val="22"/>
        </w:rPr>
        <w:t xml:space="preserve">action from all sectors such as </w:t>
      </w:r>
      <w:r w:rsidRPr="00C05305">
        <w:rPr>
          <w:bCs/>
          <w:sz w:val="22"/>
          <w:szCs w:val="22"/>
        </w:rPr>
        <w:t xml:space="preserve">agriculture, livestock, forestry, fishing, tourism, urbanization, manufacturing and processing industry, health, infrastructure, mining and energy development, and cannot be achieved without mainstreaming biodiversity across these sectors and by being included in national plans and local strategies. </w:t>
      </w:r>
      <w:r w:rsidR="00DC6FF3" w:rsidRPr="00C05305">
        <w:rPr>
          <w:sz w:val="22"/>
          <w:szCs w:val="22"/>
        </w:rPr>
        <w:t xml:space="preserve">We commit to </w:t>
      </w:r>
      <w:r w:rsidR="0029730D" w:rsidRPr="00C05305">
        <w:rPr>
          <w:bCs/>
          <w:sz w:val="22"/>
          <w:szCs w:val="22"/>
        </w:rPr>
        <w:t xml:space="preserve">the implementation of sustainable management of </w:t>
      </w:r>
      <w:r w:rsidR="0029730D" w:rsidRPr="00C05305">
        <w:rPr>
          <w:bCs/>
          <w:sz w:val="22"/>
          <w:szCs w:val="22"/>
        </w:rPr>
        <w:lastRenderedPageBreak/>
        <w:t>all types of forests, halt deforestation, restore degraded forests and substantially increase afforestation and reforestation globally</w:t>
      </w:r>
      <w:r w:rsidR="00DC6FF3" w:rsidRPr="00C05305">
        <w:rPr>
          <w:bCs/>
          <w:sz w:val="22"/>
          <w:szCs w:val="22"/>
        </w:rPr>
        <w:t xml:space="preserve"> by 2020</w:t>
      </w:r>
      <w:r w:rsidR="0029730D" w:rsidRPr="00C05305">
        <w:rPr>
          <w:bCs/>
          <w:sz w:val="22"/>
          <w:szCs w:val="22"/>
        </w:rPr>
        <w:t>.</w:t>
      </w:r>
      <w:r w:rsidRPr="00C05305">
        <w:rPr>
          <w:i/>
          <w:sz w:val="22"/>
          <w:szCs w:val="22"/>
        </w:rPr>
        <w:t xml:space="preserve"> </w:t>
      </w:r>
      <w:r w:rsidRPr="00C05305">
        <w:rPr>
          <w:bCs/>
          <w:sz w:val="22"/>
          <w:szCs w:val="22"/>
        </w:rPr>
        <w:t>We will step up efforts on all fronts to tackle desertification, land degradation</w:t>
      </w:r>
      <w:r w:rsidR="004D2EE3" w:rsidRPr="00C05305">
        <w:rPr>
          <w:bCs/>
          <w:sz w:val="22"/>
          <w:szCs w:val="22"/>
        </w:rPr>
        <w:t>, erosion</w:t>
      </w:r>
      <w:r w:rsidRPr="00C05305">
        <w:rPr>
          <w:bCs/>
          <w:sz w:val="22"/>
          <w:szCs w:val="22"/>
        </w:rPr>
        <w:t xml:space="preserve"> and drought, biodiversity loss and water scarcity, which are seen as major environmental, economic and social challenges for global sustainable development. </w:t>
      </w:r>
      <w:r w:rsidRPr="00C05305">
        <w:rPr>
          <w:sz w:val="22"/>
          <w:szCs w:val="22"/>
        </w:rPr>
        <w:t xml:space="preserve">We urge governments, the private sector and civil society to scale up integrated landscape management approaches to land-use planning and decision-making within and across jurisdictions in a participatory and transparent way. We will increase efforts to facilitate investment in gender-responsive programmes that address problems of </w:t>
      </w:r>
      <w:r w:rsidR="00FD5EF8" w:rsidRPr="00C05305">
        <w:rPr>
          <w:sz w:val="22"/>
          <w:szCs w:val="22"/>
        </w:rPr>
        <w:t xml:space="preserve">deforestation, </w:t>
      </w:r>
      <w:r w:rsidRPr="00C05305">
        <w:rPr>
          <w:sz w:val="22"/>
          <w:szCs w:val="22"/>
        </w:rPr>
        <w:t>land degradation, desertification, drought, sand and dust storm</w:t>
      </w:r>
      <w:r w:rsidR="00FB2E60" w:rsidRPr="00C05305">
        <w:rPr>
          <w:sz w:val="22"/>
          <w:szCs w:val="22"/>
        </w:rPr>
        <w:t>,</w:t>
      </w:r>
      <w:r w:rsidRPr="00C05305">
        <w:rPr>
          <w:sz w:val="22"/>
          <w:szCs w:val="22"/>
        </w:rPr>
        <w:t xml:space="preserve"> biodiversity loss and water scarcity, including through implementation of the UN Strategic Plan for Forests, the UN Forest Instrument and the Aichi Biodiversity Targets, and scaled-up support by the Collaborative Partnership on Forests. We will improve monitoring and reporting, including use of ICTs and remote sensing to tackle, in particular, illegal logging and wildlife </w:t>
      </w:r>
      <w:r w:rsidR="00CA34E0" w:rsidRPr="00C05305">
        <w:rPr>
          <w:sz w:val="22"/>
          <w:szCs w:val="22"/>
        </w:rPr>
        <w:t xml:space="preserve">trafficking, including </w:t>
      </w:r>
      <w:r w:rsidRPr="00C05305">
        <w:rPr>
          <w:sz w:val="22"/>
          <w:szCs w:val="22"/>
        </w:rPr>
        <w:t>poaching.</w:t>
      </w:r>
      <w:r w:rsidRPr="00C05305">
        <w:rPr>
          <w:i/>
          <w:sz w:val="22"/>
          <w:szCs w:val="22"/>
        </w:rPr>
        <w:t xml:space="preserve"> </w:t>
      </w:r>
      <w:r w:rsidRPr="00C05305">
        <w:rPr>
          <w:sz w:val="22"/>
          <w:szCs w:val="22"/>
        </w:rPr>
        <w:t xml:space="preserve">We call on all UN Members and observers to implement the UN Convention to Combat Desertification Strategy 2018-2030 as a framework to achieve a land degradation-neutral world; </w:t>
      </w:r>
    </w:p>
    <w:p w14:paraId="291E023C" w14:textId="06C53D1D" w:rsidR="001171BD" w:rsidRPr="00C05305" w:rsidRDefault="001171BD" w:rsidP="00C05305">
      <w:pPr>
        <w:pStyle w:val="SingleTxt"/>
        <w:numPr>
          <w:ilvl w:val="0"/>
          <w:numId w:val="1"/>
        </w:numPr>
        <w:spacing w:before="120" w:line="240" w:lineRule="auto"/>
        <w:rPr>
          <w:sz w:val="22"/>
          <w:szCs w:val="22"/>
        </w:rPr>
      </w:pPr>
      <w:r w:rsidRPr="00C05305">
        <w:rPr>
          <w:sz w:val="22"/>
          <w:szCs w:val="22"/>
        </w:rPr>
        <w:t xml:space="preserve">Recognise that a </w:t>
      </w:r>
      <w:r w:rsidR="00792BA7" w:rsidRPr="00C05305">
        <w:rPr>
          <w:sz w:val="22"/>
          <w:szCs w:val="22"/>
        </w:rPr>
        <w:t xml:space="preserve">strengthening of the means of implementation and </w:t>
      </w:r>
      <w:r w:rsidR="00A05886" w:rsidRPr="00C05305">
        <w:rPr>
          <w:sz w:val="22"/>
          <w:szCs w:val="22"/>
        </w:rPr>
        <w:t xml:space="preserve">a </w:t>
      </w:r>
      <w:r w:rsidR="00792BA7" w:rsidRPr="00C05305">
        <w:rPr>
          <w:sz w:val="22"/>
          <w:szCs w:val="22"/>
        </w:rPr>
        <w:t>revitalized global partnership for sustain</w:t>
      </w:r>
      <w:r w:rsidR="00A05886" w:rsidRPr="00C05305">
        <w:rPr>
          <w:sz w:val="22"/>
          <w:szCs w:val="22"/>
        </w:rPr>
        <w:t xml:space="preserve">able development is required to achieve this ambitious Agenda. </w:t>
      </w:r>
      <w:r w:rsidRPr="00C05305">
        <w:rPr>
          <w:sz w:val="22"/>
          <w:szCs w:val="22"/>
        </w:rPr>
        <w:t>While the upturn of the world economy has underpinned progress across all action areas of the Addis Ababa Action Agenda, it remains vulnerable to financial and economic volatility and gains have not been equitable across countries and regions. We will take concrete and immediate action to create the necessary enabling environment all levels for the achievement of the 2030 Agenda.</w:t>
      </w:r>
      <w:r w:rsidR="009C1DE3" w:rsidRPr="00C05305">
        <w:rPr>
          <w:sz w:val="22"/>
          <w:szCs w:val="22"/>
        </w:rPr>
        <w:t xml:space="preserve"> </w:t>
      </w:r>
      <w:r w:rsidR="00E91595" w:rsidRPr="00C05305">
        <w:rPr>
          <w:sz w:val="22"/>
          <w:szCs w:val="22"/>
        </w:rPr>
        <w:t xml:space="preserve">We devote ourselves collectively to the pursuit of global sustainable development and of mutually beneficial cooperation, which can bring meaningful gains to all countries and all parts of the world. </w:t>
      </w:r>
      <w:r w:rsidRPr="00C05305">
        <w:rPr>
          <w:sz w:val="22"/>
          <w:szCs w:val="22"/>
        </w:rPr>
        <w:t xml:space="preserve">We note progress in domestic resource mobilization, underscored by the principle of national ownership, but emphasize that large gaps in mobilization remain between many least developed countries, landlocked developing countries, </w:t>
      </w:r>
      <w:r w:rsidR="00E91595" w:rsidRPr="00C05305">
        <w:rPr>
          <w:sz w:val="22"/>
          <w:szCs w:val="22"/>
        </w:rPr>
        <w:t>small island</w:t>
      </w:r>
      <w:r w:rsidRPr="00C05305">
        <w:rPr>
          <w:sz w:val="22"/>
          <w:szCs w:val="22"/>
        </w:rPr>
        <w:t xml:space="preserve"> developing </w:t>
      </w:r>
      <w:r w:rsidR="00E91595" w:rsidRPr="00C05305">
        <w:rPr>
          <w:sz w:val="22"/>
          <w:szCs w:val="22"/>
        </w:rPr>
        <w:t>S</w:t>
      </w:r>
      <w:r w:rsidRPr="00C05305">
        <w:rPr>
          <w:sz w:val="22"/>
          <w:szCs w:val="22"/>
        </w:rPr>
        <w:t>tates, middle-income countries and developed countries. We recognise the importance of fiscal management to enhance domestic resource mobilisation and encourage that this be a priority for all types of development cooperation, including Official Development Assistance and technical support</w:t>
      </w:r>
      <w:r w:rsidR="00A05886" w:rsidRPr="00C05305">
        <w:rPr>
          <w:sz w:val="22"/>
          <w:szCs w:val="22"/>
        </w:rPr>
        <w:t>. Efforts in international tax cooperation should be universal in approach and scope and fully take into account the needs and capacities of all countries, in particular least developed countries, landlocked developing countries, small island developing States and African countries.</w:t>
      </w:r>
      <w:r w:rsidRPr="00C05305">
        <w:rPr>
          <w:sz w:val="22"/>
          <w:szCs w:val="22"/>
        </w:rPr>
        <w:t xml:space="preserve"> We note that the momentum around sustainable investment and finance, including impact investment, is growing, and we invite private companies to adopt sustainable practices that foster long-term value. We emphasise that a reallocation of a small percentage of assets under management towards long-term quality investment in sustainable development could make a significant contribution to the imp</w:t>
      </w:r>
      <w:r w:rsidR="00E91595" w:rsidRPr="00C05305">
        <w:rPr>
          <w:sz w:val="22"/>
          <w:szCs w:val="22"/>
        </w:rPr>
        <w:t xml:space="preserve">lementation of the 2030 Agenda. </w:t>
      </w:r>
      <w:r w:rsidRPr="00C05305">
        <w:rPr>
          <w:sz w:val="22"/>
          <w:szCs w:val="22"/>
        </w:rPr>
        <w:t>We are encouraged by those few countries that have met or surpassed their commitment to 0.7 per cent of ODA/GNI and the target of 0.15-0.20 per cent of ODA/GNI to Least Developed Countries and call on all ODA providers to fulfil their respective commitments. We welcome continued efforts to improve the quality, effectiveness and impact of development cooperation and other international efforts in public finance, including adherence to agreed development cooperation effectiveness principles. Welcome the contribution of South-</w:t>
      </w:r>
      <w:r w:rsidRPr="00C05305">
        <w:rPr>
          <w:sz w:val="22"/>
          <w:szCs w:val="22"/>
        </w:rPr>
        <w:lastRenderedPageBreak/>
        <w:t>South cooperation to poverty eradication and sustainable development. We reaffirm that South-South cooperation is an important element of international cooperation for development as a complement to, and not a substitute for, North-South cooperation</w:t>
      </w:r>
      <w:r w:rsidR="00A05886" w:rsidRPr="00C05305">
        <w:rPr>
          <w:sz w:val="22"/>
          <w:szCs w:val="22"/>
        </w:rPr>
        <w:t xml:space="preserve">. We recognize that it is also critical that disaster risk reduction measures, with due consideration to prevention, are incorporated into development assistance programmes and infrastructure financing, as appropriate, in line with the Sendai Framework for Disaster Risk Reduction 2015–2030.  </w:t>
      </w:r>
      <w:r w:rsidR="00D134C0" w:rsidRPr="00C05305">
        <w:rPr>
          <w:sz w:val="22"/>
          <w:szCs w:val="22"/>
        </w:rPr>
        <w:t>We will continue to promote a universal, rules-based, open, transparent, predictable, inclusive, non-discriminatory and equitable multilateral trading system under the World Trade Organization, as well as meaningful trade liberalization.</w:t>
      </w:r>
      <w:r w:rsidRPr="00C05305">
        <w:rPr>
          <w:sz w:val="22"/>
          <w:szCs w:val="22"/>
        </w:rPr>
        <w:t xml:space="preserve"> We note with concern that emerging debt challenges in developing countries have intensified, adding to the challenges of achieving the Sustainable Development Goals. We call for greater transparency, on the side of both debtors and creditors. Building capacity, strengthening policy frameworks and enhancing information sharing could help avoid new episodes of debt distress. We recognize the need to assist developing countries in attaining long-term debt sustainability through coordinated policies aimed at fostering debt financing, debt relief, debt restructuring and sound debt management, as appropriate</w:t>
      </w:r>
      <w:r w:rsidR="00D134C0" w:rsidRPr="00C05305">
        <w:rPr>
          <w:sz w:val="22"/>
          <w:szCs w:val="22"/>
        </w:rPr>
        <w:t xml:space="preserve">. </w:t>
      </w:r>
      <w:r w:rsidRPr="00C05305">
        <w:rPr>
          <w:sz w:val="22"/>
          <w:szCs w:val="22"/>
        </w:rPr>
        <w:t>We will continue to strengthen international coordination and policy coherence to enhance global financial and macroeconomic stability and will also work to prevent and reduce the risk and impact of financial crises. We welcome progress in reforming international financial regulation and commit to implementing negotiated reforms while being watchful of unintended consequences and the need to balance the goals of access to credit with financial stability</w:t>
      </w:r>
      <w:r w:rsidR="00A05886" w:rsidRPr="00C05305">
        <w:rPr>
          <w:sz w:val="22"/>
          <w:szCs w:val="22"/>
        </w:rPr>
        <w:t>. We recognize that the international system’s overall financial response to disasters is insufficient and that bet</w:t>
      </w:r>
      <w:r w:rsidR="00D134C0" w:rsidRPr="00C05305">
        <w:rPr>
          <w:sz w:val="22"/>
          <w:szCs w:val="22"/>
        </w:rPr>
        <w:t>ter ex ante disaster risk reduc</w:t>
      </w:r>
      <w:r w:rsidR="00A05886" w:rsidRPr="00C05305">
        <w:rPr>
          <w:sz w:val="22"/>
          <w:szCs w:val="22"/>
        </w:rPr>
        <w:t>tion and resilience-building mechanisms and quick-disbursing ex post instruments are required.</w:t>
      </w:r>
      <w:r w:rsidRPr="00C05305">
        <w:rPr>
          <w:sz w:val="22"/>
          <w:szCs w:val="22"/>
        </w:rPr>
        <w:t xml:space="preserve"> We welcome the operationalisation of the Technology Bank for Least Developed Countries in Turkey by which the first SDG target, 17.8, has been achieved and progress made towards operationalisation of the Technology Facilitation Mechanism and encourage all development partners to provide financial and technical assistance to ensure their fu</w:t>
      </w:r>
      <w:r w:rsidR="00D134C0" w:rsidRPr="00C05305">
        <w:rPr>
          <w:sz w:val="22"/>
          <w:szCs w:val="22"/>
        </w:rPr>
        <w:t>ll and effective implementation;</w:t>
      </w:r>
    </w:p>
    <w:p w14:paraId="7F4891DB" w14:textId="17D8E5BB" w:rsidR="001171BD" w:rsidRPr="00C05305" w:rsidRDefault="001171BD" w:rsidP="00C05305">
      <w:pPr>
        <w:pStyle w:val="SingleTxt"/>
        <w:numPr>
          <w:ilvl w:val="0"/>
          <w:numId w:val="1"/>
        </w:numPr>
        <w:spacing w:before="120" w:line="240" w:lineRule="auto"/>
        <w:rPr>
          <w:sz w:val="22"/>
          <w:szCs w:val="22"/>
        </w:rPr>
      </w:pPr>
      <w:r w:rsidRPr="00C05305">
        <w:rPr>
          <w:sz w:val="22"/>
          <w:szCs w:val="22"/>
        </w:rPr>
        <w:t>Stress the critical role of science, technology and innovation in achieving the Sustainable Development Goals. We acknowledge the positive transformative potential of technology, both existing and emerging, as well as its challenges and risks, which should be addressed by appropriate policy and regulatory frameworks</w:t>
      </w:r>
      <w:r w:rsidR="00A05886" w:rsidRPr="00C05305">
        <w:rPr>
          <w:sz w:val="22"/>
          <w:szCs w:val="22"/>
        </w:rPr>
        <w:t xml:space="preserve"> and international cooperation</w:t>
      </w:r>
      <w:r w:rsidR="00DD38A5" w:rsidRPr="00C05305">
        <w:rPr>
          <w:sz w:val="22"/>
          <w:szCs w:val="22"/>
        </w:rPr>
        <w:t>, working with the private sector, academia</w:t>
      </w:r>
      <w:r w:rsidR="00114C34" w:rsidRPr="00C05305">
        <w:rPr>
          <w:sz w:val="22"/>
          <w:szCs w:val="22"/>
        </w:rPr>
        <w:t>, research institutions and other stakeholders</w:t>
      </w:r>
      <w:r w:rsidRPr="00C05305">
        <w:rPr>
          <w:sz w:val="22"/>
          <w:szCs w:val="22"/>
        </w:rPr>
        <w:t xml:space="preserve">. A substantial digital divide </w:t>
      </w:r>
      <w:r w:rsidR="003019A0" w:rsidRPr="00C05305">
        <w:rPr>
          <w:sz w:val="22"/>
          <w:szCs w:val="22"/>
        </w:rPr>
        <w:t xml:space="preserve">persists, both between and within countries and between women and men, and between girls and boys. </w:t>
      </w:r>
      <w:r w:rsidR="00114C34" w:rsidRPr="00C05305">
        <w:rPr>
          <w:sz w:val="22"/>
          <w:szCs w:val="22"/>
        </w:rPr>
        <w:t xml:space="preserve"> </w:t>
      </w:r>
      <w:r w:rsidRPr="00C05305">
        <w:rPr>
          <w:sz w:val="22"/>
          <w:szCs w:val="22"/>
        </w:rPr>
        <w:t>We stress the need to act proactively to avoid exacerbating inequalities between and within countries in the coming years, and that the introduction of new technologies should never blind us from o</w:t>
      </w:r>
      <w:r w:rsidR="00D134C0" w:rsidRPr="00C05305">
        <w:rPr>
          <w:sz w:val="22"/>
          <w:szCs w:val="22"/>
        </w:rPr>
        <w:t>ur pledge to leave no one behind</w:t>
      </w:r>
      <w:r w:rsidRPr="00C05305">
        <w:rPr>
          <w:sz w:val="22"/>
          <w:szCs w:val="22"/>
        </w:rPr>
        <w:t>;</w:t>
      </w:r>
    </w:p>
    <w:p w14:paraId="1E108B80" w14:textId="76F1EF47" w:rsidR="001171BD" w:rsidRPr="00C05305" w:rsidRDefault="001171BD" w:rsidP="00C05305">
      <w:pPr>
        <w:pStyle w:val="SingleTxt"/>
        <w:numPr>
          <w:ilvl w:val="0"/>
          <w:numId w:val="1"/>
        </w:numPr>
        <w:spacing w:before="120" w:line="240" w:lineRule="auto"/>
        <w:rPr>
          <w:sz w:val="22"/>
          <w:szCs w:val="22"/>
        </w:rPr>
      </w:pPr>
      <w:r w:rsidRPr="00C05305">
        <w:rPr>
          <w:sz w:val="22"/>
          <w:szCs w:val="22"/>
        </w:rPr>
        <w:t xml:space="preserve">We </w:t>
      </w:r>
      <w:r w:rsidR="00C17668" w:rsidRPr="00C05305">
        <w:rPr>
          <w:sz w:val="22"/>
          <w:szCs w:val="22"/>
        </w:rPr>
        <w:t>endeavour</w:t>
      </w:r>
      <w:r w:rsidR="001B07D9" w:rsidRPr="00C05305">
        <w:rPr>
          <w:sz w:val="22"/>
          <w:szCs w:val="22"/>
        </w:rPr>
        <w:t xml:space="preserve"> </w:t>
      </w:r>
      <w:r w:rsidRPr="00C05305">
        <w:rPr>
          <w:sz w:val="22"/>
          <w:szCs w:val="22"/>
        </w:rPr>
        <w:t xml:space="preserve">to </w:t>
      </w:r>
      <w:r w:rsidR="001B07D9" w:rsidRPr="00C05305">
        <w:rPr>
          <w:sz w:val="22"/>
          <w:szCs w:val="22"/>
        </w:rPr>
        <w:t xml:space="preserve">take </w:t>
      </w:r>
      <w:r w:rsidRPr="00C05305">
        <w:rPr>
          <w:sz w:val="22"/>
          <w:szCs w:val="22"/>
        </w:rPr>
        <w:t>continuous, concrete and immediate steps to strengthen multi-stakeholder partnerships</w:t>
      </w:r>
      <w:r w:rsidR="001B07D9" w:rsidRPr="00C05305">
        <w:rPr>
          <w:sz w:val="22"/>
          <w:szCs w:val="22"/>
        </w:rPr>
        <w:t xml:space="preserve">. These partnerships will be </w:t>
      </w:r>
      <w:r w:rsidR="00D134C0" w:rsidRPr="00C05305">
        <w:rPr>
          <w:sz w:val="22"/>
          <w:szCs w:val="22"/>
        </w:rPr>
        <w:t>important to</w:t>
      </w:r>
      <w:r w:rsidRPr="00C05305">
        <w:rPr>
          <w:sz w:val="22"/>
          <w:szCs w:val="22"/>
        </w:rPr>
        <w:t xml:space="preserve"> mobilize and share knowledge, expertise, technology and financial resources, to support the achievement of the SDGs in all countries, in particular developing countries</w:t>
      </w:r>
      <w:r w:rsidR="001B07D9" w:rsidRPr="00C05305">
        <w:rPr>
          <w:sz w:val="22"/>
          <w:szCs w:val="22"/>
        </w:rPr>
        <w:t xml:space="preserve">. </w:t>
      </w:r>
      <w:r w:rsidRPr="00C05305">
        <w:rPr>
          <w:sz w:val="22"/>
          <w:szCs w:val="22"/>
        </w:rPr>
        <w:t xml:space="preserve">We underline that policy coherence and an enabling environment for sustainable development require engagement by all stakeholders and that they are key to build sustainable and resilient societies and for the achievement of sustainable development at all levels. In this regard, we recognize the role of the private sector as a critical </w:t>
      </w:r>
      <w:r w:rsidRPr="00C05305">
        <w:rPr>
          <w:sz w:val="22"/>
          <w:szCs w:val="22"/>
        </w:rPr>
        <w:lastRenderedPageBreak/>
        <w:t>development partner and as a leading enabler of SDG achievement. The private sector can create decent jobs, promote innovative solutions for development challenges, improve skills sets in alignment with new technological breakthroughs and provide affordable goods and services for infr</w:t>
      </w:r>
      <w:r w:rsidR="00D134C0" w:rsidRPr="00C05305">
        <w:rPr>
          <w:sz w:val="22"/>
          <w:szCs w:val="22"/>
        </w:rPr>
        <w:t>astructure and energy problems;</w:t>
      </w:r>
    </w:p>
    <w:p w14:paraId="7BC47A99" w14:textId="71A37AE5" w:rsidR="001171BD" w:rsidRPr="00C05305" w:rsidRDefault="001171BD" w:rsidP="00C05305">
      <w:pPr>
        <w:pStyle w:val="SingleTxt"/>
        <w:numPr>
          <w:ilvl w:val="0"/>
          <w:numId w:val="1"/>
        </w:numPr>
        <w:spacing w:before="120" w:line="240" w:lineRule="auto"/>
        <w:rPr>
          <w:sz w:val="22"/>
          <w:szCs w:val="22"/>
        </w:rPr>
      </w:pPr>
      <w:r w:rsidRPr="00C05305">
        <w:rPr>
          <w:sz w:val="22"/>
          <w:szCs w:val="22"/>
        </w:rPr>
        <w:t xml:space="preserve">Pledge to step up our efforts and take the bold actions needed to effectively implement the 2030 Agenda and build sustainable and resilient societies everywhere, reaching the furthest behind first and ensuring that no one is left behind. </w:t>
      </w:r>
    </w:p>
    <w:p w14:paraId="3BA03C43" w14:textId="77777777" w:rsidR="001171BD" w:rsidRPr="00C05305" w:rsidRDefault="001171BD" w:rsidP="00C05305">
      <w:pPr>
        <w:spacing w:before="120" w:after="120" w:line="240" w:lineRule="auto"/>
        <w:rPr>
          <w:rFonts w:ascii="Times New Roman" w:hAnsi="Times New Roman" w:cs="Times New Roman"/>
        </w:rPr>
      </w:pPr>
    </w:p>
    <w:p w14:paraId="0D34B9C6" w14:textId="77777777" w:rsidR="001171BD" w:rsidRPr="00C05305" w:rsidRDefault="001171BD" w:rsidP="00C05305">
      <w:pPr>
        <w:spacing w:before="120" w:after="120" w:line="240" w:lineRule="auto"/>
        <w:rPr>
          <w:rFonts w:ascii="Times New Roman" w:hAnsi="Times New Roman" w:cs="Times New Roman"/>
        </w:rPr>
      </w:pPr>
    </w:p>
    <w:p w14:paraId="1DDDE539" w14:textId="77777777" w:rsidR="000358D4" w:rsidRPr="00C05305" w:rsidRDefault="000358D4" w:rsidP="00C05305">
      <w:pPr>
        <w:spacing w:before="120" w:after="120" w:line="240" w:lineRule="auto"/>
        <w:rPr>
          <w:rFonts w:ascii="Times New Roman" w:hAnsi="Times New Roman" w:cs="Times New Roman"/>
        </w:rPr>
      </w:pPr>
    </w:p>
    <w:sectPr w:rsidR="000358D4" w:rsidRPr="00C05305" w:rsidSect="00A078AF">
      <w:headerReference w:type="default" r:id="rId8"/>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2DF73E" w14:textId="77777777" w:rsidR="00540B8B" w:rsidRDefault="00540B8B" w:rsidP="001171BD">
      <w:pPr>
        <w:spacing w:after="0" w:line="240" w:lineRule="auto"/>
      </w:pPr>
      <w:r>
        <w:separator/>
      </w:r>
    </w:p>
  </w:endnote>
  <w:endnote w:type="continuationSeparator" w:id="0">
    <w:p w14:paraId="57972AFF" w14:textId="77777777" w:rsidR="00540B8B" w:rsidRDefault="00540B8B" w:rsidP="00117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NeueLT Std">
    <w:altName w:val="Arial"/>
    <w:panose1 w:val="00000000000000000000"/>
    <w:charset w:val="00"/>
    <w:family w:val="roman"/>
    <w:notTrueType/>
    <w:pitch w:val="default"/>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E50230" w14:textId="77777777" w:rsidR="00540B8B" w:rsidRDefault="00540B8B" w:rsidP="001171BD">
      <w:pPr>
        <w:spacing w:after="0" w:line="240" w:lineRule="auto"/>
      </w:pPr>
      <w:r>
        <w:separator/>
      </w:r>
    </w:p>
  </w:footnote>
  <w:footnote w:type="continuationSeparator" w:id="0">
    <w:p w14:paraId="0541E963" w14:textId="77777777" w:rsidR="00540B8B" w:rsidRDefault="00540B8B" w:rsidP="001171BD">
      <w:pPr>
        <w:spacing w:after="0" w:line="240" w:lineRule="auto"/>
      </w:pPr>
      <w:r>
        <w:continuationSeparator/>
      </w:r>
    </w:p>
  </w:footnote>
  <w:footnote w:id="1">
    <w:p w14:paraId="3AC795D4" w14:textId="77777777" w:rsidR="001171BD" w:rsidRPr="00D96B0D" w:rsidRDefault="001171BD" w:rsidP="001171B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en-US"/>
        </w:rPr>
      </w:pPr>
      <w:r w:rsidRPr="00D96B0D">
        <w:rPr>
          <w:rStyle w:val="FootnoteReference"/>
        </w:rPr>
        <w:footnoteRef/>
      </w:r>
      <w:r w:rsidRPr="00D96B0D">
        <w:t xml:space="preserve"> </w:t>
      </w:r>
      <w:r w:rsidRPr="00D96B0D">
        <w:rPr>
          <w:lang w:val="en-US"/>
        </w:rPr>
        <w:t xml:space="preserve">General Assembly resolution </w:t>
      </w:r>
      <w:hyperlink r:id="rId1" w:history="1">
        <w:r w:rsidRPr="00D96B0D">
          <w:rPr>
            <w:rStyle w:val="Hyperlink"/>
            <w:color w:val="auto"/>
            <w:lang w:val="en-US"/>
          </w:rPr>
          <w:t>70/1</w:t>
        </w:r>
      </w:hyperlink>
    </w:p>
  </w:footnote>
  <w:footnote w:id="2">
    <w:p w14:paraId="15CBC900" w14:textId="77777777" w:rsidR="001171BD" w:rsidRPr="00D96B0D" w:rsidRDefault="001171BD" w:rsidP="001171BD">
      <w:pPr>
        <w:pStyle w:val="FootnoteText"/>
        <w:rPr>
          <w:lang w:val="en-AU"/>
        </w:rPr>
      </w:pPr>
      <w:r w:rsidRPr="00D96B0D">
        <w:rPr>
          <w:rStyle w:val="FootnoteReference"/>
        </w:rPr>
        <w:footnoteRef/>
      </w:r>
      <w:r w:rsidRPr="00D96B0D">
        <w:t xml:space="preserve"> </w:t>
      </w:r>
      <w:r w:rsidRPr="00D96B0D">
        <w:rPr>
          <w:lang w:val="en-AU"/>
        </w:rPr>
        <w:t>General Assembly resolution 69/313</w:t>
      </w:r>
    </w:p>
  </w:footnote>
  <w:footnote w:id="3">
    <w:p w14:paraId="45EAB674" w14:textId="77777777" w:rsidR="001171BD" w:rsidRPr="00993412" w:rsidRDefault="001171BD" w:rsidP="001171BD">
      <w:pPr>
        <w:pStyle w:val="FootnoteText"/>
      </w:pPr>
      <w:r w:rsidRPr="00D96B0D">
        <w:rPr>
          <w:rStyle w:val="FootnoteReference"/>
        </w:rPr>
        <w:footnoteRef/>
      </w:r>
      <w:r w:rsidRPr="00D96B0D">
        <w:t xml:space="preserve"> </w:t>
      </w:r>
      <w:r w:rsidRPr="00D96B0D">
        <w:rPr>
          <w:lang w:val="en-AU"/>
        </w:rPr>
        <w:t>E/2018/64</w:t>
      </w:r>
    </w:p>
  </w:footnote>
  <w:footnote w:id="4">
    <w:p w14:paraId="5866557C" w14:textId="68A8525E" w:rsidR="001171BD" w:rsidRPr="00D96B0D" w:rsidRDefault="001171BD" w:rsidP="00993412">
      <w:pPr>
        <w:pStyle w:val="FootnoteText"/>
        <w:tabs>
          <w:tab w:val="clear" w:pos="418"/>
          <w:tab w:val="left" w:pos="1742"/>
          <w:tab w:val="left" w:pos="2218"/>
          <w:tab w:val="left" w:pos="2693"/>
          <w:tab w:val="left" w:pos="3182"/>
          <w:tab w:val="left" w:pos="3658"/>
          <w:tab w:val="left" w:pos="4133"/>
          <w:tab w:val="left" w:pos="4622"/>
          <w:tab w:val="left" w:pos="5098"/>
          <w:tab w:val="left" w:pos="5573"/>
          <w:tab w:val="left" w:pos="6048"/>
        </w:tabs>
        <w:ind w:left="142" w:right="1260" w:hanging="142"/>
        <w:rPr>
          <w:lang w:val="en-US"/>
        </w:rPr>
      </w:pPr>
      <w:r w:rsidRPr="00993412">
        <w:footnoteRef/>
      </w:r>
      <w:r w:rsidR="00993412">
        <w:t xml:space="preserve"> </w:t>
      </w:r>
      <w:r w:rsidR="00E3660F" w:rsidRPr="00993412">
        <w:t>Albania, Andorra, Armenia, Australia, Bahamas, Bahrain, Benin, Bhutan, Cabo Verde, Canada, Colombia, D</w:t>
      </w:r>
      <w:r w:rsidR="00993412">
        <w:t xml:space="preserve">ominican </w:t>
      </w:r>
      <w:r w:rsidR="00E3660F" w:rsidRPr="00993412">
        <w:t>Republic, Ecuador, Egypt, Greece, Guinea, Hungary, Ireland, Jamaica, Kiribati, Lao People’s Democratic Republic (PDR), Latvia, Lebanon, Lithuania, Mali, Malta, Mexico, Namibia, Niger, Paraguay, Poland, Qatar, Republic of the Congo, Romania, Saudi Arabia, Senegal, Singapore, Slovakia, Spain, Sri Lanka, State of Palestine, Sudan, Switzerland, Togo, United Arab Emirates (UAE), Uruguay, and Vietnam</w:t>
      </w:r>
    </w:p>
  </w:footnote>
  <w:footnote w:id="5">
    <w:p w14:paraId="154AAD7B" w14:textId="2868E39B" w:rsidR="00E91595" w:rsidRPr="00E91595" w:rsidRDefault="00E91595">
      <w:pPr>
        <w:pStyle w:val="FootnoteText"/>
        <w:rPr>
          <w:lang w:val="en-AU"/>
        </w:rPr>
      </w:pPr>
      <w:r>
        <w:rPr>
          <w:rStyle w:val="FootnoteReference"/>
        </w:rPr>
        <w:footnoteRef/>
      </w:r>
      <w:r>
        <w:t xml:space="preserve"> </w:t>
      </w:r>
      <w:r>
        <w:rPr>
          <w:lang w:val="en-AU"/>
        </w:rPr>
        <w:t xml:space="preserve">See Fcc/CP/2015/10/Add.1, decision 1/CP.21, annex. </w:t>
      </w:r>
    </w:p>
  </w:footnote>
  <w:footnote w:id="6">
    <w:p w14:paraId="6AAB9978" w14:textId="581F35A6" w:rsidR="00E91595" w:rsidRPr="00E91595" w:rsidRDefault="00E91595">
      <w:pPr>
        <w:pStyle w:val="FootnoteText"/>
        <w:rPr>
          <w:lang w:val="en-AU"/>
        </w:rPr>
      </w:pPr>
      <w:r>
        <w:rPr>
          <w:rStyle w:val="FootnoteReference"/>
        </w:rPr>
        <w:footnoteRef/>
      </w:r>
      <w:r>
        <w:t xml:space="preserve"> </w:t>
      </w:r>
      <w:r>
        <w:rPr>
          <w:lang w:val="en-AU"/>
        </w:rPr>
        <w:t xml:space="preserve">United Nations, </w:t>
      </w:r>
      <w:r>
        <w:rPr>
          <w:i/>
          <w:lang w:val="en-AU"/>
        </w:rPr>
        <w:t>Treaty Series</w:t>
      </w:r>
      <w:r>
        <w:rPr>
          <w:lang w:val="en-AU"/>
        </w:rPr>
        <w:t xml:space="preserve">, vol. 1771, No. 30822. </w:t>
      </w:r>
    </w:p>
  </w:footnote>
  <w:footnote w:id="7">
    <w:p w14:paraId="7F63B081" w14:textId="77777777" w:rsidR="001171BD" w:rsidRPr="00794888" w:rsidRDefault="001171BD" w:rsidP="001171BD">
      <w:pPr>
        <w:pStyle w:val="FootnoteText"/>
      </w:pPr>
      <w:r w:rsidRPr="00D96B0D">
        <w:footnoteRef/>
      </w:r>
      <w:r w:rsidRPr="00D96B0D">
        <w:t xml:space="preserve"> International Decade for Action on Water for Sustainable Development, 2018-2028</w:t>
      </w:r>
    </w:p>
  </w:footnote>
  <w:footnote w:id="8">
    <w:p w14:paraId="6D043893" w14:textId="618A72ED" w:rsidR="00AA53C0" w:rsidRPr="00D96B0D" w:rsidRDefault="00AA53C0" w:rsidP="00794888">
      <w:pPr>
        <w:pStyle w:val="FootnoteText"/>
        <w:tabs>
          <w:tab w:val="clear" w:pos="418"/>
          <w:tab w:val="right" w:pos="0"/>
        </w:tabs>
        <w:ind w:left="142" w:hanging="142"/>
      </w:pPr>
      <w:r w:rsidRPr="00D96B0D">
        <w:footnoteRef/>
      </w:r>
      <w:r w:rsidRPr="00D96B0D">
        <w:t xml:space="preserve"> High-level Panel on Water </w:t>
      </w:r>
      <w:proofErr w:type="gramStart"/>
      <w:r w:rsidRPr="00D96B0D">
        <w:t>report</w:t>
      </w:r>
      <w:proofErr w:type="gramEnd"/>
      <w:r w:rsidRPr="00D96B0D">
        <w:t xml:space="preserve"> Making Every Drop Count: An Agenda for Water Action; UN-Wat</w:t>
      </w:r>
      <w:r w:rsidR="00794888">
        <w:t xml:space="preserve">er SDG 6 Synthesis Report; High </w:t>
      </w:r>
      <w:r w:rsidRPr="00D96B0D">
        <w:t>Level Panel on Water and Peace; Eighth World Water Forum in Brasilia, Brazil on 18 to 23 March 2018 and joint UN and Tajikistan High-level International Conference on the International Decade for Action “Water for Sustainable Development” 2018-2028 in Dushanbe from 20 to 22 June 2018,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477A" w14:textId="586A0B91" w:rsidR="00B06C5E" w:rsidRPr="00B06C5E" w:rsidRDefault="006E7DAD">
    <w:pPr>
      <w:pStyle w:val="Header"/>
      <w:rPr>
        <w:rFonts w:ascii="Times New Roman" w:hAnsi="Times New Roman" w:cs="Times New Roman"/>
      </w:rPr>
    </w:pPr>
    <w:r>
      <w:rPr>
        <w:rFonts w:ascii="Times New Roman" w:hAnsi="Times New Roman" w:cs="Times New Roman"/>
      </w:rPr>
      <w:t xml:space="preserve">Rev </w:t>
    </w:r>
    <w:r w:rsidR="0033090A">
      <w:rPr>
        <w:rFonts w:ascii="Times New Roman" w:hAnsi="Times New Roman" w:cs="Times New Roman"/>
      </w:rPr>
      <w:t>2</w:t>
    </w:r>
    <w:r>
      <w:rPr>
        <w:rFonts w:ascii="Times New Roman" w:hAnsi="Times New Roman" w:cs="Times New Roman"/>
      </w:rPr>
      <w:t xml:space="preserve"> </w:t>
    </w:r>
    <w:r w:rsidR="00D96B0D">
      <w:rPr>
        <w:rFonts w:ascii="Times New Roman" w:hAnsi="Times New Roman" w:cs="Times New Roman"/>
      </w:rPr>
      <w:t xml:space="preserve">10 </w:t>
    </w:r>
    <w:r w:rsidR="0033090A">
      <w:rPr>
        <w:rFonts w:ascii="Times New Roman" w:hAnsi="Times New Roman" w:cs="Times New Roman"/>
      </w:rPr>
      <w:t>July</w:t>
    </w:r>
    <w:r w:rsidRPr="00B06C5E">
      <w:rPr>
        <w:rFonts w:ascii="Times New Roman" w:hAnsi="Times New Roman" w:cs="Times New Roman"/>
      </w:rPr>
      <w:t xml:space="preserve"> 2018</w:t>
    </w:r>
    <w:r w:rsidR="0033090A">
      <w:rPr>
        <w:rFonts w:ascii="Times New Roman" w:hAnsi="Times New Roman" w:cs="Times New Roman"/>
      </w:rPr>
      <w:t xml:space="preserve"> </w:t>
    </w:r>
  </w:p>
  <w:p w14:paraId="49D3E7FD" w14:textId="77777777" w:rsidR="00B06C5E" w:rsidRDefault="00540B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93B3F"/>
    <w:multiLevelType w:val="hybridMultilevel"/>
    <w:tmpl w:val="D6ECD7B8"/>
    <w:lvl w:ilvl="0" w:tplc="4B0CA42C">
      <w:start w:val="1"/>
      <w:numFmt w:val="decimal"/>
      <w:lvlText w:val="%1."/>
      <w:lvlJc w:val="left"/>
      <w:pPr>
        <w:ind w:left="1747" w:hanging="480"/>
      </w:pPr>
      <w:rPr>
        <w:rFonts w:ascii="Times New Roman" w:eastAsiaTheme="minorHAnsi" w:hAnsi="Times New Roman" w:cs="Times New Roman"/>
        <w:color w:val="auto"/>
        <w:sz w:val="22"/>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0NAGSZkZmlhZGpko6SsGpxcWZ+XkgBaa1AEvOlnksAAAA"/>
  </w:docVars>
  <w:rsids>
    <w:rsidRoot w:val="001171BD"/>
    <w:rsid w:val="000358D4"/>
    <w:rsid w:val="0004799F"/>
    <w:rsid w:val="000514D3"/>
    <w:rsid w:val="00083032"/>
    <w:rsid w:val="000A24CA"/>
    <w:rsid w:val="000C1EF4"/>
    <w:rsid w:val="00114C34"/>
    <w:rsid w:val="001171BD"/>
    <w:rsid w:val="001244E2"/>
    <w:rsid w:val="00124C16"/>
    <w:rsid w:val="00170FF2"/>
    <w:rsid w:val="00173F57"/>
    <w:rsid w:val="001B0260"/>
    <w:rsid w:val="001B07D9"/>
    <w:rsid w:val="001D22EA"/>
    <w:rsid w:val="001D24F6"/>
    <w:rsid w:val="002271ED"/>
    <w:rsid w:val="00244AAB"/>
    <w:rsid w:val="00250053"/>
    <w:rsid w:val="002606C2"/>
    <w:rsid w:val="00262EB6"/>
    <w:rsid w:val="00280638"/>
    <w:rsid w:val="0029730D"/>
    <w:rsid w:val="002E0E49"/>
    <w:rsid w:val="003019A0"/>
    <w:rsid w:val="00311F38"/>
    <w:rsid w:val="0033090A"/>
    <w:rsid w:val="00335EE0"/>
    <w:rsid w:val="003410DF"/>
    <w:rsid w:val="003474E8"/>
    <w:rsid w:val="003478DF"/>
    <w:rsid w:val="0039400E"/>
    <w:rsid w:val="003941BF"/>
    <w:rsid w:val="003A6550"/>
    <w:rsid w:val="003B21C7"/>
    <w:rsid w:val="00404A2F"/>
    <w:rsid w:val="004207DF"/>
    <w:rsid w:val="004569BA"/>
    <w:rsid w:val="00467367"/>
    <w:rsid w:val="004A2905"/>
    <w:rsid w:val="004B4E68"/>
    <w:rsid w:val="004D0CE3"/>
    <w:rsid w:val="004D2EE3"/>
    <w:rsid w:val="004E0F65"/>
    <w:rsid w:val="00504EA6"/>
    <w:rsid w:val="00524D33"/>
    <w:rsid w:val="00540B8B"/>
    <w:rsid w:val="00573C45"/>
    <w:rsid w:val="00586BF9"/>
    <w:rsid w:val="005A7E93"/>
    <w:rsid w:val="005B457B"/>
    <w:rsid w:val="005D7618"/>
    <w:rsid w:val="00606CB2"/>
    <w:rsid w:val="0063673B"/>
    <w:rsid w:val="006702E6"/>
    <w:rsid w:val="00676864"/>
    <w:rsid w:val="00684D3F"/>
    <w:rsid w:val="006949C4"/>
    <w:rsid w:val="006D46E4"/>
    <w:rsid w:val="006E276A"/>
    <w:rsid w:val="006E7DAD"/>
    <w:rsid w:val="00733362"/>
    <w:rsid w:val="00792BA7"/>
    <w:rsid w:val="00794888"/>
    <w:rsid w:val="007A7B80"/>
    <w:rsid w:val="007C7F94"/>
    <w:rsid w:val="007D1A8E"/>
    <w:rsid w:val="007D30F8"/>
    <w:rsid w:val="007F3B18"/>
    <w:rsid w:val="00815CAA"/>
    <w:rsid w:val="00846767"/>
    <w:rsid w:val="00860EAB"/>
    <w:rsid w:val="008E138A"/>
    <w:rsid w:val="008E2D77"/>
    <w:rsid w:val="0090788B"/>
    <w:rsid w:val="0096137E"/>
    <w:rsid w:val="00991F63"/>
    <w:rsid w:val="00993412"/>
    <w:rsid w:val="009B3F66"/>
    <w:rsid w:val="009C1DE3"/>
    <w:rsid w:val="009E55CF"/>
    <w:rsid w:val="00A05886"/>
    <w:rsid w:val="00A2627D"/>
    <w:rsid w:val="00A42B3E"/>
    <w:rsid w:val="00A66B08"/>
    <w:rsid w:val="00A82560"/>
    <w:rsid w:val="00AA02AD"/>
    <w:rsid w:val="00AA53C0"/>
    <w:rsid w:val="00AB5E4B"/>
    <w:rsid w:val="00AD2B7A"/>
    <w:rsid w:val="00B10920"/>
    <w:rsid w:val="00B21FC9"/>
    <w:rsid w:val="00B52CC5"/>
    <w:rsid w:val="00B57ED4"/>
    <w:rsid w:val="00B65B58"/>
    <w:rsid w:val="00B93363"/>
    <w:rsid w:val="00BC1877"/>
    <w:rsid w:val="00BD5AFD"/>
    <w:rsid w:val="00BD7C75"/>
    <w:rsid w:val="00BE6D4E"/>
    <w:rsid w:val="00BF3F1A"/>
    <w:rsid w:val="00C01836"/>
    <w:rsid w:val="00C05305"/>
    <w:rsid w:val="00C17668"/>
    <w:rsid w:val="00C373F4"/>
    <w:rsid w:val="00C40BA7"/>
    <w:rsid w:val="00C550C8"/>
    <w:rsid w:val="00C55EFA"/>
    <w:rsid w:val="00C61327"/>
    <w:rsid w:val="00C63318"/>
    <w:rsid w:val="00CA34E0"/>
    <w:rsid w:val="00CC2846"/>
    <w:rsid w:val="00CD089C"/>
    <w:rsid w:val="00D134C0"/>
    <w:rsid w:val="00D2796C"/>
    <w:rsid w:val="00D66CE8"/>
    <w:rsid w:val="00D85B5A"/>
    <w:rsid w:val="00D8657C"/>
    <w:rsid w:val="00D96B0D"/>
    <w:rsid w:val="00DB2D6E"/>
    <w:rsid w:val="00DB5129"/>
    <w:rsid w:val="00DC641A"/>
    <w:rsid w:val="00DC6FF3"/>
    <w:rsid w:val="00DD38A5"/>
    <w:rsid w:val="00DD41C2"/>
    <w:rsid w:val="00DD55F6"/>
    <w:rsid w:val="00DE5B4F"/>
    <w:rsid w:val="00E05446"/>
    <w:rsid w:val="00E15573"/>
    <w:rsid w:val="00E3660F"/>
    <w:rsid w:val="00E75A5E"/>
    <w:rsid w:val="00E815AA"/>
    <w:rsid w:val="00E91595"/>
    <w:rsid w:val="00ED3BA6"/>
    <w:rsid w:val="00EF2779"/>
    <w:rsid w:val="00F1566F"/>
    <w:rsid w:val="00F158F1"/>
    <w:rsid w:val="00F618B8"/>
    <w:rsid w:val="00F66197"/>
    <w:rsid w:val="00F75854"/>
    <w:rsid w:val="00F762FA"/>
    <w:rsid w:val="00FB2E60"/>
    <w:rsid w:val="00FC2716"/>
    <w:rsid w:val="00FD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A3D9"/>
  <w15:chartTrackingRefBased/>
  <w15:docId w15:val="{D2EF8E51-300B-486B-AB60-DBBE61167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1BD"/>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1171B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rFonts w:ascii="Times New Roman" w:hAnsi="Times New Roman" w:cs="Times New Roman"/>
      <w:spacing w:val="4"/>
      <w:w w:val="103"/>
      <w:kern w:val="14"/>
      <w:sz w:val="20"/>
      <w:szCs w:val="20"/>
      <w:lang w:val="en-GB"/>
    </w:rPr>
  </w:style>
  <w:style w:type="paragraph" w:styleId="Header">
    <w:name w:val="header"/>
    <w:basedOn w:val="Normal"/>
    <w:link w:val="HeaderChar"/>
    <w:uiPriority w:val="99"/>
    <w:unhideWhenUsed/>
    <w:rsid w:val="001171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1BD"/>
    <w:rPr>
      <w:lang w:val="en-AU"/>
    </w:rPr>
  </w:style>
  <w:style w:type="paragraph" w:styleId="FootnoteText">
    <w:name w:val="footnote text"/>
    <w:basedOn w:val="Normal"/>
    <w:link w:val="FootnoteTextChar"/>
    <w:uiPriority w:val="99"/>
    <w:rsid w:val="001171BD"/>
    <w:pPr>
      <w:widowControl w:val="0"/>
      <w:tabs>
        <w:tab w:val="right" w:pos="418"/>
      </w:tabs>
      <w:suppressAutoHyphens/>
      <w:spacing w:after="0" w:line="210" w:lineRule="exact"/>
      <w:ind w:left="475" w:hanging="475"/>
    </w:pPr>
    <w:rPr>
      <w:rFonts w:ascii="Times New Roman" w:hAnsi="Times New Roman" w:cs="Times New Roman"/>
      <w:spacing w:val="5"/>
      <w:w w:val="103"/>
      <w:kern w:val="14"/>
      <w:sz w:val="17"/>
      <w:szCs w:val="20"/>
      <w:lang w:val="en-GB"/>
    </w:rPr>
  </w:style>
  <w:style w:type="character" w:customStyle="1" w:styleId="FootnoteTextChar">
    <w:name w:val="Footnote Text Char"/>
    <w:basedOn w:val="DefaultParagraphFont"/>
    <w:link w:val="FootnoteText"/>
    <w:uiPriority w:val="99"/>
    <w:rsid w:val="001171BD"/>
    <w:rPr>
      <w:rFonts w:ascii="Times New Roman" w:hAnsi="Times New Roman" w:cs="Times New Roman"/>
      <w:spacing w:val="5"/>
      <w:w w:val="103"/>
      <w:kern w:val="14"/>
      <w:sz w:val="17"/>
      <w:szCs w:val="20"/>
      <w:lang w:val="en-GB"/>
    </w:rPr>
  </w:style>
  <w:style w:type="character" w:styleId="FootnoteReference">
    <w:name w:val="footnote reference"/>
    <w:uiPriority w:val="99"/>
    <w:semiHidden/>
    <w:rsid w:val="001171BD"/>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1171BD"/>
    <w:rPr>
      <w:color w:val="0000FF"/>
      <w:u w:val="none"/>
    </w:rPr>
  </w:style>
  <w:style w:type="character" w:customStyle="1" w:styleId="A7">
    <w:name w:val="A7"/>
    <w:uiPriority w:val="99"/>
    <w:rsid w:val="001171BD"/>
    <w:rPr>
      <w:rFonts w:cs="HelveticaNeueLT Std"/>
      <w:color w:val="000000"/>
      <w:sz w:val="18"/>
      <w:szCs w:val="18"/>
    </w:rPr>
  </w:style>
  <w:style w:type="paragraph" w:styleId="Footer">
    <w:name w:val="footer"/>
    <w:basedOn w:val="Normal"/>
    <w:link w:val="FooterChar"/>
    <w:uiPriority w:val="99"/>
    <w:unhideWhenUsed/>
    <w:rsid w:val="003309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090A"/>
    <w:rPr>
      <w:lang w:val="en-AU"/>
    </w:rPr>
  </w:style>
  <w:style w:type="paragraph" w:styleId="BalloonText">
    <w:name w:val="Balloon Text"/>
    <w:basedOn w:val="Normal"/>
    <w:link w:val="BalloonTextChar"/>
    <w:uiPriority w:val="99"/>
    <w:semiHidden/>
    <w:unhideWhenUsed/>
    <w:rsid w:val="003309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90A"/>
    <w:rPr>
      <w:rFonts w:ascii="Segoe UI" w:hAnsi="Segoe UI" w:cs="Segoe UI"/>
      <w:sz w:val="18"/>
      <w:szCs w:val="18"/>
      <w:lang w:val="en-AU"/>
    </w:rPr>
  </w:style>
  <w:style w:type="character" w:styleId="CommentReference">
    <w:name w:val="annotation reference"/>
    <w:basedOn w:val="DefaultParagraphFont"/>
    <w:uiPriority w:val="99"/>
    <w:semiHidden/>
    <w:unhideWhenUsed/>
    <w:rsid w:val="0033090A"/>
    <w:rPr>
      <w:sz w:val="16"/>
      <w:szCs w:val="16"/>
    </w:rPr>
  </w:style>
  <w:style w:type="paragraph" w:styleId="CommentText">
    <w:name w:val="annotation text"/>
    <w:basedOn w:val="Normal"/>
    <w:link w:val="CommentTextChar"/>
    <w:uiPriority w:val="99"/>
    <w:semiHidden/>
    <w:unhideWhenUsed/>
    <w:rsid w:val="0033090A"/>
    <w:pPr>
      <w:spacing w:line="240" w:lineRule="auto"/>
    </w:pPr>
    <w:rPr>
      <w:sz w:val="20"/>
      <w:szCs w:val="20"/>
    </w:rPr>
  </w:style>
  <w:style w:type="character" w:customStyle="1" w:styleId="CommentTextChar">
    <w:name w:val="Comment Text Char"/>
    <w:basedOn w:val="DefaultParagraphFont"/>
    <w:link w:val="CommentText"/>
    <w:uiPriority w:val="99"/>
    <w:semiHidden/>
    <w:rsid w:val="0033090A"/>
    <w:rPr>
      <w:sz w:val="20"/>
      <w:szCs w:val="20"/>
      <w:lang w:val="en-AU"/>
    </w:rPr>
  </w:style>
  <w:style w:type="paragraph" w:styleId="CommentSubject">
    <w:name w:val="annotation subject"/>
    <w:basedOn w:val="CommentText"/>
    <w:next w:val="CommentText"/>
    <w:link w:val="CommentSubjectChar"/>
    <w:uiPriority w:val="99"/>
    <w:semiHidden/>
    <w:unhideWhenUsed/>
    <w:rsid w:val="0033090A"/>
    <w:rPr>
      <w:b/>
      <w:bCs/>
    </w:rPr>
  </w:style>
  <w:style w:type="character" w:customStyle="1" w:styleId="CommentSubjectChar">
    <w:name w:val="Comment Subject Char"/>
    <w:basedOn w:val="CommentTextChar"/>
    <w:link w:val="CommentSubject"/>
    <w:uiPriority w:val="99"/>
    <w:semiHidden/>
    <w:rsid w:val="0033090A"/>
    <w:rPr>
      <w:b/>
      <w:bCs/>
      <w:sz w:val="20"/>
      <w:szCs w:val="20"/>
      <w:lang w:val="en-AU"/>
    </w:rPr>
  </w:style>
  <w:style w:type="paragraph" w:styleId="ListParagraph">
    <w:name w:val="List Paragraph"/>
    <w:basedOn w:val="Normal"/>
    <w:uiPriority w:val="34"/>
    <w:qFormat/>
    <w:rsid w:val="00262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undocs.org/A/RES/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B474F-6732-C34B-97AB-7FEB2A65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4978</Words>
  <Characters>28380</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Shanchita</dc:creator>
  <cp:keywords/>
  <dc:description/>
  <cp:lastModifiedBy>Orsolya Bartha</cp:lastModifiedBy>
  <cp:revision>2</cp:revision>
  <cp:lastPrinted>2018-07-10T19:02:00Z</cp:lastPrinted>
  <dcterms:created xsi:type="dcterms:W3CDTF">2018-07-19T21:45:00Z</dcterms:created>
  <dcterms:modified xsi:type="dcterms:W3CDTF">2018-07-19T21:45:00Z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531107c6-d4c3-4a96-aef7-e6d425bcea69</vt:lpwstr>
  </property>
  <property fmtid="{D5CDD505-2E9C-101B-9397-08002B2CF9AE}" pid="3" name="SEC">
    <vt:lpwstr>UNCLASSIFIED</vt:lpwstr>
  </property>
  <property fmtid="{D5CDD505-2E9C-101B-9397-08002B2CF9AE}" pid="4" name="DLM">
    <vt:lpwstr>No DLM</vt:lpwstr>
  </property>
</Properties>
</file>