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B2BBF" w14:textId="77777777" w:rsidR="001021CE" w:rsidRPr="0077057D" w:rsidRDefault="001021CE" w:rsidP="001021CE">
      <w:pPr>
        <w:spacing w:after="0"/>
        <w:jc w:val="both"/>
        <w:rPr>
          <w:rFonts w:ascii="Arial" w:hAnsi="Arial" w:cs="Arial"/>
          <w:i/>
          <w:sz w:val="28"/>
          <w:lang w:val="en-GB"/>
        </w:rPr>
      </w:pPr>
      <w:r w:rsidRPr="0077057D">
        <w:rPr>
          <w:rFonts w:ascii="Arial" w:hAnsi="Arial" w:cs="Arial"/>
          <w:sz w:val="28"/>
          <w:lang w:val="en-GB"/>
        </w:rPr>
        <w:t>Case summary:</w:t>
      </w:r>
      <w:r w:rsidRPr="0077057D">
        <w:rPr>
          <w:rStyle w:val="FootnoteReference"/>
          <w:rFonts w:ascii="Arial" w:hAnsi="Arial" w:cs="Arial"/>
          <w:sz w:val="24"/>
          <w:lang w:val="en-GB"/>
        </w:rPr>
        <w:footnoteReference w:id="1"/>
      </w:r>
      <w:r w:rsidRPr="0077057D">
        <w:rPr>
          <w:rFonts w:ascii="Arial" w:hAnsi="Arial" w:cs="Arial"/>
          <w:sz w:val="24"/>
          <w:lang w:val="en-GB"/>
        </w:rPr>
        <w:t xml:space="preserve"> </w:t>
      </w:r>
      <w:r w:rsidR="0077057D" w:rsidRPr="0077057D">
        <w:rPr>
          <w:rFonts w:ascii="Arial" w:hAnsi="Arial" w:cs="Arial"/>
          <w:i/>
          <w:sz w:val="28"/>
          <w:lang w:val="en-GB"/>
        </w:rPr>
        <w:t>Marlon Noble</w:t>
      </w:r>
      <w:r w:rsidR="0077057D">
        <w:rPr>
          <w:rFonts w:ascii="Arial" w:hAnsi="Arial" w:cs="Arial"/>
          <w:i/>
          <w:sz w:val="28"/>
          <w:lang w:val="en-GB"/>
        </w:rPr>
        <w:t xml:space="preserve"> </w:t>
      </w:r>
      <w:r w:rsidR="008252D6" w:rsidRPr="0077057D">
        <w:rPr>
          <w:rFonts w:ascii="Arial" w:hAnsi="Arial" w:cs="Arial"/>
          <w:i/>
          <w:sz w:val="28"/>
          <w:lang w:val="en-GB"/>
        </w:rPr>
        <w:t xml:space="preserve">v </w:t>
      </w:r>
      <w:r w:rsidR="0077057D" w:rsidRPr="0077057D">
        <w:rPr>
          <w:rFonts w:ascii="Arial" w:hAnsi="Arial" w:cs="Arial"/>
          <w:i/>
          <w:sz w:val="28"/>
          <w:lang w:val="en-GB"/>
        </w:rPr>
        <w:t>Australia</w:t>
      </w:r>
    </w:p>
    <w:p w14:paraId="510A0472" w14:textId="77777777" w:rsidR="001021CE" w:rsidRPr="0077057D" w:rsidRDefault="001021CE" w:rsidP="001021CE">
      <w:pPr>
        <w:spacing w:after="0"/>
        <w:jc w:val="both"/>
        <w:rPr>
          <w:rFonts w:ascii="Arial" w:hAnsi="Arial" w:cs="Arial"/>
          <w:highlight w:val="lightGray"/>
          <w:lang w:val="en-GB"/>
        </w:rPr>
      </w:pPr>
    </w:p>
    <w:p w14:paraId="08595CE3" w14:textId="77777777" w:rsidR="00AA41D9" w:rsidRDefault="00810FD1" w:rsidP="001021CE">
      <w:pPr>
        <w:spacing w:after="0"/>
        <w:jc w:val="both"/>
        <w:rPr>
          <w:rFonts w:ascii="Arial" w:hAnsi="Arial" w:cs="Arial"/>
          <w:szCs w:val="20"/>
          <w:lang w:val="en-GB"/>
        </w:rPr>
      </w:pPr>
      <w:r>
        <w:rPr>
          <w:rFonts w:ascii="Arial" w:hAnsi="Arial" w:cs="Arial"/>
          <w:szCs w:val="20"/>
          <w:lang w:val="en-GB"/>
        </w:rPr>
        <w:t xml:space="preserve">Case code: </w:t>
      </w:r>
      <w:r w:rsidR="00AA41D9" w:rsidRPr="00810FD1">
        <w:rPr>
          <w:rFonts w:ascii="Arial" w:hAnsi="Arial" w:cs="Arial"/>
          <w:szCs w:val="20"/>
          <w:lang w:val="en-GB"/>
        </w:rPr>
        <w:t>CRPD/C/16/D/7/2012</w:t>
      </w:r>
    </w:p>
    <w:p w14:paraId="674D3147" w14:textId="77777777" w:rsidR="001021CE" w:rsidRPr="0077057D" w:rsidRDefault="0077057D" w:rsidP="001021CE">
      <w:pPr>
        <w:spacing w:after="0"/>
        <w:jc w:val="both"/>
        <w:rPr>
          <w:rFonts w:ascii="Arial" w:hAnsi="Arial" w:cs="Arial"/>
          <w:szCs w:val="20"/>
          <w:lang w:val="en-GB"/>
        </w:rPr>
      </w:pPr>
      <w:r w:rsidRPr="0077057D">
        <w:rPr>
          <w:rFonts w:ascii="Arial" w:hAnsi="Arial" w:cs="Arial"/>
          <w:szCs w:val="20"/>
          <w:lang w:val="en-GB"/>
        </w:rPr>
        <w:t>Communication no 7/2012</w:t>
      </w:r>
    </w:p>
    <w:p w14:paraId="17684F35" w14:textId="77777777" w:rsidR="001021CE" w:rsidRPr="003F1E21" w:rsidRDefault="001021CE" w:rsidP="001021CE">
      <w:pPr>
        <w:spacing w:after="0"/>
        <w:jc w:val="both"/>
        <w:rPr>
          <w:rFonts w:ascii="Arial" w:hAnsi="Arial" w:cs="Arial"/>
          <w:szCs w:val="20"/>
          <w:lang w:val="en-GB"/>
        </w:rPr>
      </w:pPr>
      <w:r w:rsidRPr="003F1E21">
        <w:rPr>
          <w:rFonts w:ascii="Arial" w:hAnsi="Arial" w:cs="Arial"/>
          <w:szCs w:val="20"/>
          <w:lang w:val="en-GB"/>
        </w:rPr>
        <w:t>Date of communication (initial submission):</w:t>
      </w:r>
      <w:r w:rsidRPr="003F1E21">
        <w:rPr>
          <w:rFonts w:ascii="Arial" w:hAnsi="Arial" w:cs="Arial"/>
          <w:szCs w:val="20"/>
          <w:lang w:val="en-GB"/>
        </w:rPr>
        <w:tab/>
      </w:r>
      <w:r w:rsidRPr="003F1E21">
        <w:rPr>
          <w:rFonts w:ascii="Arial" w:hAnsi="Arial" w:cs="Arial"/>
          <w:szCs w:val="20"/>
          <w:lang w:val="en-GB"/>
        </w:rPr>
        <w:tab/>
      </w:r>
      <w:r w:rsidR="003F1E21" w:rsidRPr="003F1E21">
        <w:rPr>
          <w:rFonts w:ascii="Arial" w:hAnsi="Arial" w:cs="Arial"/>
          <w:szCs w:val="20"/>
          <w:lang w:val="en-GB"/>
        </w:rPr>
        <w:t>12 April 2012</w:t>
      </w:r>
    </w:p>
    <w:p w14:paraId="17B352A3" w14:textId="77777777" w:rsidR="001021CE" w:rsidRPr="003F1E21" w:rsidRDefault="001021CE" w:rsidP="001021CE">
      <w:pPr>
        <w:spacing w:after="0"/>
        <w:jc w:val="both"/>
        <w:rPr>
          <w:rFonts w:ascii="Arial" w:hAnsi="Arial" w:cs="Arial"/>
          <w:szCs w:val="20"/>
          <w:lang w:val="en-GB"/>
        </w:rPr>
      </w:pPr>
      <w:r w:rsidRPr="003F1E21">
        <w:rPr>
          <w:rFonts w:ascii="Arial" w:hAnsi="Arial" w:cs="Arial"/>
          <w:szCs w:val="20"/>
          <w:lang w:val="en-GB"/>
        </w:rPr>
        <w:t>Date of adoption of Views:</w:t>
      </w:r>
      <w:r w:rsidRPr="003F1E21">
        <w:rPr>
          <w:rFonts w:ascii="Arial" w:hAnsi="Arial" w:cs="Arial"/>
          <w:szCs w:val="20"/>
          <w:lang w:val="en-GB"/>
        </w:rPr>
        <w:tab/>
      </w:r>
      <w:r w:rsidRPr="003F1E21">
        <w:rPr>
          <w:rFonts w:ascii="Arial" w:hAnsi="Arial" w:cs="Arial"/>
          <w:szCs w:val="20"/>
          <w:lang w:val="en-GB"/>
        </w:rPr>
        <w:tab/>
      </w:r>
      <w:r w:rsidRPr="003F1E21">
        <w:rPr>
          <w:rFonts w:ascii="Arial" w:hAnsi="Arial" w:cs="Arial"/>
          <w:szCs w:val="20"/>
          <w:lang w:val="en-GB"/>
        </w:rPr>
        <w:tab/>
      </w:r>
      <w:r w:rsidRPr="003F1E21">
        <w:rPr>
          <w:rFonts w:ascii="Arial" w:hAnsi="Arial" w:cs="Arial"/>
          <w:szCs w:val="20"/>
          <w:lang w:val="en-GB"/>
        </w:rPr>
        <w:tab/>
      </w:r>
      <w:r w:rsidR="003F1E21" w:rsidRPr="003F1E21">
        <w:rPr>
          <w:rFonts w:ascii="Arial" w:hAnsi="Arial" w:cs="Arial"/>
          <w:szCs w:val="20"/>
          <w:lang w:val="en-GB"/>
        </w:rPr>
        <w:t>2 September 2016</w:t>
      </w:r>
    </w:p>
    <w:p w14:paraId="5575FB66" w14:textId="77777777" w:rsidR="00F40F7C" w:rsidRPr="001F504D" w:rsidRDefault="001021CE" w:rsidP="001F504D">
      <w:pPr>
        <w:spacing w:after="0"/>
        <w:ind w:left="4962" w:hanging="4962"/>
        <w:jc w:val="both"/>
        <w:rPr>
          <w:rFonts w:ascii="Arial" w:hAnsi="Arial" w:cs="Arial"/>
          <w:szCs w:val="20"/>
          <w:lang w:val="en-GB"/>
        </w:rPr>
      </w:pPr>
      <w:r w:rsidRPr="001F504D">
        <w:rPr>
          <w:rFonts w:ascii="Arial" w:hAnsi="Arial" w:cs="Arial"/>
          <w:szCs w:val="20"/>
          <w:lang w:val="en-GB"/>
        </w:rPr>
        <w:t>Invoked</w:t>
      </w:r>
      <w:r w:rsidR="001F504D">
        <w:rPr>
          <w:rFonts w:ascii="Arial" w:hAnsi="Arial" w:cs="Arial"/>
          <w:szCs w:val="20"/>
          <w:lang w:val="en-GB"/>
        </w:rPr>
        <w:t xml:space="preserve"> provisions of the Convention:</w:t>
      </w:r>
      <w:r w:rsidR="001F504D">
        <w:rPr>
          <w:rFonts w:ascii="Arial" w:hAnsi="Arial" w:cs="Arial"/>
          <w:szCs w:val="20"/>
          <w:lang w:val="en-GB"/>
        </w:rPr>
        <w:tab/>
      </w:r>
      <w:r w:rsidR="00F40F7C" w:rsidRPr="001F504D">
        <w:rPr>
          <w:rFonts w:ascii="Arial" w:hAnsi="Arial" w:cs="Arial"/>
          <w:szCs w:val="20"/>
          <w:lang w:val="en-GB"/>
        </w:rPr>
        <w:t>Articles</w:t>
      </w:r>
      <w:r w:rsidR="001F504D" w:rsidRPr="001F504D">
        <w:rPr>
          <w:rFonts w:ascii="Arial" w:hAnsi="Arial" w:cs="Arial"/>
          <w:szCs w:val="20"/>
          <w:lang w:val="en-GB"/>
        </w:rPr>
        <w:t xml:space="preserve"> </w:t>
      </w:r>
      <w:hyperlink r:id="rId7" w:anchor="5" w:history="1">
        <w:r w:rsidR="00151EDD">
          <w:rPr>
            <w:rStyle w:val="Hyperlink"/>
            <w:rFonts w:ascii="Arial" w:hAnsi="Arial" w:cs="Arial"/>
            <w:szCs w:val="20"/>
            <w:lang w:val="en-GB"/>
          </w:rPr>
          <w:t>5</w:t>
        </w:r>
      </w:hyperlink>
      <w:r w:rsidR="001F504D" w:rsidRPr="001F504D">
        <w:rPr>
          <w:rFonts w:ascii="Arial" w:hAnsi="Arial" w:cs="Arial"/>
          <w:szCs w:val="20"/>
          <w:lang w:val="en-GB"/>
        </w:rPr>
        <w:t xml:space="preserve">, </w:t>
      </w:r>
      <w:hyperlink r:id="rId8" w:anchor="12" w:history="1">
        <w:r w:rsidR="001F504D" w:rsidRPr="001F504D">
          <w:rPr>
            <w:rStyle w:val="Hyperlink"/>
            <w:rFonts w:ascii="Arial" w:hAnsi="Arial" w:cs="Arial"/>
            <w:szCs w:val="20"/>
            <w:lang w:val="en-GB"/>
          </w:rPr>
          <w:t>12</w:t>
        </w:r>
      </w:hyperlink>
      <w:r w:rsidR="001F504D" w:rsidRPr="001F504D">
        <w:rPr>
          <w:rFonts w:ascii="Arial" w:hAnsi="Arial" w:cs="Arial"/>
          <w:szCs w:val="20"/>
          <w:lang w:val="en-GB"/>
        </w:rPr>
        <w:t xml:space="preserve">, </w:t>
      </w:r>
      <w:hyperlink r:id="rId9" w:anchor="13" w:history="1">
        <w:r w:rsidR="001F504D" w:rsidRPr="001F504D">
          <w:rPr>
            <w:rStyle w:val="Hyperlink"/>
            <w:rFonts w:ascii="Arial" w:hAnsi="Arial" w:cs="Arial"/>
            <w:szCs w:val="20"/>
            <w:lang w:val="en-GB"/>
          </w:rPr>
          <w:t>13</w:t>
        </w:r>
      </w:hyperlink>
      <w:r w:rsidR="001F504D" w:rsidRPr="001F504D">
        <w:rPr>
          <w:rFonts w:ascii="Arial" w:hAnsi="Arial" w:cs="Arial"/>
          <w:szCs w:val="20"/>
          <w:lang w:val="en-GB"/>
        </w:rPr>
        <w:t xml:space="preserve">, </w:t>
      </w:r>
      <w:hyperlink r:id="rId10" w:anchor="14" w:history="1">
        <w:r w:rsidR="001F504D" w:rsidRPr="00CA5602">
          <w:rPr>
            <w:rStyle w:val="Hyperlink"/>
            <w:rFonts w:ascii="Arial" w:hAnsi="Arial" w:cs="Arial"/>
            <w:szCs w:val="20"/>
            <w:lang w:val="en-GB"/>
          </w:rPr>
          <w:t>14 (1) (b)</w:t>
        </w:r>
      </w:hyperlink>
      <w:r w:rsidR="001F504D" w:rsidRPr="001F504D">
        <w:rPr>
          <w:rFonts w:ascii="Arial" w:hAnsi="Arial" w:cs="Arial"/>
          <w:szCs w:val="20"/>
          <w:lang w:val="en-GB"/>
        </w:rPr>
        <w:t xml:space="preserve">, </w:t>
      </w:r>
      <w:hyperlink r:id="rId11" w:anchor="14" w:history="1">
        <w:r w:rsidR="001F504D" w:rsidRPr="00CA5602">
          <w:rPr>
            <w:rStyle w:val="Hyperlink"/>
            <w:rFonts w:ascii="Arial" w:hAnsi="Arial" w:cs="Arial"/>
            <w:szCs w:val="20"/>
            <w:lang w:val="en-GB"/>
          </w:rPr>
          <w:t>14 (2)</w:t>
        </w:r>
      </w:hyperlink>
      <w:r w:rsidR="001F504D" w:rsidRPr="001F504D">
        <w:rPr>
          <w:rFonts w:ascii="Arial" w:hAnsi="Arial" w:cs="Arial"/>
          <w:szCs w:val="20"/>
          <w:lang w:val="en-GB"/>
        </w:rPr>
        <w:t xml:space="preserve"> and </w:t>
      </w:r>
      <w:hyperlink r:id="rId12" w:anchor="15" w:history="1">
        <w:r w:rsidR="001F504D" w:rsidRPr="00CA5602">
          <w:rPr>
            <w:rStyle w:val="Hyperlink"/>
            <w:rFonts w:ascii="Arial" w:hAnsi="Arial" w:cs="Arial"/>
            <w:szCs w:val="20"/>
            <w:lang w:val="en-GB"/>
          </w:rPr>
          <w:t>15</w:t>
        </w:r>
      </w:hyperlink>
    </w:p>
    <w:p w14:paraId="2A3A5D22" w14:textId="77777777" w:rsidR="001021CE" w:rsidRPr="004C0066" w:rsidRDefault="001021CE" w:rsidP="00F40F7C">
      <w:pPr>
        <w:spacing w:after="0"/>
        <w:jc w:val="both"/>
        <w:rPr>
          <w:rFonts w:ascii="Arial" w:hAnsi="Arial" w:cs="Arial"/>
          <w:szCs w:val="20"/>
          <w:lang w:val="en-GB"/>
        </w:rPr>
      </w:pPr>
      <w:r w:rsidRPr="004C0066">
        <w:rPr>
          <w:rFonts w:ascii="Arial" w:hAnsi="Arial" w:cs="Arial"/>
          <w:szCs w:val="20"/>
          <w:lang w:val="en-GB"/>
        </w:rPr>
        <w:t>Provisions of the Optional Protocol:</w:t>
      </w:r>
      <w:r w:rsidRPr="004C0066">
        <w:rPr>
          <w:rFonts w:ascii="Arial" w:hAnsi="Arial" w:cs="Arial"/>
          <w:szCs w:val="20"/>
          <w:lang w:val="en-GB"/>
        </w:rPr>
        <w:tab/>
      </w:r>
      <w:r w:rsidRPr="004C0066">
        <w:rPr>
          <w:rFonts w:ascii="Arial" w:hAnsi="Arial" w:cs="Arial"/>
          <w:szCs w:val="20"/>
          <w:lang w:val="en-GB"/>
        </w:rPr>
        <w:tab/>
      </w:r>
      <w:r w:rsidRPr="004C0066">
        <w:rPr>
          <w:rFonts w:ascii="Arial" w:hAnsi="Arial" w:cs="Arial"/>
          <w:szCs w:val="20"/>
          <w:lang w:val="en-GB"/>
        </w:rPr>
        <w:tab/>
      </w:r>
      <w:r w:rsidR="00F40F7C" w:rsidRPr="004C0066">
        <w:rPr>
          <w:rFonts w:ascii="Arial" w:hAnsi="Arial" w:cs="Arial"/>
          <w:szCs w:val="20"/>
          <w:lang w:val="en-GB"/>
        </w:rPr>
        <w:t>Articles</w:t>
      </w:r>
      <w:r w:rsidR="00723152" w:rsidRPr="004C0066">
        <w:rPr>
          <w:rFonts w:ascii="Arial" w:hAnsi="Arial" w:cs="Arial"/>
          <w:szCs w:val="20"/>
          <w:lang w:val="en-GB"/>
        </w:rPr>
        <w:t xml:space="preserve"> </w:t>
      </w:r>
      <w:hyperlink r:id="rId13" w:history="1">
        <w:r w:rsidR="00723152" w:rsidRPr="004C0066">
          <w:rPr>
            <w:rStyle w:val="Hyperlink"/>
            <w:rFonts w:ascii="Arial" w:hAnsi="Arial" w:cs="Arial"/>
            <w:szCs w:val="20"/>
            <w:lang w:val="en-GB"/>
          </w:rPr>
          <w:t>1</w:t>
        </w:r>
      </w:hyperlink>
      <w:r w:rsidR="00723152" w:rsidRPr="004C0066">
        <w:rPr>
          <w:rFonts w:ascii="Arial" w:hAnsi="Arial" w:cs="Arial"/>
          <w:szCs w:val="20"/>
          <w:lang w:val="en-GB"/>
        </w:rPr>
        <w:t>,</w:t>
      </w:r>
      <w:r w:rsidR="00F40F7C" w:rsidRPr="004C0066">
        <w:rPr>
          <w:rFonts w:ascii="Arial" w:hAnsi="Arial" w:cs="Arial"/>
          <w:szCs w:val="20"/>
          <w:lang w:val="en-GB"/>
        </w:rPr>
        <w:t xml:space="preserve"> </w:t>
      </w:r>
      <w:hyperlink r:id="rId14" w:history="1">
        <w:r w:rsidR="004C0066">
          <w:rPr>
            <w:rStyle w:val="Hyperlink"/>
            <w:rFonts w:ascii="Arial" w:hAnsi="Arial" w:cs="Arial"/>
            <w:szCs w:val="20"/>
            <w:lang w:val="en-GB"/>
          </w:rPr>
          <w:t>2 (d), (e) and (f)</w:t>
        </w:r>
      </w:hyperlink>
    </w:p>
    <w:p w14:paraId="1C13BC78" w14:textId="77777777" w:rsidR="00F40F7C" w:rsidRPr="0077057D" w:rsidRDefault="00F40F7C" w:rsidP="001021CE">
      <w:pPr>
        <w:spacing w:after="0"/>
        <w:ind w:left="2124" w:hanging="2124"/>
        <w:jc w:val="both"/>
        <w:rPr>
          <w:rFonts w:ascii="Arial" w:hAnsi="Arial" w:cs="Arial"/>
          <w:szCs w:val="20"/>
          <w:highlight w:val="lightGray"/>
          <w:lang w:val="en-GB"/>
        </w:rPr>
      </w:pPr>
    </w:p>
    <w:p w14:paraId="3C31F646" w14:textId="77777777" w:rsidR="001021CE" w:rsidRPr="0077057D" w:rsidRDefault="001021CE" w:rsidP="001021CE">
      <w:pPr>
        <w:spacing w:after="0"/>
        <w:ind w:left="2124" w:hanging="2124"/>
        <w:jc w:val="both"/>
        <w:rPr>
          <w:rFonts w:ascii="Arial" w:hAnsi="Arial" w:cs="Arial"/>
          <w:szCs w:val="20"/>
          <w:highlight w:val="lightGray"/>
          <w:lang w:val="en-GB"/>
        </w:rPr>
      </w:pPr>
      <w:r w:rsidRPr="00C67E32">
        <w:rPr>
          <w:rFonts w:ascii="Arial" w:hAnsi="Arial" w:cs="Arial"/>
          <w:szCs w:val="20"/>
          <w:lang w:val="en-GB"/>
        </w:rPr>
        <w:t xml:space="preserve">Keywords: </w:t>
      </w:r>
      <w:r w:rsidRPr="00C67E32">
        <w:rPr>
          <w:rFonts w:ascii="Arial" w:hAnsi="Arial" w:cs="Arial"/>
          <w:szCs w:val="20"/>
          <w:lang w:val="en-GB"/>
        </w:rPr>
        <w:tab/>
      </w:r>
      <w:r w:rsidR="00C67E32" w:rsidRPr="00C67E32">
        <w:rPr>
          <w:rFonts w:ascii="Arial" w:hAnsi="Arial" w:cs="Arial"/>
          <w:szCs w:val="20"/>
          <w:lang w:val="en-GB"/>
        </w:rPr>
        <w:t>Access to court, mental and intellectual disability, exercise of legal capacity, deprivation of liberty, discrimination on the ground of disability, restrictions of rights</w:t>
      </w:r>
      <w:r w:rsidR="00F40F7C" w:rsidRPr="0077057D">
        <w:rPr>
          <w:rFonts w:ascii="Arial" w:hAnsi="Arial" w:cs="Arial"/>
          <w:szCs w:val="20"/>
          <w:highlight w:val="lightGray"/>
          <w:lang w:val="en-GB"/>
        </w:rPr>
        <w:t xml:space="preserve"> </w:t>
      </w:r>
    </w:p>
    <w:p w14:paraId="63C1BB7C" w14:textId="77777777" w:rsidR="00F40F7C" w:rsidRPr="0077057D" w:rsidRDefault="00F40F7C" w:rsidP="001021CE">
      <w:pPr>
        <w:spacing w:after="0"/>
        <w:ind w:left="2124" w:hanging="2124"/>
        <w:jc w:val="both"/>
        <w:rPr>
          <w:rFonts w:ascii="Arial" w:hAnsi="Arial" w:cs="Arial"/>
          <w:szCs w:val="20"/>
          <w:highlight w:val="lightGray"/>
          <w:lang w:val="en-GB"/>
        </w:rPr>
      </w:pPr>
    </w:p>
    <w:p w14:paraId="1A427F02" w14:textId="77777777" w:rsidR="001021CE" w:rsidRPr="00A318BA" w:rsidRDefault="0091571B" w:rsidP="00A318BA">
      <w:pPr>
        <w:spacing w:after="0"/>
        <w:ind w:left="2127" w:hanging="2127"/>
        <w:jc w:val="both"/>
        <w:rPr>
          <w:rFonts w:ascii="Arial" w:hAnsi="Arial" w:cs="Arial"/>
          <w:szCs w:val="20"/>
          <w:lang w:val="en-GB"/>
        </w:rPr>
      </w:pPr>
      <w:r w:rsidRPr="00A54EE4">
        <w:rPr>
          <w:rFonts w:ascii="Arial" w:hAnsi="Arial" w:cs="Arial"/>
          <w:szCs w:val="20"/>
          <w:lang w:val="en-GB"/>
        </w:rPr>
        <w:t xml:space="preserve">Decision: </w:t>
      </w:r>
      <w:r w:rsidRPr="00A54EE4">
        <w:rPr>
          <w:rFonts w:ascii="Arial" w:hAnsi="Arial" w:cs="Arial"/>
          <w:szCs w:val="20"/>
          <w:lang w:val="en-GB"/>
        </w:rPr>
        <w:tab/>
      </w:r>
      <w:r w:rsidR="00F40F7C" w:rsidRPr="00A54EE4">
        <w:rPr>
          <w:rFonts w:ascii="Arial" w:hAnsi="Arial" w:cs="Arial"/>
          <w:szCs w:val="20"/>
          <w:lang w:val="en-GB"/>
        </w:rPr>
        <w:t xml:space="preserve">Violation of </w:t>
      </w:r>
      <w:r w:rsidRPr="00A54EE4">
        <w:rPr>
          <w:rFonts w:ascii="Arial" w:hAnsi="Arial" w:cs="Arial"/>
          <w:szCs w:val="20"/>
          <w:lang w:val="en-GB"/>
        </w:rPr>
        <w:t xml:space="preserve">Articles </w:t>
      </w:r>
      <w:hyperlink r:id="rId15" w:anchor="5" w:history="1">
        <w:r w:rsidRPr="00A54EE4">
          <w:rPr>
            <w:rStyle w:val="Hyperlink"/>
            <w:rFonts w:ascii="Arial" w:hAnsi="Arial" w:cs="Arial"/>
            <w:szCs w:val="20"/>
            <w:lang w:val="en-GB"/>
          </w:rPr>
          <w:t>5 (1) and (2)</w:t>
        </w:r>
      </w:hyperlink>
      <w:r w:rsidRPr="00A54EE4">
        <w:rPr>
          <w:rFonts w:ascii="Arial" w:hAnsi="Arial" w:cs="Arial"/>
          <w:szCs w:val="20"/>
          <w:lang w:val="en-GB"/>
        </w:rPr>
        <w:t xml:space="preserve">, </w:t>
      </w:r>
      <w:hyperlink r:id="rId16" w:anchor="12" w:history="1">
        <w:r w:rsidR="00151EDD" w:rsidRPr="00A54EE4">
          <w:rPr>
            <w:rStyle w:val="Hyperlink"/>
            <w:rFonts w:ascii="Arial" w:hAnsi="Arial" w:cs="Arial"/>
            <w:szCs w:val="20"/>
            <w:lang w:val="en-GB"/>
          </w:rPr>
          <w:t>12 (2) and (3)</w:t>
        </w:r>
      </w:hyperlink>
      <w:r w:rsidRPr="00A54EE4">
        <w:rPr>
          <w:rFonts w:ascii="Arial" w:hAnsi="Arial" w:cs="Arial"/>
          <w:szCs w:val="20"/>
          <w:lang w:val="en-GB"/>
        </w:rPr>
        <w:t xml:space="preserve">, </w:t>
      </w:r>
      <w:hyperlink r:id="rId17" w:anchor="13" w:history="1">
        <w:r w:rsidR="00151EDD" w:rsidRPr="00A54EE4">
          <w:rPr>
            <w:rStyle w:val="Hyperlink"/>
            <w:rFonts w:ascii="Arial" w:hAnsi="Arial" w:cs="Arial"/>
            <w:szCs w:val="20"/>
            <w:lang w:val="en-GB"/>
          </w:rPr>
          <w:t>13 (1)</w:t>
        </w:r>
      </w:hyperlink>
      <w:r w:rsidRPr="00A54EE4">
        <w:rPr>
          <w:rFonts w:ascii="Arial" w:hAnsi="Arial" w:cs="Arial"/>
          <w:szCs w:val="20"/>
          <w:lang w:val="en-GB"/>
        </w:rPr>
        <w:t xml:space="preserve">, </w:t>
      </w:r>
      <w:hyperlink r:id="rId18" w:anchor="14" w:history="1">
        <w:r w:rsidRPr="00A54EE4">
          <w:rPr>
            <w:rStyle w:val="Hyperlink"/>
            <w:rFonts w:ascii="Arial" w:hAnsi="Arial" w:cs="Arial"/>
            <w:szCs w:val="20"/>
            <w:lang w:val="en-GB"/>
          </w:rPr>
          <w:t>14 (1) (b)</w:t>
        </w:r>
      </w:hyperlink>
      <w:r w:rsidRPr="00A54EE4">
        <w:rPr>
          <w:rFonts w:ascii="Arial" w:hAnsi="Arial" w:cs="Arial"/>
          <w:szCs w:val="20"/>
          <w:lang w:val="en-GB"/>
        </w:rPr>
        <w:t xml:space="preserve">, and </w:t>
      </w:r>
      <w:hyperlink r:id="rId19" w:anchor="15" w:history="1">
        <w:r w:rsidRPr="00A54EE4">
          <w:rPr>
            <w:rStyle w:val="Hyperlink"/>
            <w:rFonts w:ascii="Arial" w:hAnsi="Arial" w:cs="Arial"/>
            <w:szCs w:val="20"/>
            <w:lang w:val="en-GB"/>
          </w:rPr>
          <w:t>15</w:t>
        </w:r>
      </w:hyperlink>
      <w:r w:rsidR="00A318BA" w:rsidRPr="00A54EE4">
        <w:rPr>
          <w:rFonts w:ascii="Arial" w:hAnsi="Arial" w:cs="Arial"/>
          <w:szCs w:val="20"/>
          <w:lang w:val="en-GB"/>
        </w:rPr>
        <w:t xml:space="preserve"> </w:t>
      </w:r>
      <w:r w:rsidR="00F40F7C" w:rsidRPr="00A54EE4">
        <w:rPr>
          <w:rFonts w:ascii="Arial" w:hAnsi="Arial" w:cs="Arial"/>
          <w:szCs w:val="20"/>
          <w:lang w:val="en-GB"/>
        </w:rPr>
        <w:t>of the Convention</w:t>
      </w:r>
      <w:r w:rsidR="00C67E32" w:rsidRPr="00A54EE4">
        <w:rPr>
          <w:rFonts w:ascii="Arial" w:hAnsi="Arial" w:cs="Arial"/>
          <w:szCs w:val="20"/>
          <w:lang w:val="en-GB"/>
        </w:rPr>
        <w:t xml:space="preserve"> </w:t>
      </w:r>
    </w:p>
    <w:p w14:paraId="040F25FB" w14:textId="77777777" w:rsidR="00F40F7C" w:rsidRPr="0077057D" w:rsidRDefault="00F40F7C" w:rsidP="001021CE">
      <w:pPr>
        <w:spacing w:after="0"/>
        <w:jc w:val="both"/>
        <w:rPr>
          <w:rFonts w:ascii="Arial" w:hAnsi="Arial" w:cs="Arial"/>
          <w:szCs w:val="20"/>
          <w:highlight w:val="lightGray"/>
          <w:lang w:val="en-GB"/>
        </w:rPr>
      </w:pPr>
    </w:p>
    <w:p w14:paraId="5430AEC7" w14:textId="77777777" w:rsidR="001021CE" w:rsidRDefault="00810FD1" w:rsidP="001021CE">
      <w:pPr>
        <w:spacing w:after="0"/>
        <w:jc w:val="both"/>
        <w:rPr>
          <w:rFonts w:ascii="Arial" w:hAnsi="Arial" w:cs="Arial"/>
          <w:szCs w:val="20"/>
          <w:lang w:val="en-GB"/>
        </w:rPr>
      </w:pPr>
      <w:r w:rsidRPr="00F176E0">
        <w:rPr>
          <w:rFonts w:ascii="Arial" w:hAnsi="Arial" w:cs="Arial"/>
          <w:szCs w:val="20"/>
          <w:lang w:val="en-GB"/>
        </w:rPr>
        <w:t xml:space="preserve">Full decision in HTML format (webpage): </w:t>
      </w:r>
      <w:hyperlink r:id="rId20" w:history="1">
        <w:r w:rsidR="000E3E18" w:rsidRPr="008F3C82">
          <w:rPr>
            <w:rStyle w:val="Hyperlink"/>
            <w:rFonts w:ascii="Arial" w:hAnsi="Arial" w:cs="Arial"/>
            <w:szCs w:val="20"/>
            <w:lang w:val="en-GB"/>
          </w:rPr>
          <w:t>Arabic</w:t>
        </w:r>
      </w:hyperlink>
      <w:r w:rsidR="000E3E18" w:rsidRPr="000E3E18">
        <w:rPr>
          <w:rFonts w:ascii="Arial" w:hAnsi="Arial" w:cs="Arial"/>
          <w:szCs w:val="20"/>
          <w:lang w:val="en-GB"/>
        </w:rPr>
        <w:t xml:space="preserve">, </w:t>
      </w:r>
      <w:hyperlink r:id="rId21" w:history="1">
        <w:r w:rsidR="000E3E18" w:rsidRPr="008F3C82">
          <w:rPr>
            <w:rStyle w:val="Hyperlink"/>
            <w:rFonts w:ascii="Arial" w:hAnsi="Arial" w:cs="Arial"/>
            <w:szCs w:val="20"/>
            <w:lang w:val="en-GB"/>
          </w:rPr>
          <w:t>Chinese</w:t>
        </w:r>
      </w:hyperlink>
      <w:r w:rsidR="000E3E18" w:rsidRPr="000E3E18">
        <w:rPr>
          <w:rFonts w:ascii="Arial" w:hAnsi="Arial" w:cs="Arial"/>
          <w:szCs w:val="20"/>
          <w:lang w:val="en-GB"/>
        </w:rPr>
        <w:t xml:space="preserve">, </w:t>
      </w:r>
      <w:hyperlink r:id="rId22" w:history="1">
        <w:r w:rsidR="000E3E18" w:rsidRPr="00FF00A5">
          <w:rPr>
            <w:rStyle w:val="Hyperlink"/>
            <w:rFonts w:ascii="Arial" w:hAnsi="Arial" w:cs="Arial"/>
            <w:szCs w:val="20"/>
            <w:lang w:val="en-GB"/>
          </w:rPr>
          <w:t>En</w:t>
        </w:r>
        <w:r w:rsidR="000E3E18" w:rsidRPr="00FF00A5">
          <w:rPr>
            <w:rStyle w:val="Hyperlink"/>
            <w:rFonts w:ascii="Arial" w:hAnsi="Arial" w:cs="Arial"/>
            <w:szCs w:val="20"/>
            <w:lang w:val="en-GB"/>
          </w:rPr>
          <w:t>g</w:t>
        </w:r>
        <w:r w:rsidR="000E3E18" w:rsidRPr="00FF00A5">
          <w:rPr>
            <w:rStyle w:val="Hyperlink"/>
            <w:rFonts w:ascii="Arial" w:hAnsi="Arial" w:cs="Arial"/>
            <w:szCs w:val="20"/>
            <w:lang w:val="en-GB"/>
          </w:rPr>
          <w:t>lish</w:t>
        </w:r>
      </w:hyperlink>
      <w:r w:rsidR="000E3E18" w:rsidRPr="000E3E18">
        <w:rPr>
          <w:rFonts w:ascii="Arial" w:hAnsi="Arial" w:cs="Arial"/>
          <w:szCs w:val="20"/>
          <w:lang w:val="en-GB"/>
        </w:rPr>
        <w:t xml:space="preserve">, </w:t>
      </w:r>
      <w:hyperlink r:id="rId23" w:history="1">
        <w:r w:rsidR="000E3E18" w:rsidRPr="008F3C82">
          <w:rPr>
            <w:rStyle w:val="Hyperlink"/>
            <w:rFonts w:ascii="Arial" w:hAnsi="Arial" w:cs="Arial"/>
            <w:szCs w:val="20"/>
            <w:lang w:val="en-GB"/>
          </w:rPr>
          <w:t>French</w:t>
        </w:r>
      </w:hyperlink>
      <w:r w:rsidR="000E3E18" w:rsidRPr="000E3E18">
        <w:rPr>
          <w:rFonts w:ascii="Arial" w:hAnsi="Arial" w:cs="Arial"/>
          <w:szCs w:val="20"/>
          <w:lang w:val="en-GB"/>
        </w:rPr>
        <w:t xml:space="preserve">, </w:t>
      </w:r>
      <w:hyperlink r:id="rId24" w:history="1">
        <w:r w:rsidRPr="008F3C82">
          <w:rPr>
            <w:rStyle w:val="Hyperlink"/>
            <w:rFonts w:ascii="Arial" w:hAnsi="Arial" w:cs="Arial"/>
            <w:szCs w:val="20"/>
            <w:lang w:val="en-GB"/>
          </w:rPr>
          <w:t>Russian</w:t>
        </w:r>
      </w:hyperlink>
      <w:r w:rsidRPr="00B83639">
        <w:rPr>
          <w:lang w:val="en-GB"/>
        </w:rPr>
        <w:t xml:space="preserve"> </w:t>
      </w:r>
      <w:r w:rsidRPr="000E3E18">
        <w:rPr>
          <w:rFonts w:ascii="Arial" w:hAnsi="Arial" w:cs="Arial"/>
          <w:szCs w:val="20"/>
          <w:lang w:val="en-GB"/>
        </w:rPr>
        <w:t xml:space="preserve">and </w:t>
      </w:r>
      <w:hyperlink r:id="rId25" w:history="1">
        <w:r w:rsidR="000E3E18" w:rsidRPr="008F3C82">
          <w:rPr>
            <w:rStyle w:val="Hyperlink"/>
            <w:rFonts w:ascii="Arial" w:hAnsi="Arial" w:cs="Arial"/>
            <w:szCs w:val="20"/>
            <w:lang w:val="en-GB"/>
          </w:rPr>
          <w:t>Spanish</w:t>
        </w:r>
      </w:hyperlink>
      <w:r w:rsidR="000E3E18" w:rsidRPr="000E3E18">
        <w:rPr>
          <w:rFonts w:ascii="Arial" w:hAnsi="Arial" w:cs="Arial"/>
          <w:szCs w:val="20"/>
          <w:lang w:val="en-GB"/>
        </w:rPr>
        <w:t xml:space="preserve"> </w:t>
      </w:r>
    </w:p>
    <w:p w14:paraId="6AADE2A7" w14:textId="77777777" w:rsidR="00B83639" w:rsidRPr="00B83639" w:rsidRDefault="00B83639" w:rsidP="001021CE">
      <w:pPr>
        <w:spacing w:after="0"/>
        <w:jc w:val="both"/>
        <w:rPr>
          <w:lang w:val="en-GB"/>
        </w:rPr>
      </w:pPr>
    </w:p>
    <w:p w14:paraId="2BDD231F" w14:textId="77777777" w:rsidR="00B83639" w:rsidRDefault="00B83639" w:rsidP="00B83639">
      <w:pPr>
        <w:spacing w:after="0"/>
        <w:jc w:val="both"/>
        <w:rPr>
          <w:rFonts w:ascii="Arial" w:hAnsi="Arial" w:cs="Arial"/>
          <w:szCs w:val="20"/>
          <w:lang w:val="en-GB"/>
        </w:rPr>
      </w:pPr>
      <w:r w:rsidRPr="00725785">
        <w:rPr>
          <w:rFonts w:ascii="Arial" w:hAnsi="Arial" w:cs="Arial"/>
          <w:szCs w:val="20"/>
          <w:lang w:val="en-GB"/>
        </w:rPr>
        <w:t xml:space="preserve">For full decision in PDF and/or Word format in UN official languages </w:t>
      </w:r>
      <w:r>
        <w:rPr>
          <w:rFonts w:ascii="Arial" w:hAnsi="Arial" w:cs="Arial"/>
          <w:szCs w:val="20"/>
          <w:lang w:val="en-GB"/>
        </w:rPr>
        <w:t xml:space="preserve">search in </w:t>
      </w:r>
      <w:hyperlink r:id="rId26" w:history="1">
        <w:r w:rsidRPr="00FA7F4E">
          <w:rPr>
            <w:rStyle w:val="Hyperlink"/>
            <w:rFonts w:ascii="Arial" w:hAnsi="Arial" w:cs="Arial"/>
            <w:szCs w:val="20"/>
            <w:lang w:val="en-GB"/>
          </w:rPr>
          <w:t>https://documents.un.org</w:t>
        </w:r>
      </w:hyperlink>
      <w:r>
        <w:rPr>
          <w:rFonts w:ascii="Arial" w:hAnsi="Arial" w:cs="Arial"/>
          <w:szCs w:val="20"/>
          <w:lang w:val="en-GB"/>
        </w:rPr>
        <w:t>, fill the blank space after ‘Symbol’ with the CRPD case code mentioned above and then click on ‘Details’.</w:t>
      </w:r>
    </w:p>
    <w:p w14:paraId="5D9918CD" w14:textId="77777777" w:rsidR="000E3E18" w:rsidRPr="0077057D" w:rsidRDefault="000E3E18" w:rsidP="001021CE">
      <w:pPr>
        <w:spacing w:after="0"/>
        <w:jc w:val="both"/>
        <w:rPr>
          <w:rFonts w:ascii="Arial" w:hAnsi="Arial" w:cs="Arial"/>
          <w:szCs w:val="20"/>
          <w:highlight w:val="lightGray"/>
          <w:lang w:val="en-GB"/>
        </w:rPr>
      </w:pPr>
    </w:p>
    <w:p w14:paraId="555967AF" w14:textId="77777777" w:rsidR="001021CE" w:rsidRPr="00116F6C" w:rsidRDefault="001021CE" w:rsidP="00EA3ADF">
      <w:pPr>
        <w:spacing w:after="120"/>
        <w:jc w:val="both"/>
        <w:rPr>
          <w:rFonts w:ascii="Arial" w:hAnsi="Arial" w:cs="Arial"/>
          <w:sz w:val="28"/>
          <w:szCs w:val="28"/>
          <w:lang w:val="en-GB"/>
        </w:rPr>
      </w:pPr>
      <w:r w:rsidRPr="00116F6C">
        <w:rPr>
          <w:rFonts w:ascii="Arial" w:hAnsi="Arial" w:cs="Arial"/>
          <w:sz w:val="28"/>
          <w:szCs w:val="28"/>
          <w:lang w:val="en-GB"/>
        </w:rPr>
        <w:t>Facts</w:t>
      </w:r>
    </w:p>
    <w:p w14:paraId="61EB7E09" w14:textId="12114FCE" w:rsidR="00B201B1" w:rsidRDefault="00AC598C" w:rsidP="00EA3ADF">
      <w:pPr>
        <w:spacing w:after="120"/>
        <w:jc w:val="both"/>
        <w:rPr>
          <w:rFonts w:ascii="Arial" w:hAnsi="Arial" w:cs="Arial"/>
          <w:lang w:val="en-GB"/>
        </w:rPr>
      </w:pPr>
      <w:r w:rsidRPr="00AC598C">
        <w:rPr>
          <w:rFonts w:ascii="Arial" w:hAnsi="Arial" w:cs="Arial"/>
          <w:lang w:val="en-GB"/>
        </w:rPr>
        <w:t xml:space="preserve">The author is Marlon Noble, an </w:t>
      </w:r>
      <w:r w:rsidR="003830FC">
        <w:rPr>
          <w:rFonts w:ascii="Arial" w:hAnsi="Arial" w:cs="Arial"/>
          <w:lang w:val="en-GB"/>
        </w:rPr>
        <w:t xml:space="preserve">indigenous </w:t>
      </w:r>
      <w:r w:rsidR="003009D6">
        <w:rPr>
          <w:rFonts w:ascii="Arial" w:hAnsi="Arial" w:cs="Arial"/>
          <w:lang w:val="en-GB"/>
        </w:rPr>
        <w:t>Australian national</w:t>
      </w:r>
      <w:r w:rsidR="00F52EE9">
        <w:rPr>
          <w:rFonts w:ascii="Arial" w:hAnsi="Arial" w:cs="Arial"/>
          <w:lang w:val="en-GB"/>
        </w:rPr>
        <w:t xml:space="preserve"> </w:t>
      </w:r>
      <w:r>
        <w:rPr>
          <w:rFonts w:ascii="Arial" w:hAnsi="Arial" w:cs="Arial"/>
          <w:lang w:val="en-GB"/>
        </w:rPr>
        <w:t xml:space="preserve">with </w:t>
      </w:r>
      <w:r w:rsidRPr="00AC598C">
        <w:rPr>
          <w:rFonts w:ascii="Arial" w:hAnsi="Arial" w:cs="Arial"/>
          <w:lang w:val="en-GB"/>
        </w:rPr>
        <w:t>intellectual disability</w:t>
      </w:r>
      <w:r w:rsidR="00CA5602">
        <w:rPr>
          <w:rFonts w:ascii="Arial" w:hAnsi="Arial" w:cs="Arial"/>
          <w:lang w:val="en-GB"/>
        </w:rPr>
        <w:t>.</w:t>
      </w:r>
      <w:r w:rsidR="00F14C87">
        <w:rPr>
          <w:rFonts w:ascii="Arial" w:hAnsi="Arial" w:cs="Arial"/>
          <w:lang w:val="en-GB"/>
        </w:rPr>
        <w:t xml:space="preserve"> </w:t>
      </w:r>
      <w:r w:rsidR="00F14C87" w:rsidRPr="00F14C87">
        <w:rPr>
          <w:rFonts w:ascii="Arial" w:hAnsi="Arial" w:cs="Arial"/>
          <w:lang w:val="en-GB"/>
        </w:rPr>
        <w:t>In October 2001, the author was charged with two counts of sexual penetration of a child and three counts of indecently dealing with a child</w:t>
      </w:r>
      <w:r w:rsidR="008E45AF">
        <w:rPr>
          <w:rFonts w:ascii="Arial" w:hAnsi="Arial" w:cs="Arial"/>
          <w:lang w:val="en-GB"/>
        </w:rPr>
        <w:t xml:space="preserve">. </w:t>
      </w:r>
      <w:r w:rsidR="008E45AF" w:rsidRPr="008E45AF">
        <w:rPr>
          <w:rFonts w:ascii="Arial" w:hAnsi="Arial" w:cs="Arial"/>
          <w:lang w:val="en-GB"/>
        </w:rPr>
        <w:t>The author was arrested, taken into custody at Hakea Prison</w:t>
      </w:r>
      <w:r w:rsidR="008E45AF">
        <w:rPr>
          <w:rFonts w:ascii="Arial" w:hAnsi="Arial" w:cs="Arial"/>
          <w:lang w:val="en-GB"/>
        </w:rPr>
        <w:t>.</w:t>
      </w:r>
      <w:r w:rsidR="00BF1C0A">
        <w:rPr>
          <w:rFonts w:ascii="Arial" w:hAnsi="Arial" w:cs="Arial"/>
          <w:lang w:val="en-GB"/>
        </w:rPr>
        <w:t xml:space="preserve"> </w:t>
      </w:r>
      <w:r w:rsidR="00B201B1">
        <w:rPr>
          <w:rFonts w:ascii="Arial" w:hAnsi="Arial" w:cs="Arial"/>
          <w:lang w:val="en-GB"/>
        </w:rPr>
        <w:t>Between 2002 and 2003</w:t>
      </w:r>
      <w:r w:rsidR="00BF1C0A" w:rsidRPr="00BF1C0A">
        <w:rPr>
          <w:rFonts w:ascii="Arial" w:hAnsi="Arial" w:cs="Arial"/>
          <w:lang w:val="en-GB"/>
        </w:rPr>
        <w:t xml:space="preserve">, the author appeared before </w:t>
      </w:r>
      <w:r w:rsidR="002029C5">
        <w:rPr>
          <w:rFonts w:ascii="Arial" w:hAnsi="Arial" w:cs="Arial"/>
          <w:lang w:val="en-GB"/>
        </w:rPr>
        <w:t>c</w:t>
      </w:r>
      <w:r w:rsidR="00BF1C0A" w:rsidRPr="00BF1C0A">
        <w:rPr>
          <w:rFonts w:ascii="Arial" w:hAnsi="Arial" w:cs="Arial"/>
          <w:lang w:val="en-GB"/>
        </w:rPr>
        <w:t>ourt</w:t>
      </w:r>
      <w:r w:rsidR="002029C5">
        <w:rPr>
          <w:rFonts w:ascii="Arial" w:hAnsi="Arial" w:cs="Arial"/>
          <w:lang w:val="en-GB"/>
        </w:rPr>
        <w:t>s</w:t>
      </w:r>
      <w:r w:rsidR="00BF1C0A" w:rsidRPr="00BF1C0A">
        <w:rPr>
          <w:rFonts w:ascii="Arial" w:hAnsi="Arial" w:cs="Arial"/>
          <w:lang w:val="en-GB"/>
        </w:rPr>
        <w:t xml:space="preserve"> </w:t>
      </w:r>
      <w:r w:rsidR="00B201B1">
        <w:rPr>
          <w:rFonts w:ascii="Arial" w:hAnsi="Arial" w:cs="Arial"/>
          <w:lang w:val="en-GB"/>
        </w:rPr>
        <w:t xml:space="preserve">in different </w:t>
      </w:r>
      <w:r w:rsidR="00E9471F">
        <w:rPr>
          <w:rFonts w:ascii="Arial" w:hAnsi="Arial" w:cs="Arial"/>
          <w:lang w:val="en-GB"/>
        </w:rPr>
        <w:t xml:space="preserve">hearings, </w:t>
      </w:r>
      <w:r w:rsidR="00432B5F">
        <w:rPr>
          <w:rFonts w:ascii="Arial" w:hAnsi="Arial" w:cs="Arial"/>
          <w:lang w:val="en-GB"/>
        </w:rPr>
        <w:t xml:space="preserve">after which </w:t>
      </w:r>
      <w:r w:rsidR="00E9471F">
        <w:rPr>
          <w:rFonts w:ascii="Arial" w:hAnsi="Arial" w:cs="Arial"/>
          <w:lang w:val="en-GB"/>
        </w:rPr>
        <w:t xml:space="preserve">the author always remained in </w:t>
      </w:r>
      <w:r w:rsidR="00E9471F" w:rsidRPr="008E45AF">
        <w:rPr>
          <w:rFonts w:ascii="Arial" w:hAnsi="Arial" w:cs="Arial"/>
          <w:lang w:val="en-GB"/>
        </w:rPr>
        <w:t>custody at Hakea Prison</w:t>
      </w:r>
      <w:r w:rsidR="00E9471F">
        <w:rPr>
          <w:rFonts w:ascii="Arial" w:hAnsi="Arial" w:cs="Arial"/>
          <w:lang w:val="en-GB"/>
        </w:rPr>
        <w:t>.</w:t>
      </w:r>
      <w:r w:rsidR="00421DB7">
        <w:rPr>
          <w:rFonts w:ascii="Arial" w:hAnsi="Arial" w:cs="Arial"/>
          <w:lang w:val="en-GB"/>
        </w:rPr>
        <w:t xml:space="preserve"> </w:t>
      </w:r>
    </w:p>
    <w:p w14:paraId="224F1AD4" w14:textId="590A82A9" w:rsidR="00DD462D" w:rsidRDefault="00567A9F" w:rsidP="001777E5">
      <w:pPr>
        <w:spacing w:after="0"/>
        <w:jc w:val="both"/>
        <w:rPr>
          <w:rFonts w:ascii="Arial" w:hAnsi="Arial" w:cs="Arial"/>
          <w:lang w:val="en-GB"/>
        </w:rPr>
      </w:pPr>
      <w:r>
        <w:rPr>
          <w:rFonts w:ascii="Arial" w:hAnsi="Arial" w:cs="Arial"/>
          <w:lang w:val="en-GB"/>
        </w:rPr>
        <w:t>I</w:t>
      </w:r>
      <w:r w:rsidR="00421DB7">
        <w:rPr>
          <w:rFonts w:ascii="Arial" w:hAnsi="Arial" w:cs="Arial"/>
          <w:lang w:val="en-GB"/>
        </w:rPr>
        <w:t>n the hearings</w:t>
      </w:r>
      <w:r>
        <w:rPr>
          <w:rFonts w:ascii="Arial" w:hAnsi="Arial" w:cs="Arial"/>
          <w:lang w:val="en-GB"/>
        </w:rPr>
        <w:t>, it</w:t>
      </w:r>
      <w:r w:rsidR="00421DB7">
        <w:rPr>
          <w:rFonts w:ascii="Arial" w:hAnsi="Arial" w:cs="Arial"/>
          <w:lang w:val="en-GB"/>
        </w:rPr>
        <w:t xml:space="preserve"> </w:t>
      </w:r>
      <w:r w:rsidR="008C6211">
        <w:rPr>
          <w:rFonts w:ascii="Arial" w:hAnsi="Arial" w:cs="Arial"/>
          <w:lang w:val="en-GB"/>
        </w:rPr>
        <w:t xml:space="preserve">was </w:t>
      </w:r>
      <w:r>
        <w:rPr>
          <w:rFonts w:ascii="Arial" w:hAnsi="Arial" w:cs="Arial"/>
          <w:lang w:val="en-GB"/>
        </w:rPr>
        <w:t xml:space="preserve">discussed </w:t>
      </w:r>
      <w:r w:rsidR="008C6211">
        <w:rPr>
          <w:rFonts w:ascii="Arial" w:hAnsi="Arial" w:cs="Arial"/>
          <w:lang w:val="en-GB"/>
        </w:rPr>
        <w:t>the possibility that t</w:t>
      </w:r>
      <w:r w:rsidR="008C6211" w:rsidRPr="008C6211">
        <w:rPr>
          <w:rFonts w:ascii="Arial" w:hAnsi="Arial" w:cs="Arial"/>
          <w:lang w:val="en-GB"/>
        </w:rPr>
        <w:t>he author may be unfit to plead to the charges.</w:t>
      </w:r>
      <w:r w:rsidR="00440A01">
        <w:rPr>
          <w:rFonts w:ascii="Arial" w:hAnsi="Arial" w:cs="Arial"/>
          <w:lang w:val="en-GB"/>
        </w:rPr>
        <w:t xml:space="preserve"> </w:t>
      </w:r>
      <w:r w:rsidR="00432B5F">
        <w:rPr>
          <w:rFonts w:ascii="Arial" w:hAnsi="Arial" w:cs="Arial"/>
          <w:lang w:val="en-GB"/>
        </w:rPr>
        <w:t>I</w:t>
      </w:r>
      <w:r w:rsidR="00440A01">
        <w:rPr>
          <w:rFonts w:ascii="Arial" w:hAnsi="Arial" w:cs="Arial"/>
          <w:lang w:val="en-GB"/>
        </w:rPr>
        <w:t>n March 2003</w:t>
      </w:r>
      <w:r w:rsidR="00B1149A">
        <w:rPr>
          <w:rFonts w:ascii="Arial" w:hAnsi="Arial" w:cs="Arial"/>
          <w:lang w:val="en-GB"/>
        </w:rPr>
        <w:t>,</w:t>
      </w:r>
      <w:r w:rsidR="00A5458E" w:rsidRPr="00B83639">
        <w:rPr>
          <w:lang w:val="en-GB"/>
        </w:rPr>
        <w:t xml:space="preserve"> </w:t>
      </w:r>
      <w:r w:rsidR="00F46DC0">
        <w:rPr>
          <w:rFonts w:ascii="Arial" w:hAnsi="Arial" w:cs="Arial"/>
          <w:lang w:val="en-GB"/>
        </w:rPr>
        <w:t>the</w:t>
      </w:r>
      <w:r w:rsidR="00A5458E" w:rsidRPr="00A5458E">
        <w:rPr>
          <w:rFonts w:ascii="Arial" w:hAnsi="Arial" w:cs="Arial"/>
          <w:lang w:val="en-GB"/>
        </w:rPr>
        <w:t xml:space="preserve"> </w:t>
      </w:r>
      <w:r w:rsidR="00F46DC0">
        <w:rPr>
          <w:rFonts w:ascii="Arial" w:hAnsi="Arial" w:cs="Arial"/>
          <w:lang w:val="en-GB"/>
        </w:rPr>
        <w:t>c</w:t>
      </w:r>
      <w:r w:rsidR="00A5458E" w:rsidRPr="00A5458E">
        <w:rPr>
          <w:rFonts w:ascii="Arial" w:hAnsi="Arial" w:cs="Arial"/>
          <w:lang w:val="en-GB"/>
        </w:rPr>
        <w:t>ourt found that the author was unfit to plead</w:t>
      </w:r>
      <w:r w:rsidR="005B5AB0">
        <w:rPr>
          <w:rFonts w:ascii="Arial" w:hAnsi="Arial" w:cs="Arial"/>
          <w:lang w:val="en-GB"/>
        </w:rPr>
        <w:t xml:space="preserve">. Nevertheless, </w:t>
      </w:r>
      <w:r w:rsidR="005B5AB0" w:rsidRPr="005B5AB0">
        <w:rPr>
          <w:rFonts w:ascii="Arial" w:hAnsi="Arial" w:cs="Arial"/>
          <w:lang w:val="en-GB"/>
        </w:rPr>
        <w:t>the Mentally Impaired Defendants Review Board</w:t>
      </w:r>
      <w:r w:rsidR="006A112A">
        <w:rPr>
          <w:rFonts w:ascii="Arial" w:hAnsi="Arial" w:cs="Arial"/>
          <w:lang w:val="en-GB"/>
        </w:rPr>
        <w:t xml:space="preserve"> –</w:t>
      </w:r>
      <w:r w:rsidR="00CB16A2">
        <w:rPr>
          <w:rFonts w:ascii="Arial" w:hAnsi="Arial" w:cs="Arial"/>
          <w:lang w:val="en-GB"/>
        </w:rPr>
        <w:t xml:space="preserve"> </w:t>
      </w:r>
      <w:r w:rsidR="00A108B5">
        <w:rPr>
          <w:rFonts w:ascii="Arial" w:hAnsi="Arial" w:cs="Arial"/>
          <w:lang w:val="en-GB"/>
        </w:rPr>
        <w:t>in charge of the</w:t>
      </w:r>
      <w:r w:rsidR="00CB16A2">
        <w:rPr>
          <w:rFonts w:ascii="Arial" w:hAnsi="Arial" w:cs="Arial"/>
          <w:lang w:val="en-GB"/>
        </w:rPr>
        <w:t xml:space="preserve"> </w:t>
      </w:r>
      <w:r w:rsidR="00A108B5">
        <w:rPr>
          <w:rFonts w:ascii="Arial" w:hAnsi="Arial" w:cs="Arial"/>
          <w:lang w:val="en-GB"/>
        </w:rPr>
        <w:t>oversight</w:t>
      </w:r>
      <w:r w:rsidR="00CB16A2">
        <w:rPr>
          <w:rFonts w:ascii="Arial" w:hAnsi="Arial" w:cs="Arial"/>
          <w:lang w:val="en-GB"/>
        </w:rPr>
        <w:t xml:space="preserve"> </w:t>
      </w:r>
      <w:r w:rsidR="006A112A">
        <w:rPr>
          <w:rFonts w:ascii="Arial" w:hAnsi="Arial" w:cs="Arial"/>
          <w:lang w:val="en-GB"/>
        </w:rPr>
        <w:t>of the author’s custody order –</w:t>
      </w:r>
      <w:r w:rsidR="005B5AB0" w:rsidRPr="005B5AB0">
        <w:rPr>
          <w:rFonts w:ascii="Arial" w:hAnsi="Arial" w:cs="Arial"/>
          <w:lang w:val="en-GB"/>
        </w:rPr>
        <w:t xml:space="preserve"> determined that the author was to be detained in</w:t>
      </w:r>
      <w:r w:rsidR="00A41BB3">
        <w:rPr>
          <w:rFonts w:ascii="Arial" w:hAnsi="Arial" w:cs="Arial"/>
          <w:lang w:val="en-GB"/>
        </w:rPr>
        <w:t xml:space="preserve"> </w:t>
      </w:r>
      <w:r w:rsidR="00A41BB3" w:rsidRPr="00A41BB3">
        <w:rPr>
          <w:rFonts w:ascii="Arial" w:hAnsi="Arial" w:cs="Arial"/>
          <w:lang w:val="en-GB"/>
        </w:rPr>
        <w:t>custod</w:t>
      </w:r>
      <w:r w:rsidR="00A41BB3">
        <w:rPr>
          <w:rFonts w:ascii="Arial" w:hAnsi="Arial" w:cs="Arial"/>
          <w:lang w:val="en-GB"/>
        </w:rPr>
        <w:t>y at Greenough Regional Prison.</w:t>
      </w:r>
      <w:r w:rsidR="00A41BB3" w:rsidRPr="00A41BB3">
        <w:rPr>
          <w:rFonts w:ascii="Arial" w:hAnsi="Arial" w:cs="Arial"/>
          <w:lang w:val="en-GB"/>
        </w:rPr>
        <w:t xml:space="preserve"> He remained there from March 2003 to January 2012, when he was released on a conditional release order.</w:t>
      </w:r>
      <w:r w:rsidR="00B201B1">
        <w:rPr>
          <w:rFonts w:ascii="Arial" w:hAnsi="Arial" w:cs="Arial"/>
          <w:lang w:val="en-GB"/>
        </w:rPr>
        <w:t xml:space="preserve"> </w:t>
      </w:r>
      <w:r w:rsidR="00B5688C">
        <w:rPr>
          <w:rFonts w:ascii="Arial" w:hAnsi="Arial" w:cs="Arial"/>
          <w:lang w:val="en-GB"/>
        </w:rPr>
        <w:t>In</w:t>
      </w:r>
      <w:r w:rsidR="00450884" w:rsidRPr="00450884">
        <w:rPr>
          <w:rFonts w:ascii="Arial" w:hAnsi="Arial" w:cs="Arial"/>
          <w:lang w:val="en-GB"/>
        </w:rPr>
        <w:t xml:space="preserve"> November 2011, the Review Board recommended to the </w:t>
      </w:r>
      <w:r w:rsidR="0043367A">
        <w:rPr>
          <w:rFonts w:ascii="Arial" w:hAnsi="Arial" w:cs="Arial"/>
          <w:lang w:val="en-GB"/>
        </w:rPr>
        <w:t>authorities</w:t>
      </w:r>
      <w:r w:rsidR="00450884" w:rsidRPr="00450884">
        <w:rPr>
          <w:rFonts w:ascii="Arial" w:hAnsi="Arial" w:cs="Arial"/>
          <w:lang w:val="en-GB"/>
        </w:rPr>
        <w:t xml:space="preserve"> that the author be conditionally released into an accommodation support service. </w:t>
      </w:r>
      <w:r w:rsidR="0043367A">
        <w:rPr>
          <w:rFonts w:ascii="Arial" w:hAnsi="Arial" w:cs="Arial"/>
          <w:lang w:val="en-GB"/>
        </w:rPr>
        <w:t>T</w:t>
      </w:r>
      <w:r w:rsidR="00450884" w:rsidRPr="00450884">
        <w:rPr>
          <w:rFonts w:ascii="Arial" w:hAnsi="Arial" w:cs="Arial"/>
          <w:lang w:val="en-GB"/>
        </w:rPr>
        <w:t>he author was released subject to 10 conditions</w:t>
      </w:r>
      <w:r w:rsidR="00B5688C" w:rsidRPr="00B5688C">
        <w:rPr>
          <w:rFonts w:ascii="Arial" w:hAnsi="Arial" w:cs="Arial"/>
          <w:lang w:val="en-GB"/>
        </w:rPr>
        <w:t xml:space="preserve"> </w:t>
      </w:r>
      <w:r w:rsidR="00B5688C">
        <w:rPr>
          <w:rFonts w:ascii="Arial" w:hAnsi="Arial" w:cs="Arial"/>
          <w:lang w:val="en-GB"/>
        </w:rPr>
        <w:t>in</w:t>
      </w:r>
      <w:r w:rsidR="00B5688C" w:rsidRPr="00450884">
        <w:rPr>
          <w:rFonts w:ascii="Arial" w:hAnsi="Arial" w:cs="Arial"/>
          <w:lang w:val="en-GB"/>
        </w:rPr>
        <w:t xml:space="preserve"> January 2012</w:t>
      </w:r>
      <w:r w:rsidR="00FE4628">
        <w:rPr>
          <w:rFonts w:ascii="Arial" w:hAnsi="Arial" w:cs="Arial"/>
          <w:lang w:val="en-GB"/>
        </w:rPr>
        <w:t>.</w:t>
      </w:r>
    </w:p>
    <w:p w14:paraId="4FC4FEA5" w14:textId="77777777" w:rsidR="00EA3ADF" w:rsidRPr="00EA3ADF" w:rsidRDefault="00EA3ADF" w:rsidP="00EA3ADF">
      <w:pPr>
        <w:spacing w:after="120"/>
        <w:jc w:val="both"/>
        <w:rPr>
          <w:rFonts w:ascii="Arial" w:hAnsi="Arial" w:cs="Arial"/>
          <w:lang w:val="en-GB"/>
        </w:rPr>
      </w:pPr>
    </w:p>
    <w:p w14:paraId="5369F2A8" w14:textId="77777777" w:rsidR="00DD462D" w:rsidRPr="0001181D" w:rsidRDefault="00DD462D" w:rsidP="00DD462D">
      <w:pPr>
        <w:spacing w:after="120"/>
        <w:jc w:val="both"/>
        <w:rPr>
          <w:rFonts w:ascii="Arial" w:hAnsi="Arial" w:cs="Arial"/>
          <w:sz w:val="28"/>
          <w:szCs w:val="28"/>
          <w:lang w:val="en-GB"/>
        </w:rPr>
      </w:pPr>
      <w:r w:rsidRPr="0001181D">
        <w:rPr>
          <w:rFonts w:ascii="Arial" w:hAnsi="Arial" w:cs="Arial"/>
          <w:sz w:val="28"/>
          <w:szCs w:val="28"/>
          <w:lang w:val="en-GB"/>
        </w:rPr>
        <w:t>The complaint submitted to the Committee</w:t>
      </w:r>
    </w:p>
    <w:p w14:paraId="228EF465" w14:textId="77777777" w:rsidR="00DD462D" w:rsidRPr="0074405F" w:rsidRDefault="00DD462D" w:rsidP="00EA3ADF">
      <w:pPr>
        <w:spacing w:after="120"/>
        <w:jc w:val="both"/>
        <w:rPr>
          <w:rFonts w:ascii="Arial" w:hAnsi="Arial" w:cs="Arial"/>
          <w:szCs w:val="20"/>
          <w:lang w:val="en-GB"/>
        </w:rPr>
      </w:pPr>
      <w:r w:rsidRPr="0074405F">
        <w:rPr>
          <w:rFonts w:ascii="Arial" w:hAnsi="Arial" w:cs="Arial"/>
          <w:lang w:val="en-GB"/>
        </w:rPr>
        <w:t>The author claims that State has breached its obligations unde</w:t>
      </w:r>
      <w:r w:rsidR="00756B92">
        <w:rPr>
          <w:rFonts w:ascii="Arial" w:hAnsi="Arial" w:cs="Arial"/>
          <w:lang w:val="en-GB"/>
        </w:rPr>
        <w:t>r a</w:t>
      </w:r>
      <w:r w:rsidRPr="0074405F">
        <w:rPr>
          <w:rFonts w:ascii="Arial" w:hAnsi="Arial" w:cs="Arial"/>
          <w:lang w:val="en-GB"/>
        </w:rPr>
        <w:t>rticles</w:t>
      </w:r>
      <w:r w:rsidRPr="0074405F">
        <w:rPr>
          <w:rFonts w:ascii="Arial" w:hAnsi="Arial" w:cs="Arial"/>
          <w:szCs w:val="20"/>
          <w:lang w:val="en-GB"/>
        </w:rPr>
        <w:t xml:space="preserve"> </w:t>
      </w:r>
      <w:hyperlink r:id="rId27" w:anchor="5" w:history="1">
        <w:r w:rsidR="0074405F" w:rsidRPr="0074405F">
          <w:rPr>
            <w:rStyle w:val="Hyperlink"/>
            <w:rFonts w:ascii="Arial" w:hAnsi="Arial" w:cs="Arial"/>
            <w:szCs w:val="20"/>
            <w:lang w:val="en-GB"/>
          </w:rPr>
          <w:t>5 (1)</w:t>
        </w:r>
      </w:hyperlink>
      <w:r w:rsidR="0074405F" w:rsidRPr="0074405F">
        <w:rPr>
          <w:rFonts w:ascii="Arial" w:hAnsi="Arial" w:cs="Arial"/>
          <w:szCs w:val="20"/>
          <w:lang w:val="en-GB"/>
        </w:rPr>
        <w:t xml:space="preserve">, </w:t>
      </w:r>
      <w:hyperlink r:id="rId28" w:anchor="12" w:history="1">
        <w:r w:rsidR="0074405F" w:rsidRPr="0074405F">
          <w:rPr>
            <w:rStyle w:val="Hyperlink"/>
            <w:rFonts w:ascii="Arial" w:hAnsi="Arial" w:cs="Arial"/>
            <w:szCs w:val="20"/>
            <w:lang w:val="en-GB"/>
          </w:rPr>
          <w:t>12</w:t>
        </w:r>
      </w:hyperlink>
      <w:r w:rsidR="0074405F" w:rsidRPr="0074405F">
        <w:rPr>
          <w:rFonts w:ascii="Arial" w:hAnsi="Arial" w:cs="Arial"/>
          <w:szCs w:val="20"/>
          <w:lang w:val="en-GB"/>
        </w:rPr>
        <w:t xml:space="preserve">, </w:t>
      </w:r>
      <w:hyperlink r:id="rId29" w:anchor="13" w:history="1">
        <w:r w:rsidR="0074405F" w:rsidRPr="0074405F">
          <w:rPr>
            <w:rStyle w:val="Hyperlink"/>
            <w:rFonts w:ascii="Arial" w:hAnsi="Arial" w:cs="Arial"/>
            <w:szCs w:val="20"/>
            <w:lang w:val="en-GB"/>
          </w:rPr>
          <w:t>13</w:t>
        </w:r>
      </w:hyperlink>
      <w:r w:rsidR="0074405F" w:rsidRPr="0074405F">
        <w:rPr>
          <w:rFonts w:ascii="Arial" w:hAnsi="Arial" w:cs="Arial"/>
          <w:szCs w:val="20"/>
          <w:lang w:val="en-GB"/>
        </w:rPr>
        <w:t xml:space="preserve">, </w:t>
      </w:r>
      <w:hyperlink r:id="rId30" w:anchor="14" w:history="1">
        <w:r w:rsidR="0074405F" w:rsidRPr="0074405F">
          <w:rPr>
            <w:rStyle w:val="Hyperlink"/>
            <w:rFonts w:ascii="Arial" w:hAnsi="Arial" w:cs="Arial"/>
            <w:szCs w:val="20"/>
            <w:lang w:val="en-GB"/>
          </w:rPr>
          <w:t>14 (1) (b)</w:t>
        </w:r>
      </w:hyperlink>
      <w:r w:rsidR="0074405F" w:rsidRPr="0074405F">
        <w:rPr>
          <w:rFonts w:ascii="Arial" w:hAnsi="Arial" w:cs="Arial"/>
          <w:szCs w:val="20"/>
          <w:lang w:val="en-GB"/>
        </w:rPr>
        <w:t xml:space="preserve">, </w:t>
      </w:r>
      <w:hyperlink r:id="rId31" w:anchor="14" w:history="1">
        <w:r w:rsidR="0074405F" w:rsidRPr="0074405F">
          <w:rPr>
            <w:rStyle w:val="Hyperlink"/>
            <w:rFonts w:ascii="Arial" w:hAnsi="Arial" w:cs="Arial"/>
            <w:szCs w:val="20"/>
            <w:lang w:val="en-GB"/>
          </w:rPr>
          <w:t>14 (2)</w:t>
        </w:r>
      </w:hyperlink>
      <w:r w:rsidR="0074405F" w:rsidRPr="0074405F">
        <w:rPr>
          <w:rFonts w:ascii="Arial" w:hAnsi="Arial" w:cs="Arial"/>
          <w:szCs w:val="20"/>
          <w:lang w:val="en-GB"/>
        </w:rPr>
        <w:t xml:space="preserve"> and </w:t>
      </w:r>
      <w:hyperlink r:id="rId32" w:anchor="15" w:history="1">
        <w:r w:rsidR="0074405F" w:rsidRPr="0074405F">
          <w:rPr>
            <w:rStyle w:val="Hyperlink"/>
            <w:rFonts w:ascii="Arial" w:hAnsi="Arial" w:cs="Arial"/>
            <w:szCs w:val="20"/>
            <w:lang w:val="en-GB"/>
          </w:rPr>
          <w:t>15</w:t>
        </w:r>
      </w:hyperlink>
      <w:r w:rsidR="0074405F" w:rsidRPr="0074405F">
        <w:rPr>
          <w:rFonts w:ascii="Arial" w:hAnsi="Arial" w:cs="Arial"/>
          <w:szCs w:val="20"/>
          <w:lang w:val="en-GB"/>
        </w:rPr>
        <w:t xml:space="preserve"> o</w:t>
      </w:r>
      <w:r w:rsidRPr="0074405F">
        <w:rPr>
          <w:rFonts w:ascii="Arial" w:hAnsi="Arial" w:cs="Arial"/>
          <w:szCs w:val="20"/>
          <w:lang w:val="en-GB"/>
        </w:rPr>
        <w:t>f the CRPD.</w:t>
      </w:r>
    </w:p>
    <w:p w14:paraId="6142869B" w14:textId="77777777" w:rsidR="00DD462D" w:rsidRDefault="0058730E" w:rsidP="00EA3ADF">
      <w:pPr>
        <w:spacing w:after="120"/>
        <w:jc w:val="both"/>
        <w:rPr>
          <w:rFonts w:ascii="Arial" w:hAnsi="Arial" w:cs="Arial"/>
          <w:lang w:val="en-GB"/>
        </w:rPr>
      </w:pPr>
      <w:r w:rsidRPr="004C4E79">
        <w:rPr>
          <w:rFonts w:ascii="Arial" w:hAnsi="Arial" w:cs="Arial"/>
          <w:szCs w:val="20"/>
          <w:u w:val="single"/>
          <w:lang w:val="en-GB"/>
        </w:rPr>
        <w:lastRenderedPageBreak/>
        <w:t>Regarding</w:t>
      </w:r>
      <w:r w:rsidR="00ED76A2">
        <w:rPr>
          <w:rFonts w:ascii="Arial" w:hAnsi="Arial" w:cs="Arial"/>
          <w:szCs w:val="20"/>
          <w:u w:val="single"/>
          <w:lang w:val="en-GB"/>
        </w:rPr>
        <w:t xml:space="preserve"> a</w:t>
      </w:r>
      <w:r w:rsidR="00DD462D" w:rsidRPr="004C4E79">
        <w:rPr>
          <w:rFonts w:ascii="Arial" w:hAnsi="Arial" w:cs="Arial"/>
          <w:szCs w:val="20"/>
          <w:u w:val="single"/>
          <w:lang w:val="en-GB"/>
        </w:rPr>
        <w:t xml:space="preserve">rticle </w:t>
      </w:r>
      <w:r w:rsidR="004C4E79" w:rsidRPr="004C4E79">
        <w:rPr>
          <w:rFonts w:ascii="Arial" w:hAnsi="Arial" w:cs="Arial"/>
          <w:szCs w:val="20"/>
          <w:u w:val="single"/>
          <w:lang w:val="en-GB"/>
        </w:rPr>
        <w:t>5</w:t>
      </w:r>
      <w:r w:rsidR="00F41CED" w:rsidRPr="004C4E79">
        <w:rPr>
          <w:rFonts w:ascii="Arial" w:hAnsi="Arial" w:cs="Arial"/>
          <w:szCs w:val="20"/>
          <w:lang w:val="en-GB"/>
        </w:rPr>
        <w:t xml:space="preserve">, </w:t>
      </w:r>
      <w:r w:rsidR="00DD462D" w:rsidRPr="004C4E79">
        <w:rPr>
          <w:rFonts w:ascii="Arial" w:hAnsi="Arial" w:cs="Arial"/>
          <w:szCs w:val="20"/>
          <w:lang w:val="en-GB"/>
        </w:rPr>
        <w:t xml:space="preserve">he argues </w:t>
      </w:r>
      <w:r w:rsidR="00662056" w:rsidRPr="004C4E79">
        <w:rPr>
          <w:rFonts w:ascii="Arial" w:hAnsi="Arial" w:cs="Arial"/>
          <w:lang w:val="en-GB"/>
        </w:rPr>
        <w:t xml:space="preserve">that </w:t>
      </w:r>
      <w:r w:rsidR="004C4E79" w:rsidRPr="004C4E79">
        <w:rPr>
          <w:rFonts w:ascii="Arial" w:hAnsi="Arial" w:cs="Arial"/>
          <w:lang w:val="en-GB"/>
        </w:rPr>
        <w:t xml:space="preserve">the Mentally Impaired Defendants Act </w:t>
      </w:r>
      <w:r w:rsidR="006C788A">
        <w:rPr>
          <w:rFonts w:ascii="Arial" w:hAnsi="Arial" w:cs="Arial"/>
          <w:lang w:val="en-GB"/>
        </w:rPr>
        <w:t>(</w:t>
      </w:r>
      <w:r w:rsidR="00F820CC">
        <w:rPr>
          <w:rFonts w:ascii="Arial" w:hAnsi="Arial" w:cs="Arial"/>
          <w:lang w:val="en-GB"/>
        </w:rPr>
        <w:t xml:space="preserve">hereafter, </w:t>
      </w:r>
      <w:r w:rsidR="006C788A">
        <w:rPr>
          <w:rFonts w:ascii="Arial" w:hAnsi="Arial" w:cs="Arial"/>
          <w:lang w:val="en-GB"/>
        </w:rPr>
        <w:t xml:space="preserve">the Act) </w:t>
      </w:r>
      <w:r w:rsidR="004C4E79" w:rsidRPr="004C4E79">
        <w:rPr>
          <w:rFonts w:ascii="Arial" w:hAnsi="Arial" w:cs="Arial"/>
          <w:lang w:val="en-GB"/>
        </w:rPr>
        <w:t>constitutes a discriminatory status-based law in violation of article 5 (1)</w:t>
      </w:r>
      <w:r w:rsidR="00662056" w:rsidRPr="004C4E79">
        <w:rPr>
          <w:rFonts w:ascii="Arial" w:hAnsi="Arial" w:cs="Arial"/>
          <w:lang w:val="en-GB"/>
        </w:rPr>
        <w:t>.</w:t>
      </w:r>
      <w:r w:rsidR="002B7A33">
        <w:rPr>
          <w:rFonts w:ascii="Arial" w:hAnsi="Arial" w:cs="Arial"/>
          <w:lang w:val="en-GB"/>
        </w:rPr>
        <w:t xml:space="preserve"> </w:t>
      </w:r>
      <w:r w:rsidR="002B7A33" w:rsidRPr="002B7A33">
        <w:rPr>
          <w:rFonts w:ascii="Arial" w:hAnsi="Arial" w:cs="Arial"/>
          <w:lang w:val="en-GB"/>
        </w:rPr>
        <w:t>He considers that once a person is found unfit to plead</w:t>
      </w:r>
      <w:r w:rsidR="00F66B17">
        <w:rPr>
          <w:rFonts w:ascii="Arial" w:hAnsi="Arial" w:cs="Arial"/>
          <w:lang w:val="en-GB"/>
        </w:rPr>
        <w:t xml:space="preserve">, </w:t>
      </w:r>
      <w:r w:rsidR="004A4973">
        <w:rPr>
          <w:rFonts w:ascii="Arial" w:hAnsi="Arial" w:cs="Arial"/>
          <w:lang w:val="en-GB"/>
        </w:rPr>
        <w:t>previous compliance with</w:t>
      </w:r>
      <w:r w:rsidR="00F66B17">
        <w:rPr>
          <w:rFonts w:ascii="Arial" w:hAnsi="Arial" w:cs="Arial"/>
          <w:lang w:val="en-GB"/>
        </w:rPr>
        <w:t xml:space="preserve"> some requirements, t</w:t>
      </w:r>
      <w:r w:rsidR="00F66B17" w:rsidRPr="00F66B17">
        <w:rPr>
          <w:rFonts w:ascii="Arial" w:hAnsi="Arial" w:cs="Arial"/>
          <w:lang w:val="en-GB"/>
        </w:rPr>
        <w:t xml:space="preserve">he judge then has the possibility to release the defendant or, as in the author’s case, to </w:t>
      </w:r>
      <w:r w:rsidR="00984318">
        <w:rPr>
          <w:rFonts w:ascii="Arial" w:hAnsi="Arial" w:cs="Arial"/>
          <w:lang w:val="en-GB"/>
        </w:rPr>
        <w:t xml:space="preserve">order his </w:t>
      </w:r>
      <w:r w:rsidR="00F66B17" w:rsidRPr="00F66B17">
        <w:rPr>
          <w:rFonts w:ascii="Arial" w:hAnsi="Arial" w:cs="Arial"/>
          <w:lang w:val="en-GB"/>
        </w:rPr>
        <w:t>custody</w:t>
      </w:r>
      <w:r w:rsidR="00593D27">
        <w:rPr>
          <w:rFonts w:ascii="Arial" w:hAnsi="Arial" w:cs="Arial"/>
          <w:lang w:val="en-GB"/>
        </w:rPr>
        <w:t xml:space="preserve">. </w:t>
      </w:r>
      <w:r w:rsidR="00593D27" w:rsidRPr="00593D27">
        <w:rPr>
          <w:rFonts w:ascii="Arial" w:hAnsi="Arial" w:cs="Arial"/>
          <w:lang w:val="en-GB"/>
        </w:rPr>
        <w:t>No limits exist as to the</w:t>
      </w:r>
      <w:r w:rsidR="00593D27">
        <w:rPr>
          <w:rFonts w:ascii="Arial" w:hAnsi="Arial" w:cs="Arial"/>
          <w:lang w:val="en-GB"/>
        </w:rPr>
        <w:t xml:space="preserve"> duration of the custody order,</w:t>
      </w:r>
      <w:r w:rsidR="00593D27" w:rsidRPr="00593D27">
        <w:rPr>
          <w:rFonts w:ascii="Arial" w:hAnsi="Arial" w:cs="Arial"/>
          <w:lang w:val="en-GB"/>
        </w:rPr>
        <w:t xml:space="preserve"> and once declared unfit to plead, the defendant has no possibility of exercising his or her le</w:t>
      </w:r>
      <w:r w:rsidR="00956629">
        <w:rPr>
          <w:rFonts w:ascii="Arial" w:hAnsi="Arial" w:cs="Arial"/>
          <w:lang w:val="en-GB"/>
        </w:rPr>
        <w:t>gal capacity before the courts, in particular to plead</w:t>
      </w:r>
      <w:r w:rsidR="00593D27" w:rsidRPr="00593D27">
        <w:rPr>
          <w:rFonts w:ascii="Arial" w:hAnsi="Arial" w:cs="Arial"/>
          <w:lang w:val="en-GB"/>
        </w:rPr>
        <w:t xml:space="preserve"> not guilty and </w:t>
      </w:r>
      <w:r w:rsidR="00956629">
        <w:rPr>
          <w:rFonts w:ascii="Arial" w:hAnsi="Arial" w:cs="Arial"/>
          <w:lang w:val="en-GB"/>
        </w:rPr>
        <w:t>test</w:t>
      </w:r>
      <w:r w:rsidR="00593D27" w:rsidRPr="00593D27">
        <w:rPr>
          <w:rFonts w:ascii="Arial" w:hAnsi="Arial" w:cs="Arial"/>
          <w:lang w:val="en-GB"/>
        </w:rPr>
        <w:t xml:space="preserve"> the evidence against him or her</w:t>
      </w:r>
      <w:r w:rsidR="00956629">
        <w:rPr>
          <w:rFonts w:ascii="Arial" w:hAnsi="Arial" w:cs="Arial"/>
          <w:lang w:val="en-GB"/>
        </w:rPr>
        <w:t>.</w:t>
      </w:r>
    </w:p>
    <w:p w14:paraId="5032BFD3" w14:textId="334DD85A" w:rsidR="00956629" w:rsidRPr="004C4E79" w:rsidRDefault="00ED76A2" w:rsidP="00EA3ADF">
      <w:pPr>
        <w:spacing w:after="120"/>
        <w:jc w:val="both"/>
        <w:rPr>
          <w:rFonts w:ascii="Arial" w:hAnsi="Arial" w:cs="Arial"/>
          <w:lang w:val="en-GB"/>
        </w:rPr>
      </w:pPr>
      <w:r>
        <w:rPr>
          <w:rFonts w:ascii="Arial" w:hAnsi="Arial" w:cs="Arial"/>
          <w:szCs w:val="20"/>
          <w:u w:val="single"/>
          <w:lang w:val="en-GB"/>
        </w:rPr>
        <w:t>Regarding a</w:t>
      </w:r>
      <w:r w:rsidR="00956629" w:rsidRPr="004C4E79">
        <w:rPr>
          <w:rFonts w:ascii="Arial" w:hAnsi="Arial" w:cs="Arial"/>
          <w:szCs w:val="20"/>
          <w:u w:val="single"/>
          <w:lang w:val="en-GB"/>
        </w:rPr>
        <w:t>rticle</w:t>
      </w:r>
      <w:r w:rsidR="002B2E2D">
        <w:rPr>
          <w:rFonts w:ascii="Arial" w:hAnsi="Arial" w:cs="Arial"/>
          <w:szCs w:val="20"/>
          <w:u w:val="single"/>
          <w:lang w:val="en-GB"/>
        </w:rPr>
        <w:t>s</w:t>
      </w:r>
      <w:r w:rsidR="00956629" w:rsidRPr="004C4E79">
        <w:rPr>
          <w:rFonts w:ascii="Arial" w:hAnsi="Arial" w:cs="Arial"/>
          <w:szCs w:val="20"/>
          <w:u w:val="single"/>
          <w:lang w:val="en-GB"/>
        </w:rPr>
        <w:t xml:space="preserve"> </w:t>
      </w:r>
      <w:r w:rsidR="00956629">
        <w:rPr>
          <w:rFonts w:ascii="Arial" w:hAnsi="Arial" w:cs="Arial"/>
          <w:szCs w:val="20"/>
          <w:u w:val="single"/>
          <w:lang w:val="en-GB"/>
        </w:rPr>
        <w:t>12</w:t>
      </w:r>
      <w:r w:rsidR="002B2E2D">
        <w:rPr>
          <w:rFonts w:ascii="Arial" w:hAnsi="Arial" w:cs="Arial"/>
          <w:szCs w:val="20"/>
          <w:u w:val="single"/>
          <w:lang w:val="en-GB"/>
        </w:rPr>
        <w:t xml:space="preserve"> (3) and 13 (1)</w:t>
      </w:r>
      <w:r w:rsidR="00956629" w:rsidRPr="004C4E79">
        <w:rPr>
          <w:rFonts w:ascii="Arial" w:hAnsi="Arial" w:cs="Arial"/>
          <w:szCs w:val="20"/>
          <w:lang w:val="en-GB"/>
        </w:rPr>
        <w:t xml:space="preserve">, </w:t>
      </w:r>
      <w:r w:rsidR="00C73868" w:rsidRPr="00C73868">
        <w:rPr>
          <w:rFonts w:ascii="Arial" w:hAnsi="Arial" w:cs="Arial"/>
          <w:szCs w:val="20"/>
          <w:lang w:val="en-GB"/>
        </w:rPr>
        <w:t xml:space="preserve">the author </w:t>
      </w:r>
      <w:r w:rsidR="00F83D04">
        <w:rPr>
          <w:rFonts w:ascii="Arial" w:hAnsi="Arial" w:cs="Arial"/>
          <w:szCs w:val="20"/>
          <w:lang w:val="en-GB"/>
        </w:rPr>
        <w:t>argues that his</w:t>
      </w:r>
      <w:r w:rsidR="00C73868">
        <w:rPr>
          <w:rFonts w:ascii="Arial" w:hAnsi="Arial" w:cs="Arial"/>
          <w:szCs w:val="20"/>
          <w:lang w:val="en-GB"/>
        </w:rPr>
        <w:t xml:space="preserve"> </w:t>
      </w:r>
      <w:r w:rsidR="00C73868" w:rsidRPr="00C73868">
        <w:rPr>
          <w:rFonts w:ascii="Arial" w:hAnsi="Arial" w:cs="Arial"/>
          <w:szCs w:val="20"/>
          <w:lang w:val="en-GB"/>
        </w:rPr>
        <w:t>“unfit to plead”</w:t>
      </w:r>
      <w:r w:rsidR="00F83D04">
        <w:rPr>
          <w:rFonts w:ascii="Arial" w:hAnsi="Arial" w:cs="Arial"/>
          <w:szCs w:val="20"/>
          <w:lang w:val="en-GB"/>
        </w:rPr>
        <w:t xml:space="preserve"> status has meant a </w:t>
      </w:r>
      <w:r w:rsidR="00C73868" w:rsidRPr="00C73868">
        <w:rPr>
          <w:rFonts w:ascii="Arial" w:hAnsi="Arial" w:cs="Arial"/>
          <w:szCs w:val="20"/>
          <w:lang w:val="en-GB"/>
        </w:rPr>
        <w:t>violation of his right to enjoy legal capacity</w:t>
      </w:r>
      <w:r w:rsidR="002B2E2D">
        <w:rPr>
          <w:rFonts w:ascii="Arial" w:hAnsi="Arial" w:cs="Arial"/>
          <w:szCs w:val="20"/>
          <w:lang w:val="en-GB"/>
        </w:rPr>
        <w:t xml:space="preserve">. </w:t>
      </w:r>
      <w:r w:rsidR="002B2E2D" w:rsidRPr="002B2E2D">
        <w:rPr>
          <w:rFonts w:ascii="Arial" w:hAnsi="Arial" w:cs="Arial"/>
          <w:szCs w:val="20"/>
          <w:lang w:val="en-GB"/>
        </w:rPr>
        <w:t xml:space="preserve">He also submits that he continues to be deprived of the </w:t>
      </w:r>
      <w:r w:rsidR="005A6F11">
        <w:rPr>
          <w:rFonts w:ascii="Arial" w:hAnsi="Arial" w:cs="Arial"/>
          <w:szCs w:val="20"/>
          <w:lang w:val="en-GB"/>
        </w:rPr>
        <w:t>procedural</w:t>
      </w:r>
      <w:r w:rsidR="002B2E2D" w:rsidRPr="002B2E2D">
        <w:rPr>
          <w:rFonts w:ascii="Arial" w:hAnsi="Arial" w:cs="Arial"/>
          <w:szCs w:val="20"/>
          <w:lang w:val="en-GB"/>
        </w:rPr>
        <w:t xml:space="preserve"> accommodation he requires to exercise</w:t>
      </w:r>
      <w:r w:rsidR="002B2E2D">
        <w:rPr>
          <w:rFonts w:ascii="Arial" w:hAnsi="Arial" w:cs="Arial"/>
          <w:szCs w:val="20"/>
          <w:lang w:val="en-GB"/>
        </w:rPr>
        <w:t xml:space="preserve"> </w:t>
      </w:r>
      <w:r w:rsidR="002B2E2D" w:rsidRPr="002B2E2D">
        <w:rPr>
          <w:rFonts w:ascii="Arial" w:hAnsi="Arial" w:cs="Arial"/>
          <w:szCs w:val="20"/>
          <w:lang w:val="en-GB"/>
        </w:rPr>
        <w:t>his legal capacity, to effectively enter a plea and to have the evidence against him tested</w:t>
      </w:r>
      <w:r w:rsidR="00C05A21">
        <w:rPr>
          <w:rFonts w:ascii="Arial" w:hAnsi="Arial" w:cs="Arial"/>
          <w:szCs w:val="20"/>
          <w:lang w:val="en-GB"/>
        </w:rPr>
        <w:t>.</w:t>
      </w:r>
    </w:p>
    <w:p w14:paraId="45F5E17C" w14:textId="77777777" w:rsidR="00DA706E" w:rsidRDefault="00ED76A2" w:rsidP="00EA3ADF">
      <w:pPr>
        <w:spacing w:after="120"/>
        <w:jc w:val="both"/>
        <w:rPr>
          <w:rFonts w:ascii="Arial" w:hAnsi="Arial" w:cs="Arial"/>
          <w:szCs w:val="20"/>
          <w:lang w:val="en-GB"/>
        </w:rPr>
      </w:pPr>
      <w:r>
        <w:rPr>
          <w:rFonts w:ascii="Arial" w:hAnsi="Arial" w:cs="Arial"/>
          <w:szCs w:val="20"/>
          <w:u w:val="single"/>
          <w:lang w:val="en-GB"/>
        </w:rPr>
        <w:t>Regarding a</w:t>
      </w:r>
      <w:r w:rsidR="00DA706E" w:rsidRPr="004C4E79">
        <w:rPr>
          <w:rFonts w:ascii="Arial" w:hAnsi="Arial" w:cs="Arial"/>
          <w:szCs w:val="20"/>
          <w:u w:val="single"/>
          <w:lang w:val="en-GB"/>
        </w:rPr>
        <w:t>rticle</w:t>
      </w:r>
      <w:r w:rsidR="00DA706E">
        <w:rPr>
          <w:rFonts w:ascii="Arial" w:hAnsi="Arial" w:cs="Arial"/>
          <w:szCs w:val="20"/>
          <w:u w:val="single"/>
          <w:lang w:val="en-GB"/>
        </w:rPr>
        <w:t xml:space="preserve"> </w:t>
      </w:r>
      <w:r w:rsidR="00DA706E" w:rsidRPr="00DA706E">
        <w:rPr>
          <w:rFonts w:ascii="Arial" w:hAnsi="Arial" w:cs="Arial"/>
          <w:szCs w:val="20"/>
          <w:u w:val="single"/>
          <w:lang w:val="en-GB"/>
        </w:rPr>
        <w:t>14 (1) (b)</w:t>
      </w:r>
      <w:r w:rsidR="00DA706E" w:rsidRPr="004C4E79">
        <w:rPr>
          <w:rFonts w:ascii="Arial" w:hAnsi="Arial" w:cs="Arial"/>
          <w:szCs w:val="20"/>
          <w:lang w:val="en-GB"/>
        </w:rPr>
        <w:t xml:space="preserve">, </w:t>
      </w:r>
      <w:r w:rsidR="00DA706E" w:rsidRPr="00C73868">
        <w:rPr>
          <w:rFonts w:ascii="Arial" w:hAnsi="Arial" w:cs="Arial"/>
          <w:szCs w:val="20"/>
          <w:lang w:val="en-GB"/>
        </w:rPr>
        <w:t>the</w:t>
      </w:r>
      <w:r w:rsidR="00DA706E">
        <w:rPr>
          <w:rFonts w:ascii="Arial" w:hAnsi="Arial" w:cs="Arial"/>
          <w:szCs w:val="20"/>
          <w:lang w:val="en-GB"/>
        </w:rPr>
        <w:t xml:space="preserve"> author </w:t>
      </w:r>
      <w:r w:rsidR="00F01918">
        <w:rPr>
          <w:rFonts w:ascii="Arial" w:hAnsi="Arial" w:cs="Arial"/>
          <w:szCs w:val="20"/>
          <w:lang w:val="en-GB"/>
        </w:rPr>
        <w:t xml:space="preserve">argues </w:t>
      </w:r>
      <w:r w:rsidR="00F01918" w:rsidRPr="00F01918">
        <w:rPr>
          <w:rFonts w:ascii="Arial" w:hAnsi="Arial" w:cs="Arial"/>
          <w:szCs w:val="20"/>
          <w:lang w:val="en-GB"/>
        </w:rPr>
        <w:t>he has been deprived of his liberty</w:t>
      </w:r>
      <w:r w:rsidR="00E87D7F">
        <w:rPr>
          <w:rFonts w:ascii="Arial" w:hAnsi="Arial" w:cs="Arial"/>
          <w:szCs w:val="20"/>
          <w:lang w:val="en-GB"/>
        </w:rPr>
        <w:t>,</w:t>
      </w:r>
      <w:r w:rsidR="00F01918" w:rsidRPr="00F01918">
        <w:rPr>
          <w:rFonts w:ascii="Arial" w:hAnsi="Arial" w:cs="Arial"/>
          <w:szCs w:val="20"/>
          <w:lang w:val="en-GB"/>
        </w:rPr>
        <w:t xml:space="preserve"> </w:t>
      </w:r>
      <w:r w:rsidR="00E87D7F" w:rsidRPr="00F01918">
        <w:rPr>
          <w:rFonts w:ascii="Arial" w:hAnsi="Arial" w:cs="Arial"/>
          <w:szCs w:val="20"/>
          <w:lang w:val="en-GB"/>
        </w:rPr>
        <w:t>on the basis of his disability</w:t>
      </w:r>
      <w:r w:rsidR="00E87D7F">
        <w:rPr>
          <w:rFonts w:ascii="Arial" w:hAnsi="Arial" w:cs="Arial"/>
          <w:szCs w:val="20"/>
          <w:lang w:val="en-GB"/>
        </w:rPr>
        <w:t>,</w:t>
      </w:r>
      <w:r w:rsidR="00E87D7F" w:rsidRPr="00F01918">
        <w:rPr>
          <w:rFonts w:ascii="Arial" w:hAnsi="Arial" w:cs="Arial"/>
          <w:szCs w:val="20"/>
          <w:lang w:val="en-GB"/>
        </w:rPr>
        <w:t xml:space="preserve"> </w:t>
      </w:r>
      <w:r w:rsidR="00F01918" w:rsidRPr="00F01918">
        <w:rPr>
          <w:rFonts w:ascii="Arial" w:hAnsi="Arial" w:cs="Arial"/>
          <w:szCs w:val="20"/>
          <w:lang w:val="en-GB"/>
        </w:rPr>
        <w:t xml:space="preserve">pursuant to the </w:t>
      </w:r>
      <w:r w:rsidR="0030288F">
        <w:rPr>
          <w:rFonts w:ascii="Arial" w:hAnsi="Arial" w:cs="Arial"/>
          <w:szCs w:val="20"/>
          <w:lang w:val="en-GB"/>
        </w:rPr>
        <w:t xml:space="preserve">Act. He points out that </w:t>
      </w:r>
      <w:r w:rsidR="00F01918" w:rsidRPr="00F01918">
        <w:rPr>
          <w:rFonts w:ascii="Arial" w:hAnsi="Arial" w:cs="Arial"/>
          <w:szCs w:val="20"/>
          <w:lang w:val="en-GB"/>
        </w:rPr>
        <w:t>it is unlikely that he would have been convicted for the off</w:t>
      </w:r>
      <w:r w:rsidR="0030288F">
        <w:rPr>
          <w:rFonts w:ascii="Arial" w:hAnsi="Arial" w:cs="Arial"/>
          <w:szCs w:val="20"/>
          <w:lang w:val="en-GB"/>
        </w:rPr>
        <w:t>ences with which he was charged and, even in that case,</w:t>
      </w:r>
      <w:r w:rsidR="00F01918" w:rsidRPr="00F01918">
        <w:rPr>
          <w:rFonts w:ascii="Arial" w:hAnsi="Arial" w:cs="Arial"/>
          <w:szCs w:val="20"/>
          <w:lang w:val="en-GB"/>
        </w:rPr>
        <w:t xml:space="preserve"> he would probably have been released from prison within 3 years. Instead, he was imprisoned together with convicted criminals for more than 10 years, and now remains subject to restrictive ci</w:t>
      </w:r>
      <w:r w:rsidR="0030288F">
        <w:rPr>
          <w:rFonts w:ascii="Arial" w:hAnsi="Arial" w:cs="Arial"/>
          <w:szCs w:val="20"/>
          <w:lang w:val="en-GB"/>
        </w:rPr>
        <w:t>vil detention in the community.</w:t>
      </w:r>
    </w:p>
    <w:p w14:paraId="04D8381A" w14:textId="77777777" w:rsidR="00DD462D" w:rsidRDefault="00ED76A2" w:rsidP="001777E5">
      <w:pPr>
        <w:spacing w:after="0"/>
        <w:jc w:val="both"/>
        <w:rPr>
          <w:rFonts w:ascii="Arial" w:hAnsi="Arial" w:cs="Arial"/>
          <w:szCs w:val="20"/>
          <w:lang w:val="en-GB"/>
        </w:rPr>
      </w:pPr>
      <w:r>
        <w:rPr>
          <w:rFonts w:ascii="Arial" w:hAnsi="Arial" w:cs="Arial"/>
          <w:szCs w:val="20"/>
          <w:u w:val="single"/>
          <w:lang w:val="en-GB"/>
        </w:rPr>
        <w:t>Regarding a</w:t>
      </w:r>
      <w:r w:rsidR="00781295" w:rsidRPr="004C4E79">
        <w:rPr>
          <w:rFonts w:ascii="Arial" w:hAnsi="Arial" w:cs="Arial"/>
          <w:szCs w:val="20"/>
          <w:u w:val="single"/>
          <w:lang w:val="en-GB"/>
        </w:rPr>
        <w:t>rticle</w:t>
      </w:r>
      <w:r w:rsidR="00ED4DC3">
        <w:rPr>
          <w:rFonts w:ascii="Arial" w:hAnsi="Arial" w:cs="Arial"/>
          <w:szCs w:val="20"/>
          <w:u w:val="single"/>
          <w:lang w:val="en-GB"/>
        </w:rPr>
        <w:t>s</w:t>
      </w:r>
      <w:r w:rsidR="00781295">
        <w:rPr>
          <w:rFonts w:ascii="Arial" w:hAnsi="Arial" w:cs="Arial"/>
          <w:szCs w:val="20"/>
          <w:u w:val="single"/>
          <w:lang w:val="en-GB"/>
        </w:rPr>
        <w:t xml:space="preserve"> 14 (2</w:t>
      </w:r>
      <w:r w:rsidR="00781295" w:rsidRPr="00DA706E">
        <w:rPr>
          <w:rFonts w:ascii="Arial" w:hAnsi="Arial" w:cs="Arial"/>
          <w:szCs w:val="20"/>
          <w:u w:val="single"/>
          <w:lang w:val="en-GB"/>
        </w:rPr>
        <w:t>)</w:t>
      </w:r>
      <w:r w:rsidR="00ED4DC3">
        <w:rPr>
          <w:rFonts w:ascii="Arial" w:hAnsi="Arial" w:cs="Arial"/>
          <w:szCs w:val="20"/>
          <w:u w:val="single"/>
          <w:lang w:val="en-GB"/>
        </w:rPr>
        <w:t xml:space="preserve"> and 15</w:t>
      </w:r>
      <w:r w:rsidR="00781295" w:rsidRPr="004C4E79">
        <w:rPr>
          <w:rFonts w:ascii="Arial" w:hAnsi="Arial" w:cs="Arial"/>
          <w:szCs w:val="20"/>
          <w:lang w:val="en-GB"/>
        </w:rPr>
        <w:t xml:space="preserve">, </w:t>
      </w:r>
      <w:r w:rsidR="00781295" w:rsidRPr="00C73868">
        <w:rPr>
          <w:rFonts w:ascii="Arial" w:hAnsi="Arial" w:cs="Arial"/>
          <w:szCs w:val="20"/>
          <w:lang w:val="en-GB"/>
        </w:rPr>
        <w:t>the</w:t>
      </w:r>
      <w:r w:rsidR="00781295">
        <w:rPr>
          <w:rFonts w:ascii="Arial" w:hAnsi="Arial" w:cs="Arial"/>
          <w:szCs w:val="20"/>
          <w:lang w:val="en-GB"/>
        </w:rPr>
        <w:t xml:space="preserve"> author </w:t>
      </w:r>
      <w:r w:rsidR="00781295" w:rsidRPr="00781295">
        <w:rPr>
          <w:rFonts w:ascii="Arial" w:hAnsi="Arial" w:cs="Arial"/>
          <w:szCs w:val="20"/>
          <w:lang w:val="en-GB"/>
        </w:rPr>
        <w:t>submits that he remains deprived of his liberty, but has not been convicted for any offence</w:t>
      </w:r>
      <w:r w:rsidR="00781295">
        <w:rPr>
          <w:rFonts w:ascii="Arial" w:hAnsi="Arial" w:cs="Arial"/>
          <w:szCs w:val="20"/>
          <w:lang w:val="en-GB"/>
        </w:rPr>
        <w:t>.</w:t>
      </w:r>
      <w:r w:rsidR="00ED4DC3">
        <w:rPr>
          <w:rFonts w:ascii="Arial" w:hAnsi="Arial" w:cs="Arial"/>
          <w:szCs w:val="20"/>
          <w:lang w:val="en-GB"/>
        </w:rPr>
        <w:t xml:space="preserve"> Furthermore, he </w:t>
      </w:r>
      <w:r w:rsidR="00ED4DC3" w:rsidRPr="00ED4DC3">
        <w:rPr>
          <w:rFonts w:ascii="Arial" w:hAnsi="Arial" w:cs="Arial"/>
          <w:szCs w:val="20"/>
          <w:lang w:val="en-GB"/>
        </w:rPr>
        <w:t>alleges that while he was in prison, he was at significant risk of harm from other prisoners, and that he now remains subjected to conditions that impose unjustifiable restrictions on his liberty</w:t>
      </w:r>
      <w:r w:rsidR="00ED4DC3">
        <w:rPr>
          <w:rFonts w:ascii="Arial" w:hAnsi="Arial" w:cs="Arial"/>
          <w:szCs w:val="20"/>
          <w:lang w:val="en-GB"/>
        </w:rPr>
        <w:t>.</w:t>
      </w:r>
    </w:p>
    <w:p w14:paraId="75ED000E" w14:textId="77777777" w:rsidR="00ED4DC3" w:rsidRPr="0077057D" w:rsidRDefault="00ED4DC3" w:rsidP="00DD462D">
      <w:pPr>
        <w:spacing w:after="0"/>
        <w:jc w:val="both"/>
        <w:rPr>
          <w:rFonts w:ascii="Arial" w:hAnsi="Arial" w:cs="Arial"/>
          <w:highlight w:val="lightGray"/>
          <w:lang w:val="en-GB"/>
        </w:rPr>
      </w:pPr>
    </w:p>
    <w:p w14:paraId="20280549" w14:textId="77777777" w:rsidR="008B6E7A" w:rsidRPr="00E56B1F" w:rsidRDefault="00DD462D" w:rsidP="008B6E7A">
      <w:pPr>
        <w:spacing w:after="120"/>
        <w:jc w:val="both"/>
        <w:rPr>
          <w:rFonts w:ascii="Arial" w:hAnsi="Arial" w:cs="Arial"/>
          <w:sz w:val="28"/>
          <w:szCs w:val="28"/>
          <w:lang w:val="en-GB"/>
        </w:rPr>
      </w:pPr>
      <w:r w:rsidRPr="00E56B1F">
        <w:rPr>
          <w:rFonts w:ascii="Arial" w:hAnsi="Arial" w:cs="Arial"/>
          <w:sz w:val="28"/>
          <w:szCs w:val="28"/>
          <w:lang w:val="en-GB"/>
        </w:rPr>
        <w:t>State party’s observations on the admissibility and merits</w:t>
      </w:r>
    </w:p>
    <w:p w14:paraId="3A5F8016" w14:textId="77777777" w:rsidR="00B174CB" w:rsidRDefault="00EB7A5F" w:rsidP="001777E5">
      <w:pPr>
        <w:spacing w:after="120"/>
        <w:jc w:val="both"/>
        <w:rPr>
          <w:rFonts w:ascii="Arial" w:hAnsi="Arial" w:cs="Arial"/>
          <w:lang w:val="en-GB"/>
        </w:rPr>
      </w:pPr>
      <w:r w:rsidRPr="00EB7A5F">
        <w:rPr>
          <w:rFonts w:ascii="Arial" w:hAnsi="Arial" w:cs="Arial"/>
          <w:lang w:val="en-GB"/>
        </w:rPr>
        <w:t xml:space="preserve">The State considers that under article 2 (f) of the </w:t>
      </w:r>
      <w:r w:rsidR="00B273E2">
        <w:rPr>
          <w:rFonts w:ascii="Arial" w:hAnsi="Arial" w:cs="Arial"/>
          <w:lang w:val="en-GB"/>
        </w:rPr>
        <w:t>OP</w:t>
      </w:r>
      <w:r w:rsidRPr="00EB7A5F">
        <w:rPr>
          <w:rFonts w:ascii="Arial" w:hAnsi="Arial" w:cs="Arial"/>
          <w:lang w:val="en-GB"/>
        </w:rPr>
        <w:t xml:space="preserve">, the temporal mandate of the Committee is applicable only in respect of events that occurred on or after September 2009, when the </w:t>
      </w:r>
      <w:r w:rsidR="00B273E2">
        <w:rPr>
          <w:rFonts w:ascii="Arial" w:hAnsi="Arial" w:cs="Arial"/>
          <w:lang w:val="en-GB"/>
        </w:rPr>
        <w:t>OP</w:t>
      </w:r>
      <w:r w:rsidRPr="00EB7A5F">
        <w:rPr>
          <w:rFonts w:ascii="Arial" w:hAnsi="Arial" w:cs="Arial"/>
          <w:lang w:val="en-GB"/>
        </w:rPr>
        <w:t xml:space="preserve"> entered into force for Australia</w:t>
      </w:r>
      <w:r>
        <w:rPr>
          <w:rFonts w:ascii="Arial" w:hAnsi="Arial" w:cs="Arial"/>
          <w:lang w:val="en-GB"/>
        </w:rPr>
        <w:t>.</w:t>
      </w:r>
      <w:r w:rsidR="00CC7E1C">
        <w:rPr>
          <w:rFonts w:ascii="Arial" w:hAnsi="Arial" w:cs="Arial"/>
          <w:lang w:val="en-GB"/>
        </w:rPr>
        <w:t xml:space="preserve"> </w:t>
      </w:r>
      <w:r w:rsidR="00B174CB" w:rsidRPr="00B174CB">
        <w:rPr>
          <w:rFonts w:ascii="Arial" w:hAnsi="Arial" w:cs="Arial"/>
          <w:lang w:val="en-GB"/>
        </w:rPr>
        <w:t>The State accepts the facts as stated by the author</w:t>
      </w:r>
      <w:r w:rsidR="00B174CB">
        <w:rPr>
          <w:rFonts w:ascii="Arial" w:hAnsi="Arial" w:cs="Arial"/>
          <w:lang w:val="en-GB"/>
        </w:rPr>
        <w:t>.</w:t>
      </w:r>
      <w:r w:rsidR="009771CC">
        <w:rPr>
          <w:rFonts w:ascii="Arial" w:hAnsi="Arial" w:cs="Arial"/>
          <w:lang w:val="en-GB"/>
        </w:rPr>
        <w:t xml:space="preserve"> Nonetheless, the State </w:t>
      </w:r>
      <w:r w:rsidR="009771CC" w:rsidRPr="009771CC">
        <w:rPr>
          <w:rFonts w:ascii="Arial" w:hAnsi="Arial" w:cs="Arial"/>
          <w:lang w:val="en-GB"/>
        </w:rPr>
        <w:t xml:space="preserve">reports that </w:t>
      </w:r>
      <w:r w:rsidR="00CA52E9">
        <w:rPr>
          <w:rFonts w:ascii="Arial" w:hAnsi="Arial" w:cs="Arial"/>
          <w:lang w:val="en-GB"/>
        </w:rPr>
        <w:t>the</w:t>
      </w:r>
      <w:r w:rsidR="00C74328" w:rsidRPr="00C74328">
        <w:rPr>
          <w:rFonts w:ascii="Arial" w:hAnsi="Arial" w:cs="Arial"/>
          <w:lang w:val="en-GB"/>
        </w:rPr>
        <w:t xml:space="preserve"> </w:t>
      </w:r>
      <w:r w:rsidR="00CA52E9">
        <w:rPr>
          <w:rFonts w:ascii="Arial" w:hAnsi="Arial" w:cs="Arial"/>
          <w:lang w:val="en-GB"/>
        </w:rPr>
        <w:t>court, deciding about the custody,</w:t>
      </w:r>
      <w:r w:rsidR="00C74328">
        <w:rPr>
          <w:rFonts w:ascii="Arial" w:hAnsi="Arial" w:cs="Arial"/>
          <w:lang w:val="en-GB"/>
        </w:rPr>
        <w:t xml:space="preserve"> </w:t>
      </w:r>
      <w:r w:rsidR="00C74328" w:rsidRPr="00C74328">
        <w:rPr>
          <w:rFonts w:ascii="Arial" w:hAnsi="Arial" w:cs="Arial"/>
          <w:lang w:val="en-GB"/>
        </w:rPr>
        <w:t>noted that the author had a record of criminal convictions for offences that had become gradually more serious</w:t>
      </w:r>
      <w:r w:rsidR="001A0B25">
        <w:rPr>
          <w:rFonts w:ascii="Arial" w:hAnsi="Arial" w:cs="Arial"/>
          <w:lang w:val="en-GB"/>
        </w:rPr>
        <w:t xml:space="preserve">. </w:t>
      </w:r>
      <w:r w:rsidR="001A0B25" w:rsidRPr="001A0B25">
        <w:rPr>
          <w:rFonts w:ascii="Arial" w:hAnsi="Arial" w:cs="Arial"/>
          <w:lang w:val="en-GB"/>
        </w:rPr>
        <w:t>The judge concluded that public safety must be put first, notwithstanding his “deep concern” that prison was not the appropria</w:t>
      </w:r>
      <w:r w:rsidR="005D5A65">
        <w:rPr>
          <w:rFonts w:ascii="Arial" w:hAnsi="Arial" w:cs="Arial"/>
          <w:lang w:val="en-GB"/>
        </w:rPr>
        <w:t>te environment for the author.</w:t>
      </w:r>
      <w:r w:rsidR="001A0B25" w:rsidRPr="001A0B25">
        <w:rPr>
          <w:rFonts w:ascii="Arial" w:hAnsi="Arial" w:cs="Arial"/>
          <w:lang w:val="en-GB"/>
        </w:rPr>
        <w:t xml:space="preserve"> </w:t>
      </w:r>
      <w:r w:rsidR="00CC7E1C">
        <w:rPr>
          <w:rFonts w:ascii="Arial" w:hAnsi="Arial" w:cs="Arial"/>
          <w:lang w:val="en-GB"/>
        </w:rPr>
        <w:t>I</w:t>
      </w:r>
      <w:r w:rsidR="005D5A65">
        <w:rPr>
          <w:rFonts w:ascii="Arial" w:hAnsi="Arial" w:cs="Arial"/>
          <w:lang w:val="en-GB"/>
        </w:rPr>
        <w:t>n March 2003, the c</w:t>
      </w:r>
      <w:r w:rsidR="005D5A65" w:rsidRPr="00444987">
        <w:rPr>
          <w:rFonts w:ascii="Arial" w:hAnsi="Arial" w:cs="Arial"/>
          <w:lang w:val="en-GB"/>
        </w:rPr>
        <w:t>ourt decided to make a custody order, resulting in the t</w:t>
      </w:r>
      <w:r w:rsidR="005D5A65">
        <w:rPr>
          <w:rFonts w:ascii="Arial" w:hAnsi="Arial" w:cs="Arial"/>
          <w:lang w:val="en-GB"/>
        </w:rPr>
        <w:t>ransfer of the author to prison</w:t>
      </w:r>
      <w:r w:rsidR="005D5A65" w:rsidRPr="00444987">
        <w:rPr>
          <w:rFonts w:ascii="Arial" w:hAnsi="Arial" w:cs="Arial"/>
          <w:lang w:val="en-GB"/>
        </w:rPr>
        <w:t>.</w:t>
      </w:r>
    </w:p>
    <w:p w14:paraId="7CC1992A" w14:textId="77777777" w:rsidR="00A92846" w:rsidRDefault="0092107A" w:rsidP="001777E5">
      <w:pPr>
        <w:spacing w:after="120"/>
        <w:jc w:val="both"/>
        <w:rPr>
          <w:rFonts w:ascii="Arial" w:hAnsi="Arial" w:cs="Arial"/>
          <w:lang w:val="en-GB"/>
        </w:rPr>
      </w:pPr>
      <w:r>
        <w:rPr>
          <w:rFonts w:ascii="Arial" w:hAnsi="Arial" w:cs="Arial"/>
          <w:lang w:val="en-GB"/>
        </w:rPr>
        <w:t>The State</w:t>
      </w:r>
      <w:r w:rsidR="00501D91">
        <w:rPr>
          <w:rFonts w:ascii="Arial" w:hAnsi="Arial" w:cs="Arial"/>
          <w:lang w:val="en-GB"/>
        </w:rPr>
        <w:t xml:space="preserve"> also</w:t>
      </w:r>
      <w:r w:rsidR="00420706">
        <w:rPr>
          <w:rFonts w:ascii="Arial" w:hAnsi="Arial" w:cs="Arial"/>
          <w:lang w:val="en-GB"/>
        </w:rPr>
        <w:t xml:space="preserve"> reports</w:t>
      </w:r>
      <w:r>
        <w:rPr>
          <w:rFonts w:ascii="Arial" w:hAnsi="Arial" w:cs="Arial"/>
          <w:lang w:val="en-GB"/>
        </w:rPr>
        <w:t xml:space="preserve"> the author’s record of detention</w:t>
      </w:r>
      <w:r w:rsidR="009A2056">
        <w:rPr>
          <w:rFonts w:ascii="Arial" w:hAnsi="Arial" w:cs="Arial"/>
          <w:lang w:val="en-GB"/>
        </w:rPr>
        <w:t xml:space="preserve"> and reviews</w:t>
      </w:r>
      <w:r>
        <w:rPr>
          <w:rFonts w:ascii="Arial" w:hAnsi="Arial" w:cs="Arial"/>
          <w:lang w:val="en-GB"/>
        </w:rPr>
        <w:t xml:space="preserve"> </w:t>
      </w:r>
      <w:r w:rsidR="00501D91">
        <w:rPr>
          <w:rFonts w:ascii="Arial" w:hAnsi="Arial" w:cs="Arial"/>
          <w:lang w:val="en-GB"/>
        </w:rPr>
        <w:t>between 2003 and 20</w:t>
      </w:r>
      <w:r w:rsidR="009A2056">
        <w:rPr>
          <w:rFonts w:ascii="Arial" w:hAnsi="Arial" w:cs="Arial"/>
          <w:lang w:val="en-GB"/>
        </w:rPr>
        <w:t>12</w:t>
      </w:r>
      <w:r w:rsidR="0053456F">
        <w:rPr>
          <w:rFonts w:ascii="Arial" w:hAnsi="Arial" w:cs="Arial"/>
          <w:lang w:val="en-GB"/>
        </w:rPr>
        <w:t>; eight s</w:t>
      </w:r>
      <w:r w:rsidR="0053456F" w:rsidRPr="00501D91">
        <w:rPr>
          <w:rFonts w:ascii="Arial" w:hAnsi="Arial" w:cs="Arial"/>
          <w:lang w:val="en-GB"/>
        </w:rPr>
        <w:t>tatutory reviews and reports</w:t>
      </w:r>
      <w:r w:rsidR="0053456F" w:rsidRPr="0053456F">
        <w:rPr>
          <w:rFonts w:ascii="Arial" w:hAnsi="Arial" w:cs="Arial"/>
          <w:lang w:val="en-GB"/>
        </w:rPr>
        <w:t xml:space="preserve"> </w:t>
      </w:r>
      <w:r w:rsidR="0053456F" w:rsidRPr="00501D91">
        <w:rPr>
          <w:rFonts w:ascii="Arial" w:hAnsi="Arial" w:cs="Arial"/>
          <w:lang w:val="en-GB"/>
        </w:rPr>
        <w:t>into the author’s case were undertaken</w:t>
      </w:r>
      <w:r w:rsidR="0053456F" w:rsidRPr="0053456F">
        <w:rPr>
          <w:rFonts w:ascii="Arial" w:hAnsi="Arial" w:cs="Arial"/>
          <w:lang w:val="en-GB"/>
        </w:rPr>
        <w:t xml:space="preserve"> </w:t>
      </w:r>
      <w:r w:rsidR="0053456F" w:rsidRPr="00501D91">
        <w:rPr>
          <w:rFonts w:ascii="Arial" w:hAnsi="Arial" w:cs="Arial"/>
          <w:lang w:val="en-GB"/>
        </w:rPr>
        <w:t>during his detention</w:t>
      </w:r>
      <w:r w:rsidR="00947904">
        <w:rPr>
          <w:rFonts w:ascii="Arial" w:hAnsi="Arial" w:cs="Arial"/>
          <w:lang w:val="en-GB"/>
        </w:rPr>
        <w:t xml:space="preserve">. </w:t>
      </w:r>
      <w:r w:rsidR="00947904" w:rsidRPr="00947904">
        <w:rPr>
          <w:rFonts w:ascii="Arial" w:hAnsi="Arial" w:cs="Arial"/>
          <w:lang w:val="en-GB"/>
        </w:rPr>
        <w:t xml:space="preserve">Interim reviews were conducted, relying on expert medical reports that all outline reasons to recommend against the author’s release, including his vulnerability, </w:t>
      </w:r>
      <w:r w:rsidR="00D31697" w:rsidRPr="006759B0">
        <w:rPr>
          <w:rFonts w:ascii="Arial" w:hAnsi="Arial" w:cs="Arial"/>
          <w:lang w:val="en-GB"/>
        </w:rPr>
        <w:t>high risk of committing an offence</w:t>
      </w:r>
      <w:r w:rsidR="00C5021F">
        <w:rPr>
          <w:rFonts w:ascii="Arial" w:hAnsi="Arial" w:cs="Arial"/>
          <w:lang w:val="en-GB"/>
        </w:rPr>
        <w:t>,</w:t>
      </w:r>
      <w:r w:rsidR="00D31697" w:rsidRPr="00947904">
        <w:rPr>
          <w:rFonts w:ascii="Arial" w:hAnsi="Arial" w:cs="Arial"/>
          <w:lang w:val="en-GB"/>
        </w:rPr>
        <w:t xml:space="preserve"> </w:t>
      </w:r>
      <w:r w:rsidR="00947904" w:rsidRPr="00947904">
        <w:rPr>
          <w:rFonts w:ascii="Arial" w:hAnsi="Arial" w:cs="Arial"/>
          <w:lang w:val="en-GB"/>
        </w:rPr>
        <w:t>and the lack of available support services. The reports recommended a gradual release programme for the author</w:t>
      </w:r>
      <w:r w:rsidR="00947904">
        <w:rPr>
          <w:rFonts w:ascii="Arial" w:hAnsi="Arial" w:cs="Arial"/>
          <w:lang w:val="en-GB"/>
        </w:rPr>
        <w:t>.</w:t>
      </w:r>
    </w:p>
    <w:p w14:paraId="2A1DE3E9" w14:textId="5BBD933C" w:rsidR="00814A03" w:rsidRDefault="00814A03" w:rsidP="001777E5">
      <w:pPr>
        <w:spacing w:after="120"/>
        <w:jc w:val="both"/>
        <w:rPr>
          <w:rFonts w:ascii="Arial" w:hAnsi="Arial" w:cs="Arial"/>
          <w:lang w:val="en-GB"/>
        </w:rPr>
      </w:pPr>
      <w:r>
        <w:rPr>
          <w:rFonts w:ascii="Arial" w:hAnsi="Arial" w:cs="Arial"/>
          <w:lang w:val="en-GB"/>
        </w:rPr>
        <w:t xml:space="preserve">As regards </w:t>
      </w:r>
      <w:r w:rsidRPr="0015649E">
        <w:rPr>
          <w:rFonts w:ascii="Arial" w:hAnsi="Arial" w:cs="Arial"/>
          <w:lang w:val="en-GB"/>
        </w:rPr>
        <w:t xml:space="preserve">the author’s allegations under article </w:t>
      </w:r>
      <w:r>
        <w:rPr>
          <w:rFonts w:ascii="Arial" w:hAnsi="Arial" w:cs="Arial"/>
          <w:lang w:val="en-GB"/>
        </w:rPr>
        <w:t xml:space="preserve">5, </w:t>
      </w:r>
      <w:r w:rsidRPr="0015649E">
        <w:rPr>
          <w:rFonts w:ascii="Arial" w:hAnsi="Arial" w:cs="Arial"/>
          <w:lang w:val="en-GB"/>
        </w:rPr>
        <w:t xml:space="preserve">the State </w:t>
      </w:r>
      <w:r w:rsidR="00DC1DCE" w:rsidRPr="00DC1DCE">
        <w:rPr>
          <w:rFonts w:ascii="Arial" w:hAnsi="Arial" w:cs="Arial"/>
          <w:lang w:val="en-GB"/>
        </w:rPr>
        <w:t xml:space="preserve">submits that the Act does not treat persons any differently because of </w:t>
      </w:r>
      <w:r w:rsidR="00CB2729">
        <w:rPr>
          <w:rFonts w:ascii="Arial" w:hAnsi="Arial" w:cs="Arial"/>
          <w:lang w:val="en-GB"/>
        </w:rPr>
        <w:t>disability</w:t>
      </w:r>
      <w:r w:rsidR="00DC1DCE" w:rsidRPr="00DC1DCE">
        <w:rPr>
          <w:rFonts w:ascii="Arial" w:hAnsi="Arial" w:cs="Arial"/>
          <w:lang w:val="en-GB"/>
        </w:rPr>
        <w:t>, but provides for the differential treatment of people found “unfit to stand trial”.</w:t>
      </w:r>
      <w:r w:rsidR="00DC1DCE">
        <w:rPr>
          <w:rFonts w:ascii="Arial" w:hAnsi="Arial" w:cs="Arial"/>
          <w:lang w:val="en-GB"/>
        </w:rPr>
        <w:t xml:space="preserve"> </w:t>
      </w:r>
      <w:r w:rsidR="00E871F0">
        <w:rPr>
          <w:rFonts w:ascii="Arial" w:hAnsi="Arial" w:cs="Arial"/>
          <w:lang w:val="en-GB"/>
        </w:rPr>
        <w:t>I</w:t>
      </w:r>
      <w:r w:rsidR="00DC1DCE" w:rsidRPr="00DC1DCE">
        <w:rPr>
          <w:rFonts w:ascii="Arial" w:hAnsi="Arial" w:cs="Arial"/>
          <w:lang w:val="en-GB"/>
        </w:rPr>
        <w:t>t considers that such different</w:t>
      </w:r>
      <w:r w:rsidR="00DC1DCE">
        <w:rPr>
          <w:rFonts w:ascii="Arial" w:hAnsi="Arial" w:cs="Arial"/>
          <w:lang w:val="en-GB"/>
        </w:rPr>
        <w:t xml:space="preserve">ial treatment is legitimate according </w:t>
      </w:r>
      <w:r w:rsidR="00E871F0" w:rsidRPr="00E871F0">
        <w:rPr>
          <w:rFonts w:ascii="Arial" w:hAnsi="Arial" w:cs="Arial"/>
          <w:lang w:val="en-GB"/>
        </w:rPr>
        <w:t xml:space="preserve">to the jurisprudence of </w:t>
      </w:r>
      <w:r w:rsidR="00E871F0">
        <w:rPr>
          <w:rFonts w:ascii="Arial" w:hAnsi="Arial" w:cs="Arial"/>
          <w:lang w:val="en-GB"/>
        </w:rPr>
        <w:t>UN Treaty Bodies.</w:t>
      </w:r>
      <w:r w:rsidR="00C62CAB">
        <w:rPr>
          <w:rFonts w:ascii="Arial" w:hAnsi="Arial" w:cs="Arial"/>
          <w:lang w:val="en-GB"/>
        </w:rPr>
        <w:t xml:space="preserve"> Moreover, t</w:t>
      </w:r>
      <w:r w:rsidR="00C62CAB" w:rsidRPr="00C62CAB">
        <w:rPr>
          <w:rFonts w:ascii="Arial" w:hAnsi="Arial" w:cs="Arial"/>
          <w:lang w:val="en-GB"/>
        </w:rPr>
        <w:t>he State submits that the Act also aims at protecting the community</w:t>
      </w:r>
      <w:r w:rsidR="00E85B75">
        <w:rPr>
          <w:rFonts w:ascii="Arial" w:hAnsi="Arial" w:cs="Arial"/>
          <w:lang w:val="en-GB"/>
        </w:rPr>
        <w:t xml:space="preserve">, </w:t>
      </w:r>
      <w:r w:rsidR="007D36E3" w:rsidRPr="007D36E3">
        <w:rPr>
          <w:rFonts w:ascii="Arial" w:hAnsi="Arial" w:cs="Arial"/>
          <w:lang w:val="en-GB"/>
        </w:rPr>
        <w:t>provides safeguards to ensure that decisions are made by an independent and well-informed judicial body</w:t>
      </w:r>
      <w:r w:rsidR="00E85B75">
        <w:rPr>
          <w:rFonts w:ascii="Arial" w:hAnsi="Arial" w:cs="Arial"/>
          <w:lang w:val="en-GB"/>
        </w:rPr>
        <w:t xml:space="preserve">, and is based on </w:t>
      </w:r>
      <w:r w:rsidR="001830DF" w:rsidRPr="001830DF">
        <w:rPr>
          <w:rFonts w:ascii="Arial" w:hAnsi="Arial" w:cs="Arial"/>
          <w:lang w:val="en-GB"/>
        </w:rPr>
        <w:t>reasonable and objective criteria that are not linked to disability</w:t>
      </w:r>
      <w:r w:rsidR="001830DF">
        <w:rPr>
          <w:rFonts w:ascii="Arial" w:hAnsi="Arial" w:cs="Arial"/>
          <w:lang w:val="en-GB"/>
        </w:rPr>
        <w:t>.</w:t>
      </w:r>
    </w:p>
    <w:p w14:paraId="57BD1AAA" w14:textId="77777777" w:rsidR="0047377E" w:rsidRDefault="0047377E" w:rsidP="001777E5">
      <w:pPr>
        <w:spacing w:after="120"/>
        <w:jc w:val="both"/>
        <w:rPr>
          <w:rFonts w:ascii="Arial" w:hAnsi="Arial" w:cs="Arial"/>
          <w:lang w:val="en-GB"/>
        </w:rPr>
      </w:pPr>
      <w:r>
        <w:rPr>
          <w:rFonts w:ascii="Arial" w:hAnsi="Arial" w:cs="Arial"/>
          <w:lang w:val="en-GB"/>
        </w:rPr>
        <w:lastRenderedPageBreak/>
        <w:t xml:space="preserve">Regarding </w:t>
      </w:r>
      <w:r w:rsidRPr="0015649E">
        <w:rPr>
          <w:rFonts w:ascii="Arial" w:hAnsi="Arial" w:cs="Arial"/>
          <w:lang w:val="en-GB"/>
        </w:rPr>
        <w:t>the author’s allegations under article</w:t>
      </w:r>
      <w:r>
        <w:rPr>
          <w:rFonts w:ascii="Arial" w:hAnsi="Arial" w:cs="Arial"/>
          <w:lang w:val="en-GB"/>
        </w:rPr>
        <w:t>s 12 and</w:t>
      </w:r>
      <w:r w:rsidRPr="0015649E">
        <w:rPr>
          <w:rFonts w:ascii="Arial" w:hAnsi="Arial" w:cs="Arial"/>
          <w:lang w:val="en-GB"/>
        </w:rPr>
        <w:t xml:space="preserve"> </w:t>
      </w:r>
      <w:r>
        <w:rPr>
          <w:rFonts w:ascii="Arial" w:hAnsi="Arial" w:cs="Arial"/>
          <w:lang w:val="en-GB"/>
        </w:rPr>
        <w:t xml:space="preserve">13, </w:t>
      </w:r>
      <w:r w:rsidRPr="0015649E">
        <w:rPr>
          <w:rFonts w:ascii="Arial" w:hAnsi="Arial" w:cs="Arial"/>
          <w:lang w:val="en-GB"/>
        </w:rPr>
        <w:t>the State</w:t>
      </w:r>
      <w:r>
        <w:rPr>
          <w:rFonts w:ascii="Arial" w:hAnsi="Arial" w:cs="Arial"/>
          <w:lang w:val="en-GB"/>
        </w:rPr>
        <w:t xml:space="preserve"> </w:t>
      </w:r>
      <w:r w:rsidRPr="003F50C7">
        <w:rPr>
          <w:rFonts w:ascii="Arial" w:hAnsi="Arial" w:cs="Arial"/>
          <w:lang w:val="en-GB"/>
        </w:rPr>
        <w:t xml:space="preserve">considers that </w:t>
      </w:r>
      <w:r>
        <w:rPr>
          <w:rFonts w:ascii="Arial" w:hAnsi="Arial" w:cs="Arial"/>
          <w:lang w:val="en-GB"/>
        </w:rPr>
        <w:t xml:space="preserve">the </w:t>
      </w:r>
      <w:r w:rsidRPr="003F50C7">
        <w:rPr>
          <w:rFonts w:ascii="Arial" w:hAnsi="Arial" w:cs="Arial"/>
          <w:lang w:val="en-GB"/>
        </w:rPr>
        <w:t xml:space="preserve">allegations are inadmissible because they lack substantiation and are without merits. No civil or criminal proceedings are under way against the author. He is not charged with any offences because the indictment against him was quashed. He is therefore not presumed guilty, and there are no witnesses </w:t>
      </w:r>
      <w:r w:rsidR="0008091D">
        <w:rPr>
          <w:rFonts w:ascii="Arial" w:hAnsi="Arial" w:cs="Arial"/>
          <w:lang w:val="en-GB"/>
        </w:rPr>
        <w:t>to examine, or evidence to test</w:t>
      </w:r>
      <w:r w:rsidRPr="003F50C7">
        <w:rPr>
          <w:rFonts w:ascii="Arial" w:hAnsi="Arial" w:cs="Arial"/>
          <w:lang w:val="en-GB"/>
        </w:rPr>
        <w:t>.</w:t>
      </w:r>
    </w:p>
    <w:p w14:paraId="0CB4CE5E" w14:textId="77777777" w:rsidR="003F50C7" w:rsidRDefault="0015649E" w:rsidP="001777E5">
      <w:pPr>
        <w:spacing w:after="120"/>
        <w:jc w:val="both"/>
        <w:rPr>
          <w:rFonts w:ascii="Arial" w:hAnsi="Arial" w:cs="Arial"/>
          <w:lang w:val="en-GB"/>
        </w:rPr>
      </w:pPr>
      <w:r>
        <w:rPr>
          <w:rFonts w:ascii="Arial" w:hAnsi="Arial" w:cs="Arial"/>
          <w:lang w:val="en-GB"/>
        </w:rPr>
        <w:t xml:space="preserve">As regards </w:t>
      </w:r>
      <w:r w:rsidRPr="0015649E">
        <w:rPr>
          <w:rFonts w:ascii="Arial" w:hAnsi="Arial" w:cs="Arial"/>
          <w:lang w:val="en-GB"/>
        </w:rPr>
        <w:t>the author’s allegations under article 14 (2)</w:t>
      </w:r>
      <w:r>
        <w:rPr>
          <w:rFonts w:ascii="Arial" w:hAnsi="Arial" w:cs="Arial"/>
          <w:lang w:val="en-GB"/>
        </w:rPr>
        <w:t xml:space="preserve">, </w:t>
      </w:r>
      <w:r w:rsidRPr="0015649E">
        <w:rPr>
          <w:rFonts w:ascii="Arial" w:hAnsi="Arial" w:cs="Arial"/>
          <w:lang w:val="en-GB"/>
        </w:rPr>
        <w:t>the State considers that</w:t>
      </w:r>
      <w:r w:rsidR="0008091D">
        <w:rPr>
          <w:rFonts w:ascii="Arial" w:hAnsi="Arial" w:cs="Arial"/>
          <w:lang w:val="en-GB"/>
        </w:rPr>
        <w:t>,</w:t>
      </w:r>
      <w:r w:rsidRPr="0015649E">
        <w:rPr>
          <w:rFonts w:ascii="Arial" w:hAnsi="Arial" w:cs="Arial"/>
          <w:lang w:val="en-GB"/>
        </w:rPr>
        <w:t xml:space="preserve"> since his release into the community, he is no longer in detention</w:t>
      </w:r>
      <w:r w:rsidR="002E42D2">
        <w:rPr>
          <w:rFonts w:ascii="Arial" w:hAnsi="Arial" w:cs="Arial"/>
          <w:lang w:val="en-GB"/>
        </w:rPr>
        <w:t xml:space="preserve">. </w:t>
      </w:r>
      <w:r w:rsidR="007E5C57">
        <w:rPr>
          <w:rFonts w:ascii="Arial" w:hAnsi="Arial" w:cs="Arial"/>
          <w:lang w:val="en-GB"/>
        </w:rPr>
        <w:t xml:space="preserve">In relation to the </w:t>
      </w:r>
      <w:r w:rsidR="002E42D2" w:rsidRPr="002E42D2">
        <w:rPr>
          <w:rFonts w:ascii="Arial" w:hAnsi="Arial" w:cs="Arial"/>
          <w:lang w:val="en-GB"/>
        </w:rPr>
        <w:t xml:space="preserve">circumstances prior to </w:t>
      </w:r>
      <w:r w:rsidR="007E5C57">
        <w:rPr>
          <w:rFonts w:ascii="Arial" w:hAnsi="Arial" w:cs="Arial"/>
          <w:lang w:val="en-GB"/>
        </w:rPr>
        <w:t>the author’s</w:t>
      </w:r>
      <w:r w:rsidR="002E42D2" w:rsidRPr="002E42D2">
        <w:rPr>
          <w:rFonts w:ascii="Arial" w:hAnsi="Arial" w:cs="Arial"/>
          <w:lang w:val="en-GB"/>
        </w:rPr>
        <w:t xml:space="preserve"> release in 2012, the State submits that the claim is inadmissible for failure to exhaust domestic remedies</w:t>
      </w:r>
      <w:r w:rsidR="005B5761">
        <w:rPr>
          <w:rFonts w:ascii="Arial" w:hAnsi="Arial" w:cs="Arial"/>
          <w:lang w:val="en-GB"/>
        </w:rPr>
        <w:t xml:space="preserve">, since </w:t>
      </w:r>
      <w:r w:rsidR="004C59AD" w:rsidRPr="004C59AD">
        <w:rPr>
          <w:rFonts w:ascii="Arial" w:hAnsi="Arial" w:cs="Arial"/>
          <w:lang w:val="en-GB"/>
        </w:rPr>
        <w:t>judicial review of the author’s detention would have been an effective remedy</w:t>
      </w:r>
      <w:r w:rsidR="005A0EFD">
        <w:rPr>
          <w:rFonts w:ascii="Arial" w:hAnsi="Arial" w:cs="Arial"/>
          <w:lang w:val="en-GB"/>
        </w:rPr>
        <w:t>.</w:t>
      </w:r>
      <w:r w:rsidR="002B03AF">
        <w:rPr>
          <w:rFonts w:ascii="Arial" w:hAnsi="Arial" w:cs="Arial"/>
          <w:lang w:val="en-GB"/>
        </w:rPr>
        <w:t xml:space="preserve"> </w:t>
      </w:r>
      <w:r w:rsidR="0096227F">
        <w:rPr>
          <w:rFonts w:ascii="Arial" w:hAnsi="Arial" w:cs="Arial"/>
          <w:lang w:val="en-GB"/>
        </w:rPr>
        <w:t>Hence, the State</w:t>
      </w:r>
      <w:r w:rsidR="0096227F" w:rsidRPr="0096227F">
        <w:rPr>
          <w:rFonts w:ascii="Arial" w:hAnsi="Arial" w:cs="Arial"/>
          <w:lang w:val="en-GB"/>
        </w:rPr>
        <w:t xml:space="preserve"> submits that no breach of article 14 (2) arises because at all times during the author’s detention, he was entitled to bring an applicati</w:t>
      </w:r>
      <w:r w:rsidR="003F50C7">
        <w:rPr>
          <w:rFonts w:ascii="Arial" w:hAnsi="Arial" w:cs="Arial"/>
          <w:lang w:val="en-GB"/>
        </w:rPr>
        <w:t>on for judicial review.</w:t>
      </w:r>
      <w:r w:rsidR="005257B0">
        <w:rPr>
          <w:rFonts w:ascii="Arial" w:hAnsi="Arial" w:cs="Arial"/>
          <w:lang w:val="en-GB"/>
        </w:rPr>
        <w:t xml:space="preserve"> Moreover, </w:t>
      </w:r>
      <w:r w:rsidR="005257B0" w:rsidRPr="005257B0">
        <w:rPr>
          <w:rFonts w:ascii="Arial" w:hAnsi="Arial" w:cs="Arial"/>
          <w:lang w:val="en-GB"/>
        </w:rPr>
        <w:t xml:space="preserve">the State submits that </w:t>
      </w:r>
      <w:r w:rsidR="005257B0">
        <w:rPr>
          <w:rFonts w:ascii="Arial" w:hAnsi="Arial" w:cs="Arial"/>
          <w:lang w:val="en-GB"/>
        </w:rPr>
        <w:t>the author</w:t>
      </w:r>
      <w:r w:rsidR="005257B0" w:rsidRPr="005257B0">
        <w:rPr>
          <w:rFonts w:ascii="Arial" w:hAnsi="Arial" w:cs="Arial"/>
          <w:lang w:val="en-GB"/>
        </w:rPr>
        <w:t xml:space="preserve"> is not an “accused” person and therefore the obligation of separation from convicted persons does not arise.</w:t>
      </w:r>
    </w:p>
    <w:p w14:paraId="0F5DA120" w14:textId="77777777" w:rsidR="0047377E" w:rsidRDefault="00766290" w:rsidP="001777E5">
      <w:pPr>
        <w:spacing w:after="120"/>
        <w:jc w:val="both"/>
        <w:rPr>
          <w:rFonts w:ascii="Arial" w:hAnsi="Arial" w:cs="Arial"/>
          <w:lang w:val="en-GB"/>
        </w:rPr>
      </w:pPr>
      <w:r w:rsidRPr="005046C0">
        <w:rPr>
          <w:rFonts w:ascii="Arial" w:hAnsi="Arial" w:cs="Arial"/>
          <w:lang w:val="en-GB"/>
        </w:rPr>
        <w:t>Regarding the author’s allegations under article</w:t>
      </w:r>
      <w:r w:rsidR="006F202F" w:rsidRPr="005046C0">
        <w:rPr>
          <w:rFonts w:ascii="Arial" w:hAnsi="Arial" w:cs="Arial"/>
          <w:lang w:val="en-GB"/>
        </w:rPr>
        <w:t xml:space="preserve"> 15</w:t>
      </w:r>
      <w:r w:rsidRPr="005046C0">
        <w:rPr>
          <w:rFonts w:ascii="Arial" w:hAnsi="Arial" w:cs="Arial"/>
          <w:lang w:val="en-GB"/>
        </w:rPr>
        <w:t>, the State considers</w:t>
      </w:r>
      <w:r w:rsidR="006F202F" w:rsidRPr="005046C0">
        <w:rPr>
          <w:rFonts w:ascii="Arial" w:hAnsi="Arial" w:cs="Arial"/>
          <w:lang w:val="en-GB"/>
        </w:rPr>
        <w:t xml:space="preserve"> </w:t>
      </w:r>
      <w:r w:rsidR="00A5781B" w:rsidRPr="005046C0">
        <w:rPr>
          <w:rFonts w:ascii="Arial" w:hAnsi="Arial" w:cs="Arial"/>
          <w:lang w:val="en-GB"/>
        </w:rPr>
        <w:t>that the allegations are inadmissible or lack merit because the author makes a general assertion that he was at risk of harm, without specific claims</w:t>
      </w:r>
      <w:r w:rsidR="00CE1205" w:rsidRPr="005046C0">
        <w:rPr>
          <w:rFonts w:ascii="Arial" w:hAnsi="Arial" w:cs="Arial"/>
          <w:lang w:val="en-GB"/>
        </w:rPr>
        <w:t>.</w:t>
      </w:r>
      <w:r w:rsidR="00CE1205">
        <w:rPr>
          <w:rFonts w:ascii="Arial" w:hAnsi="Arial" w:cs="Arial"/>
          <w:lang w:val="en-GB"/>
        </w:rPr>
        <w:t xml:space="preserve"> The State points out that </w:t>
      </w:r>
      <w:r w:rsidR="00CE1205" w:rsidRPr="00CE1205">
        <w:rPr>
          <w:rFonts w:ascii="Arial" w:hAnsi="Arial" w:cs="Arial"/>
          <w:lang w:val="en-GB"/>
        </w:rPr>
        <w:t xml:space="preserve">there were </w:t>
      </w:r>
      <w:r w:rsidR="00CE1205">
        <w:rPr>
          <w:rFonts w:ascii="Arial" w:hAnsi="Arial" w:cs="Arial"/>
          <w:lang w:val="en-GB"/>
        </w:rPr>
        <w:t xml:space="preserve">only </w:t>
      </w:r>
      <w:r w:rsidR="00CE1205" w:rsidRPr="00CE1205">
        <w:rPr>
          <w:rFonts w:ascii="Arial" w:hAnsi="Arial" w:cs="Arial"/>
          <w:lang w:val="en-GB"/>
        </w:rPr>
        <w:t>two minor altercations between</w:t>
      </w:r>
      <w:r w:rsidR="00976DB3">
        <w:rPr>
          <w:rFonts w:ascii="Arial" w:hAnsi="Arial" w:cs="Arial"/>
          <w:lang w:val="en-GB"/>
        </w:rPr>
        <w:t xml:space="preserve"> </w:t>
      </w:r>
      <w:r w:rsidR="00976DB3" w:rsidRPr="00976DB3">
        <w:rPr>
          <w:rFonts w:ascii="Arial" w:hAnsi="Arial" w:cs="Arial"/>
          <w:lang w:val="en-GB"/>
        </w:rPr>
        <w:t>the author and other prisoners</w:t>
      </w:r>
      <w:r w:rsidR="00976DB3">
        <w:rPr>
          <w:rFonts w:ascii="Arial" w:hAnsi="Arial" w:cs="Arial"/>
          <w:lang w:val="en-GB"/>
        </w:rPr>
        <w:t xml:space="preserve">, and </w:t>
      </w:r>
      <w:r w:rsidR="00976DB3" w:rsidRPr="00976DB3">
        <w:rPr>
          <w:rFonts w:ascii="Arial" w:hAnsi="Arial" w:cs="Arial"/>
          <w:lang w:val="en-GB"/>
        </w:rPr>
        <w:t>both incidents were successfully mediated and neither resulted in serious injury to the author</w:t>
      </w:r>
      <w:r w:rsidR="00976DB3">
        <w:rPr>
          <w:rFonts w:ascii="Arial" w:hAnsi="Arial" w:cs="Arial"/>
          <w:lang w:val="en-GB"/>
        </w:rPr>
        <w:t>.</w:t>
      </w:r>
      <w:r w:rsidR="00CD28FF">
        <w:rPr>
          <w:rFonts w:ascii="Arial" w:hAnsi="Arial" w:cs="Arial"/>
          <w:lang w:val="en-GB"/>
        </w:rPr>
        <w:t xml:space="preserve"> Besides, the author had support</w:t>
      </w:r>
      <w:r w:rsidR="00BB79BE">
        <w:rPr>
          <w:rFonts w:ascii="Arial" w:hAnsi="Arial" w:cs="Arial"/>
          <w:lang w:val="en-GB"/>
        </w:rPr>
        <w:t>,</w:t>
      </w:r>
      <w:r w:rsidR="00CD28FF">
        <w:rPr>
          <w:rFonts w:ascii="Arial" w:hAnsi="Arial" w:cs="Arial"/>
          <w:lang w:val="en-GB"/>
        </w:rPr>
        <w:t xml:space="preserve"> </w:t>
      </w:r>
      <w:r w:rsidR="00BB79BE">
        <w:rPr>
          <w:rFonts w:ascii="Arial" w:hAnsi="Arial" w:cs="Arial"/>
          <w:lang w:val="en-GB"/>
        </w:rPr>
        <w:t xml:space="preserve">through the years, from </w:t>
      </w:r>
      <w:r w:rsidR="00BB79BE" w:rsidRPr="00BB79BE">
        <w:rPr>
          <w:rFonts w:ascii="Arial" w:hAnsi="Arial" w:cs="Arial"/>
          <w:lang w:val="en-GB"/>
        </w:rPr>
        <w:t>the Support and Monitoring System</w:t>
      </w:r>
      <w:r w:rsidR="00BB79BE">
        <w:rPr>
          <w:rFonts w:ascii="Arial" w:hAnsi="Arial" w:cs="Arial"/>
          <w:lang w:val="en-GB"/>
        </w:rPr>
        <w:t xml:space="preserve">, </w:t>
      </w:r>
      <w:r w:rsidR="00BB79BE" w:rsidRPr="00BB79BE">
        <w:rPr>
          <w:rFonts w:ascii="Arial" w:hAnsi="Arial" w:cs="Arial"/>
          <w:lang w:val="en-GB"/>
        </w:rPr>
        <w:t>Prisoner Risk Assessment Group</w:t>
      </w:r>
      <w:r w:rsidR="00BB79BE">
        <w:rPr>
          <w:rFonts w:ascii="Arial" w:hAnsi="Arial" w:cs="Arial"/>
          <w:lang w:val="en-GB"/>
        </w:rPr>
        <w:t xml:space="preserve">, Disability Services, </w:t>
      </w:r>
      <w:r w:rsidR="00782223">
        <w:rPr>
          <w:rFonts w:ascii="Arial" w:hAnsi="Arial" w:cs="Arial"/>
          <w:lang w:val="en-GB"/>
        </w:rPr>
        <w:t>among other programmes.</w:t>
      </w:r>
      <w:r w:rsidR="0047377E">
        <w:rPr>
          <w:rFonts w:ascii="Arial" w:hAnsi="Arial" w:cs="Arial"/>
          <w:lang w:val="en-GB"/>
        </w:rPr>
        <w:t xml:space="preserve"> </w:t>
      </w:r>
    </w:p>
    <w:p w14:paraId="15FB0C37" w14:textId="77777777" w:rsidR="005A0EFD" w:rsidRPr="00EB7A5F" w:rsidRDefault="0047377E" w:rsidP="00DD462D">
      <w:pPr>
        <w:spacing w:after="0"/>
        <w:jc w:val="both"/>
        <w:rPr>
          <w:rFonts w:ascii="Arial" w:hAnsi="Arial" w:cs="Arial"/>
          <w:lang w:val="en-GB"/>
        </w:rPr>
      </w:pPr>
      <w:r>
        <w:rPr>
          <w:rFonts w:ascii="Arial" w:hAnsi="Arial" w:cs="Arial"/>
          <w:lang w:val="en-GB"/>
        </w:rPr>
        <w:t>Furthermore, t</w:t>
      </w:r>
      <w:r w:rsidR="00127054">
        <w:rPr>
          <w:rFonts w:ascii="Arial" w:hAnsi="Arial" w:cs="Arial"/>
          <w:lang w:val="en-GB"/>
        </w:rPr>
        <w:t xml:space="preserve">he State </w:t>
      </w:r>
      <w:r w:rsidR="00A379EF">
        <w:rPr>
          <w:rFonts w:ascii="Arial" w:hAnsi="Arial" w:cs="Arial"/>
          <w:lang w:val="en-GB"/>
        </w:rPr>
        <w:t>contests</w:t>
      </w:r>
      <w:r w:rsidR="00127054">
        <w:rPr>
          <w:rFonts w:ascii="Arial" w:hAnsi="Arial" w:cs="Arial"/>
          <w:lang w:val="en-GB"/>
        </w:rPr>
        <w:t xml:space="preserve"> the </w:t>
      </w:r>
      <w:r w:rsidRPr="0047377E">
        <w:rPr>
          <w:rFonts w:ascii="Arial" w:hAnsi="Arial" w:cs="Arial"/>
          <w:lang w:val="en-GB"/>
        </w:rPr>
        <w:t xml:space="preserve">allegations that the conditions imposed on his release amount to arbitrary detention or degrading treatment are inadmissible, because the author is no longer detained, and he has failed to exhaust domestic remedies that could result in an alteration of the conditions to which he objects. In the alternative, Australia submits that the allegations lack merit, as the conditions imposed on the author are reasonable and appropriate to permit his reintegration, while protecting the </w:t>
      </w:r>
      <w:r w:rsidR="00127054" w:rsidRPr="0047377E">
        <w:rPr>
          <w:rFonts w:ascii="Arial" w:hAnsi="Arial" w:cs="Arial"/>
          <w:lang w:val="en-GB"/>
        </w:rPr>
        <w:t>community</w:t>
      </w:r>
      <w:r w:rsidR="00127054">
        <w:rPr>
          <w:rFonts w:ascii="Arial" w:hAnsi="Arial" w:cs="Arial"/>
          <w:lang w:val="en-GB"/>
        </w:rPr>
        <w:t>’s</w:t>
      </w:r>
      <w:r w:rsidR="00127054" w:rsidRPr="0047377E">
        <w:rPr>
          <w:rFonts w:ascii="Arial" w:hAnsi="Arial" w:cs="Arial"/>
          <w:lang w:val="en-GB"/>
        </w:rPr>
        <w:t xml:space="preserve"> </w:t>
      </w:r>
      <w:r w:rsidRPr="0047377E">
        <w:rPr>
          <w:rFonts w:ascii="Arial" w:hAnsi="Arial" w:cs="Arial"/>
          <w:lang w:val="en-GB"/>
        </w:rPr>
        <w:t>safety.</w:t>
      </w:r>
    </w:p>
    <w:p w14:paraId="5B104750" w14:textId="77777777" w:rsidR="00EB7A5F" w:rsidRPr="0077057D" w:rsidRDefault="00EB7A5F" w:rsidP="00DD462D">
      <w:pPr>
        <w:spacing w:after="0"/>
        <w:jc w:val="both"/>
        <w:rPr>
          <w:rFonts w:ascii="Arial" w:hAnsi="Arial" w:cs="Arial"/>
          <w:highlight w:val="lightGray"/>
          <w:lang w:val="en-GB"/>
        </w:rPr>
      </w:pPr>
    </w:p>
    <w:p w14:paraId="1A8C9DC8" w14:textId="77777777" w:rsidR="00DD462D" w:rsidRPr="001830DF" w:rsidRDefault="00DD462D" w:rsidP="00DD462D">
      <w:pPr>
        <w:spacing w:after="120"/>
        <w:jc w:val="both"/>
        <w:rPr>
          <w:rFonts w:ascii="Arial" w:hAnsi="Arial" w:cs="Arial"/>
          <w:sz w:val="28"/>
          <w:szCs w:val="28"/>
          <w:lang w:val="en-GB"/>
        </w:rPr>
      </w:pPr>
      <w:r w:rsidRPr="001830DF">
        <w:rPr>
          <w:rFonts w:ascii="Arial" w:hAnsi="Arial" w:cs="Arial"/>
          <w:sz w:val="28"/>
          <w:szCs w:val="28"/>
          <w:lang w:val="en-GB"/>
        </w:rPr>
        <w:t>The author’s comments on the State party’s observations</w:t>
      </w:r>
    </w:p>
    <w:p w14:paraId="1F8DD3B4" w14:textId="77777777" w:rsidR="001830DF" w:rsidRDefault="00E97422" w:rsidP="001777E5">
      <w:pPr>
        <w:spacing w:after="120"/>
        <w:jc w:val="both"/>
        <w:rPr>
          <w:rFonts w:ascii="Arial" w:hAnsi="Arial" w:cs="Arial"/>
          <w:lang w:val="en-GB"/>
        </w:rPr>
      </w:pPr>
      <w:r w:rsidRPr="00E97422">
        <w:rPr>
          <w:rFonts w:ascii="Arial" w:hAnsi="Arial" w:cs="Arial"/>
          <w:lang w:val="en-GB"/>
        </w:rPr>
        <w:t>The author rejects the State party’s characterization of the temporal scope of the Committee’s mandate.</w:t>
      </w:r>
      <w:r w:rsidR="007E74E7">
        <w:rPr>
          <w:rFonts w:ascii="Arial" w:hAnsi="Arial" w:cs="Arial"/>
          <w:lang w:val="en-GB"/>
        </w:rPr>
        <w:t xml:space="preserve"> Based on the </w:t>
      </w:r>
      <w:r w:rsidR="007E74E7" w:rsidRPr="007E74E7">
        <w:rPr>
          <w:rFonts w:ascii="Arial" w:hAnsi="Arial" w:cs="Arial"/>
          <w:lang w:val="en-GB"/>
        </w:rPr>
        <w:t>jurisprudence of the Human Rights Committee,</w:t>
      </w:r>
      <w:r w:rsidR="007E74E7">
        <w:rPr>
          <w:rFonts w:ascii="Arial" w:hAnsi="Arial" w:cs="Arial"/>
          <w:lang w:val="en-GB"/>
        </w:rPr>
        <w:t xml:space="preserve"> t</w:t>
      </w:r>
      <w:r w:rsidR="007E74E7" w:rsidRPr="007E74E7">
        <w:rPr>
          <w:rFonts w:ascii="Arial" w:hAnsi="Arial" w:cs="Arial"/>
          <w:lang w:val="en-GB"/>
        </w:rPr>
        <w:t>he author considers that</w:t>
      </w:r>
      <w:r w:rsidR="007E74E7">
        <w:rPr>
          <w:rFonts w:ascii="Arial" w:hAnsi="Arial" w:cs="Arial"/>
          <w:lang w:val="en-GB"/>
        </w:rPr>
        <w:t xml:space="preserve"> “</w:t>
      </w:r>
      <w:r w:rsidR="007E74E7" w:rsidRPr="007E74E7">
        <w:rPr>
          <w:rFonts w:ascii="Arial" w:hAnsi="Arial" w:cs="Arial"/>
          <w:lang w:val="en-GB"/>
        </w:rPr>
        <w:t xml:space="preserve">A continuing violation is to be interpreted as an affirmation, after the entry into force of the </w:t>
      </w:r>
      <w:r w:rsidR="00FF33C1">
        <w:rPr>
          <w:rFonts w:ascii="Arial" w:hAnsi="Arial" w:cs="Arial"/>
          <w:lang w:val="en-GB"/>
        </w:rPr>
        <w:t>[OP]</w:t>
      </w:r>
      <w:r w:rsidR="007E74E7" w:rsidRPr="007E74E7">
        <w:rPr>
          <w:rFonts w:ascii="Arial" w:hAnsi="Arial" w:cs="Arial"/>
          <w:lang w:val="en-GB"/>
        </w:rPr>
        <w:t>, by act or by clear implication, of the previous violations</w:t>
      </w:r>
      <w:r w:rsidR="007E74E7">
        <w:rPr>
          <w:rFonts w:ascii="Arial" w:hAnsi="Arial" w:cs="Arial"/>
          <w:lang w:val="en-GB"/>
        </w:rPr>
        <w:t>”.</w:t>
      </w:r>
    </w:p>
    <w:p w14:paraId="1EFF7643" w14:textId="6A075A87" w:rsidR="00AB4178" w:rsidRDefault="00AB4178" w:rsidP="001777E5">
      <w:pPr>
        <w:spacing w:after="120"/>
        <w:jc w:val="both"/>
        <w:rPr>
          <w:rFonts w:ascii="Arial" w:hAnsi="Arial" w:cs="Arial"/>
          <w:lang w:val="en-GB"/>
        </w:rPr>
      </w:pPr>
      <w:r w:rsidRPr="00AB4178">
        <w:rPr>
          <w:rFonts w:ascii="Arial" w:hAnsi="Arial" w:cs="Arial"/>
          <w:lang w:val="en-GB"/>
        </w:rPr>
        <w:t xml:space="preserve">The author considers that his detention is arbitrary because it is based on disability, in violation of article 14 (1) (b). If he </w:t>
      </w:r>
      <w:r w:rsidR="00FE27CC">
        <w:rPr>
          <w:rFonts w:ascii="Arial" w:hAnsi="Arial" w:cs="Arial"/>
          <w:lang w:val="en-GB"/>
        </w:rPr>
        <w:t>was not a person with</w:t>
      </w:r>
      <w:r w:rsidRPr="00AB4178">
        <w:rPr>
          <w:rFonts w:ascii="Arial" w:hAnsi="Arial" w:cs="Arial"/>
          <w:lang w:val="en-GB"/>
        </w:rPr>
        <w:t xml:space="preserve"> disability, he could not have been placed in indefinite detention</w:t>
      </w:r>
      <w:r>
        <w:rPr>
          <w:rFonts w:ascii="Arial" w:hAnsi="Arial" w:cs="Arial"/>
          <w:lang w:val="en-GB"/>
        </w:rPr>
        <w:t>.</w:t>
      </w:r>
      <w:r w:rsidR="00513470">
        <w:rPr>
          <w:rFonts w:ascii="Arial" w:hAnsi="Arial" w:cs="Arial"/>
          <w:lang w:val="en-GB"/>
        </w:rPr>
        <w:t xml:space="preserve"> </w:t>
      </w:r>
      <w:r w:rsidR="00AC7736">
        <w:rPr>
          <w:rFonts w:ascii="Arial" w:hAnsi="Arial" w:cs="Arial"/>
          <w:lang w:val="en-GB"/>
        </w:rPr>
        <w:t>In that sense, he considers the</w:t>
      </w:r>
      <w:r w:rsidR="00513470" w:rsidRPr="00513470">
        <w:rPr>
          <w:rFonts w:ascii="Arial" w:hAnsi="Arial" w:cs="Arial"/>
          <w:lang w:val="en-GB"/>
        </w:rPr>
        <w:t xml:space="preserve"> detention </w:t>
      </w:r>
      <w:r w:rsidR="00AC7736">
        <w:rPr>
          <w:rFonts w:ascii="Arial" w:hAnsi="Arial" w:cs="Arial"/>
          <w:lang w:val="en-GB"/>
        </w:rPr>
        <w:t>(</w:t>
      </w:r>
      <w:proofErr w:type="spellStart"/>
      <w:r w:rsidR="00AC7736">
        <w:rPr>
          <w:rFonts w:ascii="Arial" w:hAnsi="Arial" w:cs="Arial"/>
          <w:lang w:val="en-GB"/>
        </w:rPr>
        <w:t>a</w:t>
      </w:r>
      <w:proofErr w:type="spellEnd"/>
      <w:r w:rsidR="00AC7736">
        <w:rPr>
          <w:rFonts w:ascii="Arial" w:hAnsi="Arial" w:cs="Arial"/>
          <w:lang w:val="en-GB"/>
        </w:rPr>
        <w:t xml:space="preserve">) </w:t>
      </w:r>
      <w:r w:rsidR="00513470" w:rsidRPr="00513470">
        <w:rPr>
          <w:rFonts w:ascii="Arial" w:hAnsi="Arial" w:cs="Arial"/>
          <w:lang w:val="en-GB"/>
        </w:rPr>
        <w:t xml:space="preserve">arbitrary </w:t>
      </w:r>
      <w:r w:rsidR="00955C06">
        <w:rPr>
          <w:rFonts w:ascii="Arial" w:hAnsi="Arial" w:cs="Arial"/>
          <w:lang w:val="en-GB"/>
        </w:rPr>
        <w:t xml:space="preserve">because </w:t>
      </w:r>
      <w:r w:rsidR="00513470" w:rsidRPr="00513470">
        <w:rPr>
          <w:rFonts w:ascii="Arial" w:hAnsi="Arial" w:cs="Arial"/>
          <w:lang w:val="en-GB"/>
        </w:rPr>
        <w:t>it is subject to t</w:t>
      </w:r>
      <w:r w:rsidR="00573180">
        <w:rPr>
          <w:rFonts w:ascii="Arial" w:hAnsi="Arial" w:cs="Arial"/>
          <w:lang w:val="en-GB"/>
        </w:rPr>
        <w:t>he discretion of the Government;</w:t>
      </w:r>
      <w:r w:rsidR="00513470">
        <w:rPr>
          <w:rFonts w:ascii="Arial" w:hAnsi="Arial" w:cs="Arial"/>
          <w:lang w:val="en-GB"/>
        </w:rPr>
        <w:t xml:space="preserve"> </w:t>
      </w:r>
      <w:r w:rsidR="00513470" w:rsidRPr="00513470">
        <w:rPr>
          <w:rFonts w:ascii="Arial" w:hAnsi="Arial" w:cs="Arial"/>
          <w:lang w:val="en-GB"/>
        </w:rPr>
        <w:t xml:space="preserve">(b) unjust, given that the author has not been convicted for the offences and has not had </w:t>
      </w:r>
      <w:r w:rsidR="003A3A94" w:rsidRPr="00513470">
        <w:rPr>
          <w:rFonts w:ascii="Arial" w:hAnsi="Arial" w:cs="Arial"/>
          <w:lang w:val="en-GB"/>
        </w:rPr>
        <w:t xml:space="preserve">the </w:t>
      </w:r>
      <w:r w:rsidR="00513470" w:rsidRPr="00513470">
        <w:rPr>
          <w:rFonts w:ascii="Arial" w:hAnsi="Arial" w:cs="Arial"/>
          <w:lang w:val="en-GB"/>
        </w:rPr>
        <w:t>opportunity to properly test the evidence</w:t>
      </w:r>
      <w:r w:rsidR="00573180">
        <w:rPr>
          <w:rFonts w:ascii="Arial" w:hAnsi="Arial" w:cs="Arial"/>
          <w:lang w:val="en-GB"/>
        </w:rPr>
        <w:t xml:space="preserve">; </w:t>
      </w:r>
      <w:r w:rsidR="00955C06">
        <w:rPr>
          <w:rFonts w:ascii="Arial" w:hAnsi="Arial" w:cs="Arial"/>
          <w:lang w:val="en-GB"/>
        </w:rPr>
        <w:t xml:space="preserve">(c) </w:t>
      </w:r>
      <w:r w:rsidR="00573180" w:rsidRPr="00573180">
        <w:rPr>
          <w:rFonts w:ascii="Arial" w:hAnsi="Arial" w:cs="Arial"/>
          <w:lang w:val="en-GB"/>
        </w:rPr>
        <w:t>disproportionate</w:t>
      </w:r>
      <w:r w:rsidR="00333E5A">
        <w:rPr>
          <w:rFonts w:ascii="Arial" w:hAnsi="Arial" w:cs="Arial"/>
          <w:lang w:val="en-GB"/>
        </w:rPr>
        <w:t>, according to the years that he could be in pris</w:t>
      </w:r>
      <w:r w:rsidR="0018203D">
        <w:rPr>
          <w:rFonts w:ascii="Arial" w:hAnsi="Arial" w:cs="Arial"/>
          <w:lang w:val="en-GB"/>
        </w:rPr>
        <w:t>on if he had been found guilty</w:t>
      </w:r>
      <w:r w:rsidR="0018203D" w:rsidRPr="0018203D">
        <w:rPr>
          <w:rFonts w:ascii="Arial" w:hAnsi="Arial" w:cs="Arial"/>
          <w:lang w:val="en-GB"/>
        </w:rPr>
        <w:t>; and (d) punitive</w:t>
      </w:r>
      <w:r w:rsidR="00A96816">
        <w:rPr>
          <w:rFonts w:ascii="Arial" w:hAnsi="Arial" w:cs="Arial"/>
          <w:lang w:val="en-GB"/>
        </w:rPr>
        <w:t>, given that the author requires</w:t>
      </w:r>
      <w:r w:rsidR="0018203D" w:rsidRPr="0018203D">
        <w:rPr>
          <w:rFonts w:ascii="Arial" w:hAnsi="Arial" w:cs="Arial"/>
          <w:lang w:val="en-GB"/>
        </w:rPr>
        <w:t xml:space="preserve"> social support and assistance.</w:t>
      </w:r>
      <w:r w:rsidR="003A3A94">
        <w:rPr>
          <w:rFonts w:ascii="Arial" w:hAnsi="Arial" w:cs="Arial"/>
          <w:lang w:val="en-GB"/>
        </w:rPr>
        <w:t xml:space="preserve"> Besides, </w:t>
      </w:r>
      <w:r w:rsidR="003A3A94" w:rsidRPr="00513470">
        <w:rPr>
          <w:rFonts w:ascii="Arial" w:hAnsi="Arial" w:cs="Arial"/>
          <w:lang w:val="en-GB"/>
        </w:rPr>
        <w:t xml:space="preserve">the </w:t>
      </w:r>
      <w:r w:rsidR="003A3A94" w:rsidRPr="003A3A94">
        <w:rPr>
          <w:rFonts w:ascii="Arial" w:hAnsi="Arial" w:cs="Arial"/>
          <w:lang w:val="en-GB"/>
        </w:rPr>
        <w:t>author submits that the conditions of his detention in Greenough Regional Prison were exactly the same as those of convicted prisoners</w:t>
      </w:r>
      <w:r w:rsidR="00135BE6">
        <w:rPr>
          <w:rFonts w:ascii="Arial" w:hAnsi="Arial" w:cs="Arial"/>
          <w:lang w:val="en-GB"/>
        </w:rPr>
        <w:t>.</w:t>
      </w:r>
    </w:p>
    <w:p w14:paraId="4968A1F6" w14:textId="77777777" w:rsidR="00306238" w:rsidRDefault="00077A65" w:rsidP="003A3A94">
      <w:pPr>
        <w:spacing w:after="0"/>
        <w:jc w:val="both"/>
        <w:rPr>
          <w:rFonts w:ascii="Arial" w:hAnsi="Arial" w:cs="Arial"/>
          <w:lang w:val="en-GB"/>
        </w:rPr>
      </w:pPr>
      <w:r>
        <w:rPr>
          <w:rFonts w:ascii="Arial" w:hAnsi="Arial" w:cs="Arial"/>
          <w:lang w:val="en-GB"/>
        </w:rPr>
        <w:t xml:space="preserve">As to the State’s </w:t>
      </w:r>
      <w:r w:rsidRPr="00077A65">
        <w:rPr>
          <w:rFonts w:ascii="Arial" w:hAnsi="Arial" w:cs="Arial"/>
          <w:lang w:val="en-GB"/>
        </w:rPr>
        <w:t>submission that the author could have appealed the District Court’s decision, the author considers that would have been futile</w:t>
      </w:r>
      <w:r>
        <w:rPr>
          <w:rFonts w:ascii="Arial" w:hAnsi="Arial" w:cs="Arial"/>
          <w:lang w:val="en-GB"/>
        </w:rPr>
        <w:t xml:space="preserve">. </w:t>
      </w:r>
      <w:r w:rsidRPr="00077A65">
        <w:rPr>
          <w:rFonts w:ascii="Arial" w:hAnsi="Arial" w:cs="Arial"/>
          <w:lang w:val="en-GB"/>
        </w:rPr>
        <w:t xml:space="preserve">As to a possible arguable claim for judicial review, it would have been limited to challenging the exercise of the Review </w:t>
      </w:r>
      <w:r w:rsidRPr="00077A65">
        <w:rPr>
          <w:rFonts w:ascii="Arial" w:hAnsi="Arial" w:cs="Arial"/>
          <w:lang w:val="en-GB"/>
        </w:rPr>
        <w:lastRenderedPageBreak/>
        <w:t>Board’s discretion to make recommendations</w:t>
      </w:r>
      <w:r w:rsidR="00EA4FF9">
        <w:rPr>
          <w:rFonts w:ascii="Arial" w:hAnsi="Arial" w:cs="Arial"/>
          <w:lang w:val="en-GB"/>
        </w:rPr>
        <w:t xml:space="preserve"> that are not mandatory and, therefore, </w:t>
      </w:r>
      <w:r w:rsidR="00EA4FF9" w:rsidRPr="00EA4FF9">
        <w:rPr>
          <w:rFonts w:ascii="Arial" w:hAnsi="Arial" w:cs="Arial"/>
          <w:lang w:val="en-GB"/>
        </w:rPr>
        <w:t>any potential judicial review could not provide the author with an enforceable domestic remedy</w:t>
      </w:r>
      <w:r w:rsidR="00EA4FF9">
        <w:rPr>
          <w:rFonts w:ascii="Arial" w:hAnsi="Arial" w:cs="Arial"/>
          <w:lang w:val="en-GB"/>
        </w:rPr>
        <w:t>.</w:t>
      </w:r>
      <w:r w:rsidR="000E18A6">
        <w:rPr>
          <w:rFonts w:ascii="Arial" w:hAnsi="Arial" w:cs="Arial"/>
          <w:lang w:val="en-GB"/>
        </w:rPr>
        <w:t xml:space="preserve"> </w:t>
      </w:r>
      <w:r w:rsidR="00306238" w:rsidRPr="00306238">
        <w:rPr>
          <w:rFonts w:ascii="Arial" w:hAnsi="Arial" w:cs="Arial"/>
          <w:lang w:val="en-GB"/>
        </w:rPr>
        <w:t xml:space="preserve">In relation to the risk of harm in prison, the author submits that the </w:t>
      </w:r>
      <w:r w:rsidR="000E18A6">
        <w:rPr>
          <w:rFonts w:ascii="Arial" w:hAnsi="Arial" w:cs="Arial"/>
          <w:lang w:val="en-GB"/>
        </w:rPr>
        <w:t xml:space="preserve">assaults he faced were serious, being </w:t>
      </w:r>
      <w:r w:rsidR="00306238" w:rsidRPr="00306238">
        <w:rPr>
          <w:rFonts w:ascii="Arial" w:hAnsi="Arial" w:cs="Arial"/>
          <w:lang w:val="en-GB"/>
        </w:rPr>
        <w:t>subjected to frequent acts of violence and abuse from other prisoners</w:t>
      </w:r>
      <w:r w:rsidR="00E56B1F">
        <w:rPr>
          <w:rFonts w:ascii="Arial" w:hAnsi="Arial" w:cs="Arial"/>
          <w:lang w:val="en-GB"/>
        </w:rPr>
        <w:t>.</w:t>
      </w:r>
    </w:p>
    <w:p w14:paraId="4E1A27FE" w14:textId="77777777" w:rsidR="00E56B1F" w:rsidRDefault="00E56B1F" w:rsidP="003A3A94">
      <w:pPr>
        <w:spacing w:after="0"/>
        <w:jc w:val="both"/>
        <w:rPr>
          <w:rFonts w:ascii="Arial" w:hAnsi="Arial" w:cs="Arial"/>
          <w:lang w:val="en-GB"/>
        </w:rPr>
      </w:pPr>
    </w:p>
    <w:p w14:paraId="5C7D1C01" w14:textId="77777777" w:rsidR="001021CE" w:rsidRPr="006174CE" w:rsidRDefault="001021CE" w:rsidP="001021CE">
      <w:pPr>
        <w:spacing w:after="120"/>
        <w:jc w:val="both"/>
        <w:rPr>
          <w:rFonts w:ascii="Arial" w:hAnsi="Arial" w:cs="Arial"/>
          <w:sz w:val="28"/>
          <w:szCs w:val="28"/>
          <w:lang w:val="en-GB"/>
        </w:rPr>
      </w:pPr>
      <w:r w:rsidRPr="006174CE">
        <w:rPr>
          <w:rFonts w:ascii="Arial" w:hAnsi="Arial" w:cs="Arial"/>
          <w:sz w:val="28"/>
          <w:szCs w:val="28"/>
          <w:lang w:val="en-GB"/>
        </w:rPr>
        <w:t>Issues and proceedings before the Committee</w:t>
      </w:r>
      <w:bookmarkStart w:id="0" w:name="admissibility"/>
    </w:p>
    <w:p w14:paraId="46A83F4F" w14:textId="77777777" w:rsidR="001021CE" w:rsidRPr="00A706DC" w:rsidRDefault="001021CE" w:rsidP="008A2D5D">
      <w:pPr>
        <w:spacing w:after="120"/>
        <w:jc w:val="both"/>
        <w:rPr>
          <w:rFonts w:ascii="Arial" w:hAnsi="Arial" w:cs="Arial"/>
          <w:sz w:val="28"/>
          <w:szCs w:val="28"/>
          <w:lang w:val="en-GB"/>
        </w:rPr>
      </w:pPr>
      <w:r w:rsidRPr="00A706DC">
        <w:rPr>
          <w:rFonts w:ascii="Arial" w:hAnsi="Arial" w:cs="Arial"/>
          <w:sz w:val="28"/>
          <w:szCs w:val="28"/>
          <w:lang w:val="en-GB"/>
        </w:rPr>
        <w:t>Consideration of admissibility</w:t>
      </w:r>
    </w:p>
    <w:p w14:paraId="3F919796" w14:textId="77777777" w:rsidR="00B57239" w:rsidRDefault="00A706DC" w:rsidP="001777E5">
      <w:pPr>
        <w:spacing w:after="120"/>
        <w:jc w:val="both"/>
        <w:rPr>
          <w:rFonts w:ascii="Arial" w:hAnsi="Arial"/>
          <w:lang w:val="en-GB"/>
        </w:rPr>
      </w:pPr>
      <w:r w:rsidRPr="00DD7F80">
        <w:rPr>
          <w:rFonts w:ascii="Arial" w:hAnsi="Arial"/>
          <w:lang w:val="en-GB"/>
        </w:rPr>
        <w:t>The</w:t>
      </w:r>
      <w:r w:rsidR="00021F81">
        <w:rPr>
          <w:rFonts w:ascii="Arial" w:hAnsi="Arial"/>
          <w:lang w:val="en-GB"/>
        </w:rPr>
        <w:t xml:space="preserve"> Committee ascertains</w:t>
      </w:r>
      <w:r w:rsidR="001E657C" w:rsidRPr="00DD7F80">
        <w:rPr>
          <w:rFonts w:ascii="Arial" w:hAnsi="Arial"/>
          <w:lang w:val="en-GB"/>
        </w:rPr>
        <w:t xml:space="preserve"> that the same matter has not already been examined by it and has not been or is not being examined under another procedure of international investigation or settlement, as required by </w:t>
      </w:r>
      <w:hyperlink r:id="rId33" w:history="1">
        <w:r w:rsidR="001E657C" w:rsidRPr="00DD7F80">
          <w:rPr>
            <w:rStyle w:val="Hyperlink"/>
            <w:rFonts w:ascii="Arial" w:hAnsi="Arial"/>
            <w:lang w:val="en-GB"/>
          </w:rPr>
          <w:t>article 2(c) of the OP</w:t>
        </w:r>
      </w:hyperlink>
      <w:r w:rsidR="001E657C" w:rsidRPr="00DD7F80">
        <w:rPr>
          <w:rFonts w:ascii="Arial" w:hAnsi="Arial"/>
          <w:lang w:val="en-GB"/>
        </w:rPr>
        <w:t>.</w:t>
      </w:r>
    </w:p>
    <w:p w14:paraId="4F711FD2" w14:textId="77777777" w:rsidR="00B57239" w:rsidRDefault="00B57239" w:rsidP="001777E5">
      <w:pPr>
        <w:spacing w:after="120"/>
        <w:jc w:val="both"/>
        <w:rPr>
          <w:rFonts w:ascii="Arial" w:hAnsi="Arial"/>
          <w:lang w:val="en-GB"/>
        </w:rPr>
      </w:pPr>
      <w:r w:rsidRPr="00B57239">
        <w:rPr>
          <w:rFonts w:ascii="Arial" w:hAnsi="Arial"/>
          <w:u w:val="single"/>
          <w:lang w:val="en-GB"/>
        </w:rPr>
        <w:t xml:space="preserve">Regarding </w:t>
      </w:r>
      <w:r w:rsidRPr="008F7924">
        <w:rPr>
          <w:rFonts w:ascii="Arial" w:hAnsi="Arial"/>
          <w:u w:val="single"/>
          <w:lang w:val="en-GB"/>
        </w:rPr>
        <w:t xml:space="preserve">inadmissibility </w:t>
      </w:r>
      <w:r w:rsidR="0001181D">
        <w:rPr>
          <w:rFonts w:ascii="Arial" w:hAnsi="Arial"/>
          <w:u w:val="single"/>
          <w:lang w:val="en-GB"/>
        </w:rPr>
        <w:t>based on</w:t>
      </w:r>
      <w:r w:rsidRPr="008F7924">
        <w:rPr>
          <w:rFonts w:ascii="Arial" w:hAnsi="Arial"/>
          <w:u w:val="single"/>
          <w:lang w:val="en-GB"/>
        </w:rPr>
        <w:t xml:space="preserve"> </w:t>
      </w:r>
      <w:proofErr w:type="spellStart"/>
      <w:r w:rsidRPr="008F7924">
        <w:rPr>
          <w:rFonts w:ascii="Arial" w:hAnsi="Arial"/>
          <w:i/>
          <w:u w:val="single"/>
          <w:lang w:val="en-GB"/>
        </w:rPr>
        <w:t>ratione</w:t>
      </w:r>
      <w:proofErr w:type="spellEnd"/>
      <w:r w:rsidRPr="008F7924">
        <w:rPr>
          <w:rFonts w:ascii="Arial" w:hAnsi="Arial"/>
          <w:i/>
          <w:u w:val="single"/>
          <w:lang w:val="en-GB"/>
        </w:rPr>
        <w:t xml:space="preserve"> </w:t>
      </w:r>
      <w:proofErr w:type="spellStart"/>
      <w:r w:rsidRPr="008F7924">
        <w:rPr>
          <w:rFonts w:ascii="Arial" w:hAnsi="Arial"/>
          <w:i/>
          <w:u w:val="single"/>
          <w:lang w:val="en-GB"/>
        </w:rPr>
        <w:t>temporis</w:t>
      </w:r>
      <w:proofErr w:type="spellEnd"/>
      <w:r w:rsidRPr="00B57239">
        <w:rPr>
          <w:rFonts w:ascii="Arial" w:hAnsi="Arial"/>
          <w:lang w:val="en-GB"/>
        </w:rPr>
        <w:t xml:space="preserve">, </w:t>
      </w:r>
      <w:r w:rsidR="000B6AB7">
        <w:rPr>
          <w:rFonts w:ascii="Arial" w:hAnsi="Arial"/>
          <w:lang w:val="en-GB"/>
        </w:rPr>
        <w:t xml:space="preserve">firstly, </w:t>
      </w:r>
      <w:r w:rsidRPr="00B57239">
        <w:rPr>
          <w:rFonts w:ascii="Arial" w:hAnsi="Arial"/>
          <w:lang w:val="en-GB"/>
        </w:rPr>
        <w:t>the Committee</w:t>
      </w:r>
      <w:r w:rsidR="008F7924">
        <w:rPr>
          <w:rFonts w:ascii="Arial" w:hAnsi="Arial"/>
          <w:lang w:val="en-GB"/>
        </w:rPr>
        <w:t xml:space="preserve"> notes that t</w:t>
      </w:r>
      <w:r w:rsidR="008F7924" w:rsidRPr="008F7924">
        <w:rPr>
          <w:rFonts w:ascii="Arial" w:hAnsi="Arial"/>
          <w:lang w:val="en-GB"/>
        </w:rPr>
        <w:t xml:space="preserve">he author’s detention clearly continued after the entry into force of the </w:t>
      </w:r>
      <w:r w:rsidR="00B45000">
        <w:rPr>
          <w:rFonts w:ascii="Arial" w:hAnsi="Arial"/>
          <w:lang w:val="en-GB"/>
        </w:rPr>
        <w:t>OP</w:t>
      </w:r>
      <w:r w:rsidR="008F7924" w:rsidRPr="008F7924">
        <w:rPr>
          <w:rFonts w:ascii="Arial" w:hAnsi="Arial"/>
          <w:lang w:val="en-GB"/>
        </w:rPr>
        <w:t xml:space="preserve"> for the State</w:t>
      </w:r>
      <w:r w:rsidR="008F7924">
        <w:rPr>
          <w:rFonts w:ascii="Arial" w:hAnsi="Arial"/>
          <w:lang w:val="en-GB"/>
        </w:rPr>
        <w:t>,</w:t>
      </w:r>
      <w:r w:rsidR="008F7924" w:rsidRPr="00B83639">
        <w:rPr>
          <w:lang w:val="en-GB"/>
        </w:rPr>
        <w:t xml:space="preserve"> </w:t>
      </w:r>
      <w:r w:rsidR="008F7924" w:rsidRPr="008F7924">
        <w:rPr>
          <w:rFonts w:ascii="Arial" w:hAnsi="Arial"/>
          <w:lang w:val="en-GB"/>
        </w:rPr>
        <w:t>and</w:t>
      </w:r>
      <w:r w:rsidR="008F7924">
        <w:rPr>
          <w:rFonts w:ascii="Arial" w:hAnsi="Arial"/>
          <w:lang w:val="en-GB"/>
        </w:rPr>
        <w:t>, therefore,</w:t>
      </w:r>
      <w:r w:rsidR="008F7924" w:rsidRPr="008F7924">
        <w:rPr>
          <w:rFonts w:ascii="Arial" w:hAnsi="Arial"/>
          <w:lang w:val="en-GB"/>
        </w:rPr>
        <w:t xml:space="preserve"> the author’s claim under article 14 (1) (b) is within the Committee’s competence</w:t>
      </w:r>
      <w:r w:rsidR="000B6AB7">
        <w:rPr>
          <w:rFonts w:ascii="Arial" w:hAnsi="Arial"/>
          <w:lang w:val="en-GB"/>
        </w:rPr>
        <w:t xml:space="preserve">. Secondly, </w:t>
      </w:r>
      <w:r w:rsidR="000B6AB7" w:rsidRPr="00B57239">
        <w:rPr>
          <w:rFonts w:ascii="Arial" w:hAnsi="Arial"/>
          <w:lang w:val="en-GB"/>
        </w:rPr>
        <w:t>the Committee</w:t>
      </w:r>
      <w:r w:rsidR="000B6AB7">
        <w:rPr>
          <w:rFonts w:ascii="Arial" w:hAnsi="Arial"/>
          <w:lang w:val="en-GB"/>
        </w:rPr>
        <w:t xml:space="preserve"> notes that the</w:t>
      </w:r>
      <w:r w:rsidR="000B6AB7" w:rsidRPr="000B6AB7">
        <w:rPr>
          <w:rFonts w:ascii="Arial" w:hAnsi="Arial"/>
          <w:lang w:val="en-GB"/>
        </w:rPr>
        <w:t xml:space="preserve"> author continued to be deprived of the opportunity to plead not guilty and to </w:t>
      </w:r>
      <w:r w:rsidR="006D726C">
        <w:rPr>
          <w:rFonts w:ascii="Arial" w:hAnsi="Arial"/>
          <w:lang w:val="en-GB"/>
        </w:rPr>
        <w:t>test</w:t>
      </w:r>
      <w:r w:rsidR="000B6AB7" w:rsidRPr="000B6AB7">
        <w:rPr>
          <w:rFonts w:ascii="Arial" w:hAnsi="Arial"/>
          <w:lang w:val="en-GB"/>
        </w:rPr>
        <w:t xml:space="preserve"> the evidence after the entry into force of the </w:t>
      </w:r>
      <w:r w:rsidR="00B45000">
        <w:rPr>
          <w:rFonts w:ascii="Arial" w:hAnsi="Arial"/>
          <w:lang w:val="en-GB"/>
        </w:rPr>
        <w:t>OP</w:t>
      </w:r>
      <w:r w:rsidR="000B6AB7" w:rsidRPr="000B6AB7">
        <w:rPr>
          <w:rFonts w:ascii="Arial" w:hAnsi="Arial"/>
          <w:lang w:val="en-GB"/>
        </w:rPr>
        <w:t xml:space="preserve"> for the State</w:t>
      </w:r>
      <w:r w:rsidR="00BE4017">
        <w:rPr>
          <w:rFonts w:ascii="Arial" w:hAnsi="Arial"/>
          <w:lang w:val="en-GB"/>
        </w:rPr>
        <w:t xml:space="preserve">, hence, </w:t>
      </w:r>
      <w:r w:rsidR="00BE4017" w:rsidRPr="008F7924">
        <w:rPr>
          <w:rFonts w:ascii="Arial" w:hAnsi="Arial"/>
          <w:lang w:val="en-GB"/>
        </w:rPr>
        <w:t>t</w:t>
      </w:r>
      <w:r w:rsidR="00BE4017">
        <w:rPr>
          <w:rFonts w:ascii="Arial" w:hAnsi="Arial"/>
          <w:lang w:val="en-GB"/>
        </w:rPr>
        <w:t xml:space="preserve">he author’s claim under articles 12 and 13 </w:t>
      </w:r>
      <w:r w:rsidR="00BE4017" w:rsidRPr="008F7924">
        <w:rPr>
          <w:rFonts w:ascii="Arial" w:hAnsi="Arial"/>
          <w:lang w:val="en-GB"/>
        </w:rPr>
        <w:t>is within the Committee’s competence</w:t>
      </w:r>
      <w:r w:rsidR="00BE4017">
        <w:rPr>
          <w:rFonts w:ascii="Arial" w:hAnsi="Arial"/>
          <w:lang w:val="en-GB"/>
        </w:rPr>
        <w:t>.</w:t>
      </w:r>
    </w:p>
    <w:p w14:paraId="41DE9C52" w14:textId="77777777" w:rsidR="008B377D" w:rsidRDefault="001E657C" w:rsidP="001777E5">
      <w:pPr>
        <w:spacing w:after="120"/>
        <w:jc w:val="both"/>
        <w:rPr>
          <w:rFonts w:ascii="Arial" w:hAnsi="Arial"/>
          <w:lang w:val="en-GB"/>
        </w:rPr>
      </w:pPr>
      <w:r w:rsidRPr="005C43E1">
        <w:rPr>
          <w:rFonts w:ascii="Arial" w:hAnsi="Arial"/>
          <w:u w:val="single"/>
          <w:lang w:val="en-GB"/>
        </w:rPr>
        <w:t>Regarding inadmissibility for non-exhaustion of domestic remedies</w:t>
      </w:r>
      <w:r w:rsidRPr="005C43E1">
        <w:rPr>
          <w:rFonts w:ascii="Arial" w:hAnsi="Arial"/>
          <w:lang w:val="en-GB"/>
        </w:rPr>
        <w:t xml:space="preserve">, </w:t>
      </w:r>
      <w:r w:rsidR="005C43E1">
        <w:rPr>
          <w:rFonts w:ascii="Arial" w:hAnsi="Arial"/>
          <w:lang w:val="en-GB"/>
        </w:rPr>
        <w:t xml:space="preserve">firstly, </w:t>
      </w:r>
      <w:r w:rsidR="008B377D" w:rsidRPr="005C43E1">
        <w:rPr>
          <w:rFonts w:ascii="Arial" w:hAnsi="Arial"/>
          <w:lang w:val="en-GB"/>
        </w:rPr>
        <w:t>the Committee recalls</w:t>
      </w:r>
      <w:r w:rsidR="008B377D" w:rsidRPr="008B377D">
        <w:rPr>
          <w:rFonts w:ascii="Arial" w:hAnsi="Arial"/>
          <w:lang w:val="en-GB"/>
        </w:rPr>
        <w:t xml:space="preserve"> that domestic remedies need not be exhausted if they objectivel</w:t>
      </w:r>
      <w:r w:rsidR="008B377D">
        <w:rPr>
          <w:rFonts w:ascii="Arial" w:hAnsi="Arial"/>
          <w:lang w:val="en-GB"/>
        </w:rPr>
        <w:t>y have no prospect of success.</w:t>
      </w:r>
      <w:r w:rsidR="008B377D" w:rsidRPr="008B377D">
        <w:rPr>
          <w:rFonts w:ascii="Arial" w:hAnsi="Arial"/>
          <w:lang w:val="en-GB"/>
        </w:rPr>
        <w:t xml:space="preserve"> Taking into account the clear wording of the relevant sections of the Act, the Committee concludes that no additional effective remedies were available to the author and that his claims under articles 12 (2) and (3) and 13 (1) are admissible under article 2 (d) of the </w:t>
      </w:r>
      <w:r w:rsidR="00EC4E64">
        <w:rPr>
          <w:rFonts w:ascii="Arial" w:hAnsi="Arial"/>
          <w:lang w:val="en-GB"/>
        </w:rPr>
        <w:t>OP</w:t>
      </w:r>
      <w:r w:rsidR="005C43E1">
        <w:rPr>
          <w:rFonts w:ascii="Arial" w:hAnsi="Arial"/>
          <w:lang w:val="en-GB"/>
        </w:rPr>
        <w:t xml:space="preserve">. Secondly, </w:t>
      </w:r>
      <w:r w:rsidR="00191F02">
        <w:rPr>
          <w:rFonts w:ascii="Arial" w:hAnsi="Arial"/>
          <w:lang w:val="en-GB"/>
        </w:rPr>
        <w:t>in relation to</w:t>
      </w:r>
      <w:r w:rsidR="00BD232A">
        <w:rPr>
          <w:rFonts w:ascii="Arial" w:hAnsi="Arial"/>
          <w:lang w:val="en-GB"/>
        </w:rPr>
        <w:t xml:space="preserve"> the </w:t>
      </w:r>
      <w:r w:rsidR="00BD232A" w:rsidRPr="00BD232A">
        <w:rPr>
          <w:rFonts w:ascii="Arial" w:hAnsi="Arial"/>
          <w:lang w:val="en-GB"/>
        </w:rPr>
        <w:t>conditions of detention</w:t>
      </w:r>
      <w:r w:rsidR="00BD232A">
        <w:rPr>
          <w:rFonts w:ascii="Arial" w:hAnsi="Arial"/>
          <w:lang w:val="en-GB"/>
        </w:rPr>
        <w:t>, t</w:t>
      </w:r>
      <w:r w:rsidR="00BD232A" w:rsidRPr="00BD232A">
        <w:rPr>
          <w:rFonts w:ascii="Arial" w:hAnsi="Arial"/>
          <w:lang w:val="en-GB"/>
        </w:rPr>
        <w:t xml:space="preserve">he Committee notes that the </w:t>
      </w:r>
      <w:r w:rsidR="00094E7A" w:rsidRPr="00094E7A">
        <w:rPr>
          <w:rFonts w:ascii="Arial" w:hAnsi="Arial"/>
          <w:lang w:val="en-GB"/>
        </w:rPr>
        <w:t xml:space="preserve">information provided does not reflect that </w:t>
      </w:r>
      <w:r w:rsidR="007279B2">
        <w:rPr>
          <w:rFonts w:ascii="Arial" w:hAnsi="Arial"/>
          <w:lang w:val="en-GB"/>
        </w:rPr>
        <w:t>t</w:t>
      </w:r>
      <w:r w:rsidR="00094E7A" w:rsidRPr="00094E7A">
        <w:rPr>
          <w:rFonts w:ascii="Arial" w:hAnsi="Arial"/>
          <w:lang w:val="en-GB"/>
        </w:rPr>
        <w:t>he</w:t>
      </w:r>
      <w:r w:rsidR="007279B2">
        <w:rPr>
          <w:rFonts w:ascii="Arial" w:hAnsi="Arial"/>
          <w:lang w:val="en-GB"/>
        </w:rPr>
        <w:t xml:space="preserve"> author</w:t>
      </w:r>
      <w:r w:rsidR="00094E7A" w:rsidRPr="00094E7A">
        <w:rPr>
          <w:rFonts w:ascii="Arial" w:hAnsi="Arial"/>
          <w:lang w:val="en-GB"/>
        </w:rPr>
        <w:t xml:space="preserve"> submitted any complaint to the competent national jurisdictions in that </w:t>
      </w:r>
      <w:r w:rsidR="00191F02">
        <w:rPr>
          <w:rFonts w:ascii="Arial" w:hAnsi="Arial"/>
          <w:lang w:val="en-GB"/>
        </w:rPr>
        <w:t>regard</w:t>
      </w:r>
      <w:r w:rsidR="007279B2">
        <w:rPr>
          <w:rFonts w:ascii="Arial" w:hAnsi="Arial"/>
          <w:lang w:val="en-GB"/>
        </w:rPr>
        <w:t xml:space="preserve">. </w:t>
      </w:r>
      <w:r w:rsidR="007279B2" w:rsidRPr="007279B2">
        <w:rPr>
          <w:rFonts w:ascii="Arial" w:hAnsi="Arial"/>
          <w:lang w:val="en-GB"/>
        </w:rPr>
        <w:t xml:space="preserve">The Committee therefore concludes that this part of the author’s communication is inadmissible under article 2 (f) of the </w:t>
      </w:r>
      <w:r w:rsidR="00EC4E64">
        <w:rPr>
          <w:rFonts w:ascii="Arial" w:hAnsi="Arial"/>
          <w:lang w:val="en-GB"/>
        </w:rPr>
        <w:t>OP</w:t>
      </w:r>
      <w:r w:rsidR="007279B2" w:rsidRPr="007279B2">
        <w:rPr>
          <w:rFonts w:ascii="Arial" w:hAnsi="Arial"/>
          <w:lang w:val="en-GB"/>
        </w:rPr>
        <w:t>.</w:t>
      </w:r>
    </w:p>
    <w:p w14:paraId="141FD83F" w14:textId="77777777" w:rsidR="00E9530E" w:rsidRDefault="00167C98" w:rsidP="001777E5">
      <w:pPr>
        <w:spacing w:after="120"/>
        <w:jc w:val="both"/>
        <w:rPr>
          <w:rFonts w:ascii="Arial" w:hAnsi="Arial"/>
          <w:lang w:val="en-GB"/>
        </w:rPr>
      </w:pPr>
      <w:r w:rsidRPr="00467A65">
        <w:rPr>
          <w:rFonts w:ascii="Arial" w:hAnsi="Arial"/>
          <w:u w:val="single"/>
          <w:lang w:val="en-GB"/>
        </w:rPr>
        <w:t xml:space="preserve">Regarding </w:t>
      </w:r>
      <w:r w:rsidR="004A2E9C" w:rsidRPr="00467A65">
        <w:rPr>
          <w:rFonts w:ascii="Arial" w:hAnsi="Arial"/>
          <w:u w:val="single"/>
          <w:lang w:val="en-GB"/>
        </w:rPr>
        <w:t xml:space="preserve">inadmissibility under article 1 of the </w:t>
      </w:r>
      <w:r w:rsidR="00EC4E64">
        <w:rPr>
          <w:rFonts w:ascii="Arial" w:hAnsi="Arial"/>
          <w:u w:val="single"/>
          <w:lang w:val="en-GB"/>
        </w:rPr>
        <w:t>OP</w:t>
      </w:r>
      <w:r w:rsidR="004A2E9C">
        <w:rPr>
          <w:rFonts w:ascii="Arial" w:hAnsi="Arial"/>
          <w:lang w:val="en-GB"/>
        </w:rPr>
        <w:t>,</w:t>
      </w:r>
      <w:r w:rsidR="004A2E9C" w:rsidRPr="004A2E9C">
        <w:rPr>
          <w:rFonts w:ascii="Arial" w:hAnsi="Arial"/>
          <w:lang w:val="en-GB"/>
        </w:rPr>
        <w:t xml:space="preserve"> </w:t>
      </w:r>
      <w:r w:rsidR="00EC4E64">
        <w:rPr>
          <w:rFonts w:ascii="Arial" w:hAnsi="Arial"/>
          <w:lang w:val="en-GB"/>
        </w:rPr>
        <w:t>t</w:t>
      </w:r>
      <w:r w:rsidR="00700C62" w:rsidRPr="00700C62">
        <w:rPr>
          <w:rFonts w:ascii="Arial" w:hAnsi="Arial"/>
          <w:lang w:val="en-GB"/>
        </w:rPr>
        <w:t>he Committee recalls that an individual complaint may not contest a law or practice in theoretical term</w:t>
      </w:r>
      <w:r w:rsidR="00700C62">
        <w:rPr>
          <w:rFonts w:ascii="Arial" w:hAnsi="Arial"/>
          <w:lang w:val="en-GB"/>
        </w:rPr>
        <w:t xml:space="preserve">s by </w:t>
      </w:r>
      <w:proofErr w:type="spellStart"/>
      <w:r w:rsidR="00700C62" w:rsidRPr="00700C62">
        <w:rPr>
          <w:rFonts w:ascii="Arial" w:hAnsi="Arial"/>
          <w:i/>
          <w:lang w:val="en-GB"/>
        </w:rPr>
        <w:t>actio</w:t>
      </w:r>
      <w:proofErr w:type="spellEnd"/>
      <w:r w:rsidR="00700C62">
        <w:rPr>
          <w:rFonts w:ascii="Arial" w:hAnsi="Arial"/>
          <w:lang w:val="en-GB"/>
        </w:rPr>
        <w:t xml:space="preserve"> </w:t>
      </w:r>
      <w:proofErr w:type="spellStart"/>
      <w:r w:rsidR="00700C62" w:rsidRPr="00700C62">
        <w:rPr>
          <w:rFonts w:ascii="Arial" w:hAnsi="Arial"/>
          <w:i/>
          <w:lang w:val="en-GB"/>
        </w:rPr>
        <w:t>popularis</w:t>
      </w:r>
      <w:proofErr w:type="spellEnd"/>
      <w:r w:rsidR="00700C62">
        <w:rPr>
          <w:rFonts w:ascii="Arial" w:hAnsi="Arial"/>
          <w:lang w:val="en-GB"/>
        </w:rPr>
        <w:t xml:space="preserve">. </w:t>
      </w:r>
      <w:r w:rsidR="00700C62" w:rsidRPr="00700C62">
        <w:rPr>
          <w:rFonts w:ascii="Arial" w:hAnsi="Arial"/>
          <w:lang w:val="en-GB"/>
        </w:rPr>
        <w:t>However, in the present case, the Committee finds that the author has sufficiently substantiated the fact that the Act has had a direct impact on the enjoyment of his rights and therefore considers his claim under article 5 (1) of the Convention admissible</w:t>
      </w:r>
      <w:r w:rsidR="00700C62">
        <w:rPr>
          <w:rFonts w:ascii="Arial" w:hAnsi="Arial"/>
          <w:lang w:val="en-GB"/>
        </w:rPr>
        <w:t>.</w:t>
      </w:r>
    </w:p>
    <w:p w14:paraId="24B7B64A" w14:textId="77777777" w:rsidR="00E9530E" w:rsidRPr="0077057D" w:rsidRDefault="00E9530E" w:rsidP="001777E5">
      <w:pPr>
        <w:spacing w:after="120"/>
        <w:jc w:val="both"/>
        <w:rPr>
          <w:rFonts w:ascii="Arial" w:hAnsi="Arial"/>
          <w:highlight w:val="lightGray"/>
          <w:lang w:val="en-GB"/>
        </w:rPr>
      </w:pPr>
      <w:r w:rsidRPr="00E46DD7">
        <w:rPr>
          <w:rFonts w:ascii="Arial" w:hAnsi="Arial"/>
          <w:u w:val="single"/>
          <w:lang w:val="en-GB"/>
        </w:rPr>
        <w:t>Regarding inadmissibility due to failure to sufficiently substantiate claims</w:t>
      </w:r>
      <w:r w:rsidRPr="00E46DD7">
        <w:rPr>
          <w:rFonts w:ascii="Arial" w:hAnsi="Arial"/>
          <w:lang w:val="en-GB"/>
        </w:rPr>
        <w:t xml:space="preserve">, the Committee </w:t>
      </w:r>
      <w:r w:rsidR="00FA1100" w:rsidRPr="00FA1100">
        <w:rPr>
          <w:rFonts w:ascii="Arial" w:hAnsi="Arial"/>
          <w:lang w:val="en-GB"/>
        </w:rPr>
        <w:t>notes the author’s submission that while he was in prison, he was at significant risk of harm from other</w:t>
      </w:r>
      <w:r w:rsidR="00BE4762">
        <w:rPr>
          <w:rFonts w:ascii="Arial" w:hAnsi="Arial"/>
          <w:lang w:val="en-GB"/>
        </w:rPr>
        <w:t xml:space="preserve"> prisoners. Moreover, </w:t>
      </w:r>
      <w:r w:rsidR="0082133D">
        <w:rPr>
          <w:rFonts w:ascii="Arial" w:hAnsi="Arial"/>
          <w:lang w:val="en-GB"/>
        </w:rPr>
        <w:t xml:space="preserve">according to the author, </w:t>
      </w:r>
      <w:r w:rsidR="00BE4762" w:rsidRPr="00BE4762">
        <w:rPr>
          <w:rFonts w:ascii="Arial" w:hAnsi="Arial"/>
          <w:lang w:val="en-GB"/>
        </w:rPr>
        <w:t xml:space="preserve">these offences amounted to inhuman and degrading treatment, and apparently remained unrecorded by the prison authorities. </w:t>
      </w:r>
      <w:r w:rsidR="001D59C4">
        <w:rPr>
          <w:rFonts w:ascii="Arial" w:hAnsi="Arial"/>
          <w:lang w:val="en-GB"/>
        </w:rPr>
        <w:t>T</w:t>
      </w:r>
      <w:r w:rsidR="00BE4762" w:rsidRPr="00BE4762">
        <w:rPr>
          <w:rFonts w:ascii="Arial" w:hAnsi="Arial"/>
          <w:lang w:val="en-GB"/>
        </w:rPr>
        <w:t>he Committee considers that the author sufficiently substantiated his allegations under article 15 f</w:t>
      </w:r>
      <w:r w:rsidR="001D59C4">
        <w:rPr>
          <w:rFonts w:ascii="Arial" w:hAnsi="Arial"/>
          <w:lang w:val="en-GB"/>
        </w:rPr>
        <w:t xml:space="preserve">or the </w:t>
      </w:r>
      <w:r w:rsidR="00621C8A">
        <w:rPr>
          <w:rFonts w:ascii="Arial" w:hAnsi="Arial"/>
          <w:lang w:val="en-GB"/>
        </w:rPr>
        <w:t xml:space="preserve">purpose of considers them </w:t>
      </w:r>
      <w:r w:rsidR="00BE4762" w:rsidRPr="00BE4762">
        <w:rPr>
          <w:rFonts w:ascii="Arial" w:hAnsi="Arial"/>
          <w:lang w:val="en-GB"/>
        </w:rPr>
        <w:t xml:space="preserve">admissible under article 2 (e) of the </w:t>
      </w:r>
      <w:r w:rsidR="001D59C4">
        <w:rPr>
          <w:rFonts w:ascii="Arial" w:hAnsi="Arial"/>
          <w:lang w:val="en-GB"/>
        </w:rPr>
        <w:t>OP</w:t>
      </w:r>
      <w:r w:rsidR="0082133D">
        <w:rPr>
          <w:rFonts w:ascii="Arial" w:hAnsi="Arial"/>
          <w:lang w:val="en-GB"/>
        </w:rPr>
        <w:t>.</w:t>
      </w:r>
    </w:p>
    <w:p w14:paraId="36D900B6" w14:textId="77777777" w:rsidR="00E9530E" w:rsidRPr="0077057D" w:rsidRDefault="00E9530E" w:rsidP="00E9530E">
      <w:pPr>
        <w:spacing w:after="0"/>
        <w:jc w:val="both"/>
        <w:rPr>
          <w:rFonts w:ascii="Arial" w:hAnsi="Arial"/>
          <w:highlight w:val="lightGray"/>
          <w:lang w:val="en-GB"/>
        </w:rPr>
      </w:pPr>
      <w:r w:rsidRPr="0010718F">
        <w:rPr>
          <w:rFonts w:ascii="Arial" w:hAnsi="Arial"/>
          <w:lang w:val="en-GB"/>
        </w:rPr>
        <w:t xml:space="preserve">Consequently, </w:t>
      </w:r>
      <w:r w:rsidR="0010718F" w:rsidRPr="0010718F">
        <w:rPr>
          <w:rFonts w:ascii="Arial" w:hAnsi="Arial"/>
          <w:lang w:val="en-GB"/>
        </w:rPr>
        <w:t>the Committee declares the communication admissible as far as it concerns the author’s claims under articles 5 (1) and (2), 12 (2) and (3), 13 (1), 14 (1) (b) and 15.</w:t>
      </w:r>
      <w:r w:rsidRPr="0077057D">
        <w:rPr>
          <w:rFonts w:ascii="Arial" w:hAnsi="Arial"/>
          <w:highlight w:val="lightGray"/>
          <w:lang w:val="en-GB"/>
        </w:rPr>
        <w:t xml:space="preserve">   </w:t>
      </w:r>
    </w:p>
    <w:p w14:paraId="3DFD1910" w14:textId="77777777" w:rsidR="00E9530E" w:rsidRPr="0077057D" w:rsidRDefault="00E9530E" w:rsidP="001E657C">
      <w:pPr>
        <w:spacing w:after="0"/>
        <w:jc w:val="both"/>
        <w:rPr>
          <w:rFonts w:ascii="Arial" w:hAnsi="Arial"/>
          <w:highlight w:val="lightGray"/>
          <w:lang w:val="en-GB"/>
        </w:rPr>
      </w:pPr>
    </w:p>
    <w:p w14:paraId="31B75793" w14:textId="77777777" w:rsidR="003B4253" w:rsidRPr="008F60E7" w:rsidRDefault="003B4253" w:rsidP="003B4253">
      <w:pPr>
        <w:spacing w:after="120"/>
        <w:jc w:val="both"/>
        <w:rPr>
          <w:rFonts w:ascii="Arial" w:hAnsi="Arial" w:cs="Arial"/>
          <w:sz w:val="28"/>
          <w:szCs w:val="28"/>
          <w:lang w:val="en-GB"/>
        </w:rPr>
      </w:pPr>
      <w:r w:rsidRPr="008F60E7">
        <w:rPr>
          <w:rFonts w:ascii="Arial" w:hAnsi="Arial" w:cs="Arial"/>
          <w:sz w:val="28"/>
          <w:szCs w:val="28"/>
          <w:lang w:val="en-GB"/>
        </w:rPr>
        <w:t>Consideration of the merits</w:t>
      </w:r>
    </w:p>
    <w:bookmarkEnd w:id="0"/>
    <w:p w14:paraId="61A7774B" w14:textId="77777777" w:rsidR="001021CE" w:rsidRDefault="00D13823" w:rsidP="001777E5">
      <w:pPr>
        <w:spacing w:after="120"/>
        <w:jc w:val="both"/>
        <w:rPr>
          <w:rFonts w:ascii="Arial" w:hAnsi="Arial"/>
          <w:lang w:val="en-GB"/>
        </w:rPr>
      </w:pPr>
      <w:r w:rsidRPr="00112DE2">
        <w:rPr>
          <w:rFonts w:ascii="Arial" w:hAnsi="Arial"/>
          <w:u w:val="single"/>
          <w:lang w:val="en-GB"/>
        </w:rPr>
        <w:t>Regarding article 5</w:t>
      </w:r>
      <w:r>
        <w:rPr>
          <w:rFonts w:ascii="Arial" w:hAnsi="Arial"/>
          <w:lang w:val="en-GB"/>
        </w:rPr>
        <w:t xml:space="preserve">, </w:t>
      </w:r>
      <w:r w:rsidR="00AA2BD2">
        <w:rPr>
          <w:rFonts w:ascii="Arial" w:hAnsi="Arial"/>
          <w:lang w:val="en-GB"/>
        </w:rPr>
        <w:t>t</w:t>
      </w:r>
      <w:r w:rsidRPr="00D13823">
        <w:rPr>
          <w:rFonts w:ascii="Arial" w:hAnsi="Arial"/>
          <w:lang w:val="en-GB"/>
        </w:rPr>
        <w:t xml:space="preserve">he issue before the Committee is to assess </w:t>
      </w:r>
      <w:r w:rsidR="000A04F0">
        <w:rPr>
          <w:rFonts w:ascii="Arial" w:hAnsi="Arial"/>
          <w:lang w:val="en-GB"/>
        </w:rPr>
        <w:t>if</w:t>
      </w:r>
      <w:r w:rsidRPr="00D13823">
        <w:rPr>
          <w:rFonts w:ascii="Arial" w:hAnsi="Arial"/>
          <w:lang w:val="en-GB"/>
        </w:rPr>
        <w:t xml:space="preserve"> the differential treatment provided under the </w:t>
      </w:r>
      <w:r w:rsidR="00AA2BD2" w:rsidRPr="00D13823">
        <w:rPr>
          <w:rFonts w:ascii="Arial" w:hAnsi="Arial"/>
          <w:lang w:val="en-GB"/>
        </w:rPr>
        <w:t xml:space="preserve">Mentally Impaired Defendants Act </w:t>
      </w:r>
      <w:r w:rsidRPr="00D13823">
        <w:rPr>
          <w:rFonts w:ascii="Arial" w:hAnsi="Arial"/>
          <w:lang w:val="en-GB"/>
        </w:rPr>
        <w:t>is reasonable or whether it results in discriminatory treatment of persons with disabilities</w:t>
      </w:r>
      <w:r w:rsidR="000C796F">
        <w:rPr>
          <w:rFonts w:ascii="Arial" w:hAnsi="Arial"/>
          <w:lang w:val="en-GB"/>
        </w:rPr>
        <w:t xml:space="preserve">. </w:t>
      </w:r>
      <w:r w:rsidR="000C796F" w:rsidRPr="000C796F">
        <w:rPr>
          <w:rFonts w:ascii="Arial" w:hAnsi="Arial"/>
          <w:lang w:val="en-GB"/>
        </w:rPr>
        <w:t xml:space="preserve">The Committee notes that throughout </w:t>
      </w:r>
      <w:r w:rsidR="000C796F" w:rsidRPr="000C796F">
        <w:rPr>
          <w:rFonts w:ascii="Arial" w:hAnsi="Arial"/>
          <w:lang w:val="en-GB"/>
        </w:rPr>
        <w:lastRenderedPageBreak/>
        <w:t>the author’s detention in prison, the judicial procedure focused on his mental capacity to stand trial without giving him any possibility to plead not guilty and to test the evidence against him. The Committee also notes that the State did not provide the author with the support or accommodation he required to exercise his legal capacity</w:t>
      </w:r>
      <w:r w:rsidR="000C796F">
        <w:rPr>
          <w:rFonts w:ascii="Arial" w:hAnsi="Arial"/>
          <w:lang w:val="en-GB"/>
        </w:rPr>
        <w:t xml:space="preserve">. </w:t>
      </w:r>
      <w:r w:rsidR="000C796F" w:rsidRPr="000C796F">
        <w:rPr>
          <w:rFonts w:ascii="Arial" w:hAnsi="Arial"/>
          <w:lang w:val="en-GB"/>
        </w:rPr>
        <w:t>As a result of the application of the Act, the author’s right to a fair trial was instead fully suspended, depriving him of the protection and equal benefit of the law.</w:t>
      </w:r>
    </w:p>
    <w:p w14:paraId="709870BA" w14:textId="77777777" w:rsidR="00810C6F" w:rsidRDefault="00112DE2" w:rsidP="001777E5">
      <w:pPr>
        <w:spacing w:after="120"/>
        <w:jc w:val="both"/>
        <w:rPr>
          <w:rFonts w:ascii="Arial" w:hAnsi="Arial"/>
          <w:lang w:val="en-GB"/>
        </w:rPr>
      </w:pPr>
      <w:r w:rsidRPr="00112DE2">
        <w:rPr>
          <w:rFonts w:ascii="Arial" w:hAnsi="Arial"/>
          <w:u w:val="single"/>
          <w:lang w:val="en-GB"/>
        </w:rPr>
        <w:t>Regarding</w:t>
      </w:r>
      <w:r w:rsidR="00F3445E" w:rsidRPr="00112DE2">
        <w:rPr>
          <w:rFonts w:ascii="Arial" w:hAnsi="Arial"/>
          <w:u w:val="single"/>
          <w:lang w:val="en-GB"/>
        </w:rPr>
        <w:t xml:space="preserve"> articles 12 and 13</w:t>
      </w:r>
      <w:r w:rsidR="00810C6F">
        <w:rPr>
          <w:rFonts w:ascii="Arial" w:hAnsi="Arial"/>
          <w:lang w:val="en-GB"/>
        </w:rPr>
        <w:t xml:space="preserve">, </w:t>
      </w:r>
      <w:r w:rsidR="00D16E8F" w:rsidRPr="00D16E8F">
        <w:rPr>
          <w:rFonts w:ascii="Arial" w:hAnsi="Arial"/>
          <w:lang w:val="en-GB"/>
        </w:rPr>
        <w:t>the decision that the author was unfit to plead because of his intellectual and mental disability resulted in a denial of his right to exercise his legal capacity to plead not guilty and to test the evidence against him. Furthermore, no adequate form of su</w:t>
      </w:r>
      <w:r w:rsidR="00DF5251">
        <w:rPr>
          <w:rFonts w:ascii="Arial" w:hAnsi="Arial"/>
          <w:lang w:val="en-GB"/>
        </w:rPr>
        <w:t xml:space="preserve">pport was provided by the State’s </w:t>
      </w:r>
      <w:r w:rsidR="00D16E8F" w:rsidRPr="00D16E8F">
        <w:rPr>
          <w:rFonts w:ascii="Arial" w:hAnsi="Arial"/>
          <w:lang w:val="en-GB"/>
        </w:rPr>
        <w:t>authorities to enable him to s</w:t>
      </w:r>
      <w:r w:rsidR="000F5631">
        <w:rPr>
          <w:rFonts w:ascii="Arial" w:hAnsi="Arial"/>
          <w:lang w:val="en-GB"/>
        </w:rPr>
        <w:t>tand trial.</w:t>
      </w:r>
    </w:p>
    <w:p w14:paraId="232992C6" w14:textId="77777777" w:rsidR="00F3445E" w:rsidRDefault="007B56E4" w:rsidP="001777E5">
      <w:pPr>
        <w:spacing w:after="120"/>
        <w:jc w:val="both"/>
        <w:rPr>
          <w:rFonts w:ascii="Arial" w:hAnsi="Arial"/>
          <w:lang w:val="en-GB"/>
        </w:rPr>
      </w:pPr>
      <w:r w:rsidRPr="00112DE2">
        <w:rPr>
          <w:rFonts w:ascii="Arial" w:hAnsi="Arial"/>
          <w:u w:val="single"/>
          <w:lang w:val="en-GB"/>
        </w:rPr>
        <w:t>Regarding article 14</w:t>
      </w:r>
      <w:r>
        <w:rPr>
          <w:rFonts w:ascii="Arial" w:hAnsi="Arial"/>
          <w:lang w:val="en-GB"/>
        </w:rPr>
        <w:t xml:space="preserve">, </w:t>
      </w:r>
      <w:r w:rsidR="005C6B2E" w:rsidRPr="005C6B2E">
        <w:rPr>
          <w:rFonts w:ascii="Arial" w:hAnsi="Arial"/>
          <w:lang w:val="en-GB"/>
        </w:rPr>
        <w:t>the Committee notes that</w:t>
      </w:r>
      <w:r w:rsidR="005C6B2E">
        <w:rPr>
          <w:rFonts w:ascii="Arial" w:hAnsi="Arial"/>
          <w:lang w:val="en-GB"/>
        </w:rPr>
        <w:t xml:space="preserve"> the author </w:t>
      </w:r>
      <w:r w:rsidR="003A6287" w:rsidRPr="003A6287">
        <w:rPr>
          <w:rFonts w:ascii="Arial" w:hAnsi="Arial"/>
          <w:lang w:val="en-GB"/>
        </w:rPr>
        <w:t>was detained in prison without having been convicted of any offence, and after all the charges against him were quashed</w:t>
      </w:r>
      <w:r w:rsidR="00D91F42">
        <w:rPr>
          <w:rFonts w:ascii="Arial" w:hAnsi="Arial"/>
          <w:lang w:val="en-GB"/>
        </w:rPr>
        <w:t xml:space="preserve">. </w:t>
      </w:r>
      <w:r w:rsidR="00D91F42" w:rsidRPr="00D91F42">
        <w:rPr>
          <w:rFonts w:ascii="Arial" w:hAnsi="Arial"/>
          <w:lang w:val="en-GB"/>
        </w:rPr>
        <w:t>The author’s detention was decided on the basis of t</w:t>
      </w:r>
      <w:r w:rsidR="0001112B">
        <w:rPr>
          <w:rFonts w:ascii="Arial" w:hAnsi="Arial"/>
          <w:lang w:val="en-GB"/>
        </w:rPr>
        <w:t>he assessment by the State</w:t>
      </w:r>
      <w:r w:rsidR="00D91F42" w:rsidRPr="00D91F42">
        <w:rPr>
          <w:rFonts w:ascii="Arial" w:hAnsi="Arial"/>
          <w:lang w:val="en-GB"/>
        </w:rPr>
        <w:t>’s authorities of potential consequences of his intellectual disability, in the absence of any criminal</w:t>
      </w:r>
      <w:r w:rsidR="00D91F42">
        <w:rPr>
          <w:rFonts w:ascii="Arial" w:hAnsi="Arial"/>
          <w:lang w:val="en-GB"/>
        </w:rPr>
        <w:t xml:space="preserve"> </w:t>
      </w:r>
      <w:r w:rsidR="00D91F42" w:rsidRPr="00D91F42">
        <w:rPr>
          <w:rFonts w:ascii="Arial" w:hAnsi="Arial"/>
          <w:lang w:val="en-GB"/>
        </w:rPr>
        <w:t>conviction, thereby converting his disability into the core cause of his detention.</w:t>
      </w:r>
      <w:r w:rsidR="00557987">
        <w:rPr>
          <w:rFonts w:ascii="Arial" w:hAnsi="Arial"/>
          <w:lang w:val="en-GB"/>
        </w:rPr>
        <w:t xml:space="preserve"> </w:t>
      </w:r>
      <w:r w:rsidR="00557987" w:rsidRPr="00557987">
        <w:rPr>
          <w:rFonts w:ascii="Arial" w:hAnsi="Arial"/>
          <w:lang w:val="en-GB"/>
        </w:rPr>
        <w:t>The Committee</w:t>
      </w:r>
      <w:r w:rsidR="00557987">
        <w:rPr>
          <w:rFonts w:ascii="Arial" w:hAnsi="Arial"/>
          <w:lang w:val="en-GB"/>
        </w:rPr>
        <w:t xml:space="preserve"> also</w:t>
      </w:r>
      <w:r w:rsidR="00557987" w:rsidRPr="00557987">
        <w:rPr>
          <w:rFonts w:ascii="Arial" w:hAnsi="Arial"/>
          <w:lang w:val="en-GB"/>
        </w:rPr>
        <w:t xml:space="preserve"> notes that the author was released from prison into an accommodation support service under 10 conditions.</w:t>
      </w:r>
      <w:r w:rsidR="00557987">
        <w:rPr>
          <w:rFonts w:ascii="Arial" w:hAnsi="Arial"/>
          <w:lang w:val="en-GB"/>
        </w:rPr>
        <w:t xml:space="preserve"> </w:t>
      </w:r>
      <w:r w:rsidR="00557987" w:rsidRPr="00557987">
        <w:rPr>
          <w:rFonts w:ascii="Arial" w:hAnsi="Arial"/>
          <w:lang w:val="en-GB"/>
        </w:rPr>
        <w:t>The Committee considers that, as they were decided as a direct consequence of the detention of the author, which is found to be in violation of the Convention, the conditions also amount to a violation of article 14 (1) (b).</w:t>
      </w:r>
    </w:p>
    <w:p w14:paraId="0CF06B82" w14:textId="30E65501" w:rsidR="00F3445E" w:rsidRPr="00D13823" w:rsidRDefault="00112DE2" w:rsidP="001021CE">
      <w:pPr>
        <w:spacing w:after="0"/>
        <w:jc w:val="both"/>
        <w:rPr>
          <w:rFonts w:ascii="Arial" w:hAnsi="Arial"/>
          <w:lang w:val="en-GB"/>
        </w:rPr>
      </w:pPr>
      <w:r w:rsidRPr="00112DE2">
        <w:rPr>
          <w:rFonts w:ascii="Arial" w:hAnsi="Arial"/>
          <w:u w:val="single"/>
          <w:lang w:val="en-GB"/>
        </w:rPr>
        <w:t>Regarding</w:t>
      </w:r>
      <w:r w:rsidR="00F3445E" w:rsidRPr="00112DE2">
        <w:rPr>
          <w:rFonts w:ascii="Arial" w:hAnsi="Arial"/>
          <w:u w:val="single"/>
          <w:lang w:val="en-GB"/>
        </w:rPr>
        <w:t xml:space="preserve"> article 15</w:t>
      </w:r>
      <w:r w:rsidR="00F3445E">
        <w:rPr>
          <w:rFonts w:ascii="Arial" w:hAnsi="Arial"/>
          <w:lang w:val="en-GB"/>
        </w:rPr>
        <w:t xml:space="preserve">, </w:t>
      </w:r>
      <w:r w:rsidR="000178E3" w:rsidRPr="000178E3">
        <w:rPr>
          <w:rFonts w:ascii="Arial" w:hAnsi="Arial"/>
          <w:lang w:val="en-GB"/>
        </w:rPr>
        <w:t>the Committee notes that the author was detained for more than 13 years, without having any indication as to the duration of his detention</w:t>
      </w:r>
      <w:r w:rsidR="00074F6E">
        <w:rPr>
          <w:rFonts w:ascii="Arial" w:hAnsi="Arial"/>
          <w:lang w:val="en-GB"/>
        </w:rPr>
        <w:t xml:space="preserve">. </w:t>
      </w:r>
      <w:r w:rsidR="00074F6E" w:rsidRPr="00074F6E">
        <w:rPr>
          <w:rFonts w:ascii="Arial" w:hAnsi="Arial"/>
          <w:lang w:val="en-GB"/>
        </w:rPr>
        <w:t>Taking into account the irreparable psychological effects that indefinite detention may have on the detained person, the Committee considers that the indefinite detention to which he was subjected amounts to in</w:t>
      </w:r>
      <w:r w:rsidR="00074F6E">
        <w:rPr>
          <w:rFonts w:ascii="Arial" w:hAnsi="Arial"/>
          <w:lang w:val="en-GB"/>
        </w:rPr>
        <w:t>human and degrading treatment.</w:t>
      </w:r>
      <w:r w:rsidR="00074F6E" w:rsidRPr="00074F6E">
        <w:rPr>
          <w:rFonts w:ascii="Arial" w:hAnsi="Arial"/>
          <w:lang w:val="en-GB"/>
        </w:rPr>
        <w:t xml:space="preserve"> </w:t>
      </w:r>
      <w:r w:rsidR="0024039E">
        <w:rPr>
          <w:rFonts w:ascii="Arial" w:hAnsi="Arial"/>
          <w:lang w:val="en-GB"/>
        </w:rPr>
        <w:t xml:space="preserve">This indefinite detention, together with </w:t>
      </w:r>
      <w:r w:rsidR="00074F6E" w:rsidRPr="00074F6E">
        <w:rPr>
          <w:rFonts w:ascii="Arial" w:hAnsi="Arial"/>
          <w:lang w:val="en-GB"/>
        </w:rPr>
        <w:t>the repeated acts of violence to which he was subjected during his detention</w:t>
      </w:r>
      <w:r w:rsidR="0024039E">
        <w:rPr>
          <w:rFonts w:ascii="Arial" w:hAnsi="Arial"/>
          <w:lang w:val="en-GB"/>
        </w:rPr>
        <w:t>,</w:t>
      </w:r>
      <w:r w:rsidR="0053491C">
        <w:rPr>
          <w:rFonts w:ascii="Arial" w:hAnsi="Arial"/>
          <w:lang w:val="en-GB"/>
        </w:rPr>
        <w:t xml:space="preserve"> </w:t>
      </w:r>
      <w:r w:rsidR="00074F6E" w:rsidRPr="00074F6E">
        <w:rPr>
          <w:rFonts w:ascii="Arial" w:hAnsi="Arial"/>
          <w:lang w:val="en-GB"/>
        </w:rPr>
        <w:t>amount to a violation of article 15</w:t>
      </w:r>
      <w:r w:rsidR="00074F6E">
        <w:rPr>
          <w:rFonts w:ascii="Arial" w:hAnsi="Arial"/>
          <w:lang w:val="en-GB"/>
        </w:rPr>
        <w:t>.</w:t>
      </w:r>
      <w:bookmarkStart w:id="1" w:name="_GoBack"/>
      <w:bookmarkEnd w:id="1"/>
    </w:p>
    <w:p w14:paraId="7E5908D4" w14:textId="77777777" w:rsidR="00D13823" w:rsidRPr="0077057D" w:rsidRDefault="00D13823" w:rsidP="001021CE">
      <w:pPr>
        <w:spacing w:after="0"/>
        <w:jc w:val="both"/>
        <w:rPr>
          <w:rFonts w:ascii="Arial" w:hAnsi="Arial" w:cs="Arial"/>
          <w:highlight w:val="lightGray"/>
          <w:lang w:val="en-GB"/>
        </w:rPr>
      </w:pPr>
    </w:p>
    <w:p w14:paraId="38B4AC78" w14:textId="77777777" w:rsidR="001021CE" w:rsidRPr="00972FDB" w:rsidRDefault="001021CE" w:rsidP="001021CE">
      <w:pPr>
        <w:spacing w:after="120"/>
        <w:jc w:val="both"/>
        <w:rPr>
          <w:rFonts w:ascii="Arial" w:hAnsi="Arial" w:cs="Arial"/>
          <w:sz w:val="28"/>
          <w:szCs w:val="28"/>
          <w:lang w:val="en-GB"/>
        </w:rPr>
      </w:pPr>
      <w:r w:rsidRPr="00972FDB">
        <w:rPr>
          <w:rFonts w:ascii="Arial" w:hAnsi="Arial" w:cs="Arial"/>
          <w:sz w:val="28"/>
          <w:szCs w:val="28"/>
          <w:lang w:val="en-GB"/>
        </w:rPr>
        <w:t>Conclusion</w:t>
      </w:r>
    </w:p>
    <w:p w14:paraId="06495063" w14:textId="77777777" w:rsidR="00A2436A" w:rsidRPr="00972FDB" w:rsidRDefault="00972FDB" w:rsidP="001777E5">
      <w:pPr>
        <w:spacing w:after="120"/>
        <w:jc w:val="both"/>
        <w:rPr>
          <w:rFonts w:ascii="Arial" w:hAnsi="Arial" w:cs="Verdana"/>
          <w:lang w:val="en-GB" w:eastAsia="fr-FR"/>
        </w:rPr>
      </w:pPr>
      <w:r w:rsidRPr="00972FDB">
        <w:rPr>
          <w:rFonts w:ascii="Arial" w:hAnsi="Arial" w:cs="Arial"/>
          <w:lang w:val="en-GB"/>
        </w:rPr>
        <w:t>In the light of the above, the Committee concludes that the State party has failed to fulfil its obligations under articles 5 (1) and (2), 12 (2) and (3), 13 (1), 14 (1) (b) and 15 of the Convention</w:t>
      </w:r>
      <w:r w:rsidR="000A772F" w:rsidRPr="00972FDB">
        <w:rPr>
          <w:rFonts w:ascii="Arial" w:hAnsi="Arial" w:cs="Verdana"/>
          <w:lang w:val="en-GB" w:eastAsia="fr-FR"/>
        </w:rPr>
        <w:t>, and recommended:</w:t>
      </w:r>
    </w:p>
    <w:p w14:paraId="459DA2CE" w14:textId="77777777" w:rsidR="00BC5609" w:rsidRPr="008A6228" w:rsidRDefault="00C64652" w:rsidP="001777E5">
      <w:pPr>
        <w:spacing w:after="120"/>
        <w:jc w:val="both"/>
        <w:rPr>
          <w:rFonts w:ascii="Arial" w:hAnsi="Arial" w:cs="Verdana"/>
          <w:lang w:val="en-GB" w:eastAsia="fr-FR"/>
        </w:rPr>
      </w:pPr>
      <w:r w:rsidRPr="00522698">
        <w:rPr>
          <w:rFonts w:ascii="Arial" w:hAnsi="Arial" w:cs="Verdana"/>
          <w:u w:val="single"/>
          <w:lang w:val="en-GB" w:eastAsia="fr-FR"/>
        </w:rPr>
        <w:t>Regarding the author</w:t>
      </w:r>
      <w:r w:rsidRPr="00BE4706">
        <w:rPr>
          <w:rFonts w:ascii="Arial" w:hAnsi="Arial" w:cs="Verdana"/>
          <w:lang w:val="en-GB" w:eastAsia="fr-FR"/>
        </w:rPr>
        <w:t>:</w:t>
      </w:r>
      <w:r w:rsidR="00522698">
        <w:rPr>
          <w:rFonts w:ascii="Arial" w:hAnsi="Arial" w:cs="Verdana"/>
          <w:lang w:val="en-GB" w:eastAsia="fr-FR"/>
        </w:rPr>
        <w:t xml:space="preserve"> </w:t>
      </w:r>
      <w:r w:rsidR="00A2436A" w:rsidRPr="008A6228">
        <w:rPr>
          <w:rFonts w:ascii="Arial" w:hAnsi="Arial" w:cs="Verdana"/>
          <w:lang w:val="en-GB" w:eastAsia="fr-FR"/>
        </w:rPr>
        <w:t xml:space="preserve">To provide the author with an effective remedy, including reimbursement of </w:t>
      </w:r>
      <w:r w:rsidR="00261A26" w:rsidRPr="008A6228">
        <w:rPr>
          <w:rFonts w:ascii="Arial" w:hAnsi="Arial" w:cs="Verdana"/>
          <w:lang w:val="en-GB" w:eastAsia="fr-FR"/>
        </w:rPr>
        <w:t xml:space="preserve">any </w:t>
      </w:r>
      <w:r w:rsidR="00A2436A" w:rsidRPr="008A6228">
        <w:rPr>
          <w:rFonts w:ascii="Arial" w:hAnsi="Arial" w:cs="Verdana"/>
          <w:lang w:val="en-GB" w:eastAsia="fr-FR"/>
        </w:rPr>
        <w:t xml:space="preserve">legal costs </w:t>
      </w:r>
      <w:r w:rsidR="00261A26" w:rsidRPr="008A6228">
        <w:rPr>
          <w:rFonts w:ascii="Arial" w:hAnsi="Arial" w:cs="Verdana"/>
          <w:lang w:val="en-GB" w:eastAsia="fr-FR"/>
        </w:rPr>
        <w:t>incurred</w:t>
      </w:r>
      <w:r w:rsidR="00A2436A" w:rsidRPr="008A6228">
        <w:rPr>
          <w:rFonts w:ascii="Arial" w:hAnsi="Arial" w:cs="Verdana"/>
          <w:lang w:val="en-GB" w:eastAsia="fr-FR"/>
        </w:rPr>
        <w:t>,</w:t>
      </w:r>
      <w:r w:rsidR="00261A26" w:rsidRPr="008A6228">
        <w:rPr>
          <w:rFonts w:ascii="Arial" w:hAnsi="Arial" w:cs="Verdana"/>
          <w:lang w:val="en-GB" w:eastAsia="fr-FR"/>
        </w:rPr>
        <w:t xml:space="preserve"> together with </w:t>
      </w:r>
      <w:r w:rsidR="00AB4C06" w:rsidRPr="008A6228">
        <w:rPr>
          <w:rFonts w:ascii="Arial" w:hAnsi="Arial" w:cs="Verdana"/>
          <w:lang w:val="en-GB" w:eastAsia="fr-FR"/>
        </w:rPr>
        <w:t>compensation</w:t>
      </w:r>
      <w:r w:rsidR="00EA008F" w:rsidRPr="008A6228">
        <w:rPr>
          <w:rFonts w:ascii="Arial" w:hAnsi="Arial" w:cs="Verdana"/>
          <w:lang w:val="en-GB" w:eastAsia="fr-FR"/>
        </w:rPr>
        <w:t>, as well as t</w:t>
      </w:r>
      <w:r w:rsidR="00BC5609" w:rsidRPr="008A6228">
        <w:rPr>
          <w:rFonts w:ascii="Arial" w:hAnsi="Arial" w:cs="Verdana"/>
          <w:lang w:val="en-GB" w:eastAsia="fr-FR"/>
        </w:rPr>
        <w:t xml:space="preserve">o </w:t>
      </w:r>
      <w:r w:rsidR="00BE4706" w:rsidRPr="008A6228">
        <w:rPr>
          <w:rFonts w:ascii="Arial" w:hAnsi="Arial" w:cs="Verdana"/>
          <w:lang w:val="en-GB" w:eastAsia="fr-FR"/>
        </w:rPr>
        <w:t>Revoke immediately the 10 conditions of the author’s release order, replacing them with all necessary support measures for his inclusion in the community</w:t>
      </w:r>
      <w:r w:rsidR="00A2436A" w:rsidRPr="008A6228">
        <w:rPr>
          <w:rFonts w:ascii="Arial" w:hAnsi="Arial" w:cs="Verdana"/>
          <w:lang w:val="en-GB" w:eastAsia="fr-FR"/>
        </w:rPr>
        <w:t>.</w:t>
      </w:r>
    </w:p>
    <w:p w14:paraId="4B7BA58E" w14:textId="77777777" w:rsidR="001021CE" w:rsidRPr="00D57132" w:rsidRDefault="007C2096" w:rsidP="00D57132">
      <w:pPr>
        <w:spacing w:after="0"/>
        <w:jc w:val="both"/>
        <w:rPr>
          <w:rFonts w:ascii="Arial" w:hAnsi="Arial" w:cs="Verdana"/>
          <w:lang w:val="en-GB" w:eastAsia="fr-FR"/>
        </w:rPr>
      </w:pPr>
      <w:r w:rsidRPr="00522698">
        <w:rPr>
          <w:rFonts w:ascii="Arial" w:hAnsi="Arial" w:cs="Verdana"/>
          <w:u w:val="single"/>
          <w:lang w:val="en-GB" w:eastAsia="fr-FR"/>
        </w:rPr>
        <w:t>As general measures</w:t>
      </w:r>
      <w:r w:rsidRPr="008A6228">
        <w:rPr>
          <w:rFonts w:ascii="Arial" w:hAnsi="Arial" w:cs="Verdana"/>
          <w:lang w:val="en-GB" w:eastAsia="fr-FR"/>
        </w:rPr>
        <w:t xml:space="preserve">: </w:t>
      </w:r>
      <w:r w:rsidRPr="003C4598">
        <w:rPr>
          <w:rFonts w:ascii="Arial" w:hAnsi="Arial" w:cs="Verdana"/>
          <w:lang w:val="en-GB" w:eastAsia="fr-FR"/>
        </w:rPr>
        <w:t xml:space="preserve">To </w:t>
      </w:r>
      <w:r w:rsidR="00A2436A" w:rsidRPr="003C4598">
        <w:rPr>
          <w:rFonts w:ascii="Arial" w:hAnsi="Arial" w:cs="Verdana"/>
          <w:lang w:val="en-GB" w:eastAsia="fr-FR"/>
        </w:rPr>
        <w:t xml:space="preserve">take measures to prevent similar violations in the future, including </w:t>
      </w:r>
      <w:r w:rsidR="00A46C4D" w:rsidRPr="003C4598">
        <w:rPr>
          <w:rFonts w:ascii="Arial" w:hAnsi="Arial" w:cs="Verdana"/>
          <w:lang w:val="en-GB" w:eastAsia="fr-FR"/>
        </w:rPr>
        <w:t>(</w:t>
      </w:r>
      <w:proofErr w:type="spellStart"/>
      <w:r w:rsidR="00A46C4D" w:rsidRPr="003C4598">
        <w:rPr>
          <w:rFonts w:ascii="Arial" w:hAnsi="Arial" w:cs="Verdana"/>
          <w:lang w:val="en-GB" w:eastAsia="fr-FR"/>
        </w:rPr>
        <w:t>i</w:t>
      </w:r>
      <w:proofErr w:type="spellEnd"/>
      <w:r w:rsidR="00A46C4D" w:rsidRPr="003C4598">
        <w:rPr>
          <w:rFonts w:ascii="Arial" w:hAnsi="Arial" w:cs="Verdana"/>
          <w:lang w:val="en-GB" w:eastAsia="fr-FR"/>
        </w:rPr>
        <w:t xml:space="preserve">) </w:t>
      </w:r>
      <w:r w:rsidR="00B318C5" w:rsidRPr="003C4598">
        <w:rPr>
          <w:rFonts w:ascii="Arial" w:hAnsi="Arial" w:cs="Verdana"/>
          <w:lang w:val="en-GB" w:eastAsia="fr-FR"/>
        </w:rPr>
        <w:t>adopting</w:t>
      </w:r>
      <w:r w:rsidR="00072FE5" w:rsidRPr="003C4598">
        <w:rPr>
          <w:rFonts w:ascii="Arial" w:hAnsi="Arial" w:cs="Verdana"/>
          <w:lang w:val="en-GB" w:eastAsia="fr-FR"/>
        </w:rPr>
        <w:t xml:space="preserve"> the necessary amendments </w:t>
      </w:r>
      <w:r w:rsidR="00B6752A" w:rsidRPr="003C4598">
        <w:rPr>
          <w:rFonts w:ascii="Arial" w:hAnsi="Arial" w:cs="Verdana"/>
          <w:lang w:val="en-GB" w:eastAsia="fr-FR"/>
        </w:rPr>
        <w:t>of the M</w:t>
      </w:r>
      <w:r w:rsidR="00522698">
        <w:rPr>
          <w:rFonts w:ascii="Arial" w:hAnsi="Arial" w:cs="Verdana"/>
          <w:lang w:val="en-GB" w:eastAsia="fr-FR"/>
        </w:rPr>
        <w:t>entally Impaired Defendants Act</w:t>
      </w:r>
      <w:r w:rsidR="00B6752A" w:rsidRPr="003C4598">
        <w:rPr>
          <w:rFonts w:ascii="Arial" w:hAnsi="Arial" w:cs="Verdana"/>
          <w:lang w:val="en-GB" w:eastAsia="fr-FR"/>
        </w:rPr>
        <w:t xml:space="preserve"> and all equivalent or related federal and state legislation</w:t>
      </w:r>
      <w:r w:rsidR="00AA3F68" w:rsidRPr="003C4598">
        <w:rPr>
          <w:rFonts w:ascii="Arial" w:hAnsi="Arial" w:cs="Verdana"/>
          <w:lang w:val="en-GB" w:eastAsia="fr-FR"/>
        </w:rPr>
        <w:t xml:space="preserve">, </w:t>
      </w:r>
      <w:r w:rsidR="00A46C4D" w:rsidRPr="003C4598">
        <w:rPr>
          <w:rFonts w:ascii="Arial" w:hAnsi="Arial" w:cs="Verdana"/>
          <w:lang w:val="en-GB" w:eastAsia="fr-FR"/>
        </w:rPr>
        <w:t xml:space="preserve">(ii) </w:t>
      </w:r>
      <w:r w:rsidR="00443576" w:rsidRPr="003C4598">
        <w:rPr>
          <w:rFonts w:ascii="Arial" w:hAnsi="Arial" w:cs="Verdana"/>
          <w:lang w:val="en-GB" w:eastAsia="fr-FR"/>
        </w:rPr>
        <w:t>ensure that adequate support and accommodation measures are provided to persons with mental and intellectual disabilities to enable them to exercise their legal capacity before the courts</w:t>
      </w:r>
      <w:r w:rsidR="00B318C5" w:rsidRPr="003C4598">
        <w:rPr>
          <w:rFonts w:ascii="Arial" w:hAnsi="Arial" w:cs="Verdana"/>
          <w:lang w:val="en-GB" w:eastAsia="fr-FR"/>
        </w:rPr>
        <w:t xml:space="preserve">, and </w:t>
      </w:r>
      <w:r w:rsidR="00A46C4D" w:rsidRPr="003C4598">
        <w:rPr>
          <w:rFonts w:ascii="Arial" w:hAnsi="Arial" w:cs="Verdana"/>
          <w:lang w:val="en-GB" w:eastAsia="fr-FR"/>
        </w:rPr>
        <w:t xml:space="preserve">(iii) </w:t>
      </w:r>
      <w:r w:rsidR="00443576" w:rsidRPr="003C4598">
        <w:rPr>
          <w:rFonts w:ascii="Arial" w:hAnsi="Arial" w:cs="Verdana"/>
          <w:lang w:val="en-GB" w:eastAsia="fr-FR"/>
        </w:rPr>
        <w:t xml:space="preserve">ensure that appropriate and regular training on the scope of the Convention and its </w:t>
      </w:r>
      <w:r w:rsidR="00317AC1">
        <w:rPr>
          <w:rFonts w:ascii="Arial" w:hAnsi="Arial" w:cs="Verdana"/>
          <w:lang w:val="en-GB" w:eastAsia="fr-FR"/>
        </w:rPr>
        <w:t>OP</w:t>
      </w:r>
      <w:r w:rsidR="00443576" w:rsidRPr="003C4598">
        <w:rPr>
          <w:rFonts w:ascii="Arial" w:hAnsi="Arial" w:cs="Verdana"/>
          <w:lang w:val="en-GB" w:eastAsia="fr-FR"/>
        </w:rPr>
        <w:t xml:space="preserve">, including on the exercise of legal capacity by persons with intellectual and mental disabilities, is provided to </w:t>
      </w:r>
      <w:r w:rsidR="003C4598" w:rsidRPr="003C4598">
        <w:rPr>
          <w:rFonts w:ascii="Arial" w:hAnsi="Arial" w:cs="Verdana"/>
          <w:lang w:val="en-GB" w:eastAsia="fr-FR"/>
        </w:rPr>
        <w:t xml:space="preserve">judges, MPs, and </w:t>
      </w:r>
      <w:r w:rsidR="00443576" w:rsidRPr="003C4598">
        <w:rPr>
          <w:rFonts w:ascii="Arial" w:hAnsi="Arial" w:cs="Verdana"/>
          <w:lang w:val="en-GB" w:eastAsia="fr-FR"/>
        </w:rPr>
        <w:t>staff</w:t>
      </w:r>
      <w:r w:rsidR="003C4598" w:rsidRPr="003C4598">
        <w:rPr>
          <w:rFonts w:ascii="Arial" w:hAnsi="Arial" w:cs="Verdana"/>
          <w:lang w:val="en-GB" w:eastAsia="fr-FR"/>
        </w:rPr>
        <w:t xml:space="preserve"> involved in facilitating the work of the </w:t>
      </w:r>
      <w:r w:rsidR="003C4598" w:rsidRPr="00522698">
        <w:rPr>
          <w:rFonts w:ascii="Arial" w:hAnsi="Arial" w:cs="Verdana"/>
          <w:lang w:val="en-GB" w:eastAsia="fr-FR"/>
        </w:rPr>
        <w:t>judiciary</w:t>
      </w:r>
      <w:r w:rsidR="00D84BF2" w:rsidRPr="00522698">
        <w:rPr>
          <w:rFonts w:ascii="Arial" w:hAnsi="Arial" w:cs="Verdana"/>
          <w:lang w:val="en-GB" w:eastAsia="fr-FR"/>
        </w:rPr>
        <w:t>.</w:t>
      </w:r>
    </w:p>
    <w:p w14:paraId="618B27ED" w14:textId="77777777" w:rsidR="00072FE5" w:rsidRPr="00072FE5" w:rsidRDefault="00072FE5" w:rsidP="00072FE5">
      <w:pPr>
        <w:spacing w:after="0"/>
        <w:jc w:val="both"/>
        <w:rPr>
          <w:rFonts w:ascii="Arial" w:hAnsi="Arial" w:cs="Arial"/>
          <w:szCs w:val="20"/>
          <w:lang w:val="en-GB"/>
        </w:rPr>
      </w:pPr>
    </w:p>
    <w:sectPr w:rsidR="00072FE5" w:rsidRPr="00072FE5" w:rsidSect="001021CE">
      <w:footerReference w:type="default" r:id="rId34"/>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BD34B" w14:textId="77777777" w:rsidR="00037C37" w:rsidRDefault="00037C37" w:rsidP="001021CE">
      <w:pPr>
        <w:spacing w:after="0" w:line="240" w:lineRule="auto"/>
      </w:pPr>
      <w:r>
        <w:separator/>
      </w:r>
    </w:p>
  </w:endnote>
  <w:endnote w:type="continuationSeparator" w:id="0">
    <w:p w14:paraId="436162F2" w14:textId="77777777" w:rsidR="00037C37" w:rsidRDefault="00037C37" w:rsidP="00102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E7A57" w14:textId="77777777" w:rsidR="00F41D93" w:rsidRPr="00CE7185" w:rsidRDefault="000B4D43">
    <w:pPr>
      <w:pStyle w:val="Footer"/>
      <w:jc w:val="right"/>
      <w:rPr>
        <w:rFonts w:ascii="Arial" w:hAnsi="Arial" w:cs="Arial"/>
        <w:sz w:val="18"/>
        <w:szCs w:val="18"/>
      </w:rPr>
    </w:pPr>
    <w:r w:rsidRPr="00522698">
      <w:rPr>
        <w:rFonts w:ascii="Arial" w:hAnsi="Arial" w:cs="Arial"/>
        <w:sz w:val="18"/>
        <w:szCs w:val="18"/>
      </w:rPr>
      <w:fldChar w:fldCharType="begin"/>
    </w:r>
    <w:r w:rsidR="00F41D93" w:rsidRPr="00522698">
      <w:rPr>
        <w:rFonts w:ascii="Arial" w:hAnsi="Arial" w:cs="Arial"/>
        <w:sz w:val="18"/>
        <w:szCs w:val="18"/>
      </w:rPr>
      <w:instrText>PAGE   \* MERGEFORMAT</w:instrText>
    </w:r>
    <w:r w:rsidRPr="00522698">
      <w:rPr>
        <w:rFonts w:ascii="Arial" w:hAnsi="Arial" w:cs="Arial"/>
        <w:sz w:val="18"/>
        <w:szCs w:val="18"/>
      </w:rPr>
      <w:fldChar w:fldCharType="separate"/>
    </w:r>
    <w:r w:rsidR="0024039E">
      <w:rPr>
        <w:rFonts w:ascii="Arial" w:hAnsi="Arial" w:cs="Arial"/>
        <w:noProof/>
        <w:sz w:val="18"/>
        <w:szCs w:val="18"/>
      </w:rPr>
      <w:t>5</w:t>
    </w:r>
    <w:r w:rsidRPr="00522698">
      <w:rPr>
        <w:rFonts w:ascii="Arial" w:hAnsi="Arial" w:cs="Arial"/>
        <w:sz w:val="18"/>
        <w:szCs w:val="18"/>
      </w:rPr>
      <w:fldChar w:fldCharType="end"/>
    </w:r>
  </w:p>
  <w:p w14:paraId="30282809" w14:textId="77777777" w:rsidR="00F41D93" w:rsidRDefault="00F41D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C2EAB" w14:textId="77777777" w:rsidR="00037C37" w:rsidRDefault="00037C37" w:rsidP="001021CE">
      <w:pPr>
        <w:spacing w:after="0" w:line="240" w:lineRule="auto"/>
      </w:pPr>
      <w:r>
        <w:separator/>
      </w:r>
    </w:p>
  </w:footnote>
  <w:footnote w:type="continuationSeparator" w:id="0">
    <w:p w14:paraId="7DA87013" w14:textId="77777777" w:rsidR="00037C37" w:rsidRDefault="00037C37" w:rsidP="001021CE">
      <w:pPr>
        <w:spacing w:after="0" w:line="240" w:lineRule="auto"/>
      </w:pPr>
      <w:r>
        <w:continuationSeparator/>
      </w:r>
    </w:p>
  </w:footnote>
  <w:footnote w:id="1">
    <w:p w14:paraId="47514288" w14:textId="77777777" w:rsidR="00F41D93" w:rsidRPr="00575A24" w:rsidRDefault="00F41D93" w:rsidP="001021CE">
      <w:pPr>
        <w:spacing w:after="0"/>
        <w:jc w:val="both"/>
        <w:rPr>
          <w:rFonts w:ascii="Arial" w:hAnsi="Arial" w:cs="Arial"/>
          <w:sz w:val="18"/>
          <w:szCs w:val="18"/>
          <w:lang w:val="en-GB"/>
        </w:rPr>
      </w:pPr>
      <w:r w:rsidRPr="000E3E18">
        <w:rPr>
          <w:rStyle w:val="FootnoteReference"/>
          <w:rFonts w:ascii="Arial" w:hAnsi="Arial"/>
          <w:sz w:val="16"/>
          <w:szCs w:val="16"/>
        </w:rPr>
        <w:footnoteRef/>
      </w:r>
      <w:r w:rsidRPr="000E3E18">
        <w:rPr>
          <w:rFonts w:ascii="Arial" w:hAnsi="Arial"/>
          <w:sz w:val="16"/>
          <w:szCs w:val="16"/>
          <w:lang w:val="en-US"/>
        </w:rPr>
        <w:t xml:space="preserve"> </w:t>
      </w:r>
      <w:r w:rsidRPr="000E3E18">
        <w:rPr>
          <w:rFonts w:ascii="Arial" w:hAnsi="Arial" w:cs="Arial"/>
          <w:sz w:val="16"/>
          <w:szCs w:val="16"/>
          <w:lang w:val="en-GB"/>
        </w:rPr>
        <w:t>T</w:t>
      </w:r>
      <w:r w:rsidRPr="00FD4FA3">
        <w:rPr>
          <w:rFonts w:ascii="Arial" w:hAnsi="Arial" w:cs="Arial"/>
          <w:sz w:val="16"/>
          <w:szCs w:val="16"/>
          <w:lang w:val="en-GB"/>
        </w:rPr>
        <w:t xml:space="preserve">his summary has been prepared by the International Disability Alliance. For more information on how to lodge individual communications under the Optional Protocol to the CRPD, visit </w:t>
      </w:r>
      <w:hyperlink r:id="rId1" w:history="1">
        <w:r w:rsidRPr="00FD4FA3">
          <w:rPr>
            <w:rStyle w:val="Hyperlink"/>
            <w:rFonts w:ascii="Arial" w:hAnsi="Arial" w:cs="Arial"/>
            <w:sz w:val="16"/>
            <w:szCs w:val="16"/>
            <w:lang w:val="en-GB"/>
          </w:rPr>
          <w:t xml:space="preserve">IDA’s disability rights litigation website. </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B2000"/>
    <w:multiLevelType w:val="hybridMultilevel"/>
    <w:tmpl w:val="F46C8BD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8464E15"/>
    <w:multiLevelType w:val="hybridMultilevel"/>
    <w:tmpl w:val="598A71E0"/>
    <w:lvl w:ilvl="0" w:tplc="D82C95DA">
      <w:start w:val="1"/>
      <w:numFmt w:val="lowerLetter"/>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6853CC9"/>
    <w:multiLevelType w:val="hybridMultilevel"/>
    <w:tmpl w:val="3200A0BA"/>
    <w:lvl w:ilvl="0" w:tplc="C624C9BA">
      <w:start w:val="1"/>
      <w:numFmt w:val="bullet"/>
      <w:lvlText w:val=""/>
      <w:lvlJc w:val="left"/>
      <w:pPr>
        <w:ind w:left="720" w:hanging="360"/>
      </w:pPr>
      <w:rPr>
        <w:rFonts w:ascii="Symbol" w:hAnsi="Symbol" w:hint="default"/>
        <w:sz w:val="22"/>
        <w:szCs w:val="22"/>
      </w:rPr>
    </w:lvl>
    <w:lvl w:ilvl="1" w:tplc="9342B6B8">
      <w:start w:val="1"/>
      <w:numFmt w:val="bullet"/>
      <w:lvlText w:val="o"/>
      <w:lvlJc w:val="left"/>
      <w:pPr>
        <w:ind w:left="1440" w:hanging="360"/>
      </w:pPr>
      <w:rPr>
        <w:rFonts w:ascii="Courier New" w:hAnsi="Courier New" w:cs="Wingdings" w:hint="default"/>
        <w:sz w:val="16"/>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D26B1"/>
    <w:rsid w:val="000072FB"/>
    <w:rsid w:val="0001112B"/>
    <w:rsid w:val="0001181D"/>
    <w:rsid w:val="00013F78"/>
    <w:rsid w:val="000178E3"/>
    <w:rsid w:val="00021F81"/>
    <w:rsid w:val="00022A87"/>
    <w:rsid w:val="00037C37"/>
    <w:rsid w:val="000513AD"/>
    <w:rsid w:val="00072FE5"/>
    <w:rsid w:val="00074F6E"/>
    <w:rsid w:val="00077A65"/>
    <w:rsid w:val="0008091D"/>
    <w:rsid w:val="0008243F"/>
    <w:rsid w:val="00094D46"/>
    <w:rsid w:val="00094E7A"/>
    <w:rsid w:val="000A04F0"/>
    <w:rsid w:val="000A3E28"/>
    <w:rsid w:val="000A728D"/>
    <w:rsid w:val="000A772F"/>
    <w:rsid w:val="000B4D43"/>
    <w:rsid w:val="000B5D46"/>
    <w:rsid w:val="000B6AB7"/>
    <w:rsid w:val="000C33D4"/>
    <w:rsid w:val="000C796F"/>
    <w:rsid w:val="000E18A6"/>
    <w:rsid w:val="000E3E18"/>
    <w:rsid w:val="000F5631"/>
    <w:rsid w:val="001021CE"/>
    <w:rsid w:val="00106BF6"/>
    <w:rsid w:val="0010718F"/>
    <w:rsid w:val="00112DE2"/>
    <w:rsid w:val="00112F58"/>
    <w:rsid w:val="0011364C"/>
    <w:rsid w:val="00116F6C"/>
    <w:rsid w:val="00121956"/>
    <w:rsid w:val="00126333"/>
    <w:rsid w:val="00127054"/>
    <w:rsid w:val="00135BE6"/>
    <w:rsid w:val="00151EDD"/>
    <w:rsid w:val="0015649E"/>
    <w:rsid w:val="00167C98"/>
    <w:rsid w:val="001777E5"/>
    <w:rsid w:val="00177A49"/>
    <w:rsid w:val="001811BA"/>
    <w:rsid w:val="0018203D"/>
    <w:rsid w:val="00182E96"/>
    <w:rsid w:val="001830DF"/>
    <w:rsid w:val="00183F6E"/>
    <w:rsid w:val="00191F02"/>
    <w:rsid w:val="0019467E"/>
    <w:rsid w:val="001A0B25"/>
    <w:rsid w:val="001A33E4"/>
    <w:rsid w:val="001D20F4"/>
    <w:rsid w:val="001D59C4"/>
    <w:rsid w:val="001E20BF"/>
    <w:rsid w:val="001E657C"/>
    <w:rsid w:val="001F504D"/>
    <w:rsid w:val="002029C5"/>
    <w:rsid w:val="002105A9"/>
    <w:rsid w:val="0022632D"/>
    <w:rsid w:val="002339E1"/>
    <w:rsid w:val="0024039E"/>
    <w:rsid w:val="002430B3"/>
    <w:rsid w:val="002475DD"/>
    <w:rsid w:val="00252764"/>
    <w:rsid w:val="00261A26"/>
    <w:rsid w:val="00295E7B"/>
    <w:rsid w:val="002A1459"/>
    <w:rsid w:val="002A4EFC"/>
    <w:rsid w:val="002B03AF"/>
    <w:rsid w:val="002B2E2D"/>
    <w:rsid w:val="002B56CB"/>
    <w:rsid w:val="002B7A33"/>
    <w:rsid w:val="002C5326"/>
    <w:rsid w:val="002D249C"/>
    <w:rsid w:val="002D3FF4"/>
    <w:rsid w:val="002D5079"/>
    <w:rsid w:val="002E42D2"/>
    <w:rsid w:val="002E636B"/>
    <w:rsid w:val="002E7D35"/>
    <w:rsid w:val="003009D6"/>
    <w:rsid w:val="0030288F"/>
    <w:rsid w:val="00306238"/>
    <w:rsid w:val="00317AC1"/>
    <w:rsid w:val="00324A29"/>
    <w:rsid w:val="00333E5A"/>
    <w:rsid w:val="00350803"/>
    <w:rsid w:val="00356A35"/>
    <w:rsid w:val="00372AC3"/>
    <w:rsid w:val="00374294"/>
    <w:rsid w:val="003830FC"/>
    <w:rsid w:val="003A3A94"/>
    <w:rsid w:val="003A508C"/>
    <w:rsid w:val="003A6287"/>
    <w:rsid w:val="003B4253"/>
    <w:rsid w:val="003B46BB"/>
    <w:rsid w:val="003C4598"/>
    <w:rsid w:val="003D26B1"/>
    <w:rsid w:val="003D509D"/>
    <w:rsid w:val="003E7091"/>
    <w:rsid w:val="003F1E21"/>
    <w:rsid w:val="003F50C7"/>
    <w:rsid w:val="00413FFA"/>
    <w:rsid w:val="00420706"/>
    <w:rsid w:val="00421DB7"/>
    <w:rsid w:val="00422F2F"/>
    <w:rsid w:val="004250AB"/>
    <w:rsid w:val="00432B5F"/>
    <w:rsid w:val="0043367A"/>
    <w:rsid w:val="004350CD"/>
    <w:rsid w:val="00440A01"/>
    <w:rsid w:val="00443576"/>
    <w:rsid w:val="00443BF1"/>
    <w:rsid w:val="00444987"/>
    <w:rsid w:val="00450884"/>
    <w:rsid w:val="00467A65"/>
    <w:rsid w:val="0047377E"/>
    <w:rsid w:val="004A2E9C"/>
    <w:rsid w:val="004A4973"/>
    <w:rsid w:val="004B310B"/>
    <w:rsid w:val="004B4C72"/>
    <w:rsid w:val="004C0066"/>
    <w:rsid w:val="004C4E79"/>
    <w:rsid w:val="004C59AD"/>
    <w:rsid w:val="004E2DC7"/>
    <w:rsid w:val="004E2E0D"/>
    <w:rsid w:val="004F0F9C"/>
    <w:rsid w:val="00501D91"/>
    <w:rsid w:val="005046C0"/>
    <w:rsid w:val="005052AD"/>
    <w:rsid w:val="00513470"/>
    <w:rsid w:val="00517E00"/>
    <w:rsid w:val="00522698"/>
    <w:rsid w:val="005257B0"/>
    <w:rsid w:val="0053456F"/>
    <w:rsid w:val="0053491C"/>
    <w:rsid w:val="00557987"/>
    <w:rsid w:val="005673F4"/>
    <w:rsid w:val="00567A9F"/>
    <w:rsid w:val="00573180"/>
    <w:rsid w:val="005745D6"/>
    <w:rsid w:val="0058730E"/>
    <w:rsid w:val="005935F1"/>
    <w:rsid w:val="00593D27"/>
    <w:rsid w:val="005A0EFD"/>
    <w:rsid w:val="005A6F11"/>
    <w:rsid w:val="005B5761"/>
    <w:rsid w:val="005B5AB0"/>
    <w:rsid w:val="005C0322"/>
    <w:rsid w:val="005C43E1"/>
    <w:rsid w:val="005C6B2E"/>
    <w:rsid w:val="005D5A65"/>
    <w:rsid w:val="005E1E88"/>
    <w:rsid w:val="005F6334"/>
    <w:rsid w:val="00611BF9"/>
    <w:rsid w:val="006174CE"/>
    <w:rsid w:val="00621C8A"/>
    <w:rsid w:val="00626D84"/>
    <w:rsid w:val="00662056"/>
    <w:rsid w:val="006629D4"/>
    <w:rsid w:val="00663FE7"/>
    <w:rsid w:val="00664151"/>
    <w:rsid w:val="00667A2A"/>
    <w:rsid w:val="00667F69"/>
    <w:rsid w:val="00671F4B"/>
    <w:rsid w:val="0067439F"/>
    <w:rsid w:val="00674E49"/>
    <w:rsid w:val="006759B0"/>
    <w:rsid w:val="00676F9D"/>
    <w:rsid w:val="00684A11"/>
    <w:rsid w:val="00687989"/>
    <w:rsid w:val="00691C30"/>
    <w:rsid w:val="00693B0B"/>
    <w:rsid w:val="006A112A"/>
    <w:rsid w:val="006A44A9"/>
    <w:rsid w:val="006B17CD"/>
    <w:rsid w:val="006C1BA6"/>
    <w:rsid w:val="006C788A"/>
    <w:rsid w:val="006D726C"/>
    <w:rsid w:val="006F04A7"/>
    <w:rsid w:val="006F0E00"/>
    <w:rsid w:val="006F202F"/>
    <w:rsid w:val="006F30E3"/>
    <w:rsid w:val="006F759B"/>
    <w:rsid w:val="00700C62"/>
    <w:rsid w:val="00702547"/>
    <w:rsid w:val="00723152"/>
    <w:rsid w:val="00725D30"/>
    <w:rsid w:val="00725DC7"/>
    <w:rsid w:val="00725DD0"/>
    <w:rsid w:val="007279B2"/>
    <w:rsid w:val="00727B8E"/>
    <w:rsid w:val="0073253B"/>
    <w:rsid w:val="00737F59"/>
    <w:rsid w:val="00740B02"/>
    <w:rsid w:val="00741F77"/>
    <w:rsid w:val="0074405F"/>
    <w:rsid w:val="00745265"/>
    <w:rsid w:val="0075556A"/>
    <w:rsid w:val="00756B92"/>
    <w:rsid w:val="00757CBE"/>
    <w:rsid w:val="0076515E"/>
    <w:rsid w:val="00766290"/>
    <w:rsid w:val="0077057D"/>
    <w:rsid w:val="00772BD4"/>
    <w:rsid w:val="00781295"/>
    <w:rsid w:val="00782223"/>
    <w:rsid w:val="00792496"/>
    <w:rsid w:val="0079714E"/>
    <w:rsid w:val="007B56E4"/>
    <w:rsid w:val="007C2096"/>
    <w:rsid w:val="007D36E3"/>
    <w:rsid w:val="007E5C57"/>
    <w:rsid w:val="007E74E7"/>
    <w:rsid w:val="007E7971"/>
    <w:rsid w:val="00807F9F"/>
    <w:rsid w:val="00810C6F"/>
    <w:rsid w:val="00810FD1"/>
    <w:rsid w:val="00814A03"/>
    <w:rsid w:val="00816B3F"/>
    <w:rsid w:val="0082133D"/>
    <w:rsid w:val="008252D6"/>
    <w:rsid w:val="00843E70"/>
    <w:rsid w:val="00847F20"/>
    <w:rsid w:val="00854145"/>
    <w:rsid w:val="0085654E"/>
    <w:rsid w:val="008803FA"/>
    <w:rsid w:val="00880C11"/>
    <w:rsid w:val="008841B0"/>
    <w:rsid w:val="00894CFB"/>
    <w:rsid w:val="008A2D5D"/>
    <w:rsid w:val="008A4832"/>
    <w:rsid w:val="008A6228"/>
    <w:rsid w:val="008A64F2"/>
    <w:rsid w:val="008B23E3"/>
    <w:rsid w:val="008B377D"/>
    <w:rsid w:val="008B6E7A"/>
    <w:rsid w:val="008C6211"/>
    <w:rsid w:val="008E45AF"/>
    <w:rsid w:val="008E501B"/>
    <w:rsid w:val="008F11E2"/>
    <w:rsid w:val="008F3C82"/>
    <w:rsid w:val="008F60E7"/>
    <w:rsid w:val="008F7924"/>
    <w:rsid w:val="008F7AFB"/>
    <w:rsid w:val="009141BA"/>
    <w:rsid w:val="0091571B"/>
    <w:rsid w:val="0092107A"/>
    <w:rsid w:val="0092478B"/>
    <w:rsid w:val="00943659"/>
    <w:rsid w:val="00947904"/>
    <w:rsid w:val="00955C06"/>
    <w:rsid w:val="00956629"/>
    <w:rsid w:val="0096227F"/>
    <w:rsid w:val="00972FDB"/>
    <w:rsid w:val="009756E8"/>
    <w:rsid w:val="00976DB3"/>
    <w:rsid w:val="009771CC"/>
    <w:rsid w:val="00984318"/>
    <w:rsid w:val="009A2056"/>
    <w:rsid w:val="009A21EC"/>
    <w:rsid w:val="009A6AC1"/>
    <w:rsid w:val="009C2FBB"/>
    <w:rsid w:val="009C7AAE"/>
    <w:rsid w:val="009D64BF"/>
    <w:rsid w:val="009F42E6"/>
    <w:rsid w:val="00A048B2"/>
    <w:rsid w:val="00A108B5"/>
    <w:rsid w:val="00A12CE8"/>
    <w:rsid w:val="00A229FF"/>
    <w:rsid w:val="00A2436A"/>
    <w:rsid w:val="00A25A99"/>
    <w:rsid w:val="00A26AF3"/>
    <w:rsid w:val="00A318BA"/>
    <w:rsid w:val="00A379EF"/>
    <w:rsid w:val="00A41BB3"/>
    <w:rsid w:val="00A46C4D"/>
    <w:rsid w:val="00A47EA2"/>
    <w:rsid w:val="00A5458E"/>
    <w:rsid w:val="00A54EE4"/>
    <w:rsid w:val="00A5781B"/>
    <w:rsid w:val="00A66335"/>
    <w:rsid w:val="00A67DDF"/>
    <w:rsid w:val="00A706DC"/>
    <w:rsid w:val="00A92846"/>
    <w:rsid w:val="00A928AB"/>
    <w:rsid w:val="00A96816"/>
    <w:rsid w:val="00AA2BD2"/>
    <w:rsid w:val="00AA3F68"/>
    <w:rsid w:val="00AA41D9"/>
    <w:rsid w:val="00AA7270"/>
    <w:rsid w:val="00AB003D"/>
    <w:rsid w:val="00AB4178"/>
    <w:rsid w:val="00AB4C06"/>
    <w:rsid w:val="00AC598C"/>
    <w:rsid w:val="00AC7736"/>
    <w:rsid w:val="00AD63C5"/>
    <w:rsid w:val="00AE6E77"/>
    <w:rsid w:val="00AF78B7"/>
    <w:rsid w:val="00B06C82"/>
    <w:rsid w:val="00B1149A"/>
    <w:rsid w:val="00B174CB"/>
    <w:rsid w:val="00B201B1"/>
    <w:rsid w:val="00B20C37"/>
    <w:rsid w:val="00B273E2"/>
    <w:rsid w:val="00B31673"/>
    <w:rsid w:val="00B318C5"/>
    <w:rsid w:val="00B45000"/>
    <w:rsid w:val="00B47753"/>
    <w:rsid w:val="00B5688C"/>
    <w:rsid w:val="00B57239"/>
    <w:rsid w:val="00B655BF"/>
    <w:rsid w:val="00B6752A"/>
    <w:rsid w:val="00B83639"/>
    <w:rsid w:val="00BB79BE"/>
    <w:rsid w:val="00BC2CDB"/>
    <w:rsid w:val="00BC5609"/>
    <w:rsid w:val="00BD232A"/>
    <w:rsid w:val="00BE4017"/>
    <w:rsid w:val="00BE4706"/>
    <w:rsid w:val="00BE4762"/>
    <w:rsid w:val="00BE7BCE"/>
    <w:rsid w:val="00BF1C0A"/>
    <w:rsid w:val="00BF53D1"/>
    <w:rsid w:val="00C05A21"/>
    <w:rsid w:val="00C46DCE"/>
    <w:rsid w:val="00C5021F"/>
    <w:rsid w:val="00C554D8"/>
    <w:rsid w:val="00C62CAB"/>
    <w:rsid w:val="00C64652"/>
    <w:rsid w:val="00C67E32"/>
    <w:rsid w:val="00C73868"/>
    <w:rsid w:val="00C7420B"/>
    <w:rsid w:val="00C74328"/>
    <w:rsid w:val="00CA52E9"/>
    <w:rsid w:val="00CA5602"/>
    <w:rsid w:val="00CA739C"/>
    <w:rsid w:val="00CB16A2"/>
    <w:rsid w:val="00CB2729"/>
    <w:rsid w:val="00CB6EB6"/>
    <w:rsid w:val="00CC6D73"/>
    <w:rsid w:val="00CC7E1C"/>
    <w:rsid w:val="00CD28FF"/>
    <w:rsid w:val="00CE1205"/>
    <w:rsid w:val="00CF503C"/>
    <w:rsid w:val="00D02C8F"/>
    <w:rsid w:val="00D037D4"/>
    <w:rsid w:val="00D06CEB"/>
    <w:rsid w:val="00D13823"/>
    <w:rsid w:val="00D16E8F"/>
    <w:rsid w:val="00D25192"/>
    <w:rsid w:val="00D31697"/>
    <w:rsid w:val="00D57132"/>
    <w:rsid w:val="00D6181F"/>
    <w:rsid w:val="00D84BF2"/>
    <w:rsid w:val="00D91F42"/>
    <w:rsid w:val="00D93779"/>
    <w:rsid w:val="00DA706E"/>
    <w:rsid w:val="00DC1DCE"/>
    <w:rsid w:val="00DC7176"/>
    <w:rsid w:val="00DD2B2F"/>
    <w:rsid w:val="00DD2F9C"/>
    <w:rsid w:val="00DD462D"/>
    <w:rsid w:val="00DD7F80"/>
    <w:rsid w:val="00DE6E29"/>
    <w:rsid w:val="00DF5251"/>
    <w:rsid w:val="00E12471"/>
    <w:rsid w:val="00E27565"/>
    <w:rsid w:val="00E43941"/>
    <w:rsid w:val="00E46DD7"/>
    <w:rsid w:val="00E56B1F"/>
    <w:rsid w:val="00E7518D"/>
    <w:rsid w:val="00E75C9E"/>
    <w:rsid w:val="00E8143D"/>
    <w:rsid w:val="00E85B75"/>
    <w:rsid w:val="00E871F0"/>
    <w:rsid w:val="00E87D7F"/>
    <w:rsid w:val="00E90B31"/>
    <w:rsid w:val="00E9471F"/>
    <w:rsid w:val="00E9530E"/>
    <w:rsid w:val="00E97422"/>
    <w:rsid w:val="00EA008F"/>
    <w:rsid w:val="00EA06E1"/>
    <w:rsid w:val="00EA163E"/>
    <w:rsid w:val="00EA3ADF"/>
    <w:rsid w:val="00EA4854"/>
    <w:rsid w:val="00EA4FF9"/>
    <w:rsid w:val="00EB58BA"/>
    <w:rsid w:val="00EB7A5F"/>
    <w:rsid w:val="00EC10E7"/>
    <w:rsid w:val="00EC4E64"/>
    <w:rsid w:val="00ED4DC3"/>
    <w:rsid w:val="00ED709D"/>
    <w:rsid w:val="00ED76A2"/>
    <w:rsid w:val="00EE6A50"/>
    <w:rsid w:val="00EF5238"/>
    <w:rsid w:val="00F002AB"/>
    <w:rsid w:val="00F00EB0"/>
    <w:rsid w:val="00F01918"/>
    <w:rsid w:val="00F14C87"/>
    <w:rsid w:val="00F25FFA"/>
    <w:rsid w:val="00F3445E"/>
    <w:rsid w:val="00F40F7C"/>
    <w:rsid w:val="00F41CED"/>
    <w:rsid w:val="00F41D93"/>
    <w:rsid w:val="00F43D1D"/>
    <w:rsid w:val="00F46DC0"/>
    <w:rsid w:val="00F52EE9"/>
    <w:rsid w:val="00F54BD9"/>
    <w:rsid w:val="00F66B17"/>
    <w:rsid w:val="00F66D02"/>
    <w:rsid w:val="00F70D43"/>
    <w:rsid w:val="00F76DED"/>
    <w:rsid w:val="00F820CC"/>
    <w:rsid w:val="00F83D04"/>
    <w:rsid w:val="00FA1100"/>
    <w:rsid w:val="00FB685B"/>
    <w:rsid w:val="00FC42F4"/>
    <w:rsid w:val="00FD16BB"/>
    <w:rsid w:val="00FE27CC"/>
    <w:rsid w:val="00FE4628"/>
    <w:rsid w:val="00FF00A5"/>
    <w:rsid w:val="00FF33C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E484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_tradnl"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B4D43"/>
    <w:pPr>
      <w:spacing w:after="200" w:line="276" w:lineRule="auto"/>
    </w:pPr>
    <w:rPr>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6F64"/>
    <w:rPr>
      <w:color w:val="0000FF"/>
      <w:u w:val="single"/>
    </w:rPr>
  </w:style>
  <w:style w:type="character" w:styleId="FootnoteReference">
    <w:name w:val="footnote reference"/>
    <w:aliases w:val="4_G,Footnote number"/>
    <w:uiPriority w:val="99"/>
    <w:rsid w:val="004B3C3C"/>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
    <w:basedOn w:val="Normal"/>
    <w:link w:val="FootnoteTextChar"/>
    <w:rsid w:val="004B3C3C"/>
    <w:pPr>
      <w:tabs>
        <w:tab w:val="right" w:pos="1021"/>
      </w:tabs>
      <w:suppressAutoHyphens/>
      <w:spacing w:after="0" w:line="220" w:lineRule="exact"/>
      <w:ind w:left="1134" w:right="1134" w:hanging="1134"/>
    </w:pPr>
    <w:rPr>
      <w:rFonts w:ascii="Times New Roman" w:eastAsia="Times New Roman" w:hAnsi="Times New Roman"/>
      <w:sz w:val="18"/>
      <w:szCs w:val="20"/>
      <w:lang w:val="en-GB"/>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4B3C3C"/>
    <w:rPr>
      <w:rFonts w:ascii="Times New Roman" w:eastAsia="Times New Roman" w:hAnsi="Times New Roman"/>
      <w:sz w:val="18"/>
      <w:lang w:val="en-GB" w:eastAsia="en-US"/>
    </w:rPr>
  </w:style>
  <w:style w:type="paragraph" w:customStyle="1" w:styleId="SingleTxtG">
    <w:name w:val="_ Single Txt_G"/>
    <w:basedOn w:val="Normal"/>
    <w:link w:val="SingleTxtGChar"/>
    <w:rsid w:val="00533D59"/>
    <w:pPr>
      <w:suppressAutoHyphens/>
      <w:spacing w:after="120" w:line="240" w:lineRule="atLeast"/>
      <w:ind w:left="1134" w:right="1134"/>
      <w:jc w:val="both"/>
    </w:pPr>
    <w:rPr>
      <w:rFonts w:ascii="Times New Roman" w:eastAsia="Times New Roman" w:hAnsi="Times New Roman"/>
      <w:sz w:val="20"/>
      <w:szCs w:val="20"/>
    </w:rPr>
  </w:style>
  <w:style w:type="character" w:customStyle="1" w:styleId="SingleTxtGChar">
    <w:name w:val="_ Single Txt_G Char"/>
    <w:link w:val="SingleTxtG"/>
    <w:rsid w:val="00533D59"/>
    <w:rPr>
      <w:rFonts w:ascii="Times New Roman" w:eastAsia="Times New Roman" w:hAnsi="Times New Roman"/>
      <w:lang w:eastAsia="en-US"/>
    </w:rPr>
  </w:style>
  <w:style w:type="paragraph" w:styleId="Header">
    <w:name w:val="header"/>
    <w:basedOn w:val="Normal"/>
    <w:link w:val="HeaderChar"/>
    <w:uiPriority w:val="99"/>
    <w:unhideWhenUsed/>
    <w:rsid w:val="00CE7185"/>
    <w:pPr>
      <w:tabs>
        <w:tab w:val="center" w:pos="4536"/>
        <w:tab w:val="right" w:pos="9072"/>
      </w:tabs>
    </w:pPr>
  </w:style>
  <w:style w:type="character" w:customStyle="1" w:styleId="HeaderChar">
    <w:name w:val="Header Char"/>
    <w:link w:val="Header"/>
    <w:uiPriority w:val="99"/>
    <w:rsid w:val="00CE7185"/>
    <w:rPr>
      <w:sz w:val="22"/>
      <w:szCs w:val="22"/>
      <w:lang w:eastAsia="en-US"/>
    </w:rPr>
  </w:style>
  <w:style w:type="paragraph" w:styleId="Footer">
    <w:name w:val="footer"/>
    <w:basedOn w:val="Normal"/>
    <w:link w:val="FooterChar"/>
    <w:uiPriority w:val="99"/>
    <w:unhideWhenUsed/>
    <w:rsid w:val="00CE7185"/>
    <w:pPr>
      <w:tabs>
        <w:tab w:val="center" w:pos="4536"/>
        <w:tab w:val="right" w:pos="9072"/>
      </w:tabs>
    </w:pPr>
  </w:style>
  <w:style w:type="character" w:customStyle="1" w:styleId="FooterChar">
    <w:name w:val="Footer Char"/>
    <w:link w:val="Footer"/>
    <w:uiPriority w:val="99"/>
    <w:rsid w:val="00CE7185"/>
    <w:rPr>
      <w:sz w:val="22"/>
      <w:szCs w:val="22"/>
      <w:lang w:eastAsia="en-US"/>
    </w:rPr>
  </w:style>
  <w:style w:type="character" w:styleId="FollowedHyperlink">
    <w:name w:val="FollowedHyperlink"/>
    <w:uiPriority w:val="99"/>
    <w:semiHidden/>
    <w:unhideWhenUsed/>
    <w:rsid w:val="00EA215D"/>
    <w:rPr>
      <w:color w:val="800080"/>
      <w:u w:val="single"/>
    </w:rPr>
  </w:style>
  <w:style w:type="paragraph" w:customStyle="1" w:styleId="H23G">
    <w:name w:val="_ H_2/3_G"/>
    <w:basedOn w:val="Normal"/>
    <w:next w:val="Normal"/>
    <w:rsid w:val="00DB1A4C"/>
    <w:pPr>
      <w:keepNext/>
      <w:keepLines/>
      <w:tabs>
        <w:tab w:val="right" w:pos="851"/>
      </w:tabs>
      <w:suppressAutoHyphens/>
      <w:spacing w:before="240" w:after="120" w:line="240" w:lineRule="exact"/>
      <w:ind w:left="1134" w:right="1134" w:hanging="1134"/>
    </w:pPr>
    <w:rPr>
      <w:rFonts w:ascii="Times New Roman" w:eastAsia="Times New Roman" w:hAnsi="Times New Roman"/>
      <w:b/>
      <w:sz w:val="20"/>
      <w:szCs w:val="20"/>
      <w:lang w:val="en-GB"/>
    </w:rPr>
  </w:style>
  <w:style w:type="character" w:customStyle="1" w:styleId="apple-converted-space">
    <w:name w:val="apple-converted-space"/>
    <w:basedOn w:val="DefaultParagraphFont"/>
    <w:rsid w:val="00533DE0"/>
  </w:style>
  <w:style w:type="paragraph" w:styleId="ListParagraph">
    <w:name w:val="List Paragraph"/>
    <w:basedOn w:val="Normal"/>
    <w:rsid w:val="00AB4C06"/>
    <w:pPr>
      <w:ind w:left="720"/>
      <w:contextualSpacing/>
    </w:pPr>
  </w:style>
  <w:style w:type="paragraph" w:styleId="BalloonText">
    <w:name w:val="Balloon Text"/>
    <w:basedOn w:val="Normal"/>
    <w:link w:val="BalloonTextChar"/>
    <w:semiHidden/>
    <w:unhideWhenUsed/>
    <w:rsid w:val="00F002AB"/>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semiHidden/>
    <w:rsid w:val="00F002AB"/>
    <w:rPr>
      <w:rFonts w:ascii="Times New Roman" w:hAnsi="Times New Roman"/>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87074">
      <w:bodyDiv w:val="1"/>
      <w:marLeft w:val="0"/>
      <w:marRight w:val="0"/>
      <w:marTop w:val="0"/>
      <w:marBottom w:val="0"/>
      <w:divBdr>
        <w:top w:val="none" w:sz="0" w:space="0" w:color="auto"/>
        <w:left w:val="none" w:sz="0" w:space="0" w:color="auto"/>
        <w:bottom w:val="none" w:sz="0" w:space="0" w:color="auto"/>
        <w:right w:val="none" w:sz="0" w:space="0" w:color="auto"/>
      </w:divBdr>
    </w:div>
    <w:div w:id="5041267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docstore.ohchr.org/SelfServices/FilesHandler.ashx?enc=6QkG1d%2fPPRiCAqhKb7yhshZEsQpq2VmlaFuT3ws7ySF0ibEBPqk6YvHXUF0XH5Y9bht%2fHFNoUnI7mHzT9ZNVlI6Q7VMDuFoP9Q6mMnVDhTxr0F0gtrDv%2bFkEBaKa3CDbvIoL10aAjPu9gU0zzbB8hyBpwj9IallH34L3zeuOyVc%3d" TargetMode="External"/><Relationship Id="rId21" Type="http://schemas.openxmlformats.org/officeDocument/2006/relationships/hyperlink" Target="http://docstore.ohchr.org/SelfServices/FilesHandler.ashx?enc=6QkG1d%2fPPRiCAqhKb7yhshZEsQpq2VmlaFuT3ws7ySF0ibEBPqk6YvHXUF0XH5Y9bht%2fHFNoUnI7mHzT9ZNVlI6Q7VMDuFoP9Q6mMnVDhTyG9el1UgCDKTW8NMYGcUqMOF%2bxtBl9upURl0qDFV0JUf%2b3%2fZd0E5j7RFzpz9AIAug%3d" TargetMode="External"/><Relationship Id="rId22" Type="http://schemas.openxmlformats.org/officeDocument/2006/relationships/hyperlink" Target="http://docstore.ohchr.org/SelfServices/FilesHandler.ashx?enc=6QkG1d%2fPPRiCAqhKb7yhshZEsQpq2VmlaFuT3ws7ySF0ibEBPqk6YvHXUF0XH5Y9bht%2fHFNoUnI7mHzT9ZNVlI6Q7VMDuFoP9Q6mMnVDhTwAcLKUFW9%2fIJBNclMnXbcbzBjBfaI7Rc%2b4GBn1JSVHGjTwdShqIQrVL8CVzr1q80I%3d" TargetMode="External"/><Relationship Id="rId23" Type="http://schemas.openxmlformats.org/officeDocument/2006/relationships/hyperlink" Target="http://docstore.ohchr.org/SelfServices/FilesHandler.ashx?enc=6QkG1d%2fPPRiCAqhKb7yhshZEsQpq2VmlaFuT3ws7ySF0ibEBPqk6YvHXUF0XH5Y9bht%2fHFNoUnI7mHzT9ZNVlI6Q7VMDuFoP9Q6mMnVDhTxdp6r7Fax1FEfpHZjnEIUbVto87jZDPspHWawFeYqIWCaccH8cP3xXRz7hSsWOWS0%3d" TargetMode="External"/><Relationship Id="rId24" Type="http://schemas.openxmlformats.org/officeDocument/2006/relationships/hyperlink" Target="http://docstore.ohchr.org/SelfServices/FilesHandler.ashx?enc=6QkG1d%2fPPRiCAqhKb7yhshZEsQpq2VmlaFuT3ws7ySF0ibEBPqk6YvHXUF0XH5Y9bht%2fHFNoUnI7mHzT9ZNVlI6Q7VMDuFoP9Q6mMnVDhTyXGeSg5DRYnV5RDNLzBcP59kn7fIXmNecOLjquVI4U3MxM%2fSzL6eTp4wGfmDs7his%3d" TargetMode="External"/><Relationship Id="rId25" Type="http://schemas.openxmlformats.org/officeDocument/2006/relationships/hyperlink" Target="http://docstore.ohchr.org/SelfServices/FilesHandler.ashx?enc=6QkG1d%2fPPRiCAqhKb7yhshZEsQpq2VmlaFuT3ws7ySF0ibEBPqk6YvHXUF0XH5Y9bht%2fHFNoUnI7mHzT9ZNVlI6Q7VMDuFoP9Q6mMnVDhTwpfpftz1%2fDCl1YrLXhsgzyYIndxQz5kvPIq7tBq3JReBykdKEFjdwPaXhgSCH9qyM%3d" TargetMode="External"/><Relationship Id="rId26" Type="http://schemas.openxmlformats.org/officeDocument/2006/relationships/hyperlink" Target="https://documents.un.org" TargetMode="External"/><Relationship Id="rId27" Type="http://schemas.openxmlformats.org/officeDocument/2006/relationships/hyperlink" Target="http://www.ohchr.org/EN/HRBodies/CRPD/Pages/ConventionRightsPersonsWithDisabilities.aspx" TargetMode="External"/><Relationship Id="rId28" Type="http://schemas.openxmlformats.org/officeDocument/2006/relationships/hyperlink" Target="http://www.ohchr.org/EN/HRBodies/CRPD/Pages/ConventionRightsPersonsWithDisabilities.aspx" TargetMode="External"/><Relationship Id="rId29" Type="http://schemas.openxmlformats.org/officeDocument/2006/relationships/hyperlink" Target="http://www.ohchr.org/EN/HRBodies/CRPD/Pages/ConventionRightsPersonsWithDisabilities.aspx"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ohchr.org/EN/HRBodies/CRPD/Pages/ConventionRightsPersonsWithDisabilities.aspx" TargetMode="External"/><Relationship Id="rId31" Type="http://schemas.openxmlformats.org/officeDocument/2006/relationships/hyperlink" Target="http://www.ohchr.org/EN/HRBodies/CRPD/Pages/ConventionRightsPersonsWithDisabilities.aspx" TargetMode="External"/><Relationship Id="rId32" Type="http://schemas.openxmlformats.org/officeDocument/2006/relationships/hyperlink" Target="http://www.ohchr.org/EN/HRBodies/CRPD/Pages/ConventionRightsPersonsWithDisabilities.aspx" TargetMode="External"/><Relationship Id="rId9" Type="http://schemas.openxmlformats.org/officeDocument/2006/relationships/hyperlink" Target="http://www.ohchr.org/EN/HRBodies/CRPD/Pages/ConventionRightsPersonsWithDisabilities.aspx" TargetMode="External"/><Relationship Id="rId6" Type="http://schemas.openxmlformats.org/officeDocument/2006/relationships/endnotes" Target="endnotes.xml"/><Relationship Id="rId7" Type="http://schemas.openxmlformats.org/officeDocument/2006/relationships/hyperlink" Target="http://www.ohchr.org/EN/HRBodies/CRPD/Pages/ConventionRightsPersonsWithDisabilities.aspx" TargetMode="External"/><Relationship Id="rId8" Type="http://schemas.openxmlformats.org/officeDocument/2006/relationships/hyperlink" Target="http://www.ohchr.org/EN/HRBodies/CRPD/Pages/ConventionRightsPersonsWithDisabilities.aspx" TargetMode="External"/><Relationship Id="rId33" Type="http://schemas.openxmlformats.org/officeDocument/2006/relationships/hyperlink" Target="http://www.ohchr.org/EN/HRBodies/CRPD/Pages/OptionalProtocolRightsPersonsWithDisabilities.aspx" TargetMode="External"/><Relationship Id="rId34" Type="http://schemas.openxmlformats.org/officeDocument/2006/relationships/footer" Target="foot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ohchr.org/EN/HRBodies/CRPD/Pages/ConventionRightsPersonsWithDisabilities.aspx" TargetMode="External"/><Relationship Id="rId11" Type="http://schemas.openxmlformats.org/officeDocument/2006/relationships/hyperlink" Target="http://www.ohchr.org/EN/HRBodies/CRPD/Pages/ConventionRightsPersonsWithDisabilities.aspx" TargetMode="External"/><Relationship Id="rId12" Type="http://schemas.openxmlformats.org/officeDocument/2006/relationships/hyperlink" Target="http://www.ohchr.org/EN/HRBodies/CRPD/Pages/ConventionRightsPersonsWithDisabilities.aspx" TargetMode="External"/><Relationship Id="rId13" Type="http://schemas.openxmlformats.org/officeDocument/2006/relationships/hyperlink" Target="http://www.ohchr.org/EN/HRBodies/CRPD/Pages/OptionalProtocolRightsPersonsWithDisabilities.aspx" TargetMode="External"/><Relationship Id="rId14" Type="http://schemas.openxmlformats.org/officeDocument/2006/relationships/hyperlink" Target="http://www.ohchr.org/EN/HRBodies/CRPD/Pages/OptionalProtocolRightsPersonsWithDisabilities.aspx" TargetMode="External"/><Relationship Id="rId15" Type="http://schemas.openxmlformats.org/officeDocument/2006/relationships/hyperlink" Target="http://www.ohchr.org/EN/HRBodies/CRPD/Pages/ConventionRightsPersonsWithDisabilities.aspx" TargetMode="External"/><Relationship Id="rId16" Type="http://schemas.openxmlformats.org/officeDocument/2006/relationships/hyperlink" Target="http://www.ohchr.org/EN/HRBodies/CRPD/Pages/ConventionRightsPersonsWithDisabilities.aspx" TargetMode="External"/><Relationship Id="rId17" Type="http://schemas.openxmlformats.org/officeDocument/2006/relationships/hyperlink" Target="http://www.ohchr.org/EN/HRBodies/CRPD/Pages/ConventionRightsPersonsWithDisabilities.aspx" TargetMode="External"/><Relationship Id="rId18" Type="http://schemas.openxmlformats.org/officeDocument/2006/relationships/hyperlink" Target="http://www.ohchr.org/EN/HRBodies/CRPD/Pages/ConventionRightsPersonsWithDisabilities.aspx" TargetMode="External"/><Relationship Id="rId19" Type="http://schemas.openxmlformats.org/officeDocument/2006/relationships/hyperlink" Target="http://www.ohchr.org/EN/HRBodies/CRPD/Pages/ConventionRightsPersonsWithDisabilities.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nternationaldisabilityalliance.org/es/node/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487</TotalTime>
  <Pages>5</Pages>
  <Words>3075</Words>
  <Characters>17532</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20566</CharactersWithSpaces>
  <SharedDoc>false</SharedDoc>
  <HLinks>
    <vt:vector size="180" baseType="variant">
      <vt:variant>
        <vt:i4>3211372</vt:i4>
      </vt:variant>
      <vt:variant>
        <vt:i4>81</vt:i4>
      </vt:variant>
      <vt:variant>
        <vt:i4>0</vt:i4>
      </vt:variant>
      <vt:variant>
        <vt:i4>5</vt:i4>
      </vt:variant>
      <vt:variant>
        <vt:lpwstr>http://www.ohchr.org/EN/HRBodies/CRPD/Pages/OptionalProtocolRightsPersonsWithDisabilities.aspx</vt:lpwstr>
      </vt:variant>
      <vt:variant>
        <vt:lpwstr/>
      </vt:variant>
      <vt:variant>
        <vt:i4>3211372</vt:i4>
      </vt:variant>
      <vt:variant>
        <vt:i4>78</vt:i4>
      </vt:variant>
      <vt:variant>
        <vt:i4>0</vt:i4>
      </vt:variant>
      <vt:variant>
        <vt:i4>5</vt:i4>
      </vt:variant>
      <vt:variant>
        <vt:lpwstr>http://www.ohchr.org/EN/HRBodies/CRPD/Pages/OptionalProtocolRightsPersonsWithDisabilities.aspx</vt:lpwstr>
      </vt:variant>
      <vt:variant>
        <vt:lpwstr/>
      </vt:variant>
      <vt:variant>
        <vt:i4>3211372</vt:i4>
      </vt:variant>
      <vt:variant>
        <vt:i4>75</vt:i4>
      </vt:variant>
      <vt:variant>
        <vt:i4>0</vt:i4>
      </vt:variant>
      <vt:variant>
        <vt:i4>5</vt:i4>
      </vt:variant>
      <vt:variant>
        <vt:lpwstr>http://www.ohchr.org/EN/HRBodies/CRPD/Pages/OptionalProtocolRightsPersonsWithDisabilities.aspx</vt:lpwstr>
      </vt:variant>
      <vt:variant>
        <vt:lpwstr/>
      </vt:variant>
      <vt:variant>
        <vt:i4>3211372</vt:i4>
      </vt:variant>
      <vt:variant>
        <vt:i4>72</vt:i4>
      </vt:variant>
      <vt:variant>
        <vt:i4>0</vt:i4>
      </vt:variant>
      <vt:variant>
        <vt:i4>5</vt:i4>
      </vt:variant>
      <vt:variant>
        <vt:lpwstr>http://www.ohchr.org/EN/HRBodies/CRPD/Pages/OptionalProtocolRightsPersonsWithDisabilities.aspx</vt:lpwstr>
      </vt:variant>
      <vt:variant>
        <vt:lpwstr/>
      </vt:variant>
      <vt:variant>
        <vt:i4>3735657</vt:i4>
      </vt:variant>
      <vt:variant>
        <vt:i4>69</vt:i4>
      </vt:variant>
      <vt:variant>
        <vt:i4>0</vt:i4>
      </vt:variant>
      <vt:variant>
        <vt:i4>5</vt:i4>
      </vt:variant>
      <vt:variant>
        <vt:lpwstr>http://www.oas.org/juridico/english/treaties/a-65.html</vt:lpwstr>
      </vt:variant>
      <vt:variant>
        <vt:lpwstr/>
      </vt:variant>
      <vt:variant>
        <vt:i4>5439521</vt:i4>
      </vt:variant>
      <vt:variant>
        <vt:i4>66</vt:i4>
      </vt:variant>
      <vt:variant>
        <vt:i4>0</vt:i4>
      </vt:variant>
      <vt:variant>
        <vt:i4>5</vt:i4>
      </vt:variant>
      <vt:variant>
        <vt:lpwstr>http://www.ohchr.org/EN/HRBodies/CRPD/Pages/ConventionRightsPersonsWithDisabilities.aspx</vt:lpwstr>
      </vt:variant>
      <vt:variant>
        <vt:lpwstr>4</vt:lpwstr>
      </vt:variant>
      <vt:variant>
        <vt:i4>5439524</vt:i4>
      </vt:variant>
      <vt:variant>
        <vt:i4>63</vt:i4>
      </vt:variant>
      <vt:variant>
        <vt:i4>0</vt:i4>
      </vt:variant>
      <vt:variant>
        <vt:i4>5</vt:i4>
      </vt:variant>
      <vt:variant>
        <vt:lpwstr>http://www.ohchr.org/EN/HRBodies/CRPD/Pages/ConventionRightsPersonsWithDisabilities.aspx</vt:lpwstr>
      </vt:variant>
      <vt:variant>
        <vt:lpwstr>1</vt:lpwstr>
      </vt:variant>
      <vt:variant>
        <vt:i4>5439524</vt:i4>
      </vt:variant>
      <vt:variant>
        <vt:i4>60</vt:i4>
      </vt:variant>
      <vt:variant>
        <vt:i4>0</vt:i4>
      </vt:variant>
      <vt:variant>
        <vt:i4>5</vt:i4>
      </vt:variant>
      <vt:variant>
        <vt:lpwstr>http://www.ohchr.org/EN/HRBodies/CRPD/Pages/ConventionRightsPersonsWithDisabilities.aspx</vt:lpwstr>
      </vt:variant>
      <vt:variant>
        <vt:lpwstr>1</vt:lpwstr>
      </vt:variant>
      <vt:variant>
        <vt:i4>4128873</vt:i4>
      </vt:variant>
      <vt:variant>
        <vt:i4>57</vt:i4>
      </vt:variant>
      <vt:variant>
        <vt:i4>0</vt:i4>
      </vt:variant>
      <vt:variant>
        <vt:i4>5</vt:i4>
      </vt:variant>
      <vt:variant>
        <vt:lpwstr>http://tbinternet.ohchr.org/_layouts/treatybodyexternal/Download.aspx?symbolno=CRPD%2fC%2f1&amp;Lang=en</vt:lpwstr>
      </vt:variant>
      <vt:variant>
        <vt:lpwstr/>
      </vt:variant>
      <vt:variant>
        <vt:i4>5439524</vt:i4>
      </vt:variant>
      <vt:variant>
        <vt:i4>54</vt:i4>
      </vt:variant>
      <vt:variant>
        <vt:i4>0</vt:i4>
      </vt:variant>
      <vt:variant>
        <vt:i4>5</vt:i4>
      </vt:variant>
      <vt:variant>
        <vt:lpwstr>http://www.ohchr.org/EN/HRBodies/CRPD/Pages/ConventionRightsPersonsWithDisabilities.aspx</vt:lpwstr>
      </vt:variant>
      <vt:variant>
        <vt:lpwstr>1</vt:lpwstr>
      </vt:variant>
      <vt:variant>
        <vt:i4>5439524</vt:i4>
      </vt:variant>
      <vt:variant>
        <vt:i4>51</vt:i4>
      </vt:variant>
      <vt:variant>
        <vt:i4>0</vt:i4>
      </vt:variant>
      <vt:variant>
        <vt:i4>5</vt:i4>
      </vt:variant>
      <vt:variant>
        <vt:lpwstr>http://www.ohchr.org/EN/HRBodies/CRPD/Pages/ConventionRightsPersonsWithDisabilities.aspx</vt:lpwstr>
      </vt:variant>
      <vt:variant>
        <vt:lpwstr>1</vt:lpwstr>
      </vt:variant>
      <vt:variant>
        <vt:i4>5439521</vt:i4>
      </vt:variant>
      <vt:variant>
        <vt:i4>48</vt:i4>
      </vt:variant>
      <vt:variant>
        <vt:i4>0</vt:i4>
      </vt:variant>
      <vt:variant>
        <vt:i4>5</vt:i4>
      </vt:variant>
      <vt:variant>
        <vt:lpwstr>http://www.ohchr.org/EN/HRBodies/CRPD/Pages/ConventionRightsPersonsWithDisabilities.aspx</vt:lpwstr>
      </vt:variant>
      <vt:variant>
        <vt:lpwstr>4</vt:lpwstr>
      </vt:variant>
      <vt:variant>
        <vt:i4>6553639</vt:i4>
      </vt:variant>
      <vt:variant>
        <vt:i4>45</vt:i4>
      </vt:variant>
      <vt:variant>
        <vt:i4>0</vt:i4>
      </vt:variant>
      <vt:variant>
        <vt:i4>5</vt:i4>
      </vt:variant>
      <vt:variant>
        <vt:lpwstr>http://www.ohchr.org/EN/HRBodies/CRPD/Pages/ConventionRightsPersonsWithDisabilities.aspx</vt:lpwstr>
      </vt:variant>
      <vt:variant>
        <vt:lpwstr>27</vt:lpwstr>
      </vt:variant>
      <vt:variant>
        <vt:i4>6553639</vt:i4>
      </vt:variant>
      <vt:variant>
        <vt:i4>42</vt:i4>
      </vt:variant>
      <vt:variant>
        <vt:i4>0</vt:i4>
      </vt:variant>
      <vt:variant>
        <vt:i4>5</vt:i4>
      </vt:variant>
      <vt:variant>
        <vt:lpwstr>http://www.ohchr.org/EN/HRBodies/CRPD/Pages/ConventionRightsPersonsWithDisabilities.aspx</vt:lpwstr>
      </vt:variant>
      <vt:variant>
        <vt:lpwstr>27</vt:lpwstr>
      </vt:variant>
      <vt:variant>
        <vt:i4>5439521</vt:i4>
      </vt:variant>
      <vt:variant>
        <vt:i4>39</vt:i4>
      </vt:variant>
      <vt:variant>
        <vt:i4>0</vt:i4>
      </vt:variant>
      <vt:variant>
        <vt:i4>5</vt:i4>
      </vt:variant>
      <vt:variant>
        <vt:lpwstr>http://www.ohchr.org/EN/HRBodies/CRPD/Pages/ConventionRightsPersonsWithDisabilities.aspx</vt:lpwstr>
      </vt:variant>
      <vt:variant>
        <vt:lpwstr>4</vt:lpwstr>
      </vt:variant>
      <vt:variant>
        <vt:i4>5439520</vt:i4>
      </vt:variant>
      <vt:variant>
        <vt:i4>36</vt:i4>
      </vt:variant>
      <vt:variant>
        <vt:i4>0</vt:i4>
      </vt:variant>
      <vt:variant>
        <vt:i4>5</vt:i4>
      </vt:variant>
      <vt:variant>
        <vt:lpwstr>http://www.ohchr.org/EN/HRBodies/CRPD/Pages/ConventionRightsPersonsWithDisabilities.aspx</vt:lpwstr>
      </vt:variant>
      <vt:variant>
        <vt:lpwstr>5</vt:lpwstr>
      </vt:variant>
      <vt:variant>
        <vt:i4>5439526</vt:i4>
      </vt:variant>
      <vt:variant>
        <vt:i4>33</vt:i4>
      </vt:variant>
      <vt:variant>
        <vt:i4>0</vt:i4>
      </vt:variant>
      <vt:variant>
        <vt:i4>5</vt:i4>
      </vt:variant>
      <vt:variant>
        <vt:lpwstr>http://www.ohchr.org/EN/HRBodies/CRPD/Pages/ConventionRightsPersonsWithDisabilities.aspx</vt:lpwstr>
      </vt:variant>
      <vt:variant>
        <vt:lpwstr>3</vt:lpwstr>
      </vt:variant>
      <vt:variant>
        <vt:i4>6553639</vt:i4>
      </vt:variant>
      <vt:variant>
        <vt:i4>30</vt:i4>
      </vt:variant>
      <vt:variant>
        <vt:i4>0</vt:i4>
      </vt:variant>
      <vt:variant>
        <vt:i4>5</vt:i4>
      </vt:variant>
      <vt:variant>
        <vt:lpwstr>http://www.ohchr.org/EN/HRBodies/CRPD/Pages/ConventionRightsPersonsWithDisabilities.aspx</vt:lpwstr>
      </vt:variant>
      <vt:variant>
        <vt:lpwstr>27</vt:lpwstr>
      </vt:variant>
      <vt:variant>
        <vt:i4>5439520</vt:i4>
      </vt:variant>
      <vt:variant>
        <vt:i4>27</vt:i4>
      </vt:variant>
      <vt:variant>
        <vt:i4>0</vt:i4>
      </vt:variant>
      <vt:variant>
        <vt:i4>5</vt:i4>
      </vt:variant>
      <vt:variant>
        <vt:lpwstr>http://www.ohchr.org/EN/HRBodies/CRPD/Pages/ConventionRightsPersonsWithDisabilities.aspx</vt:lpwstr>
      </vt:variant>
      <vt:variant>
        <vt:lpwstr>5</vt:lpwstr>
      </vt:variant>
      <vt:variant>
        <vt:i4>5439521</vt:i4>
      </vt:variant>
      <vt:variant>
        <vt:i4>24</vt:i4>
      </vt:variant>
      <vt:variant>
        <vt:i4>0</vt:i4>
      </vt:variant>
      <vt:variant>
        <vt:i4>5</vt:i4>
      </vt:variant>
      <vt:variant>
        <vt:lpwstr>http://www.ohchr.org/EN/HRBodies/CRPD/Pages/ConventionRightsPersonsWithDisabilities.aspx</vt:lpwstr>
      </vt:variant>
      <vt:variant>
        <vt:lpwstr>4</vt:lpwstr>
      </vt:variant>
      <vt:variant>
        <vt:i4>5439526</vt:i4>
      </vt:variant>
      <vt:variant>
        <vt:i4>21</vt:i4>
      </vt:variant>
      <vt:variant>
        <vt:i4>0</vt:i4>
      </vt:variant>
      <vt:variant>
        <vt:i4>5</vt:i4>
      </vt:variant>
      <vt:variant>
        <vt:lpwstr>http://www.ohchr.org/EN/HRBodies/CRPD/Pages/ConventionRightsPersonsWithDisabilities.aspx</vt:lpwstr>
      </vt:variant>
      <vt:variant>
        <vt:lpwstr>3</vt:lpwstr>
      </vt:variant>
      <vt:variant>
        <vt:i4>7798825</vt:i4>
      </vt:variant>
      <vt:variant>
        <vt:i4>18</vt:i4>
      </vt:variant>
      <vt:variant>
        <vt:i4>0</vt:i4>
      </vt:variant>
      <vt:variant>
        <vt:i4>5</vt:i4>
      </vt:variant>
      <vt:variant>
        <vt:lpwstr>http://tbinternet.ohchr.org/_layouts/treatybodyexternal/Download.aspx?symbolno=CRPD-C-12-DR-10-2013&amp;Lang=en</vt:lpwstr>
      </vt:variant>
      <vt:variant>
        <vt:lpwstr/>
      </vt:variant>
      <vt:variant>
        <vt:i4>3211372</vt:i4>
      </vt:variant>
      <vt:variant>
        <vt:i4>15</vt:i4>
      </vt:variant>
      <vt:variant>
        <vt:i4>0</vt:i4>
      </vt:variant>
      <vt:variant>
        <vt:i4>5</vt:i4>
      </vt:variant>
      <vt:variant>
        <vt:lpwstr>http://www.ohchr.org/EN/HRBodies/CRPD/Pages/OptionalProtocolRightsPersonsWithDisabilities.aspx</vt:lpwstr>
      </vt:variant>
      <vt:variant>
        <vt:lpwstr/>
      </vt:variant>
      <vt:variant>
        <vt:i4>6553639</vt:i4>
      </vt:variant>
      <vt:variant>
        <vt:i4>12</vt:i4>
      </vt:variant>
      <vt:variant>
        <vt:i4>0</vt:i4>
      </vt:variant>
      <vt:variant>
        <vt:i4>5</vt:i4>
      </vt:variant>
      <vt:variant>
        <vt:lpwstr>http://www.ohchr.org/EN/HRBodies/CRPD/Pages/ConventionRightsPersonsWithDisabilities.aspx</vt:lpwstr>
      </vt:variant>
      <vt:variant>
        <vt:lpwstr>27</vt:lpwstr>
      </vt:variant>
      <vt:variant>
        <vt:i4>5439520</vt:i4>
      </vt:variant>
      <vt:variant>
        <vt:i4>9</vt:i4>
      </vt:variant>
      <vt:variant>
        <vt:i4>0</vt:i4>
      </vt:variant>
      <vt:variant>
        <vt:i4>5</vt:i4>
      </vt:variant>
      <vt:variant>
        <vt:lpwstr>http://www.ohchr.org/EN/HRBodies/CRPD/Pages/ConventionRightsPersonsWithDisabilities.aspx</vt:lpwstr>
      </vt:variant>
      <vt:variant>
        <vt:lpwstr>5</vt:lpwstr>
      </vt:variant>
      <vt:variant>
        <vt:i4>5439521</vt:i4>
      </vt:variant>
      <vt:variant>
        <vt:i4>6</vt:i4>
      </vt:variant>
      <vt:variant>
        <vt:i4>0</vt:i4>
      </vt:variant>
      <vt:variant>
        <vt:i4>5</vt:i4>
      </vt:variant>
      <vt:variant>
        <vt:lpwstr>http://www.ohchr.org/EN/HRBodies/CRPD/Pages/ConventionRightsPersonsWithDisabilities.aspx</vt:lpwstr>
      </vt:variant>
      <vt:variant>
        <vt:lpwstr>4</vt:lpwstr>
      </vt:variant>
      <vt:variant>
        <vt:i4>5439526</vt:i4>
      </vt:variant>
      <vt:variant>
        <vt:i4>3</vt:i4>
      </vt:variant>
      <vt:variant>
        <vt:i4>0</vt:i4>
      </vt:variant>
      <vt:variant>
        <vt:i4>5</vt:i4>
      </vt:variant>
      <vt:variant>
        <vt:lpwstr>http://www.ohchr.org/EN/HRBodies/CRPD/Pages/ConventionRightsPersonsWithDisabilities.aspx</vt:lpwstr>
      </vt:variant>
      <vt:variant>
        <vt:lpwstr>3</vt:lpwstr>
      </vt:variant>
      <vt:variant>
        <vt:i4>7798825</vt:i4>
      </vt:variant>
      <vt:variant>
        <vt:i4>0</vt:i4>
      </vt:variant>
      <vt:variant>
        <vt:i4>0</vt:i4>
      </vt:variant>
      <vt:variant>
        <vt:i4>5</vt:i4>
      </vt:variant>
      <vt:variant>
        <vt:lpwstr>http://tbinternet.ohchr.org/_layouts/treatybodyexternal/Download.aspx?symbolno=CRPD-C-12-DR-10-2013&amp;Lang=en</vt:lpwstr>
      </vt:variant>
      <vt:variant>
        <vt:lpwstr/>
      </vt:variant>
      <vt:variant>
        <vt:i4>3211372</vt:i4>
      </vt:variant>
      <vt:variant>
        <vt:i4>3</vt:i4>
      </vt:variant>
      <vt:variant>
        <vt:i4>0</vt:i4>
      </vt:variant>
      <vt:variant>
        <vt:i4>5</vt:i4>
      </vt:variant>
      <vt:variant>
        <vt:lpwstr>http://www.ohchr.org/EN/HRBodies/CRPD/Pages/OptionalProtocolRightsPersonsWithDisabilities.aspx</vt:lpwstr>
      </vt:variant>
      <vt:variant>
        <vt:lpwstr/>
      </vt:variant>
      <vt:variant>
        <vt:i4>7077955</vt:i4>
      </vt:variant>
      <vt:variant>
        <vt:i4>0</vt:i4>
      </vt:variant>
      <vt:variant>
        <vt:i4>0</vt:i4>
      </vt:variant>
      <vt:variant>
        <vt:i4>5</vt:i4>
      </vt:variant>
      <vt:variant>
        <vt:lpwstr>http://www.internationaldisabilityalliance.org/en/disability-rights-litigationhttp:/www.internationaldisabilityalliance.org/en/disability-rights-litigation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Lee</dc:creator>
  <cp:keywords/>
  <dc:description/>
  <cp:lastModifiedBy>x</cp:lastModifiedBy>
  <cp:revision>47</cp:revision>
  <dcterms:created xsi:type="dcterms:W3CDTF">2016-06-15T08:09:00Z</dcterms:created>
  <dcterms:modified xsi:type="dcterms:W3CDTF">2018-02-13T09:45:00Z</dcterms:modified>
</cp:coreProperties>
</file>