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ACDFC" w14:textId="77777777" w:rsidR="001021CE" w:rsidRPr="00646741" w:rsidRDefault="001021CE" w:rsidP="001021CE">
      <w:pPr>
        <w:spacing w:after="0"/>
        <w:jc w:val="both"/>
        <w:rPr>
          <w:rFonts w:ascii="Arial" w:hAnsi="Arial" w:cs="Arial"/>
          <w:i/>
          <w:sz w:val="28"/>
          <w:lang w:val="en-GB"/>
        </w:rPr>
      </w:pPr>
      <w:r w:rsidRPr="00646741">
        <w:rPr>
          <w:rFonts w:ascii="Arial" w:hAnsi="Arial" w:cs="Arial"/>
          <w:sz w:val="28"/>
          <w:lang w:val="en-GB"/>
        </w:rPr>
        <w:t>Case summary:</w:t>
      </w:r>
      <w:r w:rsidRPr="00646741">
        <w:rPr>
          <w:rStyle w:val="FootnoteReference"/>
          <w:rFonts w:ascii="Arial" w:hAnsi="Arial" w:cs="Arial"/>
          <w:sz w:val="24"/>
          <w:lang w:val="en-GB"/>
        </w:rPr>
        <w:footnoteReference w:id="1"/>
      </w:r>
      <w:r w:rsidRPr="00646741">
        <w:rPr>
          <w:rFonts w:ascii="Arial" w:hAnsi="Arial" w:cs="Arial"/>
          <w:sz w:val="24"/>
          <w:lang w:val="en-GB"/>
        </w:rPr>
        <w:t xml:space="preserve">  </w:t>
      </w:r>
      <w:r w:rsidR="00646741">
        <w:rPr>
          <w:rFonts w:ascii="Arial" w:hAnsi="Arial" w:cs="Arial"/>
          <w:i/>
          <w:sz w:val="28"/>
          <w:lang w:val="en-GB"/>
        </w:rPr>
        <w:t>D.R.</w:t>
      </w:r>
      <w:r w:rsidR="008252D6" w:rsidRPr="00646741">
        <w:rPr>
          <w:rFonts w:ascii="Arial" w:hAnsi="Arial" w:cs="Arial"/>
          <w:i/>
          <w:sz w:val="28"/>
          <w:lang w:val="en-GB"/>
        </w:rPr>
        <w:t xml:space="preserve"> v Australia</w:t>
      </w:r>
    </w:p>
    <w:p w14:paraId="399D1EDA" w14:textId="77777777" w:rsidR="001021CE" w:rsidRPr="00646741" w:rsidRDefault="001021CE" w:rsidP="001021CE">
      <w:pPr>
        <w:spacing w:after="0"/>
        <w:jc w:val="both"/>
        <w:rPr>
          <w:rFonts w:ascii="Arial" w:hAnsi="Arial" w:cs="Arial"/>
          <w:lang w:val="en-GB"/>
        </w:rPr>
      </w:pPr>
    </w:p>
    <w:p w14:paraId="5BB57706" w14:textId="77777777" w:rsidR="00646741" w:rsidRDefault="005364B8" w:rsidP="001021CE">
      <w:pPr>
        <w:spacing w:after="0"/>
        <w:jc w:val="both"/>
        <w:rPr>
          <w:rFonts w:ascii="Arial" w:hAnsi="Arial" w:cs="Arial"/>
          <w:szCs w:val="20"/>
          <w:lang w:val="en-GB"/>
        </w:rPr>
      </w:pPr>
      <w:r>
        <w:rPr>
          <w:rFonts w:ascii="Arial" w:hAnsi="Arial" w:cs="Arial"/>
          <w:szCs w:val="20"/>
          <w:lang w:val="en-GB"/>
        </w:rPr>
        <w:t xml:space="preserve">Case code: </w:t>
      </w:r>
      <w:r w:rsidR="00646741" w:rsidRPr="005364B8">
        <w:rPr>
          <w:rFonts w:ascii="Arial" w:hAnsi="Arial" w:cs="Arial"/>
          <w:szCs w:val="20"/>
          <w:lang w:val="en-GB"/>
        </w:rPr>
        <w:t>CRPD/C/17/D/14/2013</w:t>
      </w:r>
    </w:p>
    <w:p w14:paraId="5BA3F53F" w14:textId="77777777" w:rsidR="001021CE" w:rsidRPr="00646741" w:rsidRDefault="00646741" w:rsidP="001021CE">
      <w:pPr>
        <w:spacing w:after="0"/>
        <w:jc w:val="both"/>
        <w:rPr>
          <w:rFonts w:ascii="Arial" w:hAnsi="Arial" w:cs="Arial"/>
          <w:szCs w:val="20"/>
          <w:lang w:val="en-GB"/>
        </w:rPr>
      </w:pPr>
      <w:r>
        <w:rPr>
          <w:rFonts w:ascii="Arial" w:hAnsi="Arial" w:cs="Arial"/>
          <w:szCs w:val="20"/>
          <w:lang w:val="en-GB"/>
        </w:rPr>
        <w:t>Communication no 14</w:t>
      </w:r>
      <w:r w:rsidR="001021CE" w:rsidRPr="00646741">
        <w:rPr>
          <w:rFonts w:ascii="Arial" w:hAnsi="Arial" w:cs="Arial"/>
          <w:szCs w:val="20"/>
          <w:lang w:val="en-GB"/>
        </w:rPr>
        <w:t>/2013</w:t>
      </w:r>
    </w:p>
    <w:p w14:paraId="3C046A72" w14:textId="77777777" w:rsidR="001021CE" w:rsidRPr="00646741" w:rsidRDefault="001021CE" w:rsidP="001021CE">
      <w:pPr>
        <w:spacing w:after="0"/>
        <w:jc w:val="both"/>
        <w:rPr>
          <w:rFonts w:ascii="Arial" w:hAnsi="Arial" w:cs="Arial"/>
          <w:szCs w:val="20"/>
          <w:lang w:val="en-GB"/>
        </w:rPr>
      </w:pPr>
      <w:r w:rsidRPr="00646741">
        <w:rPr>
          <w:rFonts w:ascii="Arial" w:hAnsi="Arial" w:cs="Arial"/>
          <w:szCs w:val="20"/>
          <w:lang w:val="en-GB"/>
        </w:rPr>
        <w:t>Date of communication (initial submission):</w:t>
      </w:r>
      <w:r w:rsidRPr="00646741">
        <w:rPr>
          <w:rFonts w:ascii="Arial" w:hAnsi="Arial" w:cs="Arial"/>
          <w:szCs w:val="20"/>
          <w:lang w:val="en-GB"/>
        </w:rPr>
        <w:tab/>
      </w:r>
      <w:r w:rsidRPr="00646741">
        <w:rPr>
          <w:rFonts w:ascii="Arial" w:hAnsi="Arial" w:cs="Arial"/>
          <w:szCs w:val="20"/>
          <w:lang w:val="en-GB"/>
        </w:rPr>
        <w:tab/>
      </w:r>
      <w:r w:rsidR="00646741">
        <w:rPr>
          <w:rFonts w:ascii="Arial" w:hAnsi="Arial" w:cs="Arial"/>
          <w:szCs w:val="20"/>
          <w:lang w:val="en-GB"/>
        </w:rPr>
        <w:t>14 August</w:t>
      </w:r>
      <w:r w:rsidR="00F40F7C" w:rsidRPr="00646741">
        <w:rPr>
          <w:rFonts w:ascii="Arial" w:hAnsi="Arial" w:cs="Arial"/>
          <w:szCs w:val="20"/>
          <w:lang w:val="en-GB"/>
        </w:rPr>
        <w:t xml:space="preserve"> 2013</w:t>
      </w:r>
      <w:r w:rsidRPr="00646741">
        <w:rPr>
          <w:rFonts w:ascii="Arial" w:hAnsi="Arial" w:cs="Arial"/>
          <w:szCs w:val="20"/>
          <w:lang w:val="en-GB"/>
        </w:rPr>
        <w:t xml:space="preserve"> </w:t>
      </w:r>
    </w:p>
    <w:p w14:paraId="10747B39" w14:textId="77777777" w:rsidR="001021CE" w:rsidRPr="00646741" w:rsidRDefault="001021CE" w:rsidP="001021CE">
      <w:pPr>
        <w:spacing w:after="0"/>
        <w:jc w:val="both"/>
        <w:rPr>
          <w:rFonts w:ascii="Arial" w:hAnsi="Arial" w:cs="Arial"/>
          <w:szCs w:val="20"/>
          <w:lang w:val="en-GB"/>
        </w:rPr>
      </w:pPr>
      <w:r w:rsidRPr="00646741">
        <w:rPr>
          <w:rFonts w:ascii="Arial" w:hAnsi="Arial" w:cs="Arial"/>
          <w:szCs w:val="20"/>
          <w:lang w:val="en-GB"/>
        </w:rPr>
        <w:t>Date of adoption of Views:</w:t>
      </w:r>
      <w:r w:rsidRPr="00646741">
        <w:rPr>
          <w:rFonts w:ascii="Arial" w:hAnsi="Arial" w:cs="Arial"/>
          <w:szCs w:val="20"/>
          <w:lang w:val="en-GB"/>
        </w:rPr>
        <w:tab/>
      </w:r>
      <w:r w:rsidRPr="00646741">
        <w:rPr>
          <w:rFonts w:ascii="Arial" w:hAnsi="Arial" w:cs="Arial"/>
          <w:szCs w:val="20"/>
          <w:lang w:val="en-GB"/>
        </w:rPr>
        <w:tab/>
      </w:r>
      <w:r w:rsidRPr="00646741">
        <w:rPr>
          <w:rFonts w:ascii="Arial" w:hAnsi="Arial" w:cs="Arial"/>
          <w:szCs w:val="20"/>
          <w:lang w:val="en-GB"/>
        </w:rPr>
        <w:tab/>
      </w:r>
      <w:r w:rsidRPr="00646741">
        <w:rPr>
          <w:rFonts w:ascii="Arial" w:hAnsi="Arial" w:cs="Arial"/>
          <w:szCs w:val="20"/>
          <w:lang w:val="en-GB"/>
        </w:rPr>
        <w:tab/>
      </w:r>
      <w:r w:rsidR="00646741">
        <w:rPr>
          <w:rFonts w:ascii="Arial" w:hAnsi="Arial" w:cs="Arial"/>
          <w:szCs w:val="20"/>
          <w:lang w:val="en-GB"/>
        </w:rPr>
        <w:t>24 March 2017</w:t>
      </w:r>
    </w:p>
    <w:p w14:paraId="5FA7EB15" w14:textId="77777777" w:rsidR="00FF557C" w:rsidRDefault="001021CE" w:rsidP="00FF557C">
      <w:pPr>
        <w:tabs>
          <w:tab w:val="left" w:pos="4961"/>
        </w:tabs>
        <w:spacing w:after="0"/>
        <w:jc w:val="both"/>
        <w:rPr>
          <w:rFonts w:ascii="Arial" w:hAnsi="Arial" w:cs="Arial"/>
          <w:szCs w:val="20"/>
          <w:lang w:val="en-GB"/>
        </w:rPr>
      </w:pPr>
      <w:r w:rsidRPr="00646741">
        <w:rPr>
          <w:rFonts w:ascii="Arial" w:hAnsi="Arial" w:cs="Arial"/>
          <w:szCs w:val="20"/>
          <w:lang w:val="en-GB"/>
        </w:rPr>
        <w:t>Invoked provisions of the Convention:</w:t>
      </w:r>
      <w:r w:rsidRPr="00646741">
        <w:rPr>
          <w:rFonts w:ascii="Arial" w:hAnsi="Arial" w:cs="Arial"/>
          <w:szCs w:val="20"/>
          <w:lang w:val="en-GB"/>
        </w:rPr>
        <w:tab/>
      </w:r>
      <w:r w:rsidRPr="00646741">
        <w:rPr>
          <w:rFonts w:ascii="Arial" w:hAnsi="Arial" w:cs="Arial"/>
          <w:szCs w:val="20"/>
          <w:lang w:val="en-GB"/>
        </w:rPr>
        <w:tab/>
      </w:r>
      <w:r w:rsidR="00F40F7C" w:rsidRPr="00646741">
        <w:rPr>
          <w:rFonts w:ascii="Arial" w:hAnsi="Arial" w:cs="Arial"/>
          <w:szCs w:val="20"/>
          <w:lang w:val="en-GB"/>
        </w:rPr>
        <w:t xml:space="preserve">Articles </w:t>
      </w:r>
      <w:hyperlink r:id="rId7" w:anchor="4" w:history="1">
        <w:r w:rsidR="00F40F7C" w:rsidRPr="00646741">
          <w:rPr>
            <w:rStyle w:val="Hyperlink"/>
            <w:rFonts w:ascii="Arial" w:hAnsi="Arial" w:cs="Arial"/>
            <w:szCs w:val="20"/>
            <w:lang w:val="en-GB"/>
          </w:rPr>
          <w:t>4</w:t>
        </w:r>
      </w:hyperlink>
      <w:r w:rsidR="00F40F7C" w:rsidRPr="00646741">
        <w:rPr>
          <w:rFonts w:ascii="Arial" w:hAnsi="Arial" w:cs="Arial"/>
          <w:szCs w:val="20"/>
          <w:lang w:val="en-GB"/>
        </w:rPr>
        <w:t xml:space="preserve">, </w:t>
      </w:r>
      <w:hyperlink r:id="rId8" w:anchor="5" w:history="1">
        <w:r w:rsidR="00F40F7C" w:rsidRPr="00FF557C">
          <w:rPr>
            <w:rStyle w:val="Hyperlink"/>
            <w:rFonts w:ascii="Arial" w:hAnsi="Arial" w:cs="Arial"/>
            <w:szCs w:val="20"/>
            <w:lang w:val="en-GB"/>
          </w:rPr>
          <w:t>5</w:t>
        </w:r>
        <w:r w:rsidR="00FF557C" w:rsidRPr="00FF557C">
          <w:rPr>
            <w:rStyle w:val="Hyperlink"/>
            <w:rFonts w:ascii="Arial" w:hAnsi="Arial" w:cs="Arial"/>
            <w:szCs w:val="20"/>
            <w:lang w:val="en-GB"/>
          </w:rPr>
          <w:t xml:space="preserve"> (2)</w:t>
        </w:r>
        <w:r w:rsidR="00F40F7C" w:rsidRPr="00FF557C">
          <w:rPr>
            <w:rStyle w:val="Hyperlink"/>
            <w:rFonts w:ascii="Arial" w:hAnsi="Arial" w:cs="Arial"/>
            <w:szCs w:val="20"/>
            <w:lang w:val="en-GB"/>
          </w:rPr>
          <w:t>,</w:t>
        </w:r>
      </w:hyperlink>
      <w:r w:rsidR="00F40F7C" w:rsidRPr="00646741">
        <w:rPr>
          <w:rFonts w:ascii="Arial" w:hAnsi="Arial" w:cs="Arial"/>
          <w:szCs w:val="20"/>
          <w:lang w:val="en-GB"/>
        </w:rPr>
        <w:t xml:space="preserve"> </w:t>
      </w:r>
      <w:hyperlink r:id="rId9" w:anchor="12" w:history="1">
        <w:r w:rsidR="00F40F7C" w:rsidRPr="00FF557C">
          <w:rPr>
            <w:rStyle w:val="Hyperlink"/>
            <w:rFonts w:ascii="Arial" w:hAnsi="Arial" w:cs="Arial"/>
            <w:szCs w:val="20"/>
            <w:lang w:val="en-GB"/>
          </w:rPr>
          <w:t>12,</w:t>
        </w:r>
      </w:hyperlink>
      <w:r w:rsidR="00F40F7C" w:rsidRPr="00646741">
        <w:rPr>
          <w:rFonts w:ascii="Arial" w:hAnsi="Arial" w:cs="Arial"/>
          <w:szCs w:val="20"/>
          <w:lang w:val="en-GB"/>
        </w:rPr>
        <w:t xml:space="preserve"> </w:t>
      </w:r>
      <w:hyperlink r:id="rId10" w:anchor="14" w:history="1">
        <w:r w:rsidR="00FF557C" w:rsidRPr="00FF557C">
          <w:rPr>
            <w:rStyle w:val="Hyperlink"/>
            <w:rFonts w:ascii="Arial" w:hAnsi="Arial" w:cs="Arial"/>
            <w:szCs w:val="20"/>
            <w:lang w:val="en-GB"/>
          </w:rPr>
          <w:t>14</w:t>
        </w:r>
      </w:hyperlink>
      <w:r w:rsidR="00F40F7C" w:rsidRPr="00646741">
        <w:rPr>
          <w:rFonts w:ascii="Arial" w:hAnsi="Arial" w:cs="Arial"/>
          <w:szCs w:val="20"/>
          <w:lang w:val="en-GB"/>
        </w:rPr>
        <w:t>,</w:t>
      </w:r>
      <w:r w:rsidR="00FF557C">
        <w:rPr>
          <w:rFonts w:ascii="Arial" w:hAnsi="Arial" w:cs="Arial"/>
          <w:szCs w:val="20"/>
          <w:lang w:val="en-GB"/>
        </w:rPr>
        <w:t xml:space="preserve"> </w:t>
      </w:r>
      <w:hyperlink r:id="rId11" w:anchor="18" w:history="1">
        <w:r w:rsidR="00FF557C" w:rsidRPr="00FF557C">
          <w:rPr>
            <w:rStyle w:val="Hyperlink"/>
            <w:rFonts w:ascii="Arial" w:hAnsi="Arial" w:cs="Arial"/>
            <w:szCs w:val="20"/>
            <w:lang w:val="en-GB"/>
          </w:rPr>
          <w:t>18</w:t>
        </w:r>
      </w:hyperlink>
      <w:r w:rsidR="00FF557C">
        <w:rPr>
          <w:rFonts w:ascii="Arial" w:hAnsi="Arial" w:cs="Arial"/>
          <w:szCs w:val="20"/>
          <w:lang w:val="en-GB"/>
        </w:rPr>
        <w:t xml:space="preserve">, </w:t>
      </w:r>
      <w:hyperlink r:id="rId12" w:anchor="19" w:history="1">
        <w:r w:rsidR="00FF557C" w:rsidRPr="00FF557C">
          <w:rPr>
            <w:rStyle w:val="Hyperlink"/>
            <w:rFonts w:ascii="Arial" w:hAnsi="Arial" w:cs="Arial"/>
            <w:szCs w:val="20"/>
            <w:lang w:val="en-GB"/>
          </w:rPr>
          <w:t>19</w:t>
        </w:r>
      </w:hyperlink>
      <w:r w:rsidR="00FF557C">
        <w:rPr>
          <w:rFonts w:ascii="Arial" w:hAnsi="Arial" w:cs="Arial"/>
          <w:szCs w:val="20"/>
          <w:lang w:val="en-GB"/>
        </w:rPr>
        <w:t>,</w:t>
      </w:r>
      <w:r w:rsidR="00F40F7C" w:rsidRPr="00646741">
        <w:rPr>
          <w:rFonts w:ascii="Arial" w:hAnsi="Arial" w:cs="Arial"/>
          <w:szCs w:val="20"/>
          <w:lang w:val="en-GB"/>
        </w:rPr>
        <w:t xml:space="preserve"> </w:t>
      </w:r>
      <w:hyperlink r:id="rId13" w:anchor="22" w:history="1">
        <w:r w:rsidR="00FF557C" w:rsidRPr="00FF557C">
          <w:rPr>
            <w:rStyle w:val="Hyperlink"/>
            <w:rFonts w:ascii="Arial" w:hAnsi="Arial" w:cs="Arial"/>
            <w:szCs w:val="20"/>
            <w:lang w:val="en-GB"/>
          </w:rPr>
          <w:t>22</w:t>
        </w:r>
      </w:hyperlink>
      <w:r w:rsidR="00FF557C">
        <w:rPr>
          <w:rFonts w:ascii="Arial" w:hAnsi="Arial" w:cs="Arial"/>
          <w:szCs w:val="20"/>
          <w:lang w:val="en-GB"/>
        </w:rPr>
        <w:t xml:space="preserve">, </w:t>
      </w:r>
      <w:hyperlink r:id="rId14" w:anchor="26" w:history="1">
        <w:r w:rsidR="00FF557C" w:rsidRPr="00FF557C">
          <w:rPr>
            <w:rStyle w:val="Hyperlink"/>
            <w:rFonts w:ascii="Arial" w:hAnsi="Arial" w:cs="Arial"/>
            <w:szCs w:val="20"/>
            <w:lang w:val="en-GB"/>
          </w:rPr>
          <w:t>26</w:t>
        </w:r>
      </w:hyperlink>
    </w:p>
    <w:p w14:paraId="47F2795E" w14:textId="77777777" w:rsidR="00F40F7C" w:rsidRPr="00646741" w:rsidRDefault="00FF557C" w:rsidP="00FF557C">
      <w:pPr>
        <w:tabs>
          <w:tab w:val="left" w:pos="4961"/>
        </w:tabs>
        <w:spacing w:after="0"/>
        <w:jc w:val="both"/>
        <w:rPr>
          <w:rFonts w:ascii="Arial" w:hAnsi="Arial" w:cs="Arial"/>
          <w:szCs w:val="20"/>
          <w:lang w:val="en-GB"/>
        </w:rPr>
      </w:pPr>
      <w:r>
        <w:rPr>
          <w:rFonts w:ascii="Arial" w:hAnsi="Arial" w:cs="Arial"/>
          <w:szCs w:val="20"/>
          <w:lang w:val="en-GB"/>
        </w:rPr>
        <w:tab/>
        <w:t xml:space="preserve">and </w:t>
      </w:r>
      <w:hyperlink r:id="rId15" w:anchor="28" w:history="1">
        <w:r w:rsidRPr="00FF557C">
          <w:rPr>
            <w:rStyle w:val="Hyperlink"/>
            <w:rFonts w:ascii="Arial" w:hAnsi="Arial" w:cs="Arial"/>
            <w:szCs w:val="20"/>
            <w:lang w:val="en-GB"/>
          </w:rPr>
          <w:t>28</w:t>
        </w:r>
      </w:hyperlink>
    </w:p>
    <w:p w14:paraId="3C26E4D7" w14:textId="77777777" w:rsidR="001021CE" w:rsidRPr="00646741" w:rsidRDefault="001021CE" w:rsidP="00F40F7C">
      <w:pPr>
        <w:spacing w:after="0"/>
        <w:jc w:val="both"/>
        <w:rPr>
          <w:rFonts w:ascii="Arial" w:hAnsi="Arial" w:cs="Arial"/>
          <w:szCs w:val="20"/>
          <w:lang w:val="en-GB"/>
        </w:rPr>
      </w:pPr>
      <w:r w:rsidRPr="00646741">
        <w:rPr>
          <w:rFonts w:ascii="Arial" w:hAnsi="Arial" w:cs="Arial"/>
          <w:szCs w:val="20"/>
          <w:lang w:val="en-GB"/>
        </w:rPr>
        <w:t>Provisions of the Optional Protocol:</w:t>
      </w:r>
      <w:r w:rsidRPr="00646741">
        <w:rPr>
          <w:rFonts w:ascii="Arial" w:hAnsi="Arial" w:cs="Arial"/>
          <w:szCs w:val="20"/>
          <w:lang w:val="en-GB"/>
        </w:rPr>
        <w:tab/>
      </w:r>
      <w:r w:rsidRPr="00646741">
        <w:rPr>
          <w:rFonts w:ascii="Arial" w:hAnsi="Arial" w:cs="Arial"/>
          <w:szCs w:val="20"/>
          <w:lang w:val="en-GB"/>
        </w:rPr>
        <w:tab/>
      </w:r>
      <w:r w:rsidRPr="00646741">
        <w:rPr>
          <w:rFonts w:ascii="Arial" w:hAnsi="Arial" w:cs="Arial"/>
          <w:szCs w:val="20"/>
          <w:lang w:val="en-GB"/>
        </w:rPr>
        <w:tab/>
      </w:r>
      <w:r w:rsidR="00FF557C">
        <w:rPr>
          <w:rFonts w:ascii="Arial" w:hAnsi="Arial" w:cs="Arial"/>
          <w:szCs w:val="20"/>
          <w:lang w:val="en-GB"/>
        </w:rPr>
        <w:t>Article</w:t>
      </w:r>
      <w:r w:rsidR="00F40F7C" w:rsidRPr="00646741">
        <w:rPr>
          <w:rFonts w:ascii="Arial" w:hAnsi="Arial" w:cs="Arial"/>
          <w:szCs w:val="20"/>
          <w:lang w:val="en-GB"/>
        </w:rPr>
        <w:t xml:space="preserve"> </w:t>
      </w:r>
      <w:hyperlink r:id="rId16" w:anchor="2" w:history="1">
        <w:r w:rsidR="00FF557C" w:rsidRPr="00FF557C">
          <w:rPr>
            <w:rStyle w:val="Hyperlink"/>
            <w:rFonts w:ascii="Arial" w:hAnsi="Arial" w:cs="Arial"/>
            <w:szCs w:val="20"/>
            <w:lang w:val="en-GB"/>
          </w:rPr>
          <w:t>2</w:t>
        </w:r>
      </w:hyperlink>
    </w:p>
    <w:p w14:paraId="3B25CFD7" w14:textId="77777777" w:rsidR="00F40F7C" w:rsidRPr="00646741" w:rsidRDefault="00F40F7C" w:rsidP="001021CE">
      <w:pPr>
        <w:spacing w:after="0"/>
        <w:ind w:left="2124" w:hanging="2124"/>
        <w:jc w:val="both"/>
        <w:rPr>
          <w:rFonts w:ascii="Arial" w:hAnsi="Arial" w:cs="Arial"/>
          <w:szCs w:val="20"/>
          <w:lang w:val="en-GB"/>
        </w:rPr>
      </w:pPr>
    </w:p>
    <w:p w14:paraId="34A34CBD" w14:textId="77777777" w:rsidR="00F40F7C" w:rsidRPr="00646741" w:rsidRDefault="001021CE" w:rsidP="00B10A4E">
      <w:pPr>
        <w:spacing w:after="0"/>
        <w:ind w:left="2124" w:hanging="2124"/>
        <w:jc w:val="both"/>
        <w:rPr>
          <w:rFonts w:ascii="Arial" w:hAnsi="Arial" w:cs="Arial"/>
          <w:szCs w:val="20"/>
          <w:lang w:val="en-GB"/>
        </w:rPr>
      </w:pPr>
      <w:r w:rsidRPr="00646741">
        <w:rPr>
          <w:rFonts w:ascii="Arial" w:hAnsi="Arial" w:cs="Arial"/>
          <w:szCs w:val="20"/>
          <w:lang w:val="en-GB"/>
        </w:rPr>
        <w:t xml:space="preserve">Keywords: </w:t>
      </w:r>
      <w:r w:rsidRPr="00646741">
        <w:rPr>
          <w:rFonts w:ascii="Arial" w:hAnsi="Arial" w:cs="Arial"/>
          <w:szCs w:val="20"/>
          <w:lang w:val="en-GB"/>
        </w:rPr>
        <w:tab/>
      </w:r>
      <w:r w:rsidR="0092235B">
        <w:rPr>
          <w:rFonts w:ascii="Arial" w:hAnsi="Arial" w:cs="Arial"/>
          <w:szCs w:val="20"/>
          <w:lang w:val="en-GB"/>
        </w:rPr>
        <w:t>disability,</w:t>
      </w:r>
      <w:r w:rsidR="00B865A1">
        <w:rPr>
          <w:rFonts w:ascii="Arial" w:hAnsi="Arial" w:cs="Arial"/>
          <w:szCs w:val="20"/>
          <w:lang w:val="en-GB"/>
        </w:rPr>
        <w:t xml:space="preserve"> non-discrimination,</w:t>
      </w:r>
      <w:r w:rsidR="0092235B">
        <w:rPr>
          <w:rFonts w:ascii="Arial" w:hAnsi="Arial" w:cs="Arial"/>
          <w:szCs w:val="20"/>
          <w:lang w:val="en-GB"/>
        </w:rPr>
        <w:t xml:space="preserve"> respect for privacy, living independently and being included in the community, </w:t>
      </w:r>
      <w:r w:rsidR="000630E3">
        <w:rPr>
          <w:rFonts w:ascii="Arial" w:hAnsi="Arial" w:cs="Arial"/>
          <w:szCs w:val="20"/>
          <w:lang w:val="en-GB"/>
        </w:rPr>
        <w:t xml:space="preserve">liberty of movement, rehabilitation, legal capacity, inclusion, institutionalization, </w:t>
      </w:r>
      <w:r w:rsidR="00474888">
        <w:rPr>
          <w:rFonts w:ascii="Arial" w:hAnsi="Arial" w:cs="Arial"/>
          <w:szCs w:val="20"/>
          <w:lang w:val="en-GB"/>
        </w:rPr>
        <w:t>exhaustion of domestic remedies</w:t>
      </w:r>
    </w:p>
    <w:p w14:paraId="77C3BC22" w14:textId="77777777" w:rsidR="00F40F7C" w:rsidRDefault="00F40F7C" w:rsidP="005575F1">
      <w:pPr>
        <w:spacing w:after="0"/>
        <w:ind w:left="2124" w:hanging="2124"/>
        <w:jc w:val="both"/>
        <w:rPr>
          <w:rFonts w:ascii="Arial" w:hAnsi="Arial" w:cs="Arial"/>
          <w:szCs w:val="20"/>
          <w:lang w:val="en-GB"/>
        </w:rPr>
      </w:pPr>
      <w:r w:rsidRPr="00646741">
        <w:rPr>
          <w:rFonts w:ascii="Arial" w:hAnsi="Arial" w:cs="Arial"/>
          <w:szCs w:val="20"/>
          <w:lang w:val="en-GB"/>
        </w:rPr>
        <w:t xml:space="preserve">Decision: </w:t>
      </w:r>
      <w:r w:rsidRPr="00646741">
        <w:rPr>
          <w:rFonts w:ascii="Arial" w:hAnsi="Arial" w:cs="Arial"/>
          <w:szCs w:val="20"/>
          <w:lang w:val="en-GB"/>
        </w:rPr>
        <w:tab/>
      </w:r>
      <w:r w:rsidR="000630E3">
        <w:rPr>
          <w:rFonts w:ascii="Arial" w:hAnsi="Arial" w:cs="Arial"/>
          <w:szCs w:val="20"/>
          <w:lang w:val="en-GB"/>
        </w:rPr>
        <w:t xml:space="preserve">Inadmissibility under article </w:t>
      </w:r>
      <w:hyperlink r:id="rId17" w:anchor="2" w:history="1">
        <w:r w:rsidR="000630E3">
          <w:rPr>
            <w:rStyle w:val="Hyperlink"/>
            <w:rFonts w:ascii="Arial" w:hAnsi="Arial" w:cs="Arial"/>
            <w:szCs w:val="20"/>
            <w:lang w:val="en-GB"/>
          </w:rPr>
          <w:t>2</w:t>
        </w:r>
        <w:r w:rsidR="000630E3" w:rsidRPr="00AD2818">
          <w:rPr>
            <w:rStyle w:val="Hyperlink"/>
            <w:rFonts w:ascii="Arial" w:hAnsi="Arial" w:cs="Arial"/>
            <w:szCs w:val="20"/>
            <w:lang w:val="en-GB"/>
          </w:rPr>
          <w:t>(d)</w:t>
        </w:r>
      </w:hyperlink>
      <w:r w:rsidR="000630E3">
        <w:rPr>
          <w:rFonts w:ascii="Arial" w:hAnsi="Arial" w:cs="Arial"/>
          <w:szCs w:val="20"/>
          <w:lang w:val="en-GB"/>
        </w:rPr>
        <w:t xml:space="preserve"> of the Optional Protocol</w:t>
      </w:r>
    </w:p>
    <w:p w14:paraId="2B155D83" w14:textId="77777777" w:rsidR="005575F1" w:rsidRPr="00646741" w:rsidRDefault="005575F1" w:rsidP="005575F1">
      <w:pPr>
        <w:spacing w:after="0"/>
        <w:ind w:left="2124" w:hanging="2124"/>
        <w:jc w:val="both"/>
        <w:rPr>
          <w:rFonts w:ascii="Arial" w:hAnsi="Arial" w:cs="Arial"/>
          <w:szCs w:val="20"/>
          <w:lang w:val="en-GB"/>
        </w:rPr>
      </w:pPr>
    </w:p>
    <w:p w14:paraId="6DB1397D" w14:textId="77777777" w:rsidR="001021CE" w:rsidRPr="008A3C42" w:rsidRDefault="005364B8" w:rsidP="001021CE">
      <w:pPr>
        <w:spacing w:after="0"/>
        <w:jc w:val="both"/>
        <w:rPr>
          <w:lang w:val="en-GB"/>
        </w:rPr>
      </w:pPr>
      <w:r w:rsidRPr="00F176E0">
        <w:rPr>
          <w:rFonts w:ascii="Arial" w:hAnsi="Arial" w:cs="Arial"/>
          <w:szCs w:val="20"/>
          <w:lang w:val="en-GB"/>
        </w:rPr>
        <w:t xml:space="preserve">Full decision in HTML format (webpage): </w:t>
      </w:r>
      <w:hyperlink r:id="rId18" w:history="1">
        <w:r w:rsidR="007D4E70" w:rsidRPr="00D36F63">
          <w:rPr>
            <w:rStyle w:val="Hyperlink"/>
            <w:rFonts w:ascii="Arial" w:hAnsi="Arial" w:cs="Arial"/>
            <w:szCs w:val="20"/>
            <w:lang w:val="en-GB"/>
          </w:rPr>
          <w:t>Arabic</w:t>
        </w:r>
      </w:hyperlink>
      <w:r w:rsidR="007D4E70" w:rsidRPr="007D4E70">
        <w:rPr>
          <w:rFonts w:ascii="Arial" w:hAnsi="Arial" w:cs="Arial"/>
          <w:szCs w:val="20"/>
          <w:lang w:val="en-GB"/>
        </w:rPr>
        <w:t xml:space="preserve">, </w:t>
      </w:r>
      <w:hyperlink r:id="rId19" w:history="1">
        <w:r w:rsidR="007D4E70" w:rsidRPr="00D36F63">
          <w:rPr>
            <w:rStyle w:val="Hyperlink"/>
            <w:rFonts w:ascii="Arial" w:hAnsi="Arial" w:cs="Arial"/>
            <w:szCs w:val="20"/>
            <w:lang w:val="en-GB"/>
          </w:rPr>
          <w:t>Chinese</w:t>
        </w:r>
      </w:hyperlink>
      <w:r w:rsidR="007D4E70" w:rsidRPr="007D4E70">
        <w:rPr>
          <w:rFonts w:ascii="Arial" w:hAnsi="Arial" w:cs="Arial"/>
          <w:szCs w:val="20"/>
          <w:lang w:val="en-GB"/>
        </w:rPr>
        <w:t xml:space="preserve">, </w:t>
      </w:r>
      <w:hyperlink r:id="rId20" w:history="1">
        <w:r w:rsidR="007D4E70" w:rsidRPr="00F41B27">
          <w:rPr>
            <w:rStyle w:val="Hyperlink"/>
            <w:rFonts w:ascii="Arial" w:hAnsi="Arial" w:cs="Arial"/>
            <w:szCs w:val="20"/>
            <w:lang w:val="en-GB"/>
          </w:rPr>
          <w:t>English</w:t>
        </w:r>
      </w:hyperlink>
      <w:r w:rsidR="007D4E70" w:rsidRPr="007D4E70">
        <w:rPr>
          <w:rFonts w:ascii="Arial" w:hAnsi="Arial" w:cs="Arial"/>
          <w:szCs w:val="20"/>
          <w:lang w:val="en-GB"/>
        </w:rPr>
        <w:t xml:space="preserve">, </w:t>
      </w:r>
      <w:hyperlink r:id="rId21" w:history="1">
        <w:r w:rsidR="007D4E70" w:rsidRPr="00F41B27">
          <w:rPr>
            <w:rStyle w:val="Hyperlink"/>
            <w:rFonts w:ascii="Arial" w:hAnsi="Arial" w:cs="Arial"/>
            <w:szCs w:val="20"/>
            <w:lang w:val="en-GB"/>
          </w:rPr>
          <w:t>French</w:t>
        </w:r>
      </w:hyperlink>
      <w:r w:rsidR="007D4E70" w:rsidRPr="007D4E70">
        <w:rPr>
          <w:rFonts w:ascii="Arial" w:hAnsi="Arial" w:cs="Arial"/>
          <w:szCs w:val="20"/>
          <w:lang w:val="en-GB"/>
        </w:rPr>
        <w:t xml:space="preserve">, </w:t>
      </w:r>
      <w:hyperlink r:id="rId22" w:history="1">
        <w:r w:rsidRPr="00F41B27">
          <w:rPr>
            <w:rStyle w:val="Hyperlink"/>
            <w:rFonts w:ascii="Arial" w:hAnsi="Arial" w:cs="Arial"/>
            <w:szCs w:val="20"/>
            <w:lang w:val="en-GB"/>
          </w:rPr>
          <w:t>Russian</w:t>
        </w:r>
      </w:hyperlink>
      <w:r w:rsidRPr="008A3C42">
        <w:rPr>
          <w:lang w:val="en-GB"/>
        </w:rPr>
        <w:t xml:space="preserve"> </w:t>
      </w:r>
      <w:r w:rsidRPr="007D4E70">
        <w:rPr>
          <w:rFonts w:ascii="Arial" w:hAnsi="Arial" w:cs="Arial"/>
          <w:szCs w:val="20"/>
          <w:lang w:val="en-GB"/>
        </w:rPr>
        <w:t xml:space="preserve">and </w:t>
      </w:r>
      <w:hyperlink r:id="rId23" w:history="1">
        <w:r w:rsidR="007D4E70" w:rsidRPr="00F41B27">
          <w:rPr>
            <w:rStyle w:val="Hyperlink"/>
            <w:rFonts w:ascii="Arial" w:hAnsi="Arial" w:cs="Arial"/>
            <w:szCs w:val="20"/>
            <w:lang w:val="en-GB"/>
          </w:rPr>
          <w:t>Spanish</w:t>
        </w:r>
      </w:hyperlink>
      <w:r w:rsidR="007D4E70" w:rsidRPr="007D4E70">
        <w:rPr>
          <w:rFonts w:ascii="Arial" w:hAnsi="Arial" w:cs="Arial"/>
          <w:szCs w:val="20"/>
          <w:lang w:val="en-GB"/>
        </w:rPr>
        <w:t xml:space="preserve"> </w:t>
      </w:r>
    </w:p>
    <w:p w14:paraId="42F75484" w14:textId="77777777" w:rsidR="005364B8" w:rsidRDefault="005364B8" w:rsidP="001021CE">
      <w:pPr>
        <w:spacing w:after="0"/>
        <w:jc w:val="both"/>
        <w:rPr>
          <w:rFonts w:ascii="Arial" w:hAnsi="Arial" w:cs="Arial"/>
          <w:szCs w:val="20"/>
          <w:lang w:val="en-GB"/>
        </w:rPr>
      </w:pPr>
    </w:p>
    <w:p w14:paraId="25721935" w14:textId="77777777" w:rsidR="008A3C42" w:rsidRDefault="008A3C42" w:rsidP="008A3C42">
      <w:pPr>
        <w:spacing w:after="0"/>
        <w:jc w:val="both"/>
        <w:rPr>
          <w:rFonts w:ascii="Arial" w:hAnsi="Arial" w:cs="Arial"/>
          <w:szCs w:val="20"/>
          <w:lang w:val="en-GB"/>
        </w:rPr>
      </w:pPr>
      <w:r w:rsidRPr="00725785">
        <w:rPr>
          <w:rFonts w:ascii="Arial" w:hAnsi="Arial" w:cs="Arial"/>
          <w:szCs w:val="20"/>
          <w:lang w:val="en-GB"/>
        </w:rPr>
        <w:t xml:space="preserve">For full decision in PDF and/or Word format in UN official languages </w:t>
      </w:r>
      <w:r>
        <w:rPr>
          <w:rFonts w:ascii="Arial" w:hAnsi="Arial" w:cs="Arial"/>
          <w:szCs w:val="20"/>
          <w:lang w:val="en-GB"/>
        </w:rPr>
        <w:t xml:space="preserve">search in </w:t>
      </w:r>
      <w:hyperlink r:id="rId24" w:history="1">
        <w:r w:rsidRPr="00FA7F4E">
          <w:rPr>
            <w:rStyle w:val="Hyperlink"/>
            <w:rFonts w:ascii="Arial" w:hAnsi="Arial" w:cs="Arial"/>
            <w:szCs w:val="20"/>
            <w:lang w:val="en-GB"/>
          </w:rPr>
          <w:t>https://documents.un.org</w:t>
        </w:r>
      </w:hyperlink>
      <w:r>
        <w:rPr>
          <w:rFonts w:ascii="Arial" w:hAnsi="Arial" w:cs="Arial"/>
          <w:szCs w:val="20"/>
          <w:lang w:val="en-GB"/>
        </w:rPr>
        <w:t>, fill the blank space after ‘Symbol’ with the CRPD case code mentioned above and then click on ‘Details’.</w:t>
      </w:r>
    </w:p>
    <w:p w14:paraId="253DC426" w14:textId="77777777" w:rsidR="007D4E70" w:rsidRPr="00646741" w:rsidRDefault="007D4E70" w:rsidP="001021CE">
      <w:pPr>
        <w:spacing w:after="0"/>
        <w:jc w:val="both"/>
        <w:rPr>
          <w:rFonts w:ascii="Arial" w:hAnsi="Arial" w:cs="Arial"/>
          <w:szCs w:val="20"/>
          <w:lang w:val="en-GB"/>
        </w:rPr>
      </w:pPr>
      <w:bookmarkStart w:id="0" w:name="_GoBack"/>
      <w:bookmarkEnd w:id="0"/>
    </w:p>
    <w:p w14:paraId="4D9A9AA1" w14:textId="77777777" w:rsidR="001021CE" w:rsidRPr="00646741" w:rsidRDefault="001021CE" w:rsidP="001021CE">
      <w:pPr>
        <w:spacing w:after="120"/>
        <w:jc w:val="both"/>
        <w:rPr>
          <w:rFonts w:ascii="Arial" w:hAnsi="Arial" w:cs="Arial"/>
          <w:sz w:val="28"/>
          <w:szCs w:val="28"/>
          <w:lang w:val="en-GB"/>
        </w:rPr>
      </w:pPr>
      <w:r w:rsidRPr="00646741">
        <w:rPr>
          <w:rFonts w:ascii="Arial" w:hAnsi="Arial" w:cs="Arial"/>
          <w:sz w:val="28"/>
          <w:szCs w:val="28"/>
          <w:lang w:val="en-GB"/>
        </w:rPr>
        <w:t>Facts</w:t>
      </w:r>
    </w:p>
    <w:p w14:paraId="3F2AEE80" w14:textId="77777777" w:rsidR="00635272" w:rsidRDefault="00DD462D" w:rsidP="00DD462D">
      <w:pPr>
        <w:spacing w:after="0"/>
        <w:jc w:val="both"/>
        <w:rPr>
          <w:rFonts w:ascii="Arial" w:hAnsi="Arial" w:cs="Arial"/>
          <w:lang w:val="en-GB"/>
        </w:rPr>
      </w:pPr>
      <w:r w:rsidRPr="00646741">
        <w:rPr>
          <w:rFonts w:ascii="Arial" w:hAnsi="Arial" w:cs="Arial"/>
          <w:lang w:val="en-GB"/>
        </w:rPr>
        <w:t xml:space="preserve">The author is </w:t>
      </w:r>
      <w:r w:rsidR="002B2598">
        <w:rPr>
          <w:rFonts w:ascii="Arial" w:hAnsi="Arial" w:cs="Arial"/>
          <w:lang w:val="en-GB"/>
        </w:rPr>
        <w:t>a person with</w:t>
      </w:r>
      <w:r w:rsidR="00FF557C">
        <w:rPr>
          <w:rFonts w:ascii="Arial" w:hAnsi="Arial" w:cs="Arial"/>
          <w:lang w:val="en-GB"/>
        </w:rPr>
        <w:t xml:space="preserve"> intellectual disability arising from an acquired brain injury</w:t>
      </w:r>
      <w:r w:rsidR="00BD254C">
        <w:rPr>
          <w:rFonts w:ascii="Arial" w:hAnsi="Arial" w:cs="Arial"/>
          <w:lang w:val="en-GB"/>
        </w:rPr>
        <w:t xml:space="preserve">. </w:t>
      </w:r>
      <w:r w:rsidR="00FF557C">
        <w:rPr>
          <w:rFonts w:ascii="Arial" w:hAnsi="Arial" w:cs="Arial"/>
          <w:lang w:val="en-GB"/>
        </w:rPr>
        <w:t xml:space="preserve">On 8 July 1998, the author was admitted to a slow-stream rehabilitation service, Jacana Acquired Brain Injury Centre in a suburb of Brisbane, administrated </w:t>
      </w:r>
      <w:r w:rsidR="00635272">
        <w:rPr>
          <w:rFonts w:ascii="Arial" w:hAnsi="Arial" w:cs="Arial"/>
          <w:lang w:val="en-GB"/>
        </w:rPr>
        <w:t>by an agency of the government of Queensland.</w:t>
      </w:r>
      <w:r w:rsidR="00B10A4E">
        <w:rPr>
          <w:rFonts w:ascii="Arial" w:hAnsi="Arial" w:cs="Arial"/>
          <w:lang w:val="en-GB"/>
        </w:rPr>
        <w:t xml:space="preserve"> </w:t>
      </w:r>
      <w:r w:rsidR="00635272">
        <w:rPr>
          <w:rFonts w:ascii="Arial" w:hAnsi="Arial" w:cs="Arial"/>
          <w:lang w:val="en-GB"/>
        </w:rPr>
        <w:t>In July 2000, the medical staff advised the author that his rehabilitation programme would cease and determined that accommodation and disability support services had to be made available before the author could be discharged.</w:t>
      </w:r>
      <w:r w:rsidR="00754E0A">
        <w:rPr>
          <w:rFonts w:ascii="Arial" w:hAnsi="Arial" w:cs="Arial"/>
          <w:lang w:val="en-GB"/>
        </w:rPr>
        <w:t xml:space="preserve"> </w:t>
      </w:r>
      <w:r w:rsidR="00635272">
        <w:rPr>
          <w:rFonts w:ascii="Arial" w:hAnsi="Arial" w:cs="Arial"/>
          <w:lang w:val="en-GB"/>
        </w:rPr>
        <w:t>From July 2000 to August 2010, the medical staff made unsuccessful referrals and applications on behalf of the author for community-based accommodation and support services.</w:t>
      </w:r>
    </w:p>
    <w:p w14:paraId="6D0C806F" w14:textId="77777777" w:rsidR="00635272" w:rsidRDefault="00635272" w:rsidP="00DD462D">
      <w:pPr>
        <w:spacing w:after="0"/>
        <w:jc w:val="both"/>
        <w:rPr>
          <w:rFonts w:ascii="Arial" w:hAnsi="Arial" w:cs="Arial"/>
          <w:lang w:val="en-GB"/>
        </w:rPr>
      </w:pPr>
    </w:p>
    <w:p w14:paraId="13A81DA9" w14:textId="77777777" w:rsidR="00635272" w:rsidRDefault="00635272" w:rsidP="00DD462D">
      <w:pPr>
        <w:spacing w:after="0"/>
        <w:jc w:val="both"/>
        <w:rPr>
          <w:rFonts w:ascii="Arial" w:hAnsi="Arial" w:cs="Arial"/>
          <w:lang w:val="en-GB"/>
        </w:rPr>
      </w:pPr>
      <w:r>
        <w:rPr>
          <w:rFonts w:ascii="Arial" w:hAnsi="Arial" w:cs="Arial"/>
          <w:lang w:val="en-GB"/>
        </w:rPr>
        <w:t xml:space="preserve">In August 2010, </w:t>
      </w:r>
      <w:r w:rsidR="00926EFF">
        <w:rPr>
          <w:rFonts w:ascii="Arial" w:hAnsi="Arial" w:cs="Arial"/>
          <w:lang w:val="en-GB"/>
        </w:rPr>
        <w:t xml:space="preserve">the Queensland Department of Communities Housing and Homelessness Services assessed the author as eligible for social housing </w:t>
      </w:r>
      <w:r w:rsidR="0067566A">
        <w:rPr>
          <w:rFonts w:ascii="Arial" w:hAnsi="Arial" w:cs="Arial"/>
          <w:lang w:val="en-GB"/>
        </w:rPr>
        <w:t>with</w:t>
      </w:r>
      <w:r w:rsidR="00926EFF">
        <w:rPr>
          <w:rFonts w:ascii="Arial" w:hAnsi="Arial" w:cs="Arial"/>
          <w:lang w:val="en-GB"/>
        </w:rPr>
        <w:t xml:space="preserve"> a “high need” for housing. </w:t>
      </w:r>
      <w:r w:rsidR="0092235B">
        <w:rPr>
          <w:rFonts w:ascii="Arial" w:hAnsi="Arial" w:cs="Arial"/>
          <w:lang w:val="en-GB"/>
        </w:rPr>
        <w:t xml:space="preserve">The </w:t>
      </w:r>
      <w:r w:rsidR="00754E0A">
        <w:rPr>
          <w:rFonts w:ascii="Arial" w:hAnsi="Arial" w:cs="Arial"/>
          <w:lang w:val="en-GB"/>
        </w:rPr>
        <w:t>assessment</w:t>
      </w:r>
      <w:r w:rsidR="0092235B">
        <w:rPr>
          <w:rFonts w:ascii="Arial" w:hAnsi="Arial" w:cs="Arial"/>
          <w:lang w:val="en-GB"/>
        </w:rPr>
        <w:t xml:space="preserve"> from</w:t>
      </w:r>
      <w:r w:rsidR="00754E0A">
        <w:rPr>
          <w:rFonts w:ascii="Arial" w:hAnsi="Arial" w:cs="Arial"/>
          <w:lang w:val="en-GB"/>
        </w:rPr>
        <w:t xml:space="preserve"> the</w:t>
      </w:r>
      <w:r w:rsidR="0092235B">
        <w:rPr>
          <w:rFonts w:ascii="Arial" w:hAnsi="Arial" w:cs="Arial"/>
          <w:lang w:val="en-GB"/>
        </w:rPr>
        <w:t xml:space="preserve"> Housing and Homelessness Services mentioned that social housing would not be allocated to the author unless he was first provided with disability support services. However, the Disability and Community Care Services stated that </w:t>
      </w:r>
      <w:r w:rsidR="00754E0A">
        <w:rPr>
          <w:rFonts w:ascii="Arial" w:hAnsi="Arial" w:cs="Arial"/>
          <w:lang w:val="en-GB"/>
        </w:rPr>
        <w:t>it</w:t>
      </w:r>
      <w:r w:rsidR="0092235B">
        <w:rPr>
          <w:rFonts w:ascii="Arial" w:hAnsi="Arial" w:cs="Arial"/>
          <w:lang w:val="en-GB"/>
        </w:rPr>
        <w:t xml:space="preserve"> ha</w:t>
      </w:r>
      <w:r w:rsidR="00754E0A">
        <w:rPr>
          <w:rFonts w:ascii="Arial" w:hAnsi="Arial" w:cs="Arial"/>
          <w:lang w:val="en-GB"/>
        </w:rPr>
        <w:t>d</w:t>
      </w:r>
      <w:r w:rsidR="0092235B">
        <w:rPr>
          <w:rFonts w:ascii="Arial" w:hAnsi="Arial" w:cs="Arial"/>
          <w:lang w:val="en-GB"/>
        </w:rPr>
        <w:t xml:space="preserve"> not the capacity to fund disability support services</w:t>
      </w:r>
      <w:r w:rsidR="00754E0A">
        <w:rPr>
          <w:rFonts w:ascii="Arial" w:hAnsi="Arial" w:cs="Arial"/>
          <w:lang w:val="en-GB"/>
        </w:rPr>
        <w:t xml:space="preserve"> for the author</w:t>
      </w:r>
      <w:r w:rsidR="0092235B">
        <w:rPr>
          <w:rFonts w:ascii="Arial" w:hAnsi="Arial" w:cs="Arial"/>
          <w:lang w:val="en-GB"/>
        </w:rPr>
        <w:t>. Consequently, the author did not receive any accommodation and support services and he could not be discharged.</w:t>
      </w:r>
    </w:p>
    <w:p w14:paraId="33868F46" w14:textId="77777777" w:rsidR="0092235B" w:rsidRDefault="0092235B" w:rsidP="00DD462D">
      <w:pPr>
        <w:spacing w:after="0"/>
        <w:jc w:val="both"/>
        <w:rPr>
          <w:rFonts w:ascii="Arial" w:hAnsi="Arial" w:cs="Arial"/>
          <w:lang w:val="en-GB"/>
        </w:rPr>
      </w:pPr>
    </w:p>
    <w:p w14:paraId="4C3330B8" w14:textId="77777777" w:rsidR="00B865A1" w:rsidRDefault="00754E0A" w:rsidP="00DD462D">
      <w:pPr>
        <w:spacing w:after="0"/>
        <w:jc w:val="both"/>
        <w:rPr>
          <w:rFonts w:ascii="Arial" w:hAnsi="Arial" w:cs="Arial"/>
          <w:lang w:val="en-GB"/>
        </w:rPr>
      </w:pPr>
      <w:r>
        <w:rPr>
          <w:rFonts w:ascii="Arial" w:hAnsi="Arial" w:cs="Arial"/>
          <w:lang w:val="en-GB"/>
        </w:rPr>
        <w:t xml:space="preserve">The author argues that his current residential setting at the </w:t>
      </w:r>
      <w:r w:rsidRPr="00754E0A">
        <w:rPr>
          <w:rFonts w:ascii="Arial" w:hAnsi="Arial" w:cs="Arial"/>
          <w:lang w:val="en-GB"/>
        </w:rPr>
        <w:t>Jacana</w:t>
      </w:r>
      <w:r>
        <w:rPr>
          <w:rFonts w:ascii="Arial" w:hAnsi="Arial" w:cs="Arial"/>
          <w:lang w:val="en-GB"/>
        </w:rPr>
        <w:t xml:space="preserve"> Centre entails</w:t>
      </w:r>
      <w:r w:rsidR="0092235B">
        <w:rPr>
          <w:rFonts w:ascii="Arial" w:hAnsi="Arial" w:cs="Arial"/>
          <w:lang w:val="en-GB"/>
        </w:rPr>
        <w:t xml:space="preserve"> lack of privacy</w:t>
      </w:r>
      <w:r w:rsidR="00B865A1">
        <w:rPr>
          <w:rFonts w:ascii="Arial" w:hAnsi="Arial" w:cs="Arial"/>
          <w:lang w:val="en-GB"/>
        </w:rPr>
        <w:t xml:space="preserve">, risk of theft and damage, </w:t>
      </w:r>
      <w:r w:rsidR="0067566A">
        <w:rPr>
          <w:rFonts w:ascii="Arial" w:hAnsi="Arial" w:cs="Arial"/>
          <w:lang w:val="en-GB"/>
        </w:rPr>
        <w:t xml:space="preserve">and </w:t>
      </w:r>
      <w:r w:rsidR="00B865A1">
        <w:rPr>
          <w:rFonts w:ascii="Arial" w:hAnsi="Arial" w:cs="Arial"/>
          <w:lang w:val="en-GB"/>
        </w:rPr>
        <w:t>that the independent living is not respected</w:t>
      </w:r>
      <w:r w:rsidR="0092235B">
        <w:rPr>
          <w:rFonts w:ascii="Arial" w:hAnsi="Arial" w:cs="Arial"/>
          <w:lang w:val="en-GB"/>
        </w:rPr>
        <w:t xml:space="preserve"> in the residential institution</w:t>
      </w:r>
      <w:r w:rsidR="00B865A1">
        <w:rPr>
          <w:rFonts w:ascii="Arial" w:hAnsi="Arial" w:cs="Arial"/>
          <w:lang w:val="en-GB"/>
        </w:rPr>
        <w:t>.</w:t>
      </w:r>
      <w:r w:rsidR="00B10A4E">
        <w:rPr>
          <w:rFonts w:ascii="Arial" w:hAnsi="Arial" w:cs="Arial"/>
          <w:lang w:val="en-GB"/>
        </w:rPr>
        <w:t xml:space="preserve"> </w:t>
      </w:r>
      <w:r w:rsidR="00B865A1">
        <w:rPr>
          <w:rFonts w:ascii="Arial" w:hAnsi="Arial" w:cs="Arial"/>
          <w:lang w:val="en-GB"/>
        </w:rPr>
        <w:t xml:space="preserve">On 9 September 2011, solicitors </w:t>
      </w:r>
      <w:r w:rsidR="0067566A">
        <w:rPr>
          <w:rFonts w:ascii="Arial" w:hAnsi="Arial" w:cs="Arial"/>
          <w:lang w:val="en-GB"/>
        </w:rPr>
        <w:t xml:space="preserve">acting on the author`s behalf </w:t>
      </w:r>
      <w:r w:rsidR="00B865A1">
        <w:rPr>
          <w:rFonts w:ascii="Arial" w:hAnsi="Arial" w:cs="Arial"/>
          <w:lang w:val="en-GB"/>
        </w:rPr>
        <w:t xml:space="preserve">alleged </w:t>
      </w:r>
      <w:r w:rsidR="00B865A1">
        <w:rPr>
          <w:rFonts w:ascii="Arial" w:hAnsi="Arial" w:cs="Arial"/>
          <w:lang w:val="en-GB"/>
        </w:rPr>
        <w:lastRenderedPageBreak/>
        <w:t>that the author had been subjected to discrimination by the governments of Australia and Queensland in terms of his access to accommodation and to disability-support services as a consequence of his disability, in violation of the Australian Disability Discrimination Act 1992, and considered the author’s rights under the Convention were also violated.</w:t>
      </w:r>
    </w:p>
    <w:p w14:paraId="62E0D6D6" w14:textId="77777777" w:rsidR="00B865A1" w:rsidRDefault="00B865A1" w:rsidP="00DD462D">
      <w:pPr>
        <w:spacing w:after="0"/>
        <w:jc w:val="both"/>
        <w:rPr>
          <w:rFonts w:ascii="Arial" w:hAnsi="Arial" w:cs="Arial"/>
          <w:lang w:val="en-GB"/>
        </w:rPr>
      </w:pPr>
    </w:p>
    <w:p w14:paraId="669EC155" w14:textId="77777777" w:rsidR="00BF233E" w:rsidRDefault="00B865A1" w:rsidP="00DD462D">
      <w:pPr>
        <w:spacing w:after="0"/>
        <w:jc w:val="both"/>
        <w:rPr>
          <w:rFonts w:ascii="Arial" w:hAnsi="Arial" w:cs="Arial"/>
          <w:lang w:val="en-GB"/>
        </w:rPr>
      </w:pPr>
      <w:r>
        <w:rPr>
          <w:rFonts w:ascii="Arial" w:hAnsi="Arial" w:cs="Arial"/>
          <w:lang w:val="en-GB"/>
        </w:rPr>
        <w:t xml:space="preserve">On </w:t>
      </w:r>
      <w:r w:rsidR="00E07595">
        <w:rPr>
          <w:rFonts w:ascii="Arial" w:hAnsi="Arial" w:cs="Arial"/>
          <w:lang w:val="en-GB"/>
        </w:rPr>
        <w:t>4 November 2012, the Attorney-General’s Department under the Government of Australia denied all allegations and argued that a complain under the Australian Human Rights Commission Act as the Commission is limited to administrative acts.</w:t>
      </w:r>
      <w:r w:rsidR="0067566A">
        <w:rPr>
          <w:rFonts w:ascii="Arial" w:hAnsi="Arial" w:cs="Arial"/>
          <w:lang w:val="en-GB"/>
        </w:rPr>
        <w:t xml:space="preserve"> </w:t>
      </w:r>
      <w:r w:rsidR="00E07595">
        <w:rPr>
          <w:rFonts w:ascii="Arial" w:hAnsi="Arial" w:cs="Arial"/>
          <w:lang w:val="en-GB"/>
        </w:rPr>
        <w:t>On 2 July 2012, the Australian Human Rights Commission argued that the Commission has no power to inquire into acts or practices of the government of Queensland that were inconsistent with or contrary to the author’s human rights.</w:t>
      </w:r>
    </w:p>
    <w:p w14:paraId="736BC1CD" w14:textId="77777777" w:rsidR="00BF233E" w:rsidRDefault="00BF233E" w:rsidP="00DD462D">
      <w:pPr>
        <w:spacing w:after="0"/>
        <w:jc w:val="both"/>
        <w:rPr>
          <w:rFonts w:ascii="Arial" w:hAnsi="Arial" w:cs="Arial"/>
          <w:lang w:val="en-GB"/>
        </w:rPr>
      </w:pPr>
    </w:p>
    <w:p w14:paraId="07F6D335" w14:textId="77777777" w:rsidR="004F0F9C" w:rsidRPr="00646741" w:rsidRDefault="00E07595" w:rsidP="004F0F9C">
      <w:pPr>
        <w:spacing w:after="0"/>
        <w:jc w:val="both"/>
        <w:rPr>
          <w:rFonts w:ascii="Arial" w:hAnsi="Arial" w:cs="Arial"/>
          <w:lang w:val="en-GB"/>
        </w:rPr>
      </w:pPr>
      <w:r>
        <w:rPr>
          <w:rFonts w:ascii="Arial" w:hAnsi="Arial" w:cs="Arial"/>
          <w:lang w:val="en-GB"/>
        </w:rPr>
        <w:t>Consequently, the solicitors concluded that at a disability discrimination claim would fail before the courts and the author argued that a direct disability disc</w:t>
      </w:r>
      <w:r w:rsidR="00BF233E">
        <w:rPr>
          <w:rFonts w:ascii="Arial" w:hAnsi="Arial" w:cs="Arial"/>
          <w:lang w:val="en-GB"/>
        </w:rPr>
        <w:t xml:space="preserve">rimination claim would also fail. Further, only the Public Trustee has power to initiate legal proceedings for a claim of disability-based discrimination, as the author is subject to </w:t>
      </w:r>
      <w:r w:rsidR="0067566A">
        <w:rPr>
          <w:rFonts w:ascii="Arial" w:hAnsi="Arial" w:cs="Arial"/>
          <w:lang w:val="en-GB"/>
        </w:rPr>
        <w:t xml:space="preserve">compulsory </w:t>
      </w:r>
      <w:r w:rsidR="00BF233E">
        <w:rPr>
          <w:rFonts w:ascii="Arial" w:hAnsi="Arial" w:cs="Arial"/>
          <w:lang w:val="en-GB"/>
        </w:rPr>
        <w:t xml:space="preserve">administration. Concerning </w:t>
      </w:r>
      <w:r w:rsidR="004B4E05">
        <w:rPr>
          <w:rFonts w:ascii="Arial" w:hAnsi="Arial" w:cs="Arial"/>
          <w:lang w:val="en-GB"/>
        </w:rPr>
        <w:t xml:space="preserve">the procedure before </w:t>
      </w:r>
      <w:r w:rsidR="00BF233E">
        <w:rPr>
          <w:rFonts w:ascii="Arial" w:hAnsi="Arial" w:cs="Arial"/>
          <w:lang w:val="en-GB"/>
        </w:rPr>
        <w:t>the Aus</w:t>
      </w:r>
      <w:r w:rsidR="004B4E05">
        <w:rPr>
          <w:rFonts w:ascii="Arial" w:hAnsi="Arial" w:cs="Arial"/>
          <w:lang w:val="en-GB"/>
        </w:rPr>
        <w:t>tralian Human Rights Commission, the State Party refused to participate in conciliation and</w:t>
      </w:r>
      <w:r w:rsidR="0067566A">
        <w:rPr>
          <w:rFonts w:ascii="Arial" w:hAnsi="Arial" w:cs="Arial"/>
          <w:lang w:val="en-GB"/>
        </w:rPr>
        <w:t>, according to the author,</w:t>
      </w:r>
      <w:r w:rsidR="004B4E05">
        <w:rPr>
          <w:rFonts w:ascii="Arial" w:hAnsi="Arial" w:cs="Arial"/>
          <w:lang w:val="en-GB"/>
        </w:rPr>
        <w:t xml:space="preserve"> the procedure is not effective as there is no enforceable remedy for any violation of human rights.</w:t>
      </w:r>
    </w:p>
    <w:p w14:paraId="231143F0" w14:textId="77777777" w:rsidR="00DD462D" w:rsidRPr="00646741" w:rsidRDefault="00DD462D" w:rsidP="00DD462D">
      <w:pPr>
        <w:spacing w:after="0"/>
        <w:jc w:val="both"/>
        <w:rPr>
          <w:rFonts w:ascii="Arial" w:hAnsi="Arial" w:cs="Arial"/>
          <w:lang w:val="en-GB"/>
        </w:rPr>
      </w:pPr>
    </w:p>
    <w:p w14:paraId="6868240E" w14:textId="77777777" w:rsidR="00DD462D" w:rsidRPr="00646741" w:rsidRDefault="00DD462D" w:rsidP="00DD462D">
      <w:pPr>
        <w:spacing w:after="120"/>
        <w:jc w:val="both"/>
        <w:rPr>
          <w:rFonts w:ascii="Arial" w:hAnsi="Arial" w:cs="Arial"/>
          <w:sz w:val="28"/>
          <w:szCs w:val="28"/>
          <w:lang w:val="en-GB"/>
        </w:rPr>
      </w:pPr>
      <w:r w:rsidRPr="00646741">
        <w:rPr>
          <w:rFonts w:ascii="Arial" w:hAnsi="Arial" w:cs="Arial"/>
          <w:sz w:val="28"/>
          <w:szCs w:val="28"/>
          <w:lang w:val="en-GB"/>
        </w:rPr>
        <w:t xml:space="preserve">The complaint </w:t>
      </w:r>
    </w:p>
    <w:p w14:paraId="7E3C0D11" w14:textId="77777777" w:rsidR="00DD462D" w:rsidRPr="00646741" w:rsidRDefault="00DD462D" w:rsidP="00DD462D">
      <w:pPr>
        <w:spacing w:after="0"/>
        <w:jc w:val="both"/>
        <w:rPr>
          <w:rFonts w:ascii="Arial" w:hAnsi="Arial" w:cs="Arial"/>
          <w:szCs w:val="20"/>
          <w:lang w:val="en-GB"/>
        </w:rPr>
      </w:pPr>
      <w:r w:rsidRPr="00646741">
        <w:rPr>
          <w:rFonts w:ascii="Arial" w:hAnsi="Arial" w:cs="Arial"/>
          <w:lang w:val="en-GB"/>
        </w:rPr>
        <w:t>The author claims that State has breached its obligations under Articles</w:t>
      </w:r>
      <w:r w:rsidRPr="00646741">
        <w:rPr>
          <w:rFonts w:ascii="Arial" w:hAnsi="Arial" w:cs="Arial"/>
          <w:szCs w:val="20"/>
          <w:lang w:val="en-GB"/>
        </w:rPr>
        <w:t xml:space="preserve"> </w:t>
      </w:r>
      <w:hyperlink r:id="rId25" w:anchor="14" w:history="1">
        <w:r w:rsidR="004B4E05" w:rsidRPr="004B4E05">
          <w:rPr>
            <w:rStyle w:val="Hyperlink"/>
            <w:rFonts w:ascii="Arial" w:hAnsi="Arial" w:cs="Arial"/>
            <w:szCs w:val="20"/>
            <w:lang w:val="en-GB"/>
          </w:rPr>
          <w:t>14</w:t>
        </w:r>
      </w:hyperlink>
      <w:r w:rsidR="004B4E05">
        <w:rPr>
          <w:rFonts w:ascii="Arial" w:hAnsi="Arial" w:cs="Arial"/>
          <w:szCs w:val="20"/>
          <w:lang w:val="en-GB"/>
        </w:rPr>
        <w:t xml:space="preserve">, </w:t>
      </w:r>
      <w:hyperlink r:id="rId26" w:anchor="18" w:history="1">
        <w:r w:rsidR="004B4E05" w:rsidRPr="004B4E05">
          <w:rPr>
            <w:rStyle w:val="Hyperlink"/>
            <w:rFonts w:ascii="Arial" w:hAnsi="Arial" w:cs="Arial"/>
            <w:szCs w:val="20"/>
            <w:lang w:val="en-GB"/>
          </w:rPr>
          <w:t>18</w:t>
        </w:r>
      </w:hyperlink>
      <w:r w:rsidR="004B4E05">
        <w:rPr>
          <w:rFonts w:ascii="Arial" w:hAnsi="Arial" w:cs="Arial"/>
          <w:szCs w:val="20"/>
          <w:lang w:val="en-GB"/>
        </w:rPr>
        <w:t xml:space="preserve">, </w:t>
      </w:r>
      <w:hyperlink r:id="rId27" w:anchor="19" w:history="1">
        <w:r w:rsidR="004B4E05" w:rsidRPr="004B4E05">
          <w:rPr>
            <w:rStyle w:val="Hyperlink"/>
            <w:rFonts w:ascii="Arial" w:hAnsi="Arial" w:cs="Arial"/>
            <w:szCs w:val="20"/>
            <w:lang w:val="en-GB"/>
          </w:rPr>
          <w:t>19</w:t>
        </w:r>
      </w:hyperlink>
      <w:r w:rsidR="004B4E05">
        <w:rPr>
          <w:rFonts w:ascii="Arial" w:hAnsi="Arial" w:cs="Arial"/>
          <w:szCs w:val="20"/>
          <w:lang w:val="en-GB"/>
        </w:rPr>
        <w:t xml:space="preserve">, </w:t>
      </w:r>
      <w:hyperlink r:id="rId28" w:anchor="22" w:history="1">
        <w:r w:rsidR="004B4E05" w:rsidRPr="004B4E05">
          <w:rPr>
            <w:rStyle w:val="Hyperlink"/>
            <w:rFonts w:ascii="Arial" w:hAnsi="Arial" w:cs="Arial"/>
            <w:szCs w:val="20"/>
            <w:lang w:val="en-GB"/>
          </w:rPr>
          <w:t>22</w:t>
        </w:r>
      </w:hyperlink>
      <w:r w:rsidR="004B4E05">
        <w:rPr>
          <w:rFonts w:ascii="Arial" w:hAnsi="Arial" w:cs="Arial"/>
          <w:szCs w:val="20"/>
          <w:lang w:val="en-GB"/>
        </w:rPr>
        <w:t xml:space="preserve">, </w:t>
      </w:r>
      <w:hyperlink r:id="rId29" w:anchor="26" w:history="1">
        <w:r w:rsidR="004B4E05" w:rsidRPr="004B4E05">
          <w:rPr>
            <w:rStyle w:val="Hyperlink"/>
            <w:rFonts w:ascii="Arial" w:hAnsi="Arial" w:cs="Arial"/>
            <w:szCs w:val="20"/>
            <w:lang w:val="en-GB"/>
          </w:rPr>
          <w:t>26</w:t>
        </w:r>
      </w:hyperlink>
      <w:r w:rsidR="004B4E05">
        <w:rPr>
          <w:rFonts w:ascii="Arial" w:hAnsi="Arial" w:cs="Arial"/>
          <w:szCs w:val="20"/>
          <w:lang w:val="en-GB"/>
        </w:rPr>
        <w:t xml:space="preserve"> and </w:t>
      </w:r>
      <w:hyperlink r:id="rId30" w:anchor="28" w:history="1">
        <w:r w:rsidR="004B4E05" w:rsidRPr="004B4E05">
          <w:rPr>
            <w:rStyle w:val="Hyperlink"/>
            <w:rFonts w:ascii="Arial" w:hAnsi="Arial" w:cs="Arial"/>
            <w:szCs w:val="20"/>
            <w:lang w:val="en-GB"/>
          </w:rPr>
          <w:t>28</w:t>
        </w:r>
      </w:hyperlink>
      <w:r w:rsidRPr="00646741">
        <w:rPr>
          <w:rFonts w:ascii="Arial" w:hAnsi="Arial" w:cs="Arial"/>
          <w:szCs w:val="20"/>
          <w:lang w:val="en-GB"/>
        </w:rPr>
        <w:t xml:space="preserve">, in conjunction with Articles </w:t>
      </w:r>
      <w:hyperlink r:id="rId31" w:anchor="4" w:history="1">
        <w:r w:rsidR="004B4E05" w:rsidRPr="004B4E05">
          <w:rPr>
            <w:rStyle w:val="Hyperlink"/>
            <w:rFonts w:ascii="Arial" w:hAnsi="Arial" w:cs="Arial"/>
            <w:szCs w:val="20"/>
            <w:lang w:val="en-GB"/>
          </w:rPr>
          <w:t>4</w:t>
        </w:r>
      </w:hyperlink>
      <w:r w:rsidRPr="00646741">
        <w:rPr>
          <w:rFonts w:ascii="Arial" w:hAnsi="Arial" w:cs="Arial"/>
          <w:szCs w:val="20"/>
          <w:lang w:val="en-GB"/>
        </w:rPr>
        <w:t xml:space="preserve"> and </w:t>
      </w:r>
      <w:hyperlink r:id="rId32" w:anchor="5" w:history="1">
        <w:r w:rsidR="000630E3">
          <w:rPr>
            <w:rStyle w:val="Hyperlink"/>
            <w:rFonts w:ascii="Arial" w:hAnsi="Arial" w:cs="Arial"/>
            <w:szCs w:val="20"/>
            <w:lang w:val="en-GB"/>
          </w:rPr>
          <w:t>5</w:t>
        </w:r>
        <w:r w:rsidR="004B4E05" w:rsidRPr="004B4E05">
          <w:rPr>
            <w:rStyle w:val="Hyperlink"/>
            <w:rFonts w:ascii="Arial" w:hAnsi="Arial" w:cs="Arial"/>
            <w:szCs w:val="20"/>
            <w:lang w:val="en-GB"/>
          </w:rPr>
          <w:t>(2)</w:t>
        </w:r>
      </w:hyperlink>
      <w:r w:rsidRPr="00646741">
        <w:rPr>
          <w:rFonts w:ascii="Arial" w:hAnsi="Arial" w:cs="Arial"/>
          <w:szCs w:val="20"/>
          <w:lang w:val="en-GB"/>
        </w:rPr>
        <w:t xml:space="preserve"> of the CRPD.</w:t>
      </w:r>
    </w:p>
    <w:p w14:paraId="60CE392A" w14:textId="77777777" w:rsidR="00DD462D" w:rsidRPr="00646741" w:rsidRDefault="00DD462D" w:rsidP="00DD462D">
      <w:pPr>
        <w:spacing w:after="0"/>
        <w:jc w:val="both"/>
        <w:rPr>
          <w:rFonts w:ascii="Arial" w:hAnsi="Arial" w:cs="Arial"/>
          <w:szCs w:val="20"/>
          <w:lang w:val="en-GB"/>
        </w:rPr>
      </w:pPr>
    </w:p>
    <w:p w14:paraId="6273E0FD" w14:textId="77777777" w:rsidR="004B4E05" w:rsidRDefault="004B4E05" w:rsidP="00DD462D">
      <w:pPr>
        <w:spacing w:after="0"/>
        <w:jc w:val="both"/>
        <w:rPr>
          <w:rFonts w:ascii="Arial" w:hAnsi="Arial" w:cs="Arial"/>
          <w:szCs w:val="20"/>
          <w:lang w:val="en-GB"/>
        </w:rPr>
      </w:pPr>
      <w:r>
        <w:rPr>
          <w:rFonts w:ascii="Arial" w:hAnsi="Arial" w:cs="Arial"/>
          <w:szCs w:val="20"/>
          <w:u w:val="single"/>
          <w:lang w:val="en-GB"/>
        </w:rPr>
        <w:t>Regarding Article 14</w:t>
      </w:r>
      <w:r>
        <w:rPr>
          <w:rFonts w:ascii="Arial" w:hAnsi="Arial" w:cs="Arial"/>
          <w:szCs w:val="20"/>
          <w:lang w:val="en-GB"/>
        </w:rPr>
        <w:t>, the author argues that</w:t>
      </w:r>
      <w:r w:rsidR="007A35EE">
        <w:rPr>
          <w:rFonts w:ascii="Arial" w:hAnsi="Arial" w:cs="Arial"/>
          <w:szCs w:val="20"/>
          <w:lang w:val="en-GB"/>
        </w:rPr>
        <w:t xml:space="preserve"> </w:t>
      </w:r>
      <w:r w:rsidR="007A35EE" w:rsidRPr="007A35EE">
        <w:rPr>
          <w:rFonts w:ascii="Arial" w:hAnsi="Arial" w:cs="Arial"/>
          <w:szCs w:val="20"/>
          <w:lang w:val="en-GB"/>
        </w:rPr>
        <w:t>his stay, against his will, at Jacana has continued after the entry into force of the Convention for the State party, and that it amounts to an arbitrary detention on discriminatory grounds</w:t>
      </w:r>
      <w:r w:rsidR="007A35EE">
        <w:rPr>
          <w:rFonts w:ascii="Arial" w:hAnsi="Arial" w:cs="Arial"/>
          <w:szCs w:val="20"/>
          <w:lang w:val="en-GB"/>
        </w:rPr>
        <w:t>. Further,</w:t>
      </w:r>
      <w:r>
        <w:rPr>
          <w:rFonts w:ascii="Arial" w:hAnsi="Arial" w:cs="Arial"/>
          <w:szCs w:val="20"/>
          <w:lang w:val="en-GB"/>
        </w:rPr>
        <w:t xml:space="preserve"> the lack of community-based accommodation and</w:t>
      </w:r>
      <w:r w:rsidR="00B41777">
        <w:rPr>
          <w:rFonts w:ascii="Arial" w:hAnsi="Arial" w:cs="Arial"/>
          <w:szCs w:val="20"/>
          <w:lang w:val="en-GB"/>
        </w:rPr>
        <w:t xml:space="preserve"> disability</w:t>
      </w:r>
      <w:r>
        <w:rPr>
          <w:rFonts w:ascii="Arial" w:hAnsi="Arial" w:cs="Arial"/>
          <w:szCs w:val="20"/>
          <w:lang w:val="en-GB"/>
        </w:rPr>
        <w:t xml:space="preserve"> support services from the State of Queensland </w:t>
      </w:r>
      <w:r w:rsidR="00B41777">
        <w:rPr>
          <w:rFonts w:ascii="Arial" w:hAnsi="Arial" w:cs="Arial"/>
          <w:szCs w:val="20"/>
          <w:lang w:val="en-GB"/>
        </w:rPr>
        <w:t>leave him segregated and isolated from the community.</w:t>
      </w:r>
    </w:p>
    <w:p w14:paraId="128B36DC" w14:textId="77777777" w:rsidR="00B41777" w:rsidRDefault="00B41777" w:rsidP="00DD462D">
      <w:pPr>
        <w:spacing w:after="0"/>
        <w:jc w:val="both"/>
        <w:rPr>
          <w:rFonts w:ascii="Arial" w:hAnsi="Arial" w:cs="Arial"/>
          <w:szCs w:val="20"/>
          <w:lang w:val="en-GB"/>
        </w:rPr>
      </w:pPr>
    </w:p>
    <w:p w14:paraId="01C44D73" w14:textId="77777777" w:rsidR="00B41777" w:rsidRDefault="00B41777" w:rsidP="00DD462D">
      <w:pPr>
        <w:spacing w:after="0"/>
        <w:jc w:val="both"/>
        <w:rPr>
          <w:rFonts w:ascii="Arial" w:hAnsi="Arial" w:cs="Arial"/>
          <w:szCs w:val="20"/>
          <w:lang w:val="en-GB"/>
        </w:rPr>
      </w:pPr>
      <w:r>
        <w:rPr>
          <w:rFonts w:ascii="Arial" w:hAnsi="Arial" w:cs="Arial"/>
          <w:szCs w:val="20"/>
          <w:u w:val="single"/>
          <w:lang w:val="en-GB"/>
        </w:rPr>
        <w:t>Regarding Article 18</w:t>
      </w:r>
      <w:r>
        <w:rPr>
          <w:rFonts w:ascii="Arial" w:hAnsi="Arial" w:cs="Arial"/>
          <w:szCs w:val="20"/>
          <w:lang w:val="en-GB"/>
        </w:rPr>
        <w:t xml:space="preserve">, </w:t>
      </w:r>
      <w:r w:rsidR="007A35EE">
        <w:rPr>
          <w:rFonts w:ascii="Arial" w:hAnsi="Arial" w:cs="Arial"/>
          <w:szCs w:val="20"/>
          <w:lang w:val="en-GB"/>
        </w:rPr>
        <w:t xml:space="preserve">being </w:t>
      </w:r>
      <w:r w:rsidR="007A35EE" w:rsidRPr="007A35EE">
        <w:rPr>
          <w:rFonts w:ascii="Arial" w:hAnsi="Arial" w:cs="Arial"/>
          <w:szCs w:val="20"/>
          <w:lang w:val="en-GB"/>
        </w:rPr>
        <w:t>compelled to live at the Jacana facility</w:t>
      </w:r>
      <w:r w:rsidR="007A35EE">
        <w:rPr>
          <w:rFonts w:ascii="Arial" w:hAnsi="Arial" w:cs="Arial"/>
          <w:szCs w:val="20"/>
          <w:lang w:val="en-GB"/>
        </w:rPr>
        <w:t xml:space="preserve">, </w:t>
      </w:r>
      <w:r>
        <w:rPr>
          <w:rFonts w:ascii="Arial" w:hAnsi="Arial" w:cs="Arial"/>
          <w:szCs w:val="20"/>
          <w:lang w:val="en-GB"/>
        </w:rPr>
        <w:t xml:space="preserve">the author argues he was deprived of his liberty of movement, </w:t>
      </w:r>
      <w:r w:rsidR="007A35EE">
        <w:rPr>
          <w:rFonts w:ascii="Arial" w:hAnsi="Arial" w:cs="Arial"/>
          <w:szCs w:val="20"/>
          <w:lang w:val="en-GB"/>
        </w:rPr>
        <w:t>and of his</w:t>
      </w:r>
      <w:r>
        <w:rPr>
          <w:rFonts w:ascii="Arial" w:hAnsi="Arial" w:cs="Arial"/>
          <w:szCs w:val="20"/>
          <w:lang w:val="en-GB"/>
        </w:rPr>
        <w:t xml:space="preserve"> right to choose his residence.</w:t>
      </w:r>
      <w:r w:rsidR="00B10A4E">
        <w:rPr>
          <w:rFonts w:ascii="Arial" w:hAnsi="Arial" w:cs="Arial"/>
          <w:szCs w:val="20"/>
          <w:lang w:val="en-GB"/>
        </w:rPr>
        <w:t xml:space="preserve"> </w:t>
      </w:r>
      <w:r>
        <w:rPr>
          <w:rFonts w:ascii="Arial" w:hAnsi="Arial" w:cs="Arial"/>
          <w:szCs w:val="20"/>
          <w:u w:val="single"/>
          <w:lang w:val="en-GB"/>
        </w:rPr>
        <w:t>Regarding Article 19</w:t>
      </w:r>
      <w:r>
        <w:rPr>
          <w:rFonts w:ascii="Arial" w:hAnsi="Arial" w:cs="Arial"/>
          <w:szCs w:val="20"/>
          <w:lang w:val="en-GB"/>
        </w:rPr>
        <w:t>, the author argues this institutionalization was against his choice and prevented him from</w:t>
      </w:r>
      <w:r w:rsidR="00F21FA7">
        <w:rPr>
          <w:rFonts w:ascii="Arial" w:hAnsi="Arial" w:cs="Arial"/>
          <w:szCs w:val="20"/>
          <w:lang w:val="en-GB"/>
        </w:rPr>
        <w:t xml:space="preserve"> </w:t>
      </w:r>
      <w:r w:rsidR="00F21FA7" w:rsidRPr="00F21FA7">
        <w:rPr>
          <w:rFonts w:ascii="Arial" w:hAnsi="Arial" w:cs="Arial"/>
          <w:szCs w:val="20"/>
          <w:lang w:val="en-GB"/>
        </w:rPr>
        <w:t>living independently in the place of his choice, and with whom he chooses</w:t>
      </w:r>
      <w:r w:rsidR="00F21FA7">
        <w:rPr>
          <w:rFonts w:ascii="Arial" w:hAnsi="Arial" w:cs="Arial"/>
          <w:szCs w:val="20"/>
          <w:lang w:val="en-GB"/>
        </w:rPr>
        <w:t>, and</w:t>
      </w:r>
      <w:r>
        <w:rPr>
          <w:rFonts w:ascii="Arial" w:hAnsi="Arial" w:cs="Arial"/>
          <w:szCs w:val="20"/>
          <w:lang w:val="en-GB"/>
        </w:rPr>
        <w:t xml:space="preserve"> </w:t>
      </w:r>
      <w:r w:rsidR="00F21FA7">
        <w:rPr>
          <w:rFonts w:ascii="Arial" w:hAnsi="Arial" w:cs="Arial"/>
          <w:szCs w:val="20"/>
          <w:lang w:val="en-GB"/>
        </w:rPr>
        <w:t>being included in the community</w:t>
      </w:r>
      <w:r w:rsidR="00F21FA7" w:rsidRPr="00F21FA7">
        <w:rPr>
          <w:rFonts w:ascii="Arial" w:hAnsi="Arial" w:cs="Arial"/>
          <w:szCs w:val="20"/>
          <w:lang w:val="en-GB"/>
        </w:rPr>
        <w:t>, being obliged to live in a medically oriented residential institution.</w:t>
      </w:r>
    </w:p>
    <w:p w14:paraId="62DBD8BE" w14:textId="77777777" w:rsidR="00B41777" w:rsidRDefault="00B41777" w:rsidP="00DD462D">
      <w:pPr>
        <w:spacing w:after="0"/>
        <w:jc w:val="both"/>
        <w:rPr>
          <w:rFonts w:ascii="Arial" w:hAnsi="Arial" w:cs="Arial"/>
          <w:szCs w:val="20"/>
          <w:lang w:val="en-GB"/>
        </w:rPr>
      </w:pPr>
    </w:p>
    <w:p w14:paraId="2716D20F" w14:textId="77777777" w:rsidR="00B41777" w:rsidRDefault="00B41777" w:rsidP="00DD462D">
      <w:pPr>
        <w:spacing w:after="0"/>
        <w:jc w:val="both"/>
        <w:rPr>
          <w:rFonts w:ascii="Arial" w:hAnsi="Arial" w:cs="Arial"/>
          <w:szCs w:val="20"/>
          <w:lang w:val="en-GB"/>
        </w:rPr>
      </w:pPr>
      <w:r>
        <w:rPr>
          <w:rFonts w:ascii="Arial" w:hAnsi="Arial" w:cs="Arial"/>
          <w:szCs w:val="20"/>
          <w:u w:val="single"/>
          <w:lang w:val="en-GB"/>
        </w:rPr>
        <w:t>Regarding Article 22</w:t>
      </w:r>
      <w:r>
        <w:rPr>
          <w:rFonts w:ascii="Arial" w:hAnsi="Arial" w:cs="Arial"/>
          <w:szCs w:val="20"/>
          <w:lang w:val="en-GB"/>
        </w:rPr>
        <w:t xml:space="preserve">, the author argues </w:t>
      </w:r>
      <w:r w:rsidR="00F21FA7">
        <w:rPr>
          <w:rFonts w:ascii="Arial" w:hAnsi="Arial" w:cs="Arial"/>
          <w:szCs w:val="20"/>
          <w:lang w:val="en-GB"/>
        </w:rPr>
        <w:t xml:space="preserve">that </w:t>
      </w:r>
      <w:r w:rsidR="00F21FA7" w:rsidRPr="00F21FA7">
        <w:rPr>
          <w:rFonts w:ascii="Arial" w:hAnsi="Arial" w:cs="Arial"/>
          <w:szCs w:val="20"/>
          <w:lang w:val="en-GB"/>
        </w:rPr>
        <w:t xml:space="preserve">his privacy is subject to constant interference at the Jacana facility as, while he has a single room, he otherwise has very little privacy from staff and other residents, who are able to enter his room at any time. </w:t>
      </w:r>
      <w:r>
        <w:rPr>
          <w:rFonts w:ascii="Arial" w:hAnsi="Arial" w:cs="Arial"/>
          <w:szCs w:val="20"/>
          <w:u w:val="single"/>
          <w:lang w:val="en-GB"/>
        </w:rPr>
        <w:t>Regarding Article 26</w:t>
      </w:r>
      <w:r>
        <w:rPr>
          <w:rFonts w:ascii="Arial" w:hAnsi="Arial" w:cs="Arial"/>
          <w:szCs w:val="20"/>
          <w:lang w:val="en-GB"/>
        </w:rPr>
        <w:t>, the author argues that Jacana facility did not provide rehabilitation services for his full inclusion in the community and that would enable him to strengthen and maintain his abilities.</w:t>
      </w:r>
      <w:r w:rsidR="00BE73BF">
        <w:rPr>
          <w:rFonts w:ascii="Arial" w:hAnsi="Arial" w:cs="Arial"/>
          <w:szCs w:val="20"/>
          <w:lang w:val="en-GB"/>
        </w:rPr>
        <w:t xml:space="preserve"> </w:t>
      </w:r>
      <w:r w:rsidR="00BE73BF" w:rsidRPr="00BE73BF">
        <w:rPr>
          <w:rFonts w:ascii="Arial" w:hAnsi="Arial" w:cs="Arial"/>
          <w:szCs w:val="20"/>
          <w:lang w:val="en-GB"/>
        </w:rPr>
        <w:t xml:space="preserve">Jacana is a medically oriented institution in which he is isolated from the community and where he does not have access to the </w:t>
      </w:r>
      <w:r w:rsidR="00BE73BF">
        <w:rPr>
          <w:rFonts w:ascii="Arial" w:hAnsi="Arial" w:cs="Arial"/>
          <w:szCs w:val="20"/>
          <w:lang w:val="en-GB"/>
        </w:rPr>
        <w:t xml:space="preserve">required </w:t>
      </w:r>
      <w:r w:rsidR="00BE73BF" w:rsidRPr="00BE73BF">
        <w:rPr>
          <w:rFonts w:ascii="Arial" w:hAnsi="Arial" w:cs="Arial"/>
          <w:szCs w:val="20"/>
          <w:lang w:val="en-GB"/>
        </w:rPr>
        <w:t>rehabilitation services</w:t>
      </w:r>
      <w:r w:rsidR="00BE73BF">
        <w:rPr>
          <w:rFonts w:ascii="Arial" w:hAnsi="Arial" w:cs="Arial"/>
          <w:szCs w:val="20"/>
          <w:lang w:val="en-GB"/>
        </w:rPr>
        <w:t>.</w:t>
      </w:r>
      <w:r w:rsidR="00BE73BF" w:rsidRPr="00BE73BF">
        <w:rPr>
          <w:rFonts w:ascii="Arial" w:hAnsi="Arial" w:cs="Arial"/>
          <w:szCs w:val="20"/>
          <w:lang w:val="en-GB"/>
        </w:rPr>
        <w:t xml:space="preserve"> </w:t>
      </w:r>
    </w:p>
    <w:p w14:paraId="31855C8C" w14:textId="77777777" w:rsidR="00B41777" w:rsidRDefault="00B41777" w:rsidP="00DD462D">
      <w:pPr>
        <w:spacing w:after="0"/>
        <w:jc w:val="both"/>
        <w:rPr>
          <w:rFonts w:ascii="Arial" w:hAnsi="Arial" w:cs="Arial"/>
          <w:szCs w:val="20"/>
          <w:lang w:val="en-GB"/>
        </w:rPr>
      </w:pPr>
    </w:p>
    <w:p w14:paraId="643C2B31" w14:textId="77777777" w:rsidR="00B76E9D" w:rsidRPr="00B76E9D" w:rsidRDefault="00B76E9D" w:rsidP="00DD462D">
      <w:pPr>
        <w:spacing w:after="0"/>
        <w:jc w:val="both"/>
        <w:rPr>
          <w:rFonts w:ascii="Arial" w:hAnsi="Arial" w:cs="Arial"/>
          <w:szCs w:val="20"/>
          <w:lang w:val="en-GB"/>
        </w:rPr>
      </w:pPr>
      <w:r>
        <w:rPr>
          <w:rFonts w:ascii="Arial" w:hAnsi="Arial" w:cs="Arial"/>
          <w:szCs w:val="20"/>
          <w:u w:val="single"/>
          <w:lang w:val="en-GB"/>
        </w:rPr>
        <w:lastRenderedPageBreak/>
        <w:t>Regarding Article 28</w:t>
      </w:r>
      <w:r>
        <w:rPr>
          <w:rFonts w:ascii="Arial" w:hAnsi="Arial" w:cs="Arial"/>
          <w:szCs w:val="20"/>
          <w:lang w:val="en-GB"/>
        </w:rPr>
        <w:t xml:space="preserve">, the author argues that </w:t>
      </w:r>
      <w:r w:rsidR="004377AE" w:rsidRPr="004377AE">
        <w:rPr>
          <w:rFonts w:ascii="Arial" w:hAnsi="Arial" w:cs="Arial"/>
          <w:szCs w:val="20"/>
          <w:lang w:val="en-GB"/>
        </w:rPr>
        <w:t>his forced accommodation in a ward and the repeated denial of access to public housing and to disability support services have prevented him from accessing the adequate standard of living and social protection</w:t>
      </w:r>
      <w:r>
        <w:rPr>
          <w:rFonts w:ascii="Arial" w:hAnsi="Arial" w:cs="Arial"/>
          <w:szCs w:val="20"/>
          <w:lang w:val="en-GB"/>
        </w:rPr>
        <w:t>.</w:t>
      </w:r>
      <w:r w:rsidR="005575F1">
        <w:rPr>
          <w:rFonts w:ascii="Arial" w:hAnsi="Arial" w:cs="Arial"/>
          <w:szCs w:val="20"/>
          <w:lang w:val="en-GB"/>
        </w:rPr>
        <w:t xml:space="preserve"> </w:t>
      </w:r>
      <w:r>
        <w:rPr>
          <w:rFonts w:ascii="Arial" w:hAnsi="Arial" w:cs="Arial"/>
          <w:szCs w:val="20"/>
          <w:u w:val="single"/>
          <w:lang w:val="en-GB"/>
        </w:rPr>
        <w:t>Regarding Articles 4 and 5</w:t>
      </w:r>
      <w:r>
        <w:rPr>
          <w:rFonts w:ascii="Arial" w:hAnsi="Arial" w:cs="Arial"/>
          <w:szCs w:val="20"/>
          <w:lang w:val="en-GB"/>
        </w:rPr>
        <w:t>, the author argues that State party failed to prohibit discrimination based on disability and to provide equal and effective legal protection against discrimination, as no measures have been taken to ensure the implementation of articles 14, 18, 19, 22, 26 and 28.</w:t>
      </w:r>
    </w:p>
    <w:p w14:paraId="7351E9D0" w14:textId="77777777" w:rsidR="00DD462D" w:rsidRPr="00646741" w:rsidRDefault="00DD462D" w:rsidP="00DD462D">
      <w:pPr>
        <w:spacing w:after="0"/>
        <w:jc w:val="both"/>
        <w:rPr>
          <w:rFonts w:ascii="Arial" w:hAnsi="Arial" w:cs="Arial"/>
          <w:lang w:val="en-GB"/>
        </w:rPr>
      </w:pPr>
    </w:p>
    <w:p w14:paraId="2883C9CC" w14:textId="77777777" w:rsidR="008B6E7A" w:rsidRPr="00646741" w:rsidRDefault="00DD462D" w:rsidP="008B6E7A">
      <w:pPr>
        <w:spacing w:after="120"/>
        <w:jc w:val="both"/>
        <w:rPr>
          <w:rFonts w:ascii="Arial" w:hAnsi="Arial" w:cs="Arial"/>
          <w:sz w:val="28"/>
          <w:szCs w:val="28"/>
          <w:lang w:val="en-GB"/>
        </w:rPr>
      </w:pPr>
      <w:r w:rsidRPr="00646741">
        <w:rPr>
          <w:rFonts w:ascii="Arial" w:hAnsi="Arial" w:cs="Arial"/>
          <w:sz w:val="28"/>
          <w:szCs w:val="28"/>
          <w:lang w:val="en-GB"/>
        </w:rPr>
        <w:t>State party’s observations on the admissibility and merits</w:t>
      </w:r>
    </w:p>
    <w:p w14:paraId="62E16D0D" w14:textId="77777777" w:rsidR="005575F1" w:rsidRDefault="00474888" w:rsidP="00474888">
      <w:pPr>
        <w:spacing w:after="0"/>
        <w:jc w:val="both"/>
        <w:rPr>
          <w:rFonts w:ascii="Arial" w:hAnsi="Arial" w:cs="Arial"/>
          <w:lang w:val="en-GB"/>
        </w:rPr>
      </w:pPr>
      <w:r w:rsidRPr="00646741">
        <w:rPr>
          <w:rFonts w:ascii="Arial" w:hAnsi="Arial" w:cs="Arial"/>
          <w:lang w:val="en-GB"/>
        </w:rPr>
        <w:t xml:space="preserve">The State </w:t>
      </w:r>
      <w:r>
        <w:rPr>
          <w:rFonts w:ascii="Arial" w:hAnsi="Arial" w:cs="Arial"/>
          <w:lang w:val="en-GB"/>
        </w:rPr>
        <w:t>explain</w:t>
      </w:r>
      <w:r w:rsidR="000630E3">
        <w:rPr>
          <w:rFonts w:ascii="Arial" w:hAnsi="Arial" w:cs="Arial"/>
          <w:lang w:val="en-GB"/>
        </w:rPr>
        <w:t>s the procedures and every step</w:t>
      </w:r>
      <w:r>
        <w:rPr>
          <w:rFonts w:ascii="Arial" w:hAnsi="Arial" w:cs="Arial"/>
          <w:lang w:val="en-GB"/>
        </w:rPr>
        <w:t xml:space="preserve"> the author did and how the</w:t>
      </w:r>
      <w:r w:rsidRPr="00474888">
        <w:rPr>
          <w:rFonts w:ascii="Arial" w:hAnsi="Arial" w:cs="Arial"/>
          <w:lang w:val="en-GB"/>
        </w:rPr>
        <w:t xml:space="preserve"> </w:t>
      </w:r>
      <w:r>
        <w:rPr>
          <w:rFonts w:ascii="Arial" w:hAnsi="Arial" w:cs="Arial"/>
          <w:lang w:val="en-GB"/>
        </w:rPr>
        <w:t>Queensland Department of Communities Housing and Homelessness Services and Disabil</w:t>
      </w:r>
      <w:r w:rsidR="000630E3">
        <w:rPr>
          <w:rFonts w:ascii="Arial" w:hAnsi="Arial" w:cs="Arial"/>
          <w:lang w:val="en-GB"/>
        </w:rPr>
        <w:t>ity and Community Care Services</w:t>
      </w:r>
      <w:r>
        <w:rPr>
          <w:rFonts w:ascii="Arial" w:hAnsi="Arial" w:cs="Arial"/>
          <w:lang w:val="en-GB"/>
        </w:rPr>
        <w:t xml:space="preserve"> and the Jacana Centre react to the author’s request</w:t>
      </w:r>
      <w:r w:rsidR="000630E3">
        <w:rPr>
          <w:rFonts w:ascii="Arial" w:hAnsi="Arial" w:cs="Arial"/>
          <w:lang w:val="en-GB"/>
        </w:rPr>
        <w:t>s</w:t>
      </w:r>
      <w:r w:rsidR="005575F1">
        <w:rPr>
          <w:rFonts w:ascii="Arial" w:hAnsi="Arial" w:cs="Arial"/>
          <w:lang w:val="en-GB"/>
        </w:rPr>
        <w:t>,</w:t>
      </w:r>
      <w:r>
        <w:rPr>
          <w:rFonts w:ascii="Arial" w:hAnsi="Arial" w:cs="Arial"/>
          <w:lang w:val="en-GB"/>
        </w:rPr>
        <w:t xml:space="preserve"> </w:t>
      </w:r>
      <w:r w:rsidR="005575F1">
        <w:rPr>
          <w:rFonts w:ascii="Arial" w:hAnsi="Arial" w:cs="Arial"/>
          <w:lang w:val="en-GB"/>
        </w:rPr>
        <w:t>rejecting</w:t>
      </w:r>
      <w:r>
        <w:rPr>
          <w:rFonts w:ascii="Arial" w:hAnsi="Arial" w:cs="Arial"/>
          <w:lang w:val="en-GB"/>
        </w:rPr>
        <w:t xml:space="preserve"> the allegations of the author.</w:t>
      </w:r>
      <w:r w:rsidR="005575F1">
        <w:rPr>
          <w:rFonts w:ascii="Arial" w:hAnsi="Arial" w:cs="Arial"/>
          <w:lang w:val="en-GB"/>
        </w:rPr>
        <w:t xml:space="preserve"> </w:t>
      </w:r>
    </w:p>
    <w:p w14:paraId="7D2172AC" w14:textId="77777777" w:rsidR="005575F1" w:rsidRDefault="005575F1" w:rsidP="00474888">
      <w:pPr>
        <w:spacing w:after="0"/>
        <w:jc w:val="both"/>
        <w:rPr>
          <w:rFonts w:ascii="Arial" w:hAnsi="Arial" w:cs="Arial"/>
          <w:lang w:val="en-GB"/>
        </w:rPr>
      </w:pPr>
    </w:p>
    <w:p w14:paraId="0739205B" w14:textId="77777777" w:rsidR="00E335F7" w:rsidRDefault="00474888" w:rsidP="00474888">
      <w:pPr>
        <w:spacing w:after="0"/>
        <w:jc w:val="both"/>
        <w:rPr>
          <w:rFonts w:ascii="Arial" w:hAnsi="Arial" w:cs="Arial"/>
          <w:lang w:val="en-GB"/>
        </w:rPr>
      </w:pPr>
      <w:r w:rsidRPr="00646741">
        <w:rPr>
          <w:rFonts w:ascii="Arial" w:hAnsi="Arial" w:cs="Arial"/>
          <w:lang w:val="en-GB"/>
        </w:rPr>
        <w:t xml:space="preserve">The State also submits that the author </w:t>
      </w:r>
      <w:r w:rsidRPr="00646741">
        <w:rPr>
          <w:rFonts w:ascii="Arial" w:hAnsi="Arial" w:cs="Arial"/>
          <w:b/>
          <w:lang w:val="en-GB"/>
        </w:rPr>
        <w:t>failed to exhaust available domestic remedies</w:t>
      </w:r>
      <w:r>
        <w:rPr>
          <w:rFonts w:ascii="Arial" w:hAnsi="Arial" w:cs="Arial"/>
          <w:lang w:val="en-GB"/>
        </w:rPr>
        <w:t xml:space="preserve"> as </w:t>
      </w:r>
      <w:r w:rsidR="00E335F7">
        <w:rPr>
          <w:rFonts w:ascii="Arial" w:hAnsi="Arial" w:cs="Arial"/>
          <w:lang w:val="en-GB"/>
        </w:rPr>
        <w:t xml:space="preserve">the </w:t>
      </w:r>
      <w:r w:rsidR="00E335F7" w:rsidRPr="00E335F7">
        <w:rPr>
          <w:rFonts w:ascii="Arial" w:hAnsi="Arial" w:cs="Arial"/>
          <w:lang w:val="en-GB"/>
        </w:rPr>
        <w:t xml:space="preserve">author’s complaint under the Disability Discrimination Act was still subject to conciliation with the </w:t>
      </w:r>
      <w:r w:rsidR="00E335F7">
        <w:rPr>
          <w:rFonts w:ascii="Arial" w:hAnsi="Arial" w:cs="Arial"/>
          <w:lang w:val="en-GB"/>
        </w:rPr>
        <w:t xml:space="preserve">Human Rights </w:t>
      </w:r>
      <w:r w:rsidR="00E335F7" w:rsidRPr="00E335F7">
        <w:rPr>
          <w:rFonts w:ascii="Arial" w:hAnsi="Arial" w:cs="Arial"/>
          <w:lang w:val="en-GB"/>
        </w:rPr>
        <w:t xml:space="preserve">Commission when the author submitted his communication. He </w:t>
      </w:r>
      <w:r w:rsidR="00E335F7">
        <w:rPr>
          <w:rFonts w:ascii="Arial" w:hAnsi="Arial" w:cs="Arial"/>
          <w:lang w:val="en-GB"/>
        </w:rPr>
        <w:t>has</w:t>
      </w:r>
      <w:r w:rsidR="00E335F7" w:rsidRPr="00E335F7">
        <w:rPr>
          <w:rFonts w:ascii="Arial" w:hAnsi="Arial" w:cs="Arial"/>
          <w:lang w:val="en-GB"/>
        </w:rPr>
        <w:t xml:space="preserve"> </w:t>
      </w:r>
      <w:r w:rsidR="00E335F7">
        <w:rPr>
          <w:rFonts w:ascii="Arial" w:hAnsi="Arial" w:cs="Arial"/>
          <w:lang w:val="en-GB"/>
        </w:rPr>
        <w:t>not brought</w:t>
      </w:r>
      <w:r w:rsidR="00E335F7" w:rsidRPr="00E335F7">
        <w:rPr>
          <w:rFonts w:ascii="Arial" w:hAnsi="Arial" w:cs="Arial"/>
          <w:lang w:val="en-GB"/>
        </w:rPr>
        <w:t xml:space="preserve"> proceedings in the federal courts to exhaust domestic remedies</w:t>
      </w:r>
      <w:r w:rsidR="00E335F7">
        <w:rPr>
          <w:rFonts w:ascii="Arial" w:hAnsi="Arial" w:cs="Arial"/>
          <w:lang w:val="en-GB"/>
        </w:rPr>
        <w:t>.</w:t>
      </w:r>
    </w:p>
    <w:p w14:paraId="359AFDE1" w14:textId="77777777" w:rsidR="00474888" w:rsidRDefault="00474888" w:rsidP="00474888">
      <w:pPr>
        <w:spacing w:after="0"/>
        <w:jc w:val="both"/>
        <w:rPr>
          <w:rFonts w:ascii="Arial" w:hAnsi="Arial" w:cs="Arial"/>
          <w:lang w:val="en-GB"/>
        </w:rPr>
      </w:pPr>
    </w:p>
    <w:p w14:paraId="160A6AC5" w14:textId="77777777" w:rsidR="000229C8" w:rsidRDefault="00AD6D0B" w:rsidP="00DD462D">
      <w:pPr>
        <w:spacing w:after="0"/>
        <w:jc w:val="both"/>
        <w:rPr>
          <w:rFonts w:ascii="Arial" w:hAnsi="Arial" w:cs="Arial"/>
          <w:lang w:val="en-GB"/>
        </w:rPr>
      </w:pPr>
      <w:r w:rsidRPr="00AD6D0B">
        <w:rPr>
          <w:rFonts w:ascii="Arial" w:hAnsi="Arial" w:cs="Arial"/>
          <w:u w:val="single"/>
          <w:lang w:val="en-GB"/>
        </w:rPr>
        <w:t>Regarding Article 19</w:t>
      </w:r>
      <w:r>
        <w:rPr>
          <w:rFonts w:ascii="Arial" w:hAnsi="Arial" w:cs="Arial"/>
          <w:lang w:val="en-GB"/>
        </w:rPr>
        <w:t xml:space="preserve">, </w:t>
      </w:r>
      <w:r w:rsidRPr="00AD6D0B">
        <w:rPr>
          <w:rFonts w:ascii="Arial" w:hAnsi="Arial" w:cs="Arial"/>
          <w:lang w:val="en-GB"/>
        </w:rPr>
        <w:t>the State party submits that it is an economic, social and cultural right that would require a significant expenditure of resources by States parties, and should accordingly be subject</w:t>
      </w:r>
      <w:r>
        <w:rPr>
          <w:rFonts w:ascii="Arial" w:hAnsi="Arial" w:cs="Arial"/>
          <w:lang w:val="en-GB"/>
        </w:rPr>
        <w:t>ed</w:t>
      </w:r>
      <w:r w:rsidRPr="00AD6D0B">
        <w:rPr>
          <w:rFonts w:ascii="Arial" w:hAnsi="Arial" w:cs="Arial"/>
          <w:lang w:val="en-GB"/>
        </w:rPr>
        <w:t xml:space="preserve"> to </w:t>
      </w:r>
      <w:r>
        <w:rPr>
          <w:rFonts w:ascii="Arial" w:hAnsi="Arial" w:cs="Arial"/>
          <w:lang w:val="en-GB"/>
        </w:rPr>
        <w:t>subjected to progressive realisation</w:t>
      </w:r>
      <w:r w:rsidRPr="00AD6D0B">
        <w:rPr>
          <w:rFonts w:ascii="Arial" w:hAnsi="Arial" w:cs="Arial"/>
          <w:lang w:val="en-GB"/>
        </w:rPr>
        <w:t>.</w:t>
      </w:r>
      <w:r w:rsidR="00B10A4E">
        <w:rPr>
          <w:rFonts w:ascii="Arial" w:hAnsi="Arial" w:cs="Arial"/>
          <w:lang w:val="en-GB"/>
        </w:rPr>
        <w:t xml:space="preserve"> </w:t>
      </w:r>
      <w:r w:rsidR="000229C8">
        <w:rPr>
          <w:rFonts w:ascii="Arial" w:hAnsi="Arial" w:cs="Arial"/>
          <w:u w:val="single"/>
          <w:lang w:val="en-GB"/>
        </w:rPr>
        <w:t>Regarding Article 28,</w:t>
      </w:r>
      <w:r w:rsidR="000229C8">
        <w:rPr>
          <w:rFonts w:ascii="Arial" w:hAnsi="Arial" w:cs="Arial"/>
          <w:lang w:val="en-GB"/>
        </w:rPr>
        <w:t xml:space="preserve"> the State rejects the allegation of the author, who has been “repeatedly refused” an access to pu</w:t>
      </w:r>
      <w:r w:rsidR="00FE4DDE">
        <w:rPr>
          <w:rFonts w:ascii="Arial" w:hAnsi="Arial" w:cs="Arial"/>
          <w:lang w:val="en-GB"/>
        </w:rPr>
        <w:t>blic hous</w:t>
      </w:r>
      <w:r w:rsidR="00E335F7">
        <w:rPr>
          <w:rFonts w:ascii="Arial" w:hAnsi="Arial" w:cs="Arial"/>
          <w:lang w:val="en-GB"/>
        </w:rPr>
        <w:t>ing programmes. He has been categorised as</w:t>
      </w:r>
      <w:r w:rsidR="00FE4DDE">
        <w:rPr>
          <w:rFonts w:ascii="Arial" w:hAnsi="Arial" w:cs="Arial"/>
          <w:lang w:val="en-GB"/>
        </w:rPr>
        <w:t xml:space="preserve"> </w:t>
      </w:r>
      <w:r w:rsidR="000229C8">
        <w:rPr>
          <w:rFonts w:ascii="Arial" w:hAnsi="Arial" w:cs="Arial"/>
          <w:lang w:val="en-GB"/>
        </w:rPr>
        <w:t xml:space="preserve">“very high need” for housing assistance, </w:t>
      </w:r>
      <w:r w:rsidR="00C97AC2">
        <w:rPr>
          <w:rFonts w:ascii="Arial" w:hAnsi="Arial" w:cs="Arial"/>
          <w:lang w:val="en-GB"/>
        </w:rPr>
        <w:t xml:space="preserve">which puts </w:t>
      </w:r>
      <w:r w:rsidR="000229C8">
        <w:rPr>
          <w:rFonts w:ascii="Arial" w:hAnsi="Arial" w:cs="Arial"/>
          <w:lang w:val="en-GB"/>
        </w:rPr>
        <w:t>the author at the top of the waiting lists.</w:t>
      </w:r>
      <w:r w:rsidR="00FE4DDE">
        <w:rPr>
          <w:rFonts w:ascii="Arial" w:hAnsi="Arial" w:cs="Arial"/>
          <w:lang w:val="en-GB"/>
        </w:rPr>
        <w:t xml:space="preserve"> Therefore, the State takes measures to take into account the particular circumstances of persons with disabilities for a full realization of economic, social and cultural rights.</w:t>
      </w:r>
    </w:p>
    <w:p w14:paraId="28AECCBA" w14:textId="77777777" w:rsidR="000229C8" w:rsidRDefault="000229C8" w:rsidP="00DD462D">
      <w:pPr>
        <w:spacing w:after="0"/>
        <w:jc w:val="both"/>
        <w:rPr>
          <w:rFonts w:ascii="Arial" w:hAnsi="Arial" w:cs="Arial"/>
          <w:u w:val="single"/>
          <w:lang w:val="en-GB"/>
        </w:rPr>
      </w:pPr>
    </w:p>
    <w:p w14:paraId="54F0C825" w14:textId="77777777" w:rsidR="00B10A4E" w:rsidRDefault="000229C8" w:rsidP="00DD462D">
      <w:pPr>
        <w:spacing w:after="0"/>
        <w:jc w:val="both"/>
        <w:rPr>
          <w:rFonts w:ascii="Arial" w:hAnsi="Arial" w:cs="Arial"/>
          <w:lang w:val="en-GB"/>
        </w:rPr>
      </w:pPr>
      <w:r>
        <w:rPr>
          <w:rFonts w:ascii="Arial" w:hAnsi="Arial" w:cs="Arial"/>
          <w:u w:val="single"/>
          <w:lang w:val="en-GB"/>
        </w:rPr>
        <w:t>Regarding Article 14</w:t>
      </w:r>
      <w:r>
        <w:rPr>
          <w:rFonts w:ascii="Arial" w:hAnsi="Arial" w:cs="Arial"/>
          <w:lang w:val="en-GB"/>
        </w:rPr>
        <w:t xml:space="preserve">, </w:t>
      </w:r>
      <w:r w:rsidR="004B5D9C">
        <w:rPr>
          <w:rFonts w:ascii="Arial" w:hAnsi="Arial" w:cs="Arial"/>
          <w:lang w:val="en-GB"/>
        </w:rPr>
        <w:t>the State</w:t>
      </w:r>
      <w:r w:rsidR="006026E3">
        <w:rPr>
          <w:rFonts w:ascii="Arial" w:hAnsi="Arial" w:cs="Arial"/>
          <w:lang w:val="en-GB"/>
        </w:rPr>
        <w:t xml:space="preserve"> argues that the author has “significant cognitive disabilities and requires substantial, if not full-time, support and assistance”, which requires an assistance of the medical staff.</w:t>
      </w:r>
      <w:r w:rsidR="00473A7B">
        <w:rPr>
          <w:rFonts w:ascii="Arial" w:hAnsi="Arial" w:cs="Arial"/>
          <w:lang w:val="en-GB"/>
        </w:rPr>
        <w:t xml:space="preserve"> Further, the author</w:t>
      </w:r>
      <w:r w:rsidR="00473A7B" w:rsidRPr="00473A7B">
        <w:rPr>
          <w:rFonts w:ascii="Arial" w:hAnsi="Arial" w:cs="Arial"/>
          <w:lang w:val="en-GB"/>
        </w:rPr>
        <w:t xml:space="preserve"> has limited financial means</w:t>
      </w:r>
      <w:r w:rsidR="00473A7B">
        <w:rPr>
          <w:rFonts w:ascii="Arial" w:hAnsi="Arial" w:cs="Arial"/>
          <w:lang w:val="en-GB"/>
        </w:rPr>
        <w:t>,</w:t>
      </w:r>
      <w:r w:rsidR="00473A7B" w:rsidRPr="00473A7B">
        <w:rPr>
          <w:rFonts w:ascii="Arial" w:hAnsi="Arial" w:cs="Arial"/>
          <w:lang w:val="en-GB"/>
        </w:rPr>
        <w:t xml:space="preserve"> a range of matters restrict his ability to partici</w:t>
      </w:r>
      <w:r w:rsidR="00473A7B">
        <w:rPr>
          <w:rFonts w:ascii="Arial" w:hAnsi="Arial" w:cs="Arial"/>
          <w:lang w:val="en-GB"/>
        </w:rPr>
        <w:t>pate in the open housing market, h</w:t>
      </w:r>
      <w:r w:rsidR="00473A7B" w:rsidRPr="00473A7B">
        <w:rPr>
          <w:rFonts w:ascii="Arial" w:hAnsi="Arial" w:cs="Arial"/>
          <w:lang w:val="en-GB"/>
        </w:rPr>
        <w:t>e cannot reside with family and must therefore be accommodated within existing social housing stock.</w:t>
      </w:r>
      <w:r w:rsidR="00F4457A">
        <w:rPr>
          <w:rFonts w:ascii="Arial" w:hAnsi="Arial" w:cs="Arial"/>
          <w:lang w:val="en-GB"/>
        </w:rPr>
        <w:t xml:space="preserve"> </w:t>
      </w:r>
      <w:r w:rsidR="00F4457A" w:rsidRPr="00F4457A">
        <w:rPr>
          <w:rFonts w:ascii="Arial" w:hAnsi="Arial" w:cs="Arial"/>
          <w:lang w:val="en-GB"/>
        </w:rPr>
        <w:t xml:space="preserve">The State party </w:t>
      </w:r>
      <w:r w:rsidR="00F4457A">
        <w:rPr>
          <w:rFonts w:ascii="Arial" w:hAnsi="Arial" w:cs="Arial"/>
          <w:lang w:val="en-GB"/>
        </w:rPr>
        <w:t>thus</w:t>
      </w:r>
      <w:r w:rsidR="00F4457A" w:rsidRPr="00F4457A">
        <w:rPr>
          <w:rFonts w:ascii="Arial" w:hAnsi="Arial" w:cs="Arial"/>
          <w:lang w:val="en-GB"/>
        </w:rPr>
        <w:t xml:space="preserve"> submits that the author is not subjec</w:t>
      </w:r>
      <w:r w:rsidR="00F4457A">
        <w:rPr>
          <w:rFonts w:ascii="Arial" w:hAnsi="Arial" w:cs="Arial"/>
          <w:lang w:val="en-GB"/>
        </w:rPr>
        <w:t>t to detention under article 14</w:t>
      </w:r>
      <w:r w:rsidR="00473A7B">
        <w:rPr>
          <w:rFonts w:ascii="Arial" w:hAnsi="Arial" w:cs="Arial"/>
          <w:lang w:val="en-GB"/>
        </w:rPr>
        <w:t>(1).</w:t>
      </w:r>
      <w:r w:rsidR="00B10A4E">
        <w:rPr>
          <w:rFonts w:ascii="Arial" w:hAnsi="Arial" w:cs="Arial"/>
          <w:lang w:val="en-GB"/>
        </w:rPr>
        <w:t xml:space="preserve"> </w:t>
      </w:r>
      <w:r w:rsidR="006026E3">
        <w:rPr>
          <w:rFonts w:ascii="Arial" w:hAnsi="Arial" w:cs="Arial"/>
          <w:u w:val="single"/>
          <w:lang w:val="en-GB"/>
        </w:rPr>
        <w:t>Regarding Article 18</w:t>
      </w:r>
      <w:r w:rsidR="00DA1D23">
        <w:rPr>
          <w:rFonts w:ascii="Arial" w:hAnsi="Arial" w:cs="Arial"/>
          <w:lang w:val="en-GB"/>
        </w:rPr>
        <w:t xml:space="preserve">, the State argues </w:t>
      </w:r>
      <w:r w:rsidR="00132B65">
        <w:rPr>
          <w:rFonts w:ascii="Arial" w:hAnsi="Arial" w:cs="Arial"/>
          <w:lang w:val="en-GB"/>
        </w:rPr>
        <w:t>that the</w:t>
      </w:r>
      <w:r w:rsidR="00830B97">
        <w:rPr>
          <w:rFonts w:ascii="Arial" w:hAnsi="Arial" w:cs="Arial"/>
          <w:lang w:val="en-GB"/>
        </w:rPr>
        <w:t>re is no deprivation of liberty.</w:t>
      </w:r>
      <w:r w:rsidR="00132B65">
        <w:rPr>
          <w:rFonts w:ascii="Arial" w:hAnsi="Arial" w:cs="Arial"/>
          <w:lang w:val="en-GB"/>
        </w:rPr>
        <w:t xml:space="preserve"> </w:t>
      </w:r>
      <w:r w:rsidR="00830B97">
        <w:rPr>
          <w:rFonts w:ascii="Arial" w:hAnsi="Arial" w:cs="Arial"/>
          <w:lang w:val="en-GB"/>
        </w:rPr>
        <w:t>T</w:t>
      </w:r>
      <w:r w:rsidR="00132B65">
        <w:rPr>
          <w:rFonts w:ascii="Arial" w:hAnsi="Arial" w:cs="Arial"/>
          <w:lang w:val="en-GB"/>
        </w:rPr>
        <w:t>he author is able to freely choose the place of residence and at Jacana Centre he can move around</w:t>
      </w:r>
      <w:r w:rsidR="00E335F7">
        <w:rPr>
          <w:rFonts w:ascii="Arial" w:hAnsi="Arial" w:cs="Arial"/>
          <w:lang w:val="en-GB"/>
        </w:rPr>
        <w:t xml:space="preserve"> the building and participate in</w:t>
      </w:r>
      <w:r w:rsidR="00132B65">
        <w:rPr>
          <w:rFonts w:ascii="Arial" w:hAnsi="Arial" w:cs="Arial"/>
          <w:lang w:val="en-GB"/>
        </w:rPr>
        <w:t xml:space="preserve"> recreational activities.</w:t>
      </w:r>
      <w:r w:rsidR="00830B97" w:rsidRPr="00830B97">
        <w:rPr>
          <w:rFonts w:ascii="Arial" w:hAnsi="Arial" w:cs="Arial"/>
          <w:lang w:val="en-GB"/>
        </w:rPr>
        <w:t xml:space="preserve"> </w:t>
      </w:r>
      <w:r w:rsidR="00830B97">
        <w:rPr>
          <w:rFonts w:ascii="Arial" w:hAnsi="Arial" w:cs="Arial"/>
          <w:lang w:val="en-GB"/>
        </w:rPr>
        <w:t>The State also reiterated</w:t>
      </w:r>
      <w:r w:rsidR="00830B97" w:rsidRPr="00830B97">
        <w:rPr>
          <w:rFonts w:ascii="Arial" w:hAnsi="Arial" w:cs="Arial"/>
          <w:lang w:val="en-GB"/>
        </w:rPr>
        <w:t xml:space="preserve"> that the Department of Housing and Public Works has consistently supported his preferences for residing in particular locations, on an equal basis with others, despite the fact that his choices have affected his ability to</w:t>
      </w:r>
      <w:r w:rsidR="00830B97">
        <w:rPr>
          <w:rFonts w:ascii="Arial" w:hAnsi="Arial" w:cs="Arial"/>
          <w:lang w:val="en-GB"/>
        </w:rPr>
        <w:t xml:space="preserve"> be housed. </w:t>
      </w:r>
      <w:r w:rsidR="00C97AC2">
        <w:rPr>
          <w:rFonts w:ascii="Arial" w:hAnsi="Arial" w:cs="Arial"/>
          <w:u w:val="single"/>
          <w:lang w:val="en-GB"/>
        </w:rPr>
        <w:t>Regarding Article 22</w:t>
      </w:r>
      <w:r w:rsidR="00C97AC2">
        <w:rPr>
          <w:rFonts w:ascii="Arial" w:hAnsi="Arial" w:cs="Arial"/>
          <w:lang w:val="en-GB"/>
        </w:rPr>
        <w:t>, the State argues that any access to the author’s room is done respecting the author’s privacy and according his high level of care</w:t>
      </w:r>
      <w:r w:rsidR="005575F1">
        <w:rPr>
          <w:rFonts w:ascii="Arial" w:hAnsi="Arial" w:cs="Arial"/>
          <w:lang w:val="en-GB"/>
        </w:rPr>
        <w:t>.</w:t>
      </w:r>
      <w:r w:rsidR="00C97AC2">
        <w:rPr>
          <w:rFonts w:ascii="Arial" w:hAnsi="Arial" w:cs="Arial"/>
          <w:lang w:val="en-GB"/>
        </w:rPr>
        <w:t xml:space="preserve"> </w:t>
      </w:r>
    </w:p>
    <w:p w14:paraId="343B25B5" w14:textId="77777777" w:rsidR="00B10A4E" w:rsidRDefault="00B10A4E" w:rsidP="00DD462D">
      <w:pPr>
        <w:spacing w:after="0"/>
        <w:jc w:val="both"/>
        <w:rPr>
          <w:rFonts w:ascii="Arial" w:hAnsi="Arial" w:cs="Arial"/>
          <w:lang w:val="en-GB"/>
        </w:rPr>
      </w:pPr>
    </w:p>
    <w:p w14:paraId="5C226AAB" w14:textId="77777777" w:rsidR="00C97AC2" w:rsidRDefault="00C97AC2" w:rsidP="00DD462D">
      <w:pPr>
        <w:spacing w:after="0"/>
        <w:jc w:val="both"/>
        <w:rPr>
          <w:rFonts w:ascii="Arial" w:hAnsi="Arial" w:cs="Arial"/>
          <w:lang w:val="en-GB"/>
        </w:rPr>
      </w:pPr>
      <w:r>
        <w:rPr>
          <w:rFonts w:ascii="Arial" w:hAnsi="Arial" w:cs="Arial"/>
          <w:u w:val="single"/>
          <w:lang w:val="en-GB"/>
        </w:rPr>
        <w:t>Regarding Article 26</w:t>
      </w:r>
      <w:r>
        <w:rPr>
          <w:rFonts w:ascii="Arial" w:hAnsi="Arial" w:cs="Arial"/>
          <w:lang w:val="en-GB"/>
        </w:rPr>
        <w:t xml:space="preserve">, </w:t>
      </w:r>
      <w:r w:rsidR="0036084E">
        <w:rPr>
          <w:rFonts w:ascii="Arial" w:hAnsi="Arial" w:cs="Arial"/>
          <w:lang w:val="en-GB"/>
        </w:rPr>
        <w:t>the State argues that all activities and rehabilitation services received by the author develop and maintain his daily living skills in order to prepare him to his return to the community.</w:t>
      </w:r>
      <w:r w:rsidR="00830B97">
        <w:rPr>
          <w:rFonts w:ascii="Arial" w:hAnsi="Arial" w:cs="Arial"/>
          <w:lang w:val="en-GB"/>
        </w:rPr>
        <w:t xml:space="preserve"> Further, t</w:t>
      </w:r>
      <w:r w:rsidR="00830B97" w:rsidRPr="00830B97">
        <w:rPr>
          <w:rFonts w:ascii="Arial" w:hAnsi="Arial" w:cs="Arial"/>
          <w:lang w:val="en-GB"/>
        </w:rPr>
        <w:t>he State party rejects the author’s claim that that realization is not progressing to the maximum extent of the State party’s available resources, and submits that expenditure on disability support services</w:t>
      </w:r>
      <w:r w:rsidR="00830B97">
        <w:rPr>
          <w:rFonts w:ascii="Arial" w:hAnsi="Arial" w:cs="Arial"/>
          <w:lang w:val="en-GB"/>
        </w:rPr>
        <w:t xml:space="preserve"> has increased </w:t>
      </w:r>
      <w:r w:rsidR="00830B97" w:rsidRPr="00830B97">
        <w:rPr>
          <w:rFonts w:ascii="Arial" w:hAnsi="Arial" w:cs="Arial"/>
          <w:lang w:val="en-GB"/>
        </w:rPr>
        <w:t>by 23 per cent since 2008.</w:t>
      </w:r>
    </w:p>
    <w:p w14:paraId="2F62FAC3" w14:textId="77777777" w:rsidR="0036084E" w:rsidRDefault="0036084E" w:rsidP="00DD462D">
      <w:pPr>
        <w:spacing w:after="0"/>
        <w:jc w:val="both"/>
        <w:rPr>
          <w:rFonts w:ascii="Arial" w:hAnsi="Arial" w:cs="Arial"/>
          <w:lang w:val="en-GB"/>
        </w:rPr>
      </w:pPr>
    </w:p>
    <w:p w14:paraId="033AE01D" w14:textId="77777777" w:rsidR="0036084E" w:rsidRPr="0036084E" w:rsidRDefault="0036084E" w:rsidP="00DD462D">
      <w:pPr>
        <w:spacing w:after="0"/>
        <w:jc w:val="both"/>
        <w:rPr>
          <w:rFonts w:ascii="Arial" w:hAnsi="Arial" w:cs="Arial"/>
          <w:lang w:val="en-GB"/>
        </w:rPr>
      </w:pPr>
      <w:r>
        <w:rPr>
          <w:rFonts w:ascii="Arial" w:hAnsi="Arial" w:cs="Arial"/>
          <w:u w:val="single"/>
          <w:lang w:val="en-GB"/>
        </w:rPr>
        <w:t>Regarding articles 4 and 5</w:t>
      </w:r>
      <w:r>
        <w:rPr>
          <w:rFonts w:ascii="Arial" w:hAnsi="Arial" w:cs="Arial"/>
          <w:lang w:val="en-GB"/>
        </w:rPr>
        <w:t>, the State argues that</w:t>
      </w:r>
      <w:r w:rsidR="00830B97">
        <w:rPr>
          <w:rFonts w:ascii="Arial" w:hAnsi="Arial" w:cs="Arial"/>
          <w:lang w:val="en-GB"/>
        </w:rPr>
        <w:t xml:space="preserve"> </w:t>
      </w:r>
      <w:r w:rsidR="00830B97" w:rsidRPr="00830B97">
        <w:rPr>
          <w:rFonts w:ascii="Arial" w:hAnsi="Arial" w:cs="Arial"/>
          <w:lang w:val="en-GB"/>
        </w:rPr>
        <w:t>it devotes significant effort, including increasing available financial resources, to ensuring that persons with disabilities in Australia are able to enjoy fully, and on an equal basis with others, all human rights and fundamental freedoms</w:t>
      </w:r>
      <w:r>
        <w:rPr>
          <w:rFonts w:ascii="Arial" w:hAnsi="Arial" w:cs="Arial"/>
          <w:lang w:val="en-GB"/>
        </w:rPr>
        <w:t xml:space="preserve"> the legislations, which prohibit discrimination and oblige States parties to take appropriate measures, are in place at the Commonwealth level and in states and territories.</w:t>
      </w:r>
    </w:p>
    <w:p w14:paraId="04B460C7" w14:textId="77777777" w:rsidR="001021CE" w:rsidRPr="00646741" w:rsidRDefault="001021CE" w:rsidP="001021CE">
      <w:pPr>
        <w:spacing w:after="0"/>
        <w:jc w:val="both"/>
        <w:rPr>
          <w:rFonts w:ascii="Arial" w:hAnsi="Arial" w:cs="Arial"/>
          <w:lang w:val="en-GB"/>
        </w:rPr>
      </w:pPr>
    </w:p>
    <w:p w14:paraId="16F1542A" w14:textId="77777777" w:rsidR="001021CE" w:rsidRPr="00646741" w:rsidRDefault="001021CE" w:rsidP="001021CE">
      <w:pPr>
        <w:spacing w:after="120"/>
        <w:jc w:val="both"/>
        <w:rPr>
          <w:rFonts w:ascii="Arial" w:hAnsi="Arial" w:cs="Arial"/>
          <w:sz w:val="28"/>
          <w:szCs w:val="28"/>
          <w:lang w:val="en-GB"/>
        </w:rPr>
      </w:pPr>
      <w:r w:rsidRPr="00646741">
        <w:rPr>
          <w:rFonts w:ascii="Arial" w:hAnsi="Arial" w:cs="Arial"/>
          <w:sz w:val="28"/>
          <w:szCs w:val="28"/>
          <w:lang w:val="en-GB"/>
        </w:rPr>
        <w:t>Issues and proceedings before the Committee</w:t>
      </w:r>
      <w:bookmarkStart w:id="1" w:name="admissibility"/>
    </w:p>
    <w:p w14:paraId="43369DA0" w14:textId="77777777" w:rsidR="001021CE" w:rsidRPr="00646741" w:rsidRDefault="001021CE" w:rsidP="008A2D5D">
      <w:pPr>
        <w:spacing w:after="120"/>
        <w:jc w:val="both"/>
        <w:rPr>
          <w:rFonts w:ascii="Arial" w:hAnsi="Arial" w:cs="Arial"/>
          <w:sz w:val="28"/>
          <w:szCs w:val="28"/>
          <w:lang w:val="en-GB"/>
        </w:rPr>
      </w:pPr>
      <w:r w:rsidRPr="00646741">
        <w:rPr>
          <w:rFonts w:ascii="Arial" w:hAnsi="Arial" w:cs="Arial"/>
          <w:sz w:val="28"/>
          <w:szCs w:val="28"/>
          <w:lang w:val="en-GB"/>
        </w:rPr>
        <w:t>Consideration of admissibility</w:t>
      </w:r>
    </w:p>
    <w:p w14:paraId="2149CD92" w14:textId="77777777" w:rsidR="001E657C" w:rsidRPr="00646741" w:rsidRDefault="001E657C" w:rsidP="001E657C">
      <w:pPr>
        <w:spacing w:after="120"/>
        <w:jc w:val="both"/>
        <w:rPr>
          <w:rFonts w:ascii="Arial" w:hAnsi="Arial"/>
          <w:lang w:val="en-GB"/>
        </w:rPr>
      </w:pPr>
      <w:r w:rsidRPr="00646741">
        <w:rPr>
          <w:rFonts w:ascii="Arial" w:hAnsi="Arial"/>
          <w:lang w:val="en-GB"/>
        </w:rPr>
        <w:t xml:space="preserve">First, the Committee ascertained that the same matter has not already been examined by it and has not been or is not being examined under another procedure of international investigation or settlement, as required by </w:t>
      </w:r>
      <w:hyperlink r:id="rId33" w:history="1">
        <w:r w:rsidRPr="00B16161">
          <w:rPr>
            <w:rStyle w:val="Hyperlink"/>
            <w:rFonts w:ascii="Arial" w:hAnsi="Arial"/>
            <w:lang w:val="en-GB"/>
          </w:rPr>
          <w:t>article 2(c) of the OP</w:t>
        </w:r>
      </w:hyperlink>
      <w:r w:rsidRPr="00646741">
        <w:rPr>
          <w:rFonts w:ascii="Arial" w:hAnsi="Arial"/>
          <w:lang w:val="en-GB"/>
        </w:rPr>
        <w:t>.</w:t>
      </w:r>
    </w:p>
    <w:p w14:paraId="27600BF1" w14:textId="77777777" w:rsidR="00BF6C0E" w:rsidRDefault="001E657C" w:rsidP="00BF6C0E">
      <w:pPr>
        <w:spacing w:after="0"/>
        <w:jc w:val="both"/>
        <w:rPr>
          <w:rFonts w:ascii="Arial" w:hAnsi="Arial"/>
          <w:lang w:val="en-GB"/>
        </w:rPr>
      </w:pPr>
      <w:r w:rsidRPr="00646741">
        <w:rPr>
          <w:rFonts w:ascii="Arial" w:hAnsi="Arial"/>
          <w:u w:val="single"/>
          <w:lang w:val="en-GB"/>
        </w:rPr>
        <w:t>Regarding inadmissibility for non-exhaustion of domestic remedies</w:t>
      </w:r>
      <w:r w:rsidR="00BF6C0E">
        <w:rPr>
          <w:rFonts w:ascii="Arial" w:hAnsi="Arial"/>
          <w:lang w:val="en-GB"/>
        </w:rPr>
        <w:t>, the Committee notes</w:t>
      </w:r>
      <w:r w:rsidRPr="00646741">
        <w:rPr>
          <w:rFonts w:ascii="Arial" w:hAnsi="Arial"/>
          <w:lang w:val="en-GB"/>
        </w:rPr>
        <w:t xml:space="preserve"> the State’s arguments that the author has not exhausted all available domestic remedies</w:t>
      </w:r>
      <w:r w:rsidR="00A04EE8">
        <w:rPr>
          <w:rFonts w:ascii="Arial" w:hAnsi="Arial"/>
          <w:lang w:val="en-GB"/>
        </w:rPr>
        <w:t>,</w:t>
      </w:r>
      <w:r w:rsidRPr="00646741">
        <w:rPr>
          <w:rFonts w:ascii="Arial" w:hAnsi="Arial"/>
          <w:lang w:val="en-GB"/>
        </w:rPr>
        <w:t xml:space="preserve"> as he did not </w:t>
      </w:r>
      <w:r w:rsidR="00A04EE8">
        <w:rPr>
          <w:rFonts w:ascii="Arial" w:hAnsi="Arial"/>
          <w:lang w:val="en-GB"/>
        </w:rPr>
        <w:t>submit a complaint to the Anti-Discrimination Commission Queensland and as the discrimination complaints he had submitted to the Australian Human Rights Commission were still in course.</w:t>
      </w:r>
      <w:r w:rsidR="000B2E72">
        <w:rPr>
          <w:rFonts w:ascii="Arial" w:hAnsi="Arial"/>
          <w:lang w:val="en-GB"/>
        </w:rPr>
        <w:t xml:space="preserve"> </w:t>
      </w:r>
      <w:r w:rsidR="00BF6C0E">
        <w:rPr>
          <w:rFonts w:ascii="Arial" w:hAnsi="Arial"/>
          <w:lang w:val="en-GB"/>
        </w:rPr>
        <w:t>The Committee also notes the author’s submission that the courts of the State could not provide him with an effective and reasonably accessible remedy under the Disability Discrimination Act or the Anti-Discriminatio</w:t>
      </w:r>
      <w:r w:rsidR="00B10A4E">
        <w:rPr>
          <w:rFonts w:ascii="Arial" w:hAnsi="Arial"/>
          <w:lang w:val="en-GB"/>
        </w:rPr>
        <w:t xml:space="preserve">n Act for the following reasons </w:t>
      </w:r>
      <w:r w:rsidR="00BF6C0E">
        <w:rPr>
          <w:rFonts w:ascii="Arial" w:hAnsi="Arial"/>
          <w:lang w:val="en-GB"/>
        </w:rPr>
        <w:t>(a) th</w:t>
      </w:r>
      <w:r w:rsidR="00051E8B">
        <w:rPr>
          <w:rFonts w:ascii="Arial" w:hAnsi="Arial"/>
          <w:lang w:val="en-GB"/>
        </w:rPr>
        <w:t>e discrimination he claimed can</w:t>
      </w:r>
      <w:r w:rsidR="00BF6C0E">
        <w:rPr>
          <w:rFonts w:ascii="Arial" w:hAnsi="Arial"/>
          <w:lang w:val="en-GB"/>
        </w:rPr>
        <w:t>not give rise to disability-based discrimination claims;</w:t>
      </w:r>
      <w:r w:rsidR="00B10A4E">
        <w:rPr>
          <w:rFonts w:ascii="Arial" w:hAnsi="Arial"/>
          <w:lang w:val="en-GB"/>
        </w:rPr>
        <w:t xml:space="preserve"> </w:t>
      </w:r>
      <w:r w:rsidR="00BF6C0E">
        <w:rPr>
          <w:rFonts w:ascii="Arial" w:hAnsi="Arial"/>
          <w:lang w:val="en-GB"/>
        </w:rPr>
        <w:t>(b) the conduct of the State of Queensland would be likely considere</w:t>
      </w:r>
      <w:r w:rsidR="00B10A4E">
        <w:rPr>
          <w:rFonts w:ascii="Arial" w:hAnsi="Arial"/>
          <w:lang w:val="en-GB"/>
        </w:rPr>
        <w:t xml:space="preserve">d reasonable and the support </w:t>
      </w:r>
      <w:r w:rsidR="00BF6C0E">
        <w:rPr>
          <w:rFonts w:ascii="Arial" w:hAnsi="Arial"/>
          <w:lang w:val="en-GB"/>
        </w:rPr>
        <w:t>qualified as undue burden. Consequently, the</w:t>
      </w:r>
      <w:r w:rsidR="005D0A84">
        <w:rPr>
          <w:rFonts w:ascii="Arial" w:hAnsi="Arial"/>
          <w:lang w:val="en-GB"/>
        </w:rPr>
        <w:t xml:space="preserve"> conduct of the State of Queens</w:t>
      </w:r>
      <w:r w:rsidR="00BF6C0E">
        <w:rPr>
          <w:rFonts w:ascii="Arial" w:hAnsi="Arial"/>
          <w:lang w:val="en-GB"/>
        </w:rPr>
        <w:t>land would be considered as reasonable;</w:t>
      </w:r>
      <w:r w:rsidR="00B10A4E">
        <w:rPr>
          <w:rFonts w:ascii="Arial" w:hAnsi="Arial"/>
          <w:lang w:val="en-GB"/>
        </w:rPr>
        <w:t xml:space="preserve"> </w:t>
      </w:r>
      <w:r w:rsidR="00BF6C0E">
        <w:rPr>
          <w:rFonts w:ascii="Arial" w:hAnsi="Arial"/>
          <w:lang w:val="en-GB"/>
        </w:rPr>
        <w:t xml:space="preserve">(c) his complaints against the Commonwealth would </w:t>
      </w:r>
      <w:r w:rsidR="005D0A84">
        <w:rPr>
          <w:rFonts w:ascii="Arial" w:hAnsi="Arial"/>
          <w:lang w:val="en-GB"/>
        </w:rPr>
        <w:t>have</w:t>
      </w:r>
      <w:r w:rsidR="00BF6C0E">
        <w:rPr>
          <w:rFonts w:ascii="Arial" w:hAnsi="Arial"/>
          <w:lang w:val="en-GB"/>
        </w:rPr>
        <w:t xml:space="preserve"> failed.</w:t>
      </w:r>
    </w:p>
    <w:p w14:paraId="2AB6F558" w14:textId="77777777" w:rsidR="00DA7975" w:rsidRDefault="00DA7975" w:rsidP="00E9479A">
      <w:pPr>
        <w:spacing w:after="0"/>
        <w:jc w:val="both"/>
        <w:rPr>
          <w:rFonts w:ascii="Arial" w:hAnsi="Arial"/>
          <w:lang w:val="en-GB"/>
        </w:rPr>
      </w:pPr>
    </w:p>
    <w:p w14:paraId="47EEEDCF" w14:textId="77777777" w:rsidR="005575F1" w:rsidRDefault="001E657C" w:rsidP="001E657C">
      <w:pPr>
        <w:spacing w:after="0"/>
        <w:jc w:val="both"/>
        <w:rPr>
          <w:rFonts w:ascii="Arial" w:hAnsi="Arial"/>
          <w:lang w:val="en-GB"/>
        </w:rPr>
      </w:pPr>
      <w:r w:rsidRPr="00646741">
        <w:rPr>
          <w:rFonts w:ascii="Arial" w:hAnsi="Arial"/>
          <w:lang w:val="en-GB"/>
        </w:rPr>
        <w:t xml:space="preserve">The Committee </w:t>
      </w:r>
      <w:r w:rsidR="00B10A4E">
        <w:rPr>
          <w:rFonts w:ascii="Arial" w:hAnsi="Arial"/>
          <w:lang w:val="en-GB"/>
        </w:rPr>
        <w:t>recalls</w:t>
      </w:r>
      <w:r w:rsidR="00DA7975">
        <w:rPr>
          <w:rFonts w:ascii="Arial" w:hAnsi="Arial"/>
          <w:lang w:val="en-GB"/>
        </w:rPr>
        <w:t xml:space="preserve"> that </w:t>
      </w:r>
      <w:r w:rsidR="00B10A4E">
        <w:rPr>
          <w:rFonts w:ascii="Arial" w:hAnsi="Arial"/>
          <w:lang w:val="en-GB"/>
        </w:rPr>
        <w:t>although there is no requirement</w:t>
      </w:r>
      <w:r w:rsidR="00DA7975">
        <w:rPr>
          <w:rFonts w:ascii="Arial" w:hAnsi="Arial"/>
          <w:lang w:val="en-GB"/>
        </w:rPr>
        <w:t xml:space="preserve"> </w:t>
      </w:r>
      <w:r w:rsidRPr="00646741">
        <w:rPr>
          <w:rFonts w:ascii="Arial" w:hAnsi="Arial"/>
          <w:lang w:val="en-GB"/>
        </w:rPr>
        <w:t>to exhaust all a</w:t>
      </w:r>
      <w:r w:rsidR="00D15A3E">
        <w:rPr>
          <w:rFonts w:ascii="Arial" w:hAnsi="Arial"/>
          <w:lang w:val="en-GB"/>
        </w:rPr>
        <w:t>vailable domestic remedies when “the</w:t>
      </w:r>
      <w:r w:rsidRPr="00646741">
        <w:rPr>
          <w:rFonts w:ascii="Arial" w:hAnsi="Arial"/>
          <w:lang w:val="en-GB"/>
        </w:rPr>
        <w:t xml:space="preserve"> application </w:t>
      </w:r>
      <w:r w:rsidR="00D15A3E">
        <w:rPr>
          <w:rFonts w:ascii="Arial" w:hAnsi="Arial"/>
          <w:lang w:val="en-GB"/>
        </w:rPr>
        <w:t xml:space="preserve">of the remedies is </w:t>
      </w:r>
      <w:r w:rsidRPr="00646741">
        <w:rPr>
          <w:rFonts w:ascii="Arial" w:hAnsi="Arial"/>
          <w:lang w:val="en-GB"/>
        </w:rPr>
        <w:t>unreasonably prolonged or unlikely to bring effective relief</w:t>
      </w:r>
      <w:r w:rsidR="00D15A3E">
        <w:rPr>
          <w:rFonts w:ascii="Arial" w:hAnsi="Arial"/>
          <w:lang w:val="en-GB"/>
        </w:rPr>
        <w:t>, merely doubting their effectiveness does not absolve the author of a communication from the obligation to exhaust those remedies</w:t>
      </w:r>
      <w:r w:rsidRPr="00646741">
        <w:rPr>
          <w:rFonts w:ascii="Arial" w:hAnsi="Arial"/>
          <w:lang w:val="en-GB"/>
        </w:rPr>
        <w:t>”</w:t>
      </w:r>
      <w:r w:rsidR="001862DB" w:rsidRPr="00157D88">
        <w:rPr>
          <w:rStyle w:val="FootnoteReference"/>
          <w:rFonts w:ascii="Arial" w:hAnsi="Arial" w:cs="Arial"/>
          <w:sz w:val="16"/>
          <w:lang w:val="en-GB"/>
        </w:rPr>
        <w:footnoteReference w:id="2"/>
      </w:r>
      <w:r w:rsidR="00DA7975">
        <w:rPr>
          <w:rFonts w:ascii="Arial" w:hAnsi="Arial"/>
          <w:lang w:val="en-GB"/>
        </w:rPr>
        <w:t>.</w:t>
      </w:r>
      <w:r w:rsidR="002C79D3">
        <w:rPr>
          <w:rFonts w:ascii="Arial" w:hAnsi="Arial"/>
          <w:lang w:val="en-GB"/>
        </w:rPr>
        <w:t xml:space="preserve"> </w:t>
      </w:r>
      <w:r w:rsidR="00BF6C0E">
        <w:rPr>
          <w:rFonts w:ascii="Arial" w:hAnsi="Arial"/>
          <w:lang w:val="en-GB"/>
        </w:rPr>
        <w:t xml:space="preserve">As the Anti-Discrimination Commission Queensland and the Australian Human Rights Commission do not give rise to any enforceable remedy for violations of human rights, those are not considered as effective remedies. Further, as the author did not initiate any proceedings before the federal courts, the Committee is not able to determine whether the author could initiate legal proceedings by himself. </w:t>
      </w:r>
    </w:p>
    <w:p w14:paraId="34260AEC" w14:textId="77777777" w:rsidR="005575F1" w:rsidRDefault="005575F1" w:rsidP="001E657C">
      <w:pPr>
        <w:spacing w:after="0"/>
        <w:jc w:val="both"/>
        <w:rPr>
          <w:rFonts w:ascii="Arial" w:hAnsi="Arial"/>
          <w:lang w:val="en-GB"/>
        </w:rPr>
      </w:pPr>
    </w:p>
    <w:p w14:paraId="327DC8B7" w14:textId="77777777" w:rsidR="008A2D5D" w:rsidRPr="00646741" w:rsidRDefault="00BF6C0E" w:rsidP="001E657C">
      <w:pPr>
        <w:spacing w:after="0"/>
        <w:jc w:val="both"/>
        <w:rPr>
          <w:rFonts w:ascii="Arial" w:hAnsi="Arial"/>
          <w:lang w:val="en-GB"/>
        </w:rPr>
      </w:pPr>
      <w:r>
        <w:rPr>
          <w:rFonts w:ascii="Arial" w:hAnsi="Arial"/>
          <w:lang w:val="en-GB"/>
        </w:rPr>
        <w:t xml:space="preserve">Finally, the author </w:t>
      </w:r>
      <w:r w:rsidRPr="00B10A4E">
        <w:rPr>
          <w:rFonts w:ascii="Arial" w:hAnsi="Arial"/>
          <w:u w:val="single"/>
          <w:lang w:val="en-GB"/>
        </w:rPr>
        <w:t>does not substantiate</w:t>
      </w:r>
      <w:r w:rsidR="00B10A4E" w:rsidRPr="00B10A4E">
        <w:rPr>
          <w:rFonts w:ascii="Arial" w:hAnsi="Arial"/>
          <w:u w:val="single"/>
          <w:lang w:val="en-GB"/>
        </w:rPr>
        <w:t xml:space="preserve"> </w:t>
      </w:r>
      <w:r w:rsidR="00B10A4E">
        <w:rPr>
          <w:rFonts w:ascii="Arial" w:hAnsi="Arial"/>
          <w:lang w:val="en-GB"/>
        </w:rPr>
        <w:t>his</w:t>
      </w:r>
      <w:r>
        <w:rPr>
          <w:rFonts w:ascii="Arial" w:hAnsi="Arial"/>
          <w:lang w:val="en-GB"/>
        </w:rPr>
        <w:t xml:space="preserve"> </w:t>
      </w:r>
      <w:r w:rsidR="00B10A4E">
        <w:rPr>
          <w:rFonts w:ascii="Arial" w:hAnsi="Arial"/>
          <w:lang w:val="en-GB"/>
        </w:rPr>
        <w:t xml:space="preserve">claims on the fact that available remedies would be </w:t>
      </w:r>
      <w:r w:rsidR="00B10A4E" w:rsidRPr="00B10A4E">
        <w:rPr>
          <w:rFonts w:ascii="Arial" w:hAnsi="Arial"/>
          <w:lang w:val="en-GB"/>
        </w:rPr>
        <w:t>un</w:t>
      </w:r>
      <w:r w:rsidR="00B10A4E">
        <w:rPr>
          <w:rFonts w:ascii="Arial" w:hAnsi="Arial"/>
          <w:lang w:val="en-GB"/>
        </w:rPr>
        <w:t xml:space="preserve">likely to bring effective relief, while the State </w:t>
      </w:r>
      <w:r w:rsidR="00B10A4E" w:rsidRPr="00B10A4E">
        <w:rPr>
          <w:rFonts w:ascii="Arial" w:hAnsi="Arial"/>
          <w:lang w:val="en-GB"/>
        </w:rPr>
        <w:t>refers to a range of successful discrimination complaints made under the Disability Discrimination Act against actions of the Commonwealth and the states and territorie</w:t>
      </w:r>
      <w:r w:rsidR="00B10A4E">
        <w:rPr>
          <w:rFonts w:ascii="Arial" w:hAnsi="Arial"/>
          <w:lang w:val="en-GB"/>
        </w:rPr>
        <w:t>s. In this</w:t>
      </w:r>
      <w:r>
        <w:rPr>
          <w:rFonts w:ascii="Arial" w:hAnsi="Arial"/>
          <w:lang w:val="en-GB"/>
        </w:rPr>
        <w:t xml:space="preserve"> case, the Committee</w:t>
      </w:r>
      <w:r w:rsidR="00B10A4E">
        <w:rPr>
          <w:rFonts w:ascii="Arial" w:hAnsi="Arial"/>
          <w:lang w:val="en-GB"/>
        </w:rPr>
        <w:t xml:space="preserve"> states it</w:t>
      </w:r>
      <w:r>
        <w:rPr>
          <w:rFonts w:ascii="Arial" w:hAnsi="Arial"/>
          <w:lang w:val="en-GB"/>
        </w:rPr>
        <w:t xml:space="preserve"> is not in a position to conclude whether the author has fulfilled his obligation to exhaust domestic remedies.</w:t>
      </w:r>
      <w:r w:rsidR="005575F1">
        <w:rPr>
          <w:rFonts w:ascii="Arial" w:hAnsi="Arial"/>
          <w:lang w:val="en-GB"/>
        </w:rPr>
        <w:t xml:space="preserve"> </w:t>
      </w:r>
      <w:r w:rsidR="00E9530E" w:rsidRPr="00646741">
        <w:rPr>
          <w:rFonts w:ascii="Arial" w:hAnsi="Arial"/>
          <w:lang w:val="en-GB"/>
        </w:rPr>
        <w:t xml:space="preserve">Consequently, </w:t>
      </w:r>
      <w:r w:rsidR="000B2E72">
        <w:rPr>
          <w:rFonts w:ascii="Arial" w:hAnsi="Arial"/>
          <w:lang w:val="en-GB"/>
        </w:rPr>
        <w:t xml:space="preserve">the Committee considers the inadmissibility of the </w:t>
      </w:r>
      <w:r w:rsidR="000630E3">
        <w:rPr>
          <w:rFonts w:ascii="Arial" w:hAnsi="Arial"/>
          <w:lang w:val="en-GB"/>
        </w:rPr>
        <w:t>author’s claims under article 2</w:t>
      </w:r>
      <w:r w:rsidR="000B2E72">
        <w:rPr>
          <w:rFonts w:ascii="Arial" w:hAnsi="Arial"/>
          <w:lang w:val="en-GB"/>
        </w:rPr>
        <w:t>(d</w:t>
      </w:r>
      <w:r w:rsidR="00E9530E" w:rsidRPr="00646741">
        <w:rPr>
          <w:rFonts w:ascii="Arial" w:hAnsi="Arial"/>
          <w:lang w:val="en-GB"/>
        </w:rPr>
        <w:t>) of the</w:t>
      </w:r>
      <w:r w:rsidR="00E9479A">
        <w:rPr>
          <w:rFonts w:ascii="Arial" w:hAnsi="Arial"/>
          <w:lang w:val="en-GB"/>
        </w:rPr>
        <w:t xml:space="preserve"> O</w:t>
      </w:r>
      <w:r w:rsidR="000B2E72">
        <w:rPr>
          <w:rFonts w:ascii="Arial" w:hAnsi="Arial"/>
          <w:lang w:val="en-GB"/>
        </w:rPr>
        <w:t xml:space="preserve">ptional </w:t>
      </w:r>
      <w:r w:rsidR="00E9479A">
        <w:rPr>
          <w:rFonts w:ascii="Arial" w:hAnsi="Arial"/>
          <w:lang w:val="en-GB"/>
        </w:rPr>
        <w:t>P</w:t>
      </w:r>
      <w:r w:rsidR="000B2E72">
        <w:rPr>
          <w:rFonts w:ascii="Arial" w:hAnsi="Arial"/>
          <w:lang w:val="en-GB"/>
        </w:rPr>
        <w:t>rotocol</w:t>
      </w:r>
      <w:r w:rsidR="00E9479A">
        <w:rPr>
          <w:rFonts w:ascii="Arial" w:hAnsi="Arial"/>
          <w:lang w:val="en-GB"/>
        </w:rPr>
        <w:t>.</w:t>
      </w:r>
    </w:p>
    <w:bookmarkEnd w:id="1"/>
    <w:p w14:paraId="1E89EB2D" w14:textId="77777777" w:rsidR="001021CE" w:rsidRPr="00646741" w:rsidRDefault="001021CE" w:rsidP="001021CE">
      <w:pPr>
        <w:spacing w:after="0"/>
        <w:jc w:val="both"/>
        <w:rPr>
          <w:rFonts w:ascii="Arial" w:hAnsi="Arial" w:cs="Arial"/>
          <w:lang w:val="en-GB"/>
        </w:rPr>
      </w:pPr>
    </w:p>
    <w:p w14:paraId="2C0FD6E5" w14:textId="77777777" w:rsidR="001021CE" w:rsidRPr="00646741" w:rsidRDefault="001021CE" w:rsidP="001021CE">
      <w:pPr>
        <w:spacing w:after="120"/>
        <w:jc w:val="both"/>
        <w:rPr>
          <w:rFonts w:ascii="Arial" w:hAnsi="Arial" w:cs="Arial"/>
          <w:sz w:val="28"/>
          <w:szCs w:val="28"/>
          <w:lang w:val="en-GB"/>
        </w:rPr>
      </w:pPr>
      <w:r w:rsidRPr="00646741">
        <w:rPr>
          <w:rFonts w:ascii="Arial" w:hAnsi="Arial" w:cs="Arial"/>
          <w:sz w:val="28"/>
          <w:szCs w:val="28"/>
          <w:lang w:val="en-GB"/>
        </w:rPr>
        <w:lastRenderedPageBreak/>
        <w:t>Conclusion</w:t>
      </w:r>
    </w:p>
    <w:p w14:paraId="76B3D5D9" w14:textId="77777777" w:rsidR="001021CE" w:rsidRDefault="00A2436A" w:rsidP="00754E0A">
      <w:pPr>
        <w:spacing w:after="120"/>
        <w:jc w:val="both"/>
        <w:rPr>
          <w:rFonts w:ascii="Arial" w:hAnsi="Arial" w:cs="Arial"/>
          <w:szCs w:val="20"/>
          <w:lang w:val="en-GB"/>
        </w:rPr>
      </w:pPr>
      <w:r w:rsidRPr="00646741">
        <w:rPr>
          <w:rFonts w:ascii="Arial" w:hAnsi="Arial" w:cs="Verdana"/>
          <w:lang w:val="en-GB" w:eastAsia="fr-FR"/>
        </w:rPr>
        <w:t xml:space="preserve">The Committee concluded that </w:t>
      </w:r>
      <w:r w:rsidR="00D15A3E">
        <w:rPr>
          <w:rFonts w:ascii="Arial" w:hAnsi="Arial" w:cs="Verdana"/>
          <w:lang w:val="en-GB" w:eastAsia="fr-FR"/>
        </w:rPr>
        <w:t xml:space="preserve">the communication is inadmissible under </w:t>
      </w:r>
      <w:hyperlink r:id="rId34" w:anchor="2" w:history="1">
        <w:r w:rsidR="000630E3">
          <w:rPr>
            <w:rStyle w:val="Hyperlink"/>
            <w:rFonts w:ascii="Arial" w:hAnsi="Arial" w:cs="Verdana"/>
            <w:lang w:val="en-GB" w:eastAsia="fr-FR"/>
          </w:rPr>
          <w:t>article 2</w:t>
        </w:r>
        <w:r w:rsidR="00D15A3E" w:rsidRPr="00E9479A">
          <w:rPr>
            <w:rStyle w:val="Hyperlink"/>
            <w:rFonts w:ascii="Arial" w:hAnsi="Arial" w:cs="Verdana"/>
            <w:lang w:val="en-GB" w:eastAsia="fr-FR"/>
          </w:rPr>
          <w:t>(d)</w:t>
        </w:r>
      </w:hyperlink>
      <w:r w:rsidR="00D15A3E">
        <w:rPr>
          <w:rFonts w:ascii="Arial" w:hAnsi="Arial" w:cs="Verdana"/>
          <w:lang w:val="en-GB" w:eastAsia="fr-FR"/>
        </w:rPr>
        <w:t xml:space="preserve"> of the Optional Protocol.</w:t>
      </w:r>
    </w:p>
    <w:sectPr w:rsidR="001021CE" w:rsidSect="001021CE">
      <w:footerReference w:type="default" r:id="rId3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A371" w14:textId="77777777" w:rsidR="00680C6E" w:rsidRDefault="00680C6E" w:rsidP="001021CE">
      <w:pPr>
        <w:spacing w:after="0" w:line="240" w:lineRule="auto"/>
      </w:pPr>
      <w:r>
        <w:separator/>
      </w:r>
    </w:p>
  </w:endnote>
  <w:endnote w:type="continuationSeparator" w:id="0">
    <w:p w14:paraId="29757F6E" w14:textId="77777777" w:rsidR="00680C6E" w:rsidRDefault="00680C6E" w:rsidP="001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1BBF" w14:textId="77777777" w:rsidR="00D36F63" w:rsidRPr="00CE7185" w:rsidRDefault="000847D3">
    <w:pPr>
      <w:pStyle w:val="Footer"/>
      <w:jc w:val="right"/>
      <w:rPr>
        <w:rFonts w:ascii="Arial" w:hAnsi="Arial" w:cs="Arial"/>
        <w:sz w:val="18"/>
        <w:szCs w:val="18"/>
      </w:rPr>
    </w:pPr>
    <w:r w:rsidRPr="00CE7185">
      <w:rPr>
        <w:rFonts w:ascii="Arial" w:hAnsi="Arial" w:cs="Arial"/>
        <w:sz w:val="18"/>
        <w:szCs w:val="18"/>
      </w:rPr>
      <w:fldChar w:fldCharType="begin"/>
    </w:r>
    <w:r w:rsidR="00D36F63">
      <w:rPr>
        <w:rFonts w:ascii="Arial" w:hAnsi="Arial" w:cs="Arial"/>
        <w:sz w:val="18"/>
        <w:szCs w:val="18"/>
      </w:rPr>
      <w:instrText>PAGE</w:instrText>
    </w:r>
    <w:r w:rsidR="00D36F63" w:rsidRPr="00CE7185">
      <w:rPr>
        <w:rFonts w:ascii="Arial" w:hAnsi="Arial" w:cs="Arial"/>
        <w:sz w:val="18"/>
        <w:szCs w:val="18"/>
      </w:rPr>
      <w:instrText xml:space="preserve">   \* MERGEFORMAT</w:instrText>
    </w:r>
    <w:r w:rsidRPr="00CE7185">
      <w:rPr>
        <w:rFonts w:ascii="Arial" w:hAnsi="Arial" w:cs="Arial"/>
        <w:sz w:val="18"/>
        <w:szCs w:val="18"/>
      </w:rPr>
      <w:fldChar w:fldCharType="separate"/>
    </w:r>
    <w:r w:rsidR="008A3C42">
      <w:rPr>
        <w:rFonts w:ascii="Arial" w:hAnsi="Arial" w:cs="Arial"/>
        <w:noProof/>
        <w:sz w:val="18"/>
        <w:szCs w:val="18"/>
      </w:rPr>
      <w:t>1</w:t>
    </w:r>
    <w:r w:rsidRPr="00CE7185">
      <w:rPr>
        <w:rFonts w:ascii="Arial" w:hAnsi="Arial" w:cs="Arial"/>
        <w:sz w:val="18"/>
        <w:szCs w:val="18"/>
      </w:rPr>
      <w:fldChar w:fldCharType="end"/>
    </w:r>
  </w:p>
  <w:p w14:paraId="677B1D5D" w14:textId="77777777" w:rsidR="00D36F63" w:rsidRDefault="00D36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A489" w14:textId="77777777" w:rsidR="00680C6E" w:rsidRDefault="00680C6E" w:rsidP="001021CE">
      <w:pPr>
        <w:spacing w:after="0" w:line="240" w:lineRule="auto"/>
      </w:pPr>
      <w:r>
        <w:separator/>
      </w:r>
    </w:p>
  </w:footnote>
  <w:footnote w:type="continuationSeparator" w:id="0">
    <w:p w14:paraId="662B07AA" w14:textId="77777777" w:rsidR="00680C6E" w:rsidRDefault="00680C6E" w:rsidP="001021CE">
      <w:pPr>
        <w:spacing w:after="0" w:line="240" w:lineRule="auto"/>
      </w:pPr>
      <w:r>
        <w:continuationSeparator/>
      </w:r>
    </w:p>
  </w:footnote>
  <w:footnote w:id="1">
    <w:p w14:paraId="0D4DC0D4" w14:textId="77777777" w:rsidR="00D36F63" w:rsidRPr="00D36F63" w:rsidRDefault="00D36F63" w:rsidP="001021CE">
      <w:pPr>
        <w:spacing w:after="0"/>
        <w:jc w:val="both"/>
        <w:rPr>
          <w:rFonts w:ascii="Arial" w:hAnsi="Arial" w:cs="Arial"/>
          <w:sz w:val="16"/>
          <w:szCs w:val="16"/>
          <w:lang w:val="en-GB"/>
        </w:rPr>
      </w:pPr>
      <w:r w:rsidRPr="00D36F63">
        <w:rPr>
          <w:rStyle w:val="FootnoteReference"/>
          <w:rFonts w:ascii="Arial" w:hAnsi="Arial" w:cs="Arial"/>
          <w:sz w:val="16"/>
          <w:szCs w:val="16"/>
        </w:rPr>
        <w:footnoteRef/>
      </w:r>
      <w:r w:rsidRPr="00D36F63">
        <w:rPr>
          <w:rFonts w:ascii="Arial" w:hAnsi="Arial" w:cs="Arial"/>
          <w:sz w:val="16"/>
          <w:szCs w:val="16"/>
          <w:lang w:val="en-US"/>
        </w:rPr>
        <w:t xml:space="preserve"> </w:t>
      </w:r>
      <w:r w:rsidRPr="00D36F63">
        <w:rPr>
          <w:rFonts w:ascii="Arial" w:hAnsi="Arial" w:cs="Arial"/>
          <w:sz w:val="16"/>
          <w:szCs w:val="16"/>
          <w:lang w:val="en-GB"/>
        </w:rPr>
        <w:t xml:space="preserve">This summary has been prepared by the International Disability Alliance. For more information on how to lodge individual communications under the Optional Protocol to the CRPD, visit </w:t>
      </w:r>
      <w:hyperlink r:id="rId1" w:history="1">
        <w:r w:rsidRPr="00D36F63">
          <w:rPr>
            <w:rStyle w:val="Hyperlink"/>
            <w:rFonts w:ascii="Arial" w:hAnsi="Arial" w:cs="Arial"/>
            <w:sz w:val="16"/>
            <w:szCs w:val="16"/>
            <w:lang w:val="en-GB"/>
          </w:rPr>
          <w:t xml:space="preserve">IDA’s disability rights litigation website. </w:t>
        </w:r>
      </w:hyperlink>
    </w:p>
  </w:footnote>
  <w:footnote w:id="2">
    <w:p w14:paraId="7AEB44DA" w14:textId="77777777" w:rsidR="00D36F63" w:rsidRPr="00D36F63" w:rsidRDefault="00D36F63" w:rsidP="00D36F63">
      <w:pPr>
        <w:pStyle w:val="FootnoteText"/>
        <w:tabs>
          <w:tab w:val="clear" w:pos="1021"/>
        </w:tabs>
        <w:ind w:left="0" w:right="0" w:firstLine="0"/>
        <w:rPr>
          <w:sz w:val="16"/>
          <w:szCs w:val="16"/>
          <w:lang w:val="fr-FR"/>
        </w:rPr>
      </w:pPr>
      <w:r w:rsidRPr="00D36F63">
        <w:rPr>
          <w:rStyle w:val="FootnoteReference"/>
          <w:rFonts w:ascii="Arial" w:hAnsi="Arial" w:cs="Arial"/>
          <w:sz w:val="16"/>
          <w:szCs w:val="16"/>
        </w:rPr>
        <w:footnoteRef/>
      </w:r>
      <w:r w:rsidRPr="00D36F63">
        <w:rPr>
          <w:rFonts w:cs="Arial"/>
          <w:sz w:val="16"/>
          <w:szCs w:val="16"/>
        </w:rPr>
        <w:t xml:space="preserve"> Human Rights Committee, communication </w:t>
      </w:r>
      <w:hyperlink r:id="rId2" w:history="1">
        <w:r w:rsidRPr="00D36F63">
          <w:rPr>
            <w:rStyle w:val="Hyperlink"/>
            <w:rFonts w:cs="Arial"/>
            <w:sz w:val="16"/>
            <w:szCs w:val="16"/>
          </w:rPr>
          <w:t>No. 1511/2006</w:t>
        </w:r>
      </w:hyperlink>
      <w:r w:rsidRPr="00D36F63">
        <w:rPr>
          <w:rFonts w:cs="Arial"/>
          <w:sz w:val="16"/>
          <w:szCs w:val="16"/>
        </w:rPr>
        <w:t xml:space="preserve">, </w:t>
      </w:r>
      <w:r w:rsidRPr="00D36F63">
        <w:rPr>
          <w:rFonts w:cs="Arial"/>
          <w:i/>
          <w:sz w:val="16"/>
          <w:szCs w:val="16"/>
        </w:rPr>
        <w:t>Garcia Perea and Garcia Perea v.</w:t>
      </w:r>
      <w:r w:rsidRPr="00D36F63">
        <w:rPr>
          <w:i/>
          <w:sz w:val="16"/>
          <w:szCs w:val="16"/>
        </w:rPr>
        <w:t xml:space="preserve"> Spain</w:t>
      </w:r>
      <w:r w:rsidRPr="00D36F63">
        <w:rPr>
          <w:sz w:val="16"/>
          <w:szCs w:val="16"/>
        </w:rPr>
        <w:t xml:space="preserve">, decision of inadmissibility adopted on 27 March 2009, para. </w:t>
      </w:r>
      <w:proofErr w:type="gramStart"/>
      <w:r w:rsidRPr="00D36F63">
        <w:rPr>
          <w:sz w:val="16"/>
          <w:szCs w:val="16"/>
        </w:rPr>
        <w:t>6.2 ;</w:t>
      </w:r>
      <w:proofErr w:type="gramEnd"/>
      <w:r w:rsidRPr="00D36F63">
        <w:rPr>
          <w:sz w:val="16"/>
          <w:szCs w:val="16"/>
        </w:rPr>
        <w:t xml:space="preserve"> communication </w:t>
      </w:r>
      <w:hyperlink r:id="rId3" w:history="1">
        <w:r w:rsidRPr="00D36F63">
          <w:rPr>
            <w:rStyle w:val="Hyperlink"/>
            <w:sz w:val="16"/>
            <w:szCs w:val="16"/>
          </w:rPr>
          <w:t>No. 2325/2013</w:t>
        </w:r>
      </w:hyperlink>
      <w:r w:rsidRPr="00D36F63">
        <w:rPr>
          <w:sz w:val="16"/>
          <w:szCs w:val="16"/>
        </w:rPr>
        <w:t xml:space="preserve">, </w:t>
      </w:r>
      <w:r w:rsidRPr="00D36F63">
        <w:rPr>
          <w:i/>
          <w:sz w:val="16"/>
          <w:szCs w:val="16"/>
        </w:rPr>
        <w:t>Kandem Foumbi v. Cameroon</w:t>
      </w:r>
      <w:r w:rsidRPr="00D36F63">
        <w:rPr>
          <w:sz w:val="16"/>
          <w:szCs w:val="16"/>
        </w:rPr>
        <w:t xml:space="preserve">, decision of inadmissibility adopted on 28 October 2014, para. </w:t>
      </w:r>
      <w:r w:rsidRPr="00D36F63">
        <w:rPr>
          <w:sz w:val="16"/>
          <w:szCs w:val="16"/>
          <w:lang w:val="fr-FR"/>
        </w:rPr>
        <w:t>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C89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56C512"/>
    <w:lvl w:ilvl="0">
      <w:start w:val="1"/>
      <w:numFmt w:val="decimal"/>
      <w:lvlText w:val="%1."/>
      <w:lvlJc w:val="left"/>
      <w:pPr>
        <w:tabs>
          <w:tab w:val="num" w:pos="1492"/>
        </w:tabs>
        <w:ind w:left="1492" w:hanging="360"/>
      </w:pPr>
    </w:lvl>
  </w:abstractNum>
  <w:abstractNum w:abstractNumId="2">
    <w:nsid w:val="FFFFFF7D"/>
    <w:multiLevelType w:val="singleLevel"/>
    <w:tmpl w:val="E2405704"/>
    <w:lvl w:ilvl="0">
      <w:start w:val="1"/>
      <w:numFmt w:val="decimal"/>
      <w:lvlText w:val="%1."/>
      <w:lvlJc w:val="left"/>
      <w:pPr>
        <w:tabs>
          <w:tab w:val="num" w:pos="1209"/>
        </w:tabs>
        <w:ind w:left="1209" w:hanging="360"/>
      </w:pPr>
    </w:lvl>
  </w:abstractNum>
  <w:abstractNum w:abstractNumId="3">
    <w:nsid w:val="FFFFFF7E"/>
    <w:multiLevelType w:val="singleLevel"/>
    <w:tmpl w:val="90742A2E"/>
    <w:lvl w:ilvl="0">
      <w:start w:val="1"/>
      <w:numFmt w:val="decimal"/>
      <w:lvlText w:val="%1."/>
      <w:lvlJc w:val="left"/>
      <w:pPr>
        <w:tabs>
          <w:tab w:val="num" w:pos="926"/>
        </w:tabs>
        <w:ind w:left="926" w:hanging="360"/>
      </w:pPr>
    </w:lvl>
  </w:abstractNum>
  <w:abstractNum w:abstractNumId="4">
    <w:nsid w:val="FFFFFF7F"/>
    <w:multiLevelType w:val="singleLevel"/>
    <w:tmpl w:val="CCC88D34"/>
    <w:lvl w:ilvl="0">
      <w:start w:val="1"/>
      <w:numFmt w:val="decimal"/>
      <w:lvlText w:val="%1."/>
      <w:lvlJc w:val="left"/>
      <w:pPr>
        <w:tabs>
          <w:tab w:val="num" w:pos="643"/>
        </w:tabs>
        <w:ind w:left="643" w:hanging="360"/>
      </w:pPr>
    </w:lvl>
  </w:abstractNum>
  <w:abstractNum w:abstractNumId="5">
    <w:nsid w:val="FFFFFF80"/>
    <w:multiLevelType w:val="singleLevel"/>
    <w:tmpl w:val="B622B8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5C33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18F9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E2695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516B20A"/>
    <w:lvl w:ilvl="0">
      <w:start w:val="1"/>
      <w:numFmt w:val="decimal"/>
      <w:lvlText w:val="%1."/>
      <w:lvlJc w:val="left"/>
      <w:pPr>
        <w:tabs>
          <w:tab w:val="num" w:pos="360"/>
        </w:tabs>
        <w:ind w:left="360" w:hanging="360"/>
      </w:pPr>
    </w:lvl>
  </w:abstractNum>
  <w:abstractNum w:abstractNumId="10">
    <w:nsid w:val="FFFFFF89"/>
    <w:multiLevelType w:val="singleLevel"/>
    <w:tmpl w:val="A978F790"/>
    <w:lvl w:ilvl="0">
      <w:start w:val="1"/>
      <w:numFmt w:val="bullet"/>
      <w:lvlText w:val=""/>
      <w:lvlJc w:val="left"/>
      <w:pPr>
        <w:tabs>
          <w:tab w:val="num" w:pos="360"/>
        </w:tabs>
        <w:ind w:left="360" w:hanging="360"/>
      </w:pPr>
      <w:rPr>
        <w:rFonts w:ascii="Symbol" w:hAnsi="Symbol" w:hint="default"/>
      </w:rPr>
    </w:lvl>
  </w:abstractNum>
  <w:abstractNum w:abstractNumId="11">
    <w:nsid w:val="1FAB2000"/>
    <w:multiLevelType w:val="hybridMultilevel"/>
    <w:tmpl w:val="F46C8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853CC9"/>
    <w:multiLevelType w:val="hybridMultilevel"/>
    <w:tmpl w:val="3200A0BA"/>
    <w:lvl w:ilvl="0" w:tplc="C624C9BA">
      <w:start w:val="1"/>
      <w:numFmt w:val="bullet"/>
      <w:lvlText w:val=""/>
      <w:lvlJc w:val="left"/>
      <w:pPr>
        <w:ind w:left="720" w:hanging="360"/>
      </w:pPr>
      <w:rPr>
        <w:rFonts w:ascii="Symbol" w:hAnsi="Symbol" w:hint="default"/>
        <w:sz w:val="22"/>
        <w:szCs w:val="22"/>
      </w:rPr>
    </w:lvl>
    <w:lvl w:ilvl="1" w:tplc="9342B6B8">
      <w:start w:val="1"/>
      <w:numFmt w:val="bullet"/>
      <w:lvlText w:val="o"/>
      <w:lvlJc w:val="left"/>
      <w:pPr>
        <w:ind w:left="1440" w:hanging="360"/>
      </w:pPr>
      <w:rPr>
        <w:rFonts w:ascii="Courier New" w:hAnsi="Courier New" w:cs="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6B1"/>
    <w:rsid w:val="00020C85"/>
    <w:rsid w:val="000229C8"/>
    <w:rsid w:val="00051E8B"/>
    <w:rsid w:val="00057610"/>
    <w:rsid w:val="000630E3"/>
    <w:rsid w:val="000847D3"/>
    <w:rsid w:val="000A3E28"/>
    <w:rsid w:val="000A728D"/>
    <w:rsid w:val="000B2E72"/>
    <w:rsid w:val="000B5D46"/>
    <w:rsid w:val="000E51F4"/>
    <w:rsid w:val="001021CE"/>
    <w:rsid w:val="0010420F"/>
    <w:rsid w:val="0011364C"/>
    <w:rsid w:val="00132B65"/>
    <w:rsid w:val="00157D88"/>
    <w:rsid w:val="00171E7E"/>
    <w:rsid w:val="00177A49"/>
    <w:rsid w:val="001862DB"/>
    <w:rsid w:val="0019467E"/>
    <w:rsid w:val="001E657C"/>
    <w:rsid w:val="002A4EFC"/>
    <w:rsid w:val="002B2598"/>
    <w:rsid w:val="002C79D3"/>
    <w:rsid w:val="00324A29"/>
    <w:rsid w:val="00356A35"/>
    <w:rsid w:val="0036084E"/>
    <w:rsid w:val="00361138"/>
    <w:rsid w:val="003B4253"/>
    <w:rsid w:val="003D26B1"/>
    <w:rsid w:val="003E56C0"/>
    <w:rsid w:val="003E7091"/>
    <w:rsid w:val="00425FE9"/>
    <w:rsid w:val="004377AE"/>
    <w:rsid w:val="00456523"/>
    <w:rsid w:val="00473A7B"/>
    <w:rsid w:val="00474888"/>
    <w:rsid w:val="004B4E05"/>
    <w:rsid w:val="004B5D9C"/>
    <w:rsid w:val="004F0F9C"/>
    <w:rsid w:val="005364B8"/>
    <w:rsid w:val="005575F1"/>
    <w:rsid w:val="0058581E"/>
    <w:rsid w:val="005935F1"/>
    <w:rsid w:val="005D0A84"/>
    <w:rsid w:val="005E1E88"/>
    <w:rsid w:val="006026E3"/>
    <w:rsid w:val="00635272"/>
    <w:rsid w:val="00646741"/>
    <w:rsid w:val="00667A2A"/>
    <w:rsid w:val="0067566A"/>
    <w:rsid w:val="00676F9D"/>
    <w:rsid w:val="00680C6E"/>
    <w:rsid w:val="006C1BA6"/>
    <w:rsid w:val="006F3E06"/>
    <w:rsid w:val="006F759B"/>
    <w:rsid w:val="00725DD0"/>
    <w:rsid w:val="00740B02"/>
    <w:rsid w:val="00754E0A"/>
    <w:rsid w:val="0075556A"/>
    <w:rsid w:val="007A35EE"/>
    <w:rsid w:val="007C49B2"/>
    <w:rsid w:val="007D4E70"/>
    <w:rsid w:val="007D50EB"/>
    <w:rsid w:val="00807F9F"/>
    <w:rsid w:val="00816B3F"/>
    <w:rsid w:val="008252D6"/>
    <w:rsid w:val="00830B97"/>
    <w:rsid w:val="0085654E"/>
    <w:rsid w:val="0088127C"/>
    <w:rsid w:val="008945B5"/>
    <w:rsid w:val="008A2D5D"/>
    <w:rsid w:val="008A3C42"/>
    <w:rsid w:val="008B23E3"/>
    <w:rsid w:val="008B6E7A"/>
    <w:rsid w:val="008E501B"/>
    <w:rsid w:val="0092235B"/>
    <w:rsid w:val="00926EFF"/>
    <w:rsid w:val="00941E65"/>
    <w:rsid w:val="009D64BF"/>
    <w:rsid w:val="009E7F6B"/>
    <w:rsid w:val="009F42E6"/>
    <w:rsid w:val="00A048B2"/>
    <w:rsid w:val="00A04EE8"/>
    <w:rsid w:val="00A2436A"/>
    <w:rsid w:val="00A47EA2"/>
    <w:rsid w:val="00AD6D0B"/>
    <w:rsid w:val="00B10A4E"/>
    <w:rsid w:val="00B16161"/>
    <w:rsid w:val="00B20C37"/>
    <w:rsid w:val="00B2120D"/>
    <w:rsid w:val="00B41777"/>
    <w:rsid w:val="00B428E5"/>
    <w:rsid w:val="00B76E9D"/>
    <w:rsid w:val="00B865A1"/>
    <w:rsid w:val="00B9017B"/>
    <w:rsid w:val="00BA73B5"/>
    <w:rsid w:val="00BD254C"/>
    <w:rsid w:val="00BE73BF"/>
    <w:rsid w:val="00BE7BCE"/>
    <w:rsid w:val="00BF233E"/>
    <w:rsid w:val="00BF53D1"/>
    <w:rsid w:val="00BF6C0E"/>
    <w:rsid w:val="00C46DCE"/>
    <w:rsid w:val="00C97AC2"/>
    <w:rsid w:val="00D15A3E"/>
    <w:rsid w:val="00D36F63"/>
    <w:rsid w:val="00DA1D23"/>
    <w:rsid w:val="00DA7975"/>
    <w:rsid w:val="00DB2FA9"/>
    <w:rsid w:val="00DD462D"/>
    <w:rsid w:val="00DE3C5A"/>
    <w:rsid w:val="00E07595"/>
    <w:rsid w:val="00E335F7"/>
    <w:rsid w:val="00E7518D"/>
    <w:rsid w:val="00E90B31"/>
    <w:rsid w:val="00E9479A"/>
    <w:rsid w:val="00E9530E"/>
    <w:rsid w:val="00ED709D"/>
    <w:rsid w:val="00EF0A83"/>
    <w:rsid w:val="00F21FA7"/>
    <w:rsid w:val="00F30E73"/>
    <w:rsid w:val="00F40F7C"/>
    <w:rsid w:val="00F41B27"/>
    <w:rsid w:val="00F41CED"/>
    <w:rsid w:val="00F4457A"/>
    <w:rsid w:val="00F54BD9"/>
    <w:rsid w:val="00F717BC"/>
    <w:rsid w:val="00FE4DDE"/>
    <w:rsid w:val="00FF55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45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47D3"/>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64"/>
    <w:rPr>
      <w:color w:val="0000FF"/>
      <w:u w:val="single"/>
    </w:rPr>
  </w:style>
  <w:style w:type="character" w:styleId="FootnoteReference">
    <w:name w:val="footnote reference"/>
    <w:aliases w:val="4_G,Footnote number"/>
    <w:uiPriority w:val="99"/>
    <w:rsid w:val="004B3C3C"/>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1862DB"/>
    <w:pPr>
      <w:tabs>
        <w:tab w:val="right" w:pos="1021"/>
      </w:tabs>
      <w:suppressAutoHyphens/>
      <w:spacing w:after="0" w:line="220" w:lineRule="exact"/>
      <w:ind w:left="1134" w:right="1134" w:hanging="1134"/>
    </w:pPr>
    <w:rPr>
      <w:rFonts w:ascii="Arial" w:eastAsia="Times New Roman" w:hAnsi="Arial"/>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1862DB"/>
    <w:rPr>
      <w:rFonts w:ascii="Arial" w:eastAsia="Times New Roman" w:hAnsi="Arial"/>
      <w:sz w:val="18"/>
      <w:lang w:val="en-GB"/>
    </w:rPr>
  </w:style>
  <w:style w:type="paragraph" w:customStyle="1" w:styleId="SingleTxtG">
    <w:name w:val="_ Single Txt_G"/>
    <w:basedOn w:val="Normal"/>
    <w:link w:val="SingleTxtGChar"/>
    <w:rsid w:val="00533D5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533D59"/>
    <w:rPr>
      <w:rFonts w:ascii="Times New Roman" w:eastAsia="Times New Roman" w:hAnsi="Times New Roman"/>
      <w:lang w:eastAsia="en-US"/>
    </w:rPr>
  </w:style>
  <w:style w:type="paragraph" w:styleId="Header">
    <w:name w:val="header"/>
    <w:basedOn w:val="Normal"/>
    <w:link w:val="HeaderChar"/>
    <w:uiPriority w:val="99"/>
    <w:unhideWhenUsed/>
    <w:rsid w:val="00CE7185"/>
    <w:pPr>
      <w:tabs>
        <w:tab w:val="center" w:pos="4536"/>
        <w:tab w:val="right" w:pos="9072"/>
      </w:tabs>
    </w:pPr>
  </w:style>
  <w:style w:type="character" w:customStyle="1" w:styleId="HeaderChar">
    <w:name w:val="Header Char"/>
    <w:link w:val="Header"/>
    <w:uiPriority w:val="99"/>
    <w:rsid w:val="00CE7185"/>
    <w:rPr>
      <w:sz w:val="22"/>
      <w:szCs w:val="22"/>
      <w:lang w:eastAsia="en-US"/>
    </w:rPr>
  </w:style>
  <w:style w:type="paragraph" w:styleId="Footer">
    <w:name w:val="footer"/>
    <w:basedOn w:val="Normal"/>
    <w:link w:val="FooterChar"/>
    <w:uiPriority w:val="99"/>
    <w:unhideWhenUsed/>
    <w:rsid w:val="00CE7185"/>
    <w:pPr>
      <w:tabs>
        <w:tab w:val="center" w:pos="4536"/>
        <w:tab w:val="right" w:pos="9072"/>
      </w:tabs>
    </w:pPr>
  </w:style>
  <w:style w:type="character" w:customStyle="1" w:styleId="FooterChar">
    <w:name w:val="Footer Char"/>
    <w:link w:val="Footer"/>
    <w:uiPriority w:val="99"/>
    <w:rsid w:val="00CE7185"/>
    <w:rPr>
      <w:sz w:val="22"/>
      <w:szCs w:val="22"/>
      <w:lang w:eastAsia="en-US"/>
    </w:rPr>
  </w:style>
  <w:style w:type="character" w:styleId="FollowedHyperlink">
    <w:name w:val="FollowedHyperlink"/>
    <w:uiPriority w:val="99"/>
    <w:semiHidden/>
    <w:unhideWhenUsed/>
    <w:rsid w:val="00EA215D"/>
    <w:rPr>
      <w:color w:val="800080"/>
      <w:u w:val="single"/>
    </w:rPr>
  </w:style>
  <w:style w:type="paragraph" w:customStyle="1" w:styleId="H23G">
    <w:name w:val="_ H_2/3_G"/>
    <w:basedOn w:val="Normal"/>
    <w:next w:val="Normal"/>
    <w:rsid w:val="00DB1A4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apple-converted-space">
    <w:name w:val="apple-converted-space"/>
    <w:basedOn w:val="DefaultParagraphFont"/>
    <w:rsid w:val="00533DE0"/>
  </w:style>
  <w:style w:type="paragraph" w:styleId="ListParagraph">
    <w:name w:val="List Paragraph"/>
    <w:basedOn w:val="Normal"/>
    <w:rsid w:val="00DE3C5A"/>
    <w:pPr>
      <w:ind w:left="720"/>
      <w:contextualSpacing/>
    </w:pPr>
  </w:style>
  <w:style w:type="paragraph" w:styleId="BalloonText">
    <w:name w:val="Balloon Text"/>
    <w:basedOn w:val="Normal"/>
    <w:link w:val="BalloonTextChar"/>
    <w:semiHidden/>
    <w:unhideWhenUsed/>
    <w:rsid w:val="00F30E7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F30E73"/>
    <w:rPr>
      <w:rFonts w:ascii="Times New Roman" w:hAnsi="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74">
      <w:bodyDiv w:val="1"/>
      <w:marLeft w:val="0"/>
      <w:marRight w:val="0"/>
      <w:marTop w:val="0"/>
      <w:marBottom w:val="0"/>
      <w:divBdr>
        <w:top w:val="none" w:sz="0" w:space="0" w:color="auto"/>
        <w:left w:val="none" w:sz="0" w:space="0" w:color="auto"/>
        <w:bottom w:val="none" w:sz="0" w:space="0" w:color="auto"/>
        <w:right w:val="none" w:sz="0" w:space="0" w:color="auto"/>
      </w:divBdr>
    </w:div>
    <w:div w:id="504126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store.ohchr.org/SelfServices/FilesHandler.ashx?enc=6QkG1d%2fPPRiCAqhKb7yhssBJ9E3UTYMV65MVabAyM%2fT4g5vvT5%2fWtUO531LLsKnSiJZbN1Zcn2RLjDMBCXMGhs3AIU6NGpmGt6z28e9flz1NEfgNHYWcy08PVCLN7GInaSy4yQA2TaV78z8DgG8Kpw%3d%3d" TargetMode="External"/><Relationship Id="rId21" Type="http://schemas.openxmlformats.org/officeDocument/2006/relationships/hyperlink" Target="http://docstore.ohchr.org/SelfServices/FilesHandler.ashx?enc=6QkG1d%2fPPRiCAqhKb7yhssBJ9E3UTYMV65MVabAyM%2fT4g5vvT5%2fWtUO531LLsKnSiJZbN1Zcn2RLjDMBCXMGhmwOnTlkAwGahZ6o9G4ZRkUqYdDiPWqJS737oDQVO4gxn4yFmxodbBRTPBvUchmJFg%3d%3d" TargetMode="External"/><Relationship Id="rId22" Type="http://schemas.openxmlformats.org/officeDocument/2006/relationships/hyperlink" Target="http://docstore.ohchr.org/SelfServices/FilesHandler.ashx?enc=6QkG1d%2fPPRiCAqhKb7yhssBJ9E3UTYMV65MVabAyM%2fT4g5vvT5%2fWtUO531LLsKnSiJZbN1Zcn2RLjDMBCXMGhlTZLEL5X%2fBH5ACwGCUudYp%2bn143FGWiWYbR92wYSpxodwltkIoIHtsFbACPJJBSsA%3d%3d" TargetMode="External"/><Relationship Id="rId23" Type="http://schemas.openxmlformats.org/officeDocument/2006/relationships/hyperlink" Target="http://docstore.ohchr.org/SelfServices/FilesHandler.ashx?enc=6QkG1d%2fPPRiCAqhKb7yhssBJ9E3UTYMV65MVabAyM%2fT4g5vvT5%2fWtUO531LLsKnSiJZbN1Zcn2RLjDMBCXMGhsNPhbG2ugViDyJAB1YtcOwoTdb4i4g%2f8YsnKCEHTMKxr0ISixBDq721rwErPXQLAg%3d%3d" TargetMode="External"/><Relationship Id="rId24" Type="http://schemas.openxmlformats.org/officeDocument/2006/relationships/hyperlink" Target="https://documents.un.org" TargetMode="External"/><Relationship Id="rId25" Type="http://schemas.openxmlformats.org/officeDocument/2006/relationships/hyperlink" Target="http://www.ohchr.org/EN/HRBodies/CRPD/Pages/ConventionRightsPersonsWithDisabilities.aspx" TargetMode="External"/><Relationship Id="rId26" Type="http://schemas.openxmlformats.org/officeDocument/2006/relationships/hyperlink" Target="http://www.ohchr.org/EN/HRBodies/CRPD/Pages/ConventionRightsPersonsWithDisabilities.aspx" TargetMode="External"/><Relationship Id="rId27" Type="http://schemas.openxmlformats.org/officeDocument/2006/relationships/hyperlink" Target="http://www.ohchr.org/EN/HRBodies/CRPD/Pages/ConventionRightsPersonsWithDisabilities.aspx" TargetMode="External"/><Relationship Id="rId28" Type="http://schemas.openxmlformats.org/officeDocument/2006/relationships/hyperlink" Target="http://www.ohchr.org/EN/HRBodies/CRPD/Pages/ConventionRightsPersonsWithDisabilities.aspx" TargetMode="External"/><Relationship Id="rId29" Type="http://schemas.openxmlformats.org/officeDocument/2006/relationships/hyperlink" Target="http://www.ohchr.org/EN/HRBodies/CRPD/Pages/ConventionRightsPersonsWithDisabilitie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ohchr.org/EN/HRBodies/CRPD/Pages/ConventionRightsPersonsWithDisabilities.aspx" TargetMode="External"/><Relationship Id="rId31" Type="http://schemas.openxmlformats.org/officeDocument/2006/relationships/hyperlink" Target="http://www.ohchr.org/EN/HRBodies/CRPD/Pages/ConventionRightsPersonsWithDisabilities.aspx" TargetMode="External"/><Relationship Id="rId32" Type="http://schemas.openxmlformats.org/officeDocument/2006/relationships/hyperlink" Target="http://www.ohchr.org/EN/HRBodies/CRPD/Pages/ConventionRightsPersonsWithDisabilities.aspx" TargetMode="External"/><Relationship Id="rId9" Type="http://schemas.openxmlformats.org/officeDocument/2006/relationships/hyperlink" Target="http://www.ohchr.org/EN/HRBodies/CRPD/Pages/ConventionRightsPersonsWithDisabilities.aspx" TargetMode="External"/><Relationship Id="rId6" Type="http://schemas.openxmlformats.org/officeDocument/2006/relationships/endnotes" Target="endnotes.xm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ConventionRightsPersonsWithDisabilities.aspx" TargetMode="External"/><Relationship Id="rId33" Type="http://schemas.openxmlformats.org/officeDocument/2006/relationships/hyperlink" Target="http://www.ohchr.org/EN/HRBodies/CRPD/Pages/OptionalProtocolRightsPersonsWithDisabilities.aspx" TargetMode="External"/><Relationship Id="rId34" Type="http://schemas.openxmlformats.org/officeDocument/2006/relationships/hyperlink" Target="http://www.ohchr.org/EN/HRBodies/CRPD/Pages/OptionalProtocolRightsPersonsWithDisabilities.aspx"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www.ohchr.org/EN/HRBodies/CRPD/Pages/ConventionRightsPersonsWithDisabilities.aspx" TargetMode="External"/><Relationship Id="rId16" Type="http://schemas.openxmlformats.org/officeDocument/2006/relationships/hyperlink" Target="http://www.ohchr.org/EN/HRBodies/CRPD/Pages/OptionalProtocolRightsPersonsWithDisabilities.aspx" TargetMode="External"/><Relationship Id="rId17" Type="http://schemas.openxmlformats.org/officeDocument/2006/relationships/hyperlink" Target="http://www.ohchr.org/EN/HRBodies/CRPD/Pages/OptionalProtocolRightsPersonsWithDisabilities.aspx" TargetMode="External"/><Relationship Id="rId18" Type="http://schemas.openxmlformats.org/officeDocument/2006/relationships/hyperlink" Target="http://docstore.ohchr.org/SelfServices/FilesHandler.ashx?enc=6QkG1d%2fPPRiCAqhKb7yhssBJ9E3UTYMV65MVabAyM%2fT4g5vvT5%2fWtUO531LLsKnSiJZbN1Zcn2RLjDMBCXMGhpvzt%2b%2fBuFIlc5JizpEPZsBlgMJY9sXkSaYuMSi71qSTAl%2fCyIto9a7Ws2i7tuDYPQ%3d%3d" TargetMode="External"/><Relationship Id="rId19" Type="http://schemas.openxmlformats.org/officeDocument/2006/relationships/hyperlink" Target="http://docstore.ohchr.org/SelfServices/FilesHandler.ashx?enc=6QkG1d%2fPPRiCAqhKb7yhssBJ9E3UTYMV65MVabAyM%2fT4g5vvT5%2fWtUO531LLsKnSiJZbN1Zcn2RLjDMBCXMGht3XKU%2b2MTfWIAZZseWcb6SMMbbohKVQDlKpolbe3lnc%2f%2feONIh30j0QaUL%2f7LS7%2bQ%3d%3d"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 Id="rId2" Type="http://schemas.openxmlformats.org/officeDocument/2006/relationships/hyperlink" Target="http://www.worldcourts.com/hrc/eng/decisions/2009.03.27_Garcia_Perea_v_Spain.htm" TargetMode="External"/><Relationship Id="rId3" Type="http://schemas.openxmlformats.org/officeDocument/2006/relationships/hyperlink" Target="http://hrlibrary.umn.edu/undocs/2325-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5</Pages>
  <Words>2447</Words>
  <Characters>13954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Links>
    <vt:vector size="180" baseType="variant">
      <vt:variant>
        <vt:i4>3211372</vt:i4>
      </vt:variant>
      <vt:variant>
        <vt:i4>81</vt:i4>
      </vt:variant>
      <vt:variant>
        <vt:i4>0</vt:i4>
      </vt:variant>
      <vt:variant>
        <vt:i4>5</vt:i4>
      </vt:variant>
      <vt:variant>
        <vt:lpwstr>http://www.ohchr.org/EN/HRBodies/CRPD/Pages/OptionalProtocolRightsPersonsWithDisabilities.aspx</vt:lpwstr>
      </vt:variant>
      <vt:variant>
        <vt:lpwstr/>
      </vt:variant>
      <vt:variant>
        <vt:i4>3211372</vt:i4>
      </vt:variant>
      <vt:variant>
        <vt:i4>78</vt:i4>
      </vt:variant>
      <vt:variant>
        <vt:i4>0</vt:i4>
      </vt:variant>
      <vt:variant>
        <vt:i4>5</vt:i4>
      </vt:variant>
      <vt:variant>
        <vt:lpwstr>http://www.ohchr.org/EN/HRBodies/CRPD/Pages/OptionalProtocolRightsPersonsWithDisabilities.aspx</vt:lpwstr>
      </vt:variant>
      <vt:variant>
        <vt:lpwstr/>
      </vt:variant>
      <vt:variant>
        <vt:i4>3211372</vt:i4>
      </vt:variant>
      <vt:variant>
        <vt:i4>75</vt:i4>
      </vt:variant>
      <vt:variant>
        <vt:i4>0</vt:i4>
      </vt:variant>
      <vt:variant>
        <vt:i4>5</vt:i4>
      </vt:variant>
      <vt:variant>
        <vt:lpwstr>http://www.ohchr.org/EN/HRBodies/CRPD/Pages/OptionalProtocolRightsPersonsWithDisabilities.aspx</vt:lpwstr>
      </vt:variant>
      <vt:variant>
        <vt:lpwstr/>
      </vt:variant>
      <vt:variant>
        <vt:i4>3211372</vt:i4>
      </vt:variant>
      <vt:variant>
        <vt:i4>72</vt:i4>
      </vt:variant>
      <vt:variant>
        <vt:i4>0</vt:i4>
      </vt:variant>
      <vt:variant>
        <vt:i4>5</vt:i4>
      </vt:variant>
      <vt:variant>
        <vt:lpwstr>http://www.ohchr.org/EN/HRBodies/CRPD/Pages/OptionalProtocolRightsPersonsWithDisabilities.aspx</vt:lpwstr>
      </vt:variant>
      <vt:variant>
        <vt:lpwstr/>
      </vt:variant>
      <vt:variant>
        <vt:i4>3735657</vt:i4>
      </vt:variant>
      <vt:variant>
        <vt:i4>69</vt:i4>
      </vt:variant>
      <vt:variant>
        <vt:i4>0</vt:i4>
      </vt:variant>
      <vt:variant>
        <vt:i4>5</vt:i4>
      </vt:variant>
      <vt:variant>
        <vt:lpwstr>http://www.oas.org/juridico/english/treaties/a-65.html</vt:lpwstr>
      </vt:variant>
      <vt:variant>
        <vt:lpwstr/>
      </vt:variant>
      <vt:variant>
        <vt:i4>5439521</vt:i4>
      </vt:variant>
      <vt:variant>
        <vt:i4>66</vt:i4>
      </vt:variant>
      <vt:variant>
        <vt:i4>0</vt:i4>
      </vt:variant>
      <vt:variant>
        <vt:i4>5</vt:i4>
      </vt:variant>
      <vt:variant>
        <vt:lpwstr>http://www.ohchr.org/EN/HRBodies/CRPD/Pages/ConventionRightsPersonsWithDisabilities.aspx</vt:lpwstr>
      </vt:variant>
      <vt:variant>
        <vt:lpwstr>4</vt:lpwstr>
      </vt:variant>
      <vt:variant>
        <vt:i4>5439524</vt:i4>
      </vt:variant>
      <vt:variant>
        <vt:i4>63</vt:i4>
      </vt:variant>
      <vt:variant>
        <vt:i4>0</vt:i4>
      </vt:variant>
      <vt:variant>
        <vt:i4>5</vt:i4>
      </vt:variant>
      <vt:variant>
        <vt:lpwstr>http://www.ohchr.org/EN/HRBodies/CRPD/Pages/ConventionRightsPersonsWithDisabilities.aspx</vt:lpwstr>
      </vt:variant>
      <vt:variant>
        <vt:lpwstr>1</vt:lpwstr>
      </vt:variant>
      <vt:variant>
        <vt:i4>5439524</vt:i4>
      </vt:variant>
      <vt:variant>
        <vt:i4>60</vt:i4>
      </vt:variant>
      <vt:variant>
        <vt:i4>0</vt:i4>
      </vt:variant>
      <vt:variant>
        <vt:i4>5</vt:i4>
      </vt:variant>
      <vt:variant>
        <vt:lpwstr>http://www.ohchr.org/EN/HRBodies/CRPD/Pages/ConventionRightsPersonsWithDisabilities.aspx</vt:lpwstr>
      </vt:variant>
      <vt:variant>
        <vt:lpwstr>1</vt:lpwstr>
      </vt:variant>
      <vt:variant>
        <vt:i4>4128873</vt:i4>
      </vt:variant>
      <vt:variant>
        <vt:i4>57</vt:i4>
      </vt:variant>
      <vt:variant>
        <vt:i4>0</vt:i4>
      </vt:variant>
      <vt:variant>
        <vt:i4>5</vt:i4>
      </vt:variant>
      <vt:variant>
        <vt:lpwstr>http://tbinternet.ohchr.org/_layouts/treatybodyexternal/Download.aspx?symbolno=CRPD%2fC%2f1&amp;Lang=en</vt:lpwstr>
      </vt:variant>
      <vt:variant>
        <vt:lpwstr/>
      </vt:variant>
      <vt:variant>
        <vt:i4>5439524</vt:i4>
      </vt:variant>
      <vt:variant>
        <vt:i4>54</vt:i4>
      </vt:variant>
      <vt:variant>
        <vt:i4>0</vt:i4>
      </vt:variant>
      <vt:variant>
        <vt:i4>5</vt:i4>
      </vt:variant>
      <vt:variant>
        <vt:lpwstr>http://www.ohchr.org/EN/HRBodies/CRPD/Pages/ConventionRightsPersonsWithDisabilities.aspx</vt:lpwstr>
      </vt:variant>
      <vt:variant>
        <vt:lpwstr>1</vt:lpwstr>
      </vt:variant>
      <vt:variant>
        <vt:i4>5439524</vt:i4>
      </vt:variant>
      <vt:variant>
        <vt:i4>51</vt:i4>
      </vt:variant>
      <vt:variant>
        <vt:i4>0</vt:i4>
      </vt:variant>
      <vt:variant>
        <vt:i4>5</vt:i4>
      </vt:variant>
      <vt:variant>
        <vt:lpwstr>http://www.ohchr.org/EN/HRBodies/CRPD/Pages/ConventionRightsPersonsWithDisabilities.aspx</vt:lpwstr>
      </vt:variant>
      <vt:variant>
        <vt:lpwstr>1</vt:lpwstr>
      </vt:variant>
      <vt:variant>
        <vt:i4>5439521</vt:i4>
      </vt:variant>
      <vt:variant>
        <vt:i4>48</vt:i4>
      </vt:variant>
      <vt:variant>
        <vt:i4>0</vt:i4>
      </vt:variant>
      <vt:variant>
        <vt:i4>5</vt:i4>
      </vt:variant>
      <vt:variant>
        <vt:lpwstr>http://www.ohchr.org/EN/HRBodies/CRPD/Pages/ConventionRightsPersonsWithDisabilities.aspx</vt:lpwstr>
      </vt:variant>
      <vt:variant>
        <vt:lpwstr>4</vt:lpwstr>
      </vt:variant>
      <vt:variant>
        <vt:i4>6553639</vt:i4>
      </vt:variant>
      <vt:variant>
        <vt:i4>45</vt:i4>
      </vt:variant>
      <vt:variant>
        <vt:i4>0</vt:i4>
      </vt:variant>
      <vt:variant>
        <vt:i4>5</vt:i4>
      </vt:variant>
      <vt:variant>
        <vt:lpwstr>http://www.ohchr.org/EN/HRBodies/CRPD/Pages/ConventionRightsPersonsWithDisabilities.aspx</vt:lpwstr>
      </vt:variant>
      <vt:variant>
        <vt:lpwstr>27</vt:lpwstr>
      </vt:variant>
      <vt:variant>
        <vt:i4>6553639</vt:i4>
      </vt:variant>
      <vt:variant>
        <vt:i4>42</vt:i4>
      </vt:variant>
      <vt:variant>
        <vt:i4>0</vt:i4>
      </vt:variant>
      <vt:variant>
        <vt:i4>5</vt:i4>
      </vt:variant>
      <vt:variant>
        <vt:lpwstr>http://www.ohchr.org/EN/HRBodies/CRPD/Pages/ConventionRightsPersonsWithDisabilities.aspx</vt:lpwstr>
      </vt:variant>
      <vt:variant>
        <vt:lpwstr>27</vt:lpwstr>
      </vt:variant>
      <vt:variant>
        <vt:i4>5439521</vt:i4>
      </vt:variant>
      <vt:variant>
        <vt:i4>39</vt:i4>
      </vt:variant>
      <vt:variant>
        <vt:i4>0</vt:i4>
      </vt:variant>
      <vt:variant>
        <vt:i4>5</vt:i4>
      </vt:variant>
      <vt:variant>
        <vt:lpwstr>http://www.ohchr.org/EN/HRBodies/CRPD/Pages/ConventionRightsPersonsWithDisabilities.aspx</vt:lpwstr>
      </vt:variant>
      <vt:variant>
        <vt:lpwstr>4</vt:lpwstr>
      </vt:variant>
      <vt:variant>
        <vt:i4>5439520</vt:i4>
      </vt:variant>
      <vt:variant>
        <vt:i4>36</vt:i4>
      </vt:variant>
      <vt:variant>
        <vt:i4>0</vt:i4>
      </vt:variant>
      <vt:variant>
        <vt:i4>5</vt:i4>
      </vt:variant>
      <vt:variant>
        <vt:lpwstr>http://www.ohchr.org/EN/HRBodies/CRPD/Pages/ConventionRightsPersonsWithDisabilities.aspx</vt:lpwstr>
      </vt:variant>
      <vt:variant>
        <vt:lpwstr>5</vt:lpwstr>
      </vt:variant>
      <vt:variant>
        <vt:i4>5439526</vt:i4>
      </vt:variant>
      <vt:variant>
        <vt:i4>33</vt:i4>
      </vt:variant>
      <vt:variant>
        <vt:i4>0</vt:i4>
      </vt:variant>
      <vt:variant>
        <vt:i4>5</vt:i4>
      </vt:variant>
      <vt:variant>
        <vt:lpwstr>http://www.ohchr.org/EN/HRBodies/CRPD/Pages/ConventionRightsPersonsWithDisabilities.aspx</vt:lpwstr>
      </vt:variant>
      <vt:variant>
        <vt:lpwstr>3</vt:lpwstr>
      </vt:variant>
      <vt:variant>
        <vt:i4>6553639</vt:i4>
      </vt:variant>
      <vt:variant>
        <vt:i4>30</vt:i4>
      </vt:variant>
      <vt:variant>
        <vt:i4>0</vt:i4>
      </vt:variant>
      <vt:variant>
        <vt:i4>5</vt:i4>
      </vt:variant>
      <vt:variant>
        <vt:lpwstr>http://www.ohchr.org/EN/HRBodies/CRPD/Pages/ConventionRightsPersonsWithDisabilities.aspx</vt:lpwstr>
      </vt:variant>
      <vt:variant>
        <vt:lpwstr>27</vt:lpwstr>
      </vt:variant>
      <vt:variant>
        <vt:i4>5439520</vt:i4>
      </vt:variant>
      <vt:variant>
        <vt:i4>27</vt:i4>
      </vt:variant>
      <vt:variant>
        <vt:i4>0</vt:i4>
      </vt:variant>
      <vt:variant>
        <vt:i4>5</vt:i4>
      </vt:variant>
      <vt:variant>
        <vt:lpwstr>http://www.ohchr.org/EN/HRBodies/CRPD/Pages/ConventionRightsPersonsWithDisabilities.aspx</vt:lpwstr>
      </vt:variant>
      <vt:variant>
        <vt:lpwstr>5</vt:lpwstr>
      </vt:variant>
      <vt:variant>
        <vt:i4>5439521</vt:i4>
      </vt:variant>
      <vt:variant>
        <vt:i4>24</vt:i4>
      </vt:variant>
      <vt:variant>
        <vt:i4>0</vt:i4>
      </vt:variant>
      <vt:variant>
        <vt:i4>5</vt:i4>
      </vt:variant>
      <vt:variant>
        <vt:lpwstr>http://www.ohchr.org/EN/HRBodies/CRPD/Pages/ConventionRightsPersonsWithDisabilities.aspx</vt:lpwstr>
      </vt:variant>
      <vt:variant>
        <vt:lpwstr>4</vt:lpwstr>
      </vt:variant>
      <vt:variant>
        <vt:i4>5439526</vt:i4>
      </vt:variant>
      <vt:variant>
        <vt:i4>21</vt:i4>
      </vt:variant>
      <vt:variant>
        <vt:i4>0</vt:i4>
      </vt:variant>
      <vt:variant>
        <vt:i4>5</vt:i4>
      </vt:variant>
      <vt:variant>
        <vt:lpwstr>http://www.ohchr.org/EN/HRBodies/CRPD/Pages/ConventionRightsPersonsWithDisabilities.aspx</vt:lpwstr>
      </vt:variant>
      <vt:variant>
        <vt:lpwstr>3</vt:lpwstr>
      </vt:variant>
      <vt:variant>
        <vt:i4>7798825</vt:i4>
      </vt:variant>
      <vt:variant>
        <vt:i4>18</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15</vt:i4>
      </vt:variant>
      <vt:variant>
        <vt:i4>0</vt:i4>
      </vt:variant>
      <vt:variant>
        <vt:i4>5</vt:i4>
      </vt:variant>
      <vt:variant>
        <vt:lpwstr>http://www.ohchr.org/EN/HRBodies/CRPD/Pages/OptionalProtocolRightsPersonsWithDisabilities.aspx</vt:lpwstr>
      </vt:variant>
      <vt:variant>
        <vt:lpwstr/>
      </vt:variant>
      <vt:variant>
        <vt:i4>6553639</vt:i4>
      </vt:variant>
      <vt:variant>
        <vt:i4>12</vt:i4>
      </vt:variant>
      <vt:variant>
        <vt:i4>0</vt:i4>
      </vt:variant>
      <vt:variant>
        <vt:i4>5</vt:i4>
      </vt:variant>
      <vt:variant>
        <vt:lpwstr>http://www.ohchr.org/EN/HRBodies/CRPD/Pages/ConventionRightsPersonsWithDisabilities.aspx</vt:lpwstr>
      </vt:variant>
      <vt:variant>
        <vt:lpwstr>27</vt:lpwstr>
      </vt:variant>
      <vt:variant>
        <vt:i4>5439520</vt:i4>
      </vt:variant>
      <vt:variant>
        <vt:i4>9</vt:i4>
      </vt:variant>
      <vt:variant>
        <vt:i4>0</vt:i4>
      </vt:variant>
      <vt:variant>
        <vt:i4>5</vt:i4>
      </vt:variant>
      <vt:variant>
        <vt:lpwstr>http://www.ohchr.org/EN/HRBodies/CRPD/Pages/ConventionRightsPersonsWithDisabilities.aspx</vt:lpwstr>
      </vt:variant>
      <vt:variant>
        <vt:lpwstr>5</vt:lpwstr>
      </vt:variant>
      <vt:variant>
        <vt:i4>5439521</vt:i4>
      </vt:variant>
      <vt:variant>
        <vt:i4>6</vt:i4>
      </vt:variant>
      <vt:variant>
        <vt:i4>0</vt:i4>
      </vt:variant>
      <vt:variant>
        <vt:i4>5</vt:i4>
      </vt:variant>
      <vt:variant>
        <vt:lpwstr>http://www.ohchr.org/EN/HRBodies/CRPD/Pages/ConventionRightsPersonsWithDisabilities.aspx</vt:lpwstr>
      </vt:variant>
      <vt:variant>
        <vt:lpwstr>4</vt:lpwstr>
      </vt:variant>
      <vt:variant>
        <vt:i4>5439526</vt:i4>
      </vt:variant>
      <vt:variant>
        <vt:i4>3</vt:i4>
      </vt:variant>
      <vt:variant>
        <vt:i4>0</vt:i4>
      </vt:variant>
      <vt:variant>
        <vt:i4>5</vt:i4>
      </vt:variant>
      <vt:variant>
        <vt:lpwstr>http://www.ohchr.org/EN/HRBodies/CRPD/Pages/ConventionRightsPersonsWithDisabilities.aspx</vt:lpwstr>
      </vt:variant>
      <vt:variant>
        <vt:lpwstr>3</vt:lpwstr>
      </vt:variant>
      <vt:variant>
        <vt:i4>7798825</vt:i4>
      </vt:variant>
      <vt:variant>
        <vt:i4>0</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3</vt:i4>
      </vt:variant>
      <vt:variant>
        <vt:i4>0</vt:i4>
      </vt:variant>
      <vt:variant>
        <vt:i4>5</vt:i4>
      </vt:variant>
      <vt:variant>
        <vt:lpwstr>http://www.ohchr.org/EN/HRBodies/CRPD/Pages/OptionalProtocolRightsPersonsWithDisabilities.aspx</vt:lpwstr>
      </vt:variant>
      <vt:variant>
        <vt:lpwstr/>
      </vt:variant>
      <vt:variant>
        <vt:i4>7077955</vt:i4>
      </vt:variant>
      <vt:variant>
        <vt:i4>0</vt:i4>
      </vt:variant>
      <vt:variant>
        <vt:i4>0</vt:i4>
      </vt:variant>
      <vt:variant>
        <vt:i4>5</vt:i4>
      </vt:variant>
      <vt:variant>
        <vt:lpwstr>http://www.internationaldisabilityalliance.org/en/disability-rights-litigationhttp:/www.internationaldisabilityalliance.org/en/disability-rights-litigation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20</cp:revision>
  <dcterms:created xsi:type="dcterms:W3CDTF">2017-09-06T12:44:00Z</dcterms:created>
  <dcterms:modified xsi:type="dcterms:W3CDTF">2018-02-06T13:11:00Z</dcterms:modified>
</cp:coreProperties>
</file>