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39BE2" w14:textId="77777777" w:rsidR="001021CE" w:rsidRPr="004D1495" w:rsidRDefault="001021CE" w:rsidP="001021CE">
      <w:pPr>
        <w:spacing w:after="0"/>
        <w:jc w:val="both"/>
        <w:rPr>
          <w:rFonts w:ascii="Arial" w:hAnsi="Arial" w:cs="Arial"/>
          <w:i/>
          <w:sz w:val="28"/>
          <w:lang w:val="en-GB"/>
        </w:rPr>
      </w:pPr>
      <w:r w:rsidRPr="004D1495">
        <w:rPr>
          <w:rFonts w:ascii="Arial" w:hAnsi="Arial" w:cs="Arial"/>
          <w:sz w:val="28"/>
          <w:lang w:val="en-GB"/>
        </w:rPr>
        <w:t>Case summary:</w:t>
      </w:r>
      <w:r w:rsidRPr="004D1495">
        <w:rPr>
          <w:rStyle w:val="FootnoteReference"/>
          <w:rFonts w:ascii="Arial" w:hAnsi="Arial" w:cs="Arial"/>
          <w:sz w:val="24"/>
          <w:lang w:val="en-GB"/>
        </w:rPr>
        <w:footnoteReference w:id="1"/>
      </w:r>
      <w:r w:rsidRPr="004D1495">
        <w:rPr>
          <w:rFonts w:ascii="Arial" w:hAnsi="Arial" w:cs="Arial"/>
          <w:sz w:val="24"/>
          <w:lang w:val="en-GB"/>
        </w:rPr>
        <w:t xml:space="preserve">  </w:t>
      </w:r>
      <w:r w:rsidR="004D1495">
        <w:rPr>
          <w:rFonts w:ascii="Arial" w:hAnsi="Arial" w:cs="Arial"/>
          <w:i/>
          <w:sz w:val="28"/>
          <w:lang w:val="en-GB"/>
        </w:rPr>
        <w:t>D.L. v Sweden</w:t>
      </w:r>
    </w:p>
    <w:p w14:paraId="4C703492" w14:textId="77777777" w:rsidR="001021CE" w:rsidRPr="004D1495" w:rsidRDefault="001021CE" w:rsidP="001021CE">
      <w:pPr>
        <w:spacing w:after="0"/>
        <w:jc w:val="both"/>
        <w:rPr>
          <w:rFonts w:ascii="Arial" w:hAnsi="Arial" w:cs="Arial"/>
          <w:lang w:val="en-GB"/>
        </w:rPr>
      </w:pPr>
    </w:p>
    <w:p w14:paraId="079DAE78" w14:textId="77777777" w:rsidR="004D1495" w:rsidRPr="00021A10" w:rsidRDefault="00D65044" w:rsidP="001021CE">
      <w:pPr>
        <w:spacing w:after="0"/>
        <w:jc w:val="both"/>
        <w:rPr>
          <w:rFonts w:ascii="Arial" w:hAnsi="Arial" w:cs="Arial"/>
          <w:szCs w:val="20"/>
          <w:lang w:val="en-GB"/>
        </w:rPr>
      </w:pPr>
      <w:r>
        <w:rPr>
          <w:rFonts w:ascii="Arial" w:hAnsi="Arial" w:cs="Arial"/>
          <w:szCs w:val="20"/>
          <w:lang w:val="en-GB"/>
        </w:rPr>
        <w:t xml:space="preserve">Case code: </w:t>
      </w:r>
      <w:r w:rsidR="004D1495" w:rsidRPr="00D65044">
        <w:rPr>
          <w:rFonts w:ascii="Arial" w:hAnsi="Arial" w:cs="Arial"/>
          <w:szCs w:val="20"/>
          <w:lang w:val="en-GB"/>
        </w:rPr>
        <w:t>CRPD/C/17/D/31/2015</w:t>
      </w:r>
    </w:p>
    <w:p w14:paraId="473AD483" w14:textId="77777777" w:rsidR="001021CE" w:rsidRPr="004D1495" w:rsidRDefault="00AA53AF" w:rsidP="001021CE">
      <w:pPr>
        <w:spacing w:after="0"/>
        <w:jc w:val="both"/>
        <w:rPr>
          <w:rFonts w:ascii="Arial" w:hAnsi="Arial" w:cs="Arial"/>
          <w:szCs w:val="20"/>
          <w:lang w:val="en-GB"/>
        </w:rPr>
      </w:pPr>
      <w:r>
        <w:rPr>
          <w:rFonts w:ascii="Arial" w:hAnsi="Arial" w:cs="Arial"/>
          <w:szCs w:val="20"/>
          <w:lang w:val="en-GB"/>
        </w:rPr>
        <w:t xml:space="preserve">Communication no </w:t>
      </w:r>
      <w:r w:rsidR="00F40F7C" w:rsidRPr="004D1495">
        <w:rPr>
          <w:rFonts w:ascii="Arial" w:hAnsi="Arial" w:cs="Arial"/>
          <w:szCs w:val="20"/>
          <w:lang w:val="en-GB"/>
        </w:rPr>
        <w:t>3</w:t>
      </w:r>
      <w:r>
        <w:rPr>
          <w:rFonts w:ascii="Arial" w:hAnsi="Arial" w:cs="Arial"/>
          <w:szCs w:val="20"/>
          <w:lang w:val="en-GB"/>
        </w:rPr>
        <w:t>1/2015</w:t>
      </w:r>
    </w:p>
    <w:p w14:paraId="36F771CB" w14:textId="77777777" w:rsidR="001021CE" w:rsidRPr="004D1495" w:rsidRDefault="001021CE" w:rsidP="001021CE">
      <w:pPr>
        <w:spacing w:after="0"/>
        <w:jc w:val="both"/>
        <w:rPr>
          <w:rFonts w:ascii="Arial" w:hAnsi="Arial" w:cs="Arial"/>
          <w:szCs w:val="20"/>
          <w:lang w:val="en-GB"/>
        </w:rPr>
      </w:pPr>
      <w:r w:rsidRPr="004D1495">
        <w:rPr>
          <w:rFonts w:ascii="Arial" w:hAnsi="Arial" w:cs="Arial"/>
          <w:szCs w:val="20"/>
          <w:lang w:val="en-GB"/>
        </w:rPr>
        <w:t>Date of communication (initial submission):</w:t>
      </w:r>
      <w:r w:rsidRPr="004D1495">
        <w:rPr>
          <w:rFonts w:ascii="Arial" w:hAnsi="Arial" w:cs="Arial"/>
          <w:szCs w:val="20"/>
          <w:lang w:val="en-GB"/>
        </w:rPr>
        <w:tab/>
      </w:r>
      <w:r w:rsidRPr="004D1495">
        <w:rPr>
          <w:rFonts w:ascii="Arial" w:hAnsi="Arial" w:cs="Arial"/>
          <w:szCs w:val="20"/>
          <w:lang w:val="en-GB"/>
        </w:rPr>
        <w:tab/>
      </w:r>
      <w:r w:rsidR="00AA53AF">
        <w:rPr>
          <w:rFonts w:ascii="Arial" w:hAnsi="Arial" w:cs="Arial"/>
          <w:szCs w:val="20"/>
          <w:lang w:val="en-GB"/>
        </w:rPr>
        <w:t>8 July 2015</w:t>
      </w:r>
      <w:r w:rsidRPr="004D1495">
        <w:rPr>
          <w:rFonts w:ascii="Arial" w:hAnsi="Arial" w:cs="Arial"/>
          <w:szCs w:val="20"/>
          <w:lang w:val="en-GB"/>
        </w:rPr>
        <w:t xml:space="preserve"> </w:t>
      </w:r>
    </w:p>
    <w:p w14:paraId="4DD5482B" w14:textId="77777777" w:rsidR="001021CE" w:rsidRPr="004D1495" w:rsidRDefault="001021CE" w:rsidP="001021CE">
      <w:pPr>
        <w:spacing w:after="0"/>
        <w:jc w:val="both"/>
        <w:rPr>
          <w:rFonts w:ascii="Arial" w:hAnsi="Arial" w:cs="Arial"/>
          <w:szCs w:val="20"/>
          <w:lang w:val="en-GB"/>
        </w:rPr>
      </w:pPr>
      <w:r w:rsidRPr="004D1495">
        <w:rPr>
          <w:rFonts w:ascii="Arial" w:hAnsi="Arial" w:cs="Arial"/>
          <w:szCs w:val="20"/>
          <w:lang w:val="en-GB"/>
        </w:rPr>
        <w:t>Date of adoption of Views:</w:t>
      </w:r>
      <w:r w:rsidRPr="004D1495">
        <w:rPr>
          <w:rFonts w:ascii="Arial" w:hAnsi="Arial" w:cs="Arial"/>
          <w:szCs w:val="20"/>
          <w:lang w:val="en-GB"/>
        </w:rPr>
        <w:tab/>
      </w:r>
      <w:r w:rsidRPr="004D1495">
        <w:rPr>
          <w:rFonts w:ascii="Arial" w:hAnsi="Arial" w:cs="Arial"/>
          <w:szCs w:val="20"/>
          <w:lang w:val="en-GB"/>
        </w:rPr>
        <w:tab/>
      </w:r>
      <w:r w:rsidRPr="004D1495">
        <w:rPr>
          <w:rFonts w:ascii="Arial" w:hAnsi="Arial" w:cs="Arial"/>
          <w:szCs w:val="20"/>
          <w:lang w:val="en-GB"/>
        </w:rPr>
        <w:tab/>
      </w:r>
      <w:r w:rsidRPr="004D1495">
        <w:rPr>
          <w:rFonts w:ascii="Arial" w:hAnsi="Arial" w:cs="Arial"/>
          <w:szCs w:val="20"/>
          <w:lang w:val="en-GB"/>
        </w:rPr>
        <w:tab/>
      </w:r>
      <w:r w:rsidR="00AA53AF">
        <w:rPr>
          <w:rFonts w:ascii="Arial" w:hAnsi="Arial" w:cs="Arial"/>
          <w:szCs w:val="20"/>
          <w:lang w:val="en-GB"/>
        </w:rPr>
        <w:t>24 March 2017</w:t>
      </w:r>
    </w:p>
    <w:p w14:paraId="0A3E8825" w14:textId="77777777" w:rsidR="00AA53AF" w:rsidRDefault="001021CE" w:rsidP="00AA53AF">
      <w:pPr>
        <w:tabs>
          <w:tab w:val="left" w:pos="4876"/>
        </w:tabs>
        <w:spacing w:after="0"/>
        <w:jc w:val="both"/>
        <w:rPr>
          <w:rFonts w:ascii="Arial" w:hAnsi="Arial" w:cs="Arial"/>
          <w:szCs w:val="20"/>
          <w:lang w:val="en-GB"/>
        </w:rPr>
      </w:pPr>
      <w:r w:rsidRPr="004D1495">
        <w:rPr>
          <w:rFonts w:ascii="Arial" w:hAnsi="Arial" w:cs="Arial"/>
          <w:szCs w:val="20"/>
          <w:lang w:val="en-GB"/>
        </w:rPr>
        <w:t>Invoked provisions of the Convention:</w:t>
      </w:r>
      <w:r w:rsidRPr="004D1495">
        <w:rPr>
          <w:rFonts w:ascii="Arial" w:hAnsi="Arial" w:cs="Arial"/>
          <w:szCs w:val="20"/>
          <w:lang w:val="en-GB"/>
        </w:rPr>
        <w:tab/>
      </w:r>
      <w:r w:rsidRPr="004D1495">
        <w:rPr>
          <w:rFonts w:ascii="Arial" w:hAnsi="Arial" w:cs="Arial"/>
          <w:szCs w:val="20"/>
          <w:lang w:val="en-GB"/>
        </w:rPr>
        <w:tab/>
      </w:r>
      <w:r w:rsidR="00F40F7C" w:rsidRPr="004D1495">
        <w:rPr>
          <w:rFonts w:ascii="Arial" w:hAnsi="Arial" w:cs="Arial"/>
          <w:szCs w:val="20"/>
          <w:lang w:val="en-GB"/>
        </w:rPr>
        <w:t xml:space="preserve">Articles </w:t>
      </w:r>
      <w:hyperlink r:id="rId7" w:anchor="2" w:history="1">
        <w:r w:rsidR="00F40F7C" w:rsidRPr="004D1495">
          <w:rPr>
            <w:rStyle w:val="Hyperlink"/>
            <w:rFonts w:ascii="Arial" w:hAnsi="Arial" w:cs="Arial"/>
            <w:szCs w:val="20"/>
            <w:lang w:val="en-GB"/>
          </w:rPr>
          <w:t>2</w:t>
        </w:r>
      </w:hyperlink>
      <w:r w:rsidR="00F40F7C" w:rsidRPr="004D1495">
        <w:rPr>
          <w:rFonts w:ascii="Arial" w:hAnsi="Arial" w:cs="Arial"/>
          <w:szCs w:val="20"/>
          <w:lang w:val="en-GB"/>
        </w:rPr>
        <w:t>,</w:t>
      </w:r>
      <w:r w:rsidR="00AA53AF">
        <w:rPr>
          <w:rFonts w:ascii="Arial" w:hAnsi="Arial" w:cs="Arial"/>
          <w:szCs w:val="20"/>
          <w:lang w:val="en-GB"/>
        </w:rPr>
        <w:t xml:space="preserve"> </w:t>
      </w:r>
      <w:hyperlink r:id="rId8" w:anchor="3" w:history="1">
        <w:r w:rsidR="00AA53AF" w:rsidRPr="00AA53AF">
          <w:rPr>
            <w:rStyle w:val="Hyperlink"/>
            <w:rFonts w:ascii="Arial" w:hAnsi="Arial" w:cs="Arial"/>
            <w:szCs w:val="20"/>
            <w:lang w:val="en-GB"/>
          </w:rPr>
          <w:t>3</w:t>
        </w:r>
      </w:hyperlink>
      <w:r w:rsidR="00AA53AF">
        <w:rPr>
          <w:rFonts w:ascii="Arial" w:hAnsi="Arial" w:cs="Arial"/>
          <w:szCs w:val="20"/>
          <w:lang w:val="en-GB"/>
        </w:rPr>
        <w:t>,</w:t>
      </w:r>
      <w:r w:rsidR="00F40F7C" w:rsidRPr="004D1495">
        <w:rPr>
          <w:rFonts w:ascii="Arial" w:hAnsi="Arial" w:cs="Arial"/>
          <w:szCs w:val="20"/>
          <w:lang w:val="en-GB"/>
        </w:rPr>
        <w:t xml:space="preserve"> </w:t>
      </w:r>
      <w:hyperlink r:id="rId9" w:anchor="4" w:history="1">
        <w:r w:rsidR="00F40F7C" w:rsidRPr="004D1495">
          <w:rPr>
            <w:rStyle w:val="Hyperlink"/>
            <w:rFonts w:ascii="Arial" w:hAnsi="Arial" w:cs="Arial"/>
            <w:szCs w:val="20"/>
            <w:lang w:val="en-GB"/>
          </w:rPr>
          <w:t>4</w:t>
        </w:r>
      </w:hyperlink>
      <w:r w:rsidR="00F40F7C" w:rsidRPr="004D1495">
        <w:rPr>
          <w:rFonts w:ascii="Arial" w:hAnsi="Arial" w:cs="Arial"/>
          <w:szCs w:val="20"/>
          <w:lang w:val="en-GB"/>
        </w:rPr>
        <w:t xml:space="preserve">, </w:t>
      </w:r>
      <w:hyperlink r:id="rId10" w:anchor="5" w:history="1">
        <w:r w:rsidR="00F40F7C" w:rsidRPr="00AA53AF">
          <w:rPr>
            <w:rStyle w:val="Hyperlink"/>
            <w:rFonts w:ascii="Arial" w:hAnsi="Arial" w:cs="Arial"/>
            <w:szCs w:val="20"/>
            <w:lang w:val="en-GB"/>
          </w:rPr>
          <w:t>5</w:t>
        </w:r>
        <w:r w:rsidR="00AA53AF" w:rsidRPr="00AA53AF">
          <w:rPr>
            <w:rStyle w:val="Hyperlink"/>
            <w:rFonts w:ascii="Arial" w:hAnsi="Arial" w:cs="Arial"/>
            <w:szCs w:val="20"/>
            <w:lang w:val="en-GB"/>
          </w:rPr>
          <w:t xml:space="preserve"> (2) and (3)</w:t>
        </w:r>
      </w:hyperlink>
      <w:r w:rsidR="00F40F7C" w:rsidRPr="004D1495">
        <w:rPr>
          <w:rFonts w:ascii="Arial" w:hAnsi="Arial" w:cs="Arial"/>
          <w:szCs w:val="20"/>
          <w:lang w:val="en-GB"/>
        </w:rPr>
        <w:t xml:space="preserve">, </w:t>
      </w:r>
      <w:hyperlink r:id="rId11" w:anchor="9" w:history="1">
        <w:r w:rsidR="00AA53AF" w:rsidRPr="00AA53AF">
          <w:rPr>
            <w:rStyle w:val="Hyperlink"/>
            <w:rFonts w:ascii="Arial" w:hAnsi="Arial" w:cs="Arial"/>
            <w:szCs w:val="20"/>
            <w:lang w:val="en-GB"/>
          </w:rPr>
          <w:t>9</w:t>
        </w:r>
      </w:hyperlink>
      <w:r w:rsidR="00AA53AF">
        <w:rPr>
          <w:rFonts w:ascii="Arial" w:hAnsi="Arial" w:cs="Arial"/>
          <w:szCs w:val="20"/>
          <w:lang w:val="en-GB"/>
        </w:rPr>
        <w:t xml:space="preserve">, </w:t>
      </w:r>
      <w:hyperlink r:id="rId12" w:anchor="12" w:history="1">
        <w:r w:rsidR="00F40F7C" w:rsidRPr="004D1495">
          <w:rPr>
            <w:rStyle w:val="Hyperlink"/>
            <w:rFonts w:ascii="Arial" w:hAnsi="Arial" w:cs="Arial"/>
            <w:szCs w:val="20"/>
            <w:lang w:val="en-GB"/>
          </w:rPr>
          <w:t>12</w:t>
        </w:r>
      </w:hyperlink>
      <w:r w:rsidR="00F40F7C" w:rsidRPr="004D1495">
        <w:rPr>
          <w:rFonts w:ascii="Arial" w:hAnsi="Arial" w:cs="Arial"/>
          <w:szCs w:val="20"/>
          <w:lang w:val="en-GB"/>
        </w:rPr>
        <w:t xml:space="preserve">, </w:t>
      </w:r>
      <w:hyperlink r:id="rId13" w:anchor="21" w:history="1">
        <w:r w:rsidR="00F40F7C" w:rsidRPr="004D1495">
          <w:rPr>
            <w:rStyle w:val="Hyperlink"/>
            <w:rFonts w:ascii="Arial" w:hAnsi="Arial" w:cs="Arial"/>
            <w:szCs w:val="20"/>
            <w:lang w:val="en-GB"/>
          </w:rPr>
          <w:t>21</w:t>
        </w:r>
      </w:hyperlink>
      <w:r w:rsidR="00AA53AF">
        <w:rPr>
          <w:rFonts w:ascii="Arial" w:hAnsi="Arial" w:cs="Arial"/>
          <w:szCs w:val="20"/>
          <w:lang w:val="en-GB"/>
        </w:rPr>
        <w:t xml:space="preserve">, </w:t>
      </w:r>
      <w:hyperlink r:id="rId14" w:anchor="24" w:history="1">
        <w:r w:rsidR="00AA53AF" w:rsidRPr="00AA53AF">
          <w:rPr>
            <w:rStyle w:val="Hyperlink"/>
            <w:rFonts w:ascii="Arial" w:hAnsi="Arial" w:cs="Arial"/>
            <w:szCs w:val="20"/>
            <w:lang w:val="en-GB"/>
          </w:rPr>
          <w:t>24</w:t>
        </w:r>
      </w:hyperlink>
    </w:p>
    <w:p w14:paraId="1BF9A3D9" w14:textId="77777777" w:rsidR="00F40F7C" w:rsidRPr="004D1495" w:rsidRDefault="00AA53AF" w:rsidP="00AA53AF">
      <w:pPr>
        <w:tabs>
          <w:tab w:val="left" w:pos="4961"/>
        </w:tabs>
        <w:spacing w:after="0"/>
        <w:jc w:val="both"/>
        <w:rPr>
          <w:rFonts w:ascii="Arial" w:hAnsi="Arial" w:cs="Arial"/>
          <w:szCs w:val="20"/>
          <w:lang w:val="en-GB"/>
        </w:rPr>
      </w:pPr>
      <w:r>
        <w:rPr>
          <w:rFonts w:ascii="Arial" w:hAnsi="Arial" w:cs="Arial"/>
          <w:szCs w:val="20"/>
          <w:lang w:val="en-GB"/>
        </w:rPr>
        <w:tab/>
        <w:t xml:space="preserve">and </w:t>
      </w:r>
      <w:hyperlink r:id="rId15" w:anchor="25" w:history="1">
        <w:r w:rsidRPr="00AA53AF">
          <w:rPr>
            <w:rStyle w:val="Hyperlink"/>
            <w:rFonts w:ascii="Arial" w:hAnsi="Arial" w:cs="Arial"/>
            <w:szCs w:val="20"/>
            <w:lang w:val="en-GB"/>
          </w:rPr>
          <w:t>25</w:t>
        </w:r>
      </w:hyperlink>
    </w:p>
    <w:p w14:paraId="530F7C58" w14:textId="77777777" w:rsidR="001021CE" w:rsidRPr="004D1495" w:rsidRDefault="001021CE" w:rsidP="00F40F7C">
      <w:pPr>
        <w:spacing w:after="0"/>
        <w:jc w:val="both"/>
        <w:rPr>
          <w:rFonts w:ascii="Arial" w:hAnsi="Arial" w:cs="Arial"/>
          <w:szCs w:val="20"/>
          <w:lang w:val="en-GB"/>
        </w:rPr>
      </w:pPr>
      <w:r w:rsidRPr="004D1495">
        <w:rPr>
          <w:rFonts w:ascii="Arial" w:hAnsi="Arial" w:cs="Arial"/>
          <w:szCs w:val="20"/>
          <w:lang w:val="en-GB"/>
        </w:rPr>
        <w:t>Provisions of the Optional Protocol:</w:t>
      </w:r>
      <w:r w:rsidRPr="004D1495">
        <w:rPr>
          <w:rFonts w:ascii="Arial" w:hAnsi="Arial" w:cs="Arial"/>
          <w:szCs w:val="20"/>
          <w:lang w:val="en-GB"/>
        </w:rPr>
        <w:tab/>
      </w:r>
      <w:r w:rsidRPr="004D1495">
        <w:rPr>
          <w:rFonts w:ascii="Arial" w:hAnsi="Arial" w:cs="Arial"/>
          <w:szCs w:val="20"/>
          <w:lang w:val="en-GB"/>
        </w:rPr>
        <w:tab/>
      </w:r>
      <w:r w:rsidRPr="004D1495">
        <w:rPr>
          <w:rFonts w:ascii="Arial" w:hAnsi="Arial" w:cs="Arial"/>
          <w:szCs w:val="20"/>
          <w:lang w:val="en-GB"/>
        </w:rPr>
        <w:tab/>
      </w:r>
      <w:r w:rsidR="00F40F7C" w:rsidRPr="004D1495">
        <w:rPr>
          <w:rFonts w:ascii="Arial" w:hAnsi="Arial" w:cs="Arial"/>
          <w:szCs w:val="20"/>
          <w:lang w:val="en-GB"/>
        </w:rPr>
        <w:t xml:space="preserve">Articles </w:t>
      </w:r>
      <w:hyperlink r:id="rId16" w:anchor="2" w:history="1">
        <w:r w:rsidR="00AA53AF" w:rsidRPr="00A77382">
          <w:rPr>
            <w:rStyle w:val="Hyperlink"/>
            <w:rFonts w:ascii="Arial" w:hAnsi="Arial" w:cs="Arial"/>
            <w:szCs w:val="20"/>
            <w:lang w:val="en-GB"/>
          </w:rPr>
          <w:t>2(d)</w:t>
        </w:r>
      </w:hyperlink>
    </w:p>
    <w:p w14:paraId="142224DF" w14:textId="77777777" w:rsidR="00F40F7C" w:rsidRPr="004D1495" w:rsidRDefault="00F40F7C" w:rsidP="001021CE">
      <w:pPr>
        <w:spacing w:after="0"/>
        <w:ind w:left="2124" w:hanging="2124"/>
        <w:jc w:val="both"/>
        <w:rPr>
          <w:rFonts w:ascii="Arial" w:hAnsi="Arial" w:cs="Arial"/>
          <w:szCs w:val="20"/>
          <w:lang w:val="en-GB"/>
        </w:rPr>
      </w:pPr>
    </w:p>
    <w:p w14:paraId="7CED3DE0" w14:textId="77777777" w:rsidR="005B4E53" w:rsidRDefault="001021CE" w:rsidP="001021CE">
      <w:pPr>
        <w:spacing w:after="0"/>
        <w:ind w:left="2124" w:hanging="2124"/>
        <w:jc w:val="both"/>
        <w:rPr>
          <w:rFonts w:ascii="Arial" w:hAnsi="Arial" w:cs="Arial"/>
          <w:szCs w:val="20"/>
          <w:lang w:val="en-GB"/>
        </w:rPr>
      </w:pPr>
      <w:r w:rsidRPr="004D1495">
        <w:rPr>
          <w:rFonts w:ascii="Arial" w:hAnsi="Arial" w:cs="Arial"/>
          <w:szCs w:val="20"/>
          <w:lang w:val="en-GB"/>
        </w:rPr>
        <w:t xml:space="preserve">Keywords: </w:t>
      </w:r>
      <w:r w:rsidRPr="004D1495">
        <w:rPr>
          <w:rFonts w:ascii="Arial" w:hAnsi="Arial" w:cs="Arial"/>
          <w:szCs w:val="20"/>
          <w:lang w:val="en-GB"/>
        </w:rPr>
        <w:tab/>
      </w:r>
      <w:r w:rsidR="005B4E53">
        <w:rPr>
          <w:rFonts w:ascii="Arial" w:hAnsi="Arial" w:cs="Arial"/>
          <w:szCs w:val="20"/>
          <w:lang w:val="en-GB"/>
        </w:rPr>
        <w:t xml:space="preserve">non-discrimination, access to education, facilitated communication, </w:t>
      </w:r>
      <w:r w:rsidR="00427147">
        <w:rPr>
          <w:rFonts w:ascii="Arial" w:hAnsi="Arial" w:cs="Arial"/>
          <w:szCs w:val="20"/>
          <w:lang w:val="en-GB"/>
        </w:rPr>
        <w:t xml:space="preserve">legal capacity, </w:t>
      </w:r>
      <w:r w:rsidR="009D6E48">
        <w:rPr>
          <w:rFonts w:ascii="Arial" w:hAnsi="Arial" w:cs="Arial"/>
          <w:szCs w:val="20"/>
          <w:lang w:val="en-GB"/>
        </w:rPr>
        <w:t xml:space="preserve">freedom of </w:t>
      </w:r>
      <w:r w:rsidR="00B07BF2">
        <w:rPr>
          <w:rFonts w:ascii="Arial" w:hAnsi="Arial" w:cs="Arial"/>
          <w:szCs w:val="20"/>
          <w:lang w:val="en-GB"/>
        </w:rPr>
        <w:t>expression and opinion</w:t>
      </w:r>
      <w:r w:rsidR="009D6E48">
        <w:rPr>
          <w:rFonts w:ascii="Arial" w:hAnsi="Arial" w:cs="Arial"/>
          <w:szCs w:val="20"/>
          <w:lang w:val="en-GB"/>
        </w:rPr>
        <w:t>,</w:t>
      </w:r>
      <w:r w:rsidR="00B07BF2">
        <w:rPr>
          <w:rFonts w:ascii="Arial" w:hAnsi="Arial" w:cs="Arial"/>
          <w:szCs w:val="20"/>
          <w:lang w:val="en-GB"/>
        </w:rPr>
        <w:t xml:space="preserve"> access to information</w:t>
      </w:r>
      <w:r w:rsidR="002C4ED7">
        <w:rPr>
          <w:rFonts w:ascii="Arial" w:hAnsi="Arial" w:cs="Arial"/>
          <w:szCs w:val="20"/>
          <w:lang w:val="en-GB"/>
        </w:rPr>
        <w:t>, exhaustion of domestic remedies</w:t>
      </w:r>
    </w:p>
    <w:p w14:paraId="346BA36D" w14:textId="77777777" w:rsidR="00F40F7C" w:rsidRPr="004D1495" w:rsidRDefault="00F40F7C" w:rsidP="001021CE">
      <w:pPr>
        <w:spacing w:after="0"/>
        <w:ind w:left="2124" w:hanging="2124"/>
        <w:jc w:val="both"/>
        <w:rPr>
          <w:rFonts w:ascii="Arial" w:hAnsi="Arial" w:cs="Arial"/>
          <w:szCs w:val="20"/>
          <w:lang w:val="en-GB"/>
        </w:rPr>
      </w:pPr>
    </w:p>
    <w:p w14:paraId="2069598D" w14:textId="77777777" w:rsidR="001021CE" w:rsidRPr="004D1495" w:rsidRDefault="00F40F7C" w:rsidP="00F40F7C">
      <w:pPr>
        <w:spacing w:after="0"/>
        <w:ind w:left="2124" w:hanging="2124"/>
        <w:jc w:val="both"/>
        <w:rPr>
          <w:rFonts w:ascii="Arial" w:hAnsi="Arial" w:cs="Arial"/>
          <w:szCs w:val="20"/>
          <w:lang w:val="en-GB"/>
        </w:rPr>
      </w:pPr>
      <w:r w:rsidRPr="004D1495">
        <w:rPr>
          <w:rFonts w:ascii="Arial" w:hAnsi="Arial" w:cs="Arial"/>
          <w:szCs w:val="20"/>
          <w:lang w:val="en-GB"/>
        </w:rPr>
        <w:t xml:space="preserve">Decision: </w:t>
      </w:r>
      <w:r w:rsidRPr="004D1495">
        <w:rPr>
          <w:rFonts w:ascii="Arial" w:hAnsi="Arial" w:cs="Arial"/>
          <w:szCs w:val="20"/>
          <w:lang w:val="en-GB"/>
        </w:rPr>
        <w:tab/>
      </w:r>
      <w:r w:rsidR="00AD2818">
        <w:rPr>
          <w:rFonts w:ascii="Arial" w:hAnsi="Arial" w:cs="Arial"/>
          <w:szCs w:val="20"/>
          <w:lang w:val="en-GB"/>
        </w:rPr>
        <w:t xml:space="preserve">Inadmissibility under article </w:t>
      </w:r>
      <w:hyperlink r:id="rId17" w:anchor="2" w:history="1">
        <w:r w:rsidR="00FF3F4F">
          <w:rPr>
            <w:rStyle w:val="Hyperlink"/>
            <w:rFonts w:ascii="Arial" w:hAnsi="Arial" w:cs="Arial"/>
            <w:szCs w:val="20"/>
            <w:lang w:val="en-GB"/>
          </w:rPr>
          <w:t>2</w:t>
        </w:r>
        <w:r w:rsidR="00AD2818" w:rsidRPr="00AD2818">
          <w:rPr>
            <w:rStyle w:val="Hyperlink"/>
            <w:rFonts w:ascii="Arial" w:hAnsi="Arial" w:cs="Arial"/>
            <w:szCs w:val="20"/>
            <w:lang w:val="en-GB"/>
          </w:rPr>
          <w:t>(d)</w:t>
        </w:r>
      </w:hyperlink>
      <w:r w:rsidR="00AD2818">
        <w:rPr>
          <w:rFonts w:ascii="Arial" w:hAnsi="Arial" w:cs="Arial"/>
          <w:szCs w:val="20"/>
          <w:lang w:val="en-GB"/>
        </w:rPr>
        <w:t xml:space="preserve"> of the Optional Protocol</w:t>
      </w:r>
    </w:p>
    <w:p w14:paraId="049D3E9B" w14:textId="77777777" w:rsidR="00F40F7C" w:rsidRPr="004D1495" w:rsidRDefault="00F40F7C" w:rsidP="001021CE">
      <w:pPr>
        <w:spacing w:after="0"/>
        <w:jc w:val="both"/>
        <w:rPr>
          <w:rFonts w:ascii="Arial" w:hAnsi="Arial" w:cs="Arial"/>
          <w:szCs w:val="20"/>
          <w:lang w:val="en-GB"/>
        </w:rPr>
      </w:pPr>
    </w:p>
    <w:p w14:paraId="1F77859F" w14:textId="77777777" w:rsidR="001021CE" w:rsidRDefault="00D65044" w:rsidP="001021CE">
      <w:pPr>
        <w:spacing w:after="0"/>
        <w:jc w:val="both"/>
        <w:rPr>
          <w:rFonts w:ascii="Arial" w:hAnsi="Arial" w:cs="Arial"/>
          <w:szCs w:val="20"/>
          <w:lang w:val="en-GB"/>
        </w:rPr>
      </w:pPr>
      <w:r w:rsidRPr="00F176E0">
        <w:rPr>
          <w:rFonts w:ascii="Arial" w:hAnsi="Arial" w:cs="Arial"/>
          <w:szCs w:val="20"/>
          <w:lang w:val="en-GB"/>
        </w:rPr>
        <w:t xml:space="preserve">Full decision in HTML format (webpage): </w:t>
      </w:r>
      <w:hyperlink r:id="rId18" w:history="1">
        <w:r w:rsidR="00021A10" w:rsidRPr="000679CD">
          <w:rPr>
            <w:rStyle w:val="Hyperlink"/>
            <w:rFonts w:ascii="Arial" w:hAnsi="Arial" w:cs="Arial"/>
            <w:szCs w:val="20"/>
            <w:lang w:val="en-GB"/>
          </w:rPr>
          <w:t>Arabic</w:t>
        </w:r>
      </w:hyperlink>
      <w:r w:rsidR="00021A10" w:rsidRPr="00021A10">
        <w:rPr>
          <w:rFonts w:ascii="Arial" w:hAnsi="Arial" w:cs="Arial"/>
          <w:szCs w:val="20"/>
          <w:lang w:val="en-GB"/>
        </w:rPr>
        <w:t xml:space="preserve">, </w:t>
      </w:r>
      <w:hyperlink r:id="rId19" w:history="1">
        <w:r w:rsidR="00021A10" w:rsidRPr="000679CD">
          <w:rPr>
            <w:rStyle w:val="Hyperlink"/>
            <w:rFonts w:ascii="Arial" w:hAnsi="Arial" w:cs="Arial"/>
            <w:szCs w:val="20"/>
            <w:lang w:val="en-GB"/>
          </w:rPr>
          <w:t>Chinese</w:t>
        </w:r>
      </w:hyperlink>
      <w:r w:rsidR="00021A10" w:rsidRPr="00021A10">
        <w:rPr>
          <w:rFonts w:ascii="Arial" w:hAnsi="Arial" w:cs="Arial"/>
          <w:szCs w:val="20"/>
          <w:lang w:val="en-GB"/>
        </w:rPr>
        <w:t xml:space="preserve">, </w:t>
      </w:r>
      <w:hyperlink r:id="rId20" w:history="1">
        <w:r w:rsidR="00021A10" w:rsidRPr="00021A10">
          <w:rPr>
            <w:rStyle w:val="Hyperlink"/>
            <w:rFonts w:ascii="Arial" w:hAnsi="Arial" w:cs="Arial"/>
            <w:szCs w:val="20"/>
            <w:lang w:val="en-GB"/>
          </w:rPr>
          <w:t>English</w:t>
        </w:r>
      </w:hyperlink>
      <w:r w:rsidR="00021A10" w:rsidRPr="00021A10">
        <w:rPr>
          <w:rFonts w:ascii="Arial" w:hAnsi="Arial" w:cs="Arial"/>
          <w:szCs w:val="20"/>
          <w:lang w:val="en-GB"/>
        </w:rPr>
        <w:t xml:space="preserve">, </w:t>
      </w:r>
      <w:hyperlink r:id="rId21" w:history="1">
        <w:r w:rsidR="00021A10" w:rsidRPr="000679CD">
          <w:rPr>
            <w:rStyle w:val="Hyperlink"/>
            <w:rFonts w:ascii="Arial" w:hAnsi="Arial" w:cs="Arial"/>
            <w:szCs w:val="20"/>
            <w:lang w:val="en-GB"/>
          </w:rPr>
          <w:t>French</w:t>
        </w:r>
      </w:hyperlink>
      <w:r w:rsidR="00021A10" w:rsidRPr="00021A10">
        <w:rPr>
          <w:rFonts w:ascii="Arial" w:hAnsi="Arial" w:cs="Arial"/>
          <w:szCs w:val="20"/>
          <w:lang w:val="en-GB"/>
        </w:rPr>
        <w:t>,</w:t>
      </w:r>
      <w:r w:rsidRPr="00910967">
        <w:rPr>
          <w:lang w:val="en-GB"/>
        </w:rPr>
        <w:t xml:space="preserve"> </w:t>
      </w:r>
      <w:hyperlink r:id="rId22" w:history="1">
        <w:r w:rsidRPr="000679CD">
          <w:rPr>
            <w:rStyle w:val="Hyperlink"/>
            <w:rFonts w:ascii="Arial" w:hAnsi="Arial" w:cs="Arial"/>
            <w:szCs w:val="20"/>
            <w:lang w:val="en-GB"/>
          </w:rPr>
          <w:t>Russian</w:t>
        </w:r>
      </w:hyperlink>
      <w:r w:rsidR="00021A10" w:rsidRPr="00021A10">
        <w:rPr>
          <w:rFonts w:ascii="Arial" w:hAnsi="Arial" w:cs="Arial"/>
          <w:szCs w:val="20"/>
          <w:lang w:val="en-GB"/>
        </w:rPr>
        <w:t xml:space="preserve"> </w:t>
      </w:r>
      <w:r w:rsidRPr="00021A10">
        <w:rPr>
          <w:rFonts w:ascii="Arial" w:hAnsi="Arial" w:cs="Arial"/>
          <w:szCs w:val="20"/>
          <w:lang w:val="en-GB"/>
        </w:rPr>
        <w:t xml:space="preserve">and </w:t>
      </w:r>
      <w:hyperlink r:id="rId23" w:history="1">
        <w:r w:rsidR="00021A10" w:rsidRPr="000679CD">
          <w:rPr>
            <w:rStyle w:val="Hyperlink"/>
            <w:rFonts w:ascii="Arial" w:hAnsi="Arial" w:cs="Arial"/>
            <w:szCs w:val="20"/>
            <w:lang w:val="en-GB"/>
          </w:rPr>
          <w:t>Spanish</w:t>
        </w:r>
      </w:hyperlink>
      <w:r w:rsidR="00021A10" w:rsidRPr="00021A10">
        <w:rPr>
          <w:rFonts w:ascii="Arial" w:hAnsi="Arial" w:cs="Arial"/>
          <w:szCs w:val="20"/>
          <w:lang w:val="en-GB"/>
        </w:rPr>
        <w:t xml:space="preserve"> </w:t>
      </w:r>
    </w:p>
    <w:p w14:paraId="474DD8E9" w14:textId="77777777" w:rsidR="00D65044" w:rsidRDefault="00D65044" w:rsidP="00D65044">
      <w:pPr>
        <w:spacing w:after="0"/>
        <w:jc w:val="both"/>
        <w:rPr>
          <w:rFonts w:ascii="Arial" w:hAnsi="Arial" w:cs="Arial"/>
          <w:szCs w:val="20"/>
          <w:lang w:val="en-GB"/>
        </w:rPr>
      </w:pPr>
    </w:p>
    <w:p w14:paraId="10874CAC" w14:textId="77777777" w:rsidR="00910967" w:rsidRDefault="00910967" w:rsidP="00910967">
      <w:pPr>
        <w:spacing w:after="0"/>
        <w:jc w:val="both"/>
        <w:rPr>
          <w:rFonts w:ascii="Arial" w:hAnsi="Arial" w:cs="Arial"/>
          <w:szCs w:val="20"/>
          <w:lang w:val="en-GB"/>
        </w:rPr>
      </w:pPr>
      <w:r w:rsidRPr="00725785">
        <w:rPr>
          <w:rFonts w:ascii="Arial" w:hAnsi="Arial" w:cs="Arial"/>
          <w:szCs w:val="20"/>
          <w:lang w:val="en-GB"/>
        </w:rPr>
        <w:t xml:space="preserve">For full decision in PDF and/or Word format in UN official languages </w:t>
      </w:r>
      <w:r>
        <w:rPr>
          <w:rFonts w:ascii="Arial" w:hAnsi="Arial" w:cs="Arial"/>
          <w:szCs w:val="20"/>
          <w:lang w:val="en-GB"/>
        </w:rPr>
        <w:t xml:space="preserve">search in </w:t>
      </w:r>
      <w:hyperlink r:id="rId24" w:history="1">
        <w:r w:rsidRPr="00FA7F4E">
          <w:rPr>
            <w:rStyle w:val="Hyperlink"/>
            <w:rFonts w:ascii="Arial" w:hAnsi="Arial" w:cs="Arial"/>
            <w:szCs w:val="20"/>
            <w:lang w:val="en-GB"/>
          </w:rPr>
          <w:t>https://documents.un.org</w:t>
        </w:r>
      </w:hyperlink>
      <w:r>
        <w:rPr>
          <w:rFonts w:ascii="Arial" w:hAnsi="Arial" w:cs="Arial"/>
          <w:szCs w:val="20"/>
          <w:lang w:val="en-GB"/>
        </w:rPr>
        <w:t>, fill the blank space after ‘Symbol’ with the CRPD case code mentioned above and then click on ‘Details’.</w:t>
      </w:r>
    </w:p>
    <w:p w14:paraId="319516C9" w14:textId="77777777" w:rsidR="00021A10" w:rsidRPr="004D1495" w:rsidRDefault="00021A10" w:rsidP="001021CE">
      <w:pPr>
        <w:spacing w:after="0"/>
        <w:jc w:val="both"/>
        <w:rPr>
          <w:rFonts w:ascii="Arial" w:hAnsi="Arial" w:cs="Arial"/>
          <w:szCs w:val="20"/>
          <w:lang w:val="en-GB"/>
        </w:rPr>
      </w:pPr>
      <w:bookmarkStart w:id="0" w:name="_GoBack"/>
      <w:bookmarkEnd w:id="0"/>
    </w:p>
    <w:p w14:paraId="3F97EE9E" w14:textId="77777777" w:rsidR="001021CE" w:rsidRPr="004D1495" w:rsidRDefault="001021CE" w:rsidP="001021CE">
      <w:pPr>
        <w:spacing w:after="120"/>
        <w:jc w:val="both"/>
        <w:rPr>
          <w:rFonts w:ascii="Arial" w:hAnsi="Arial" w:cs="Arial"/>
          <w:sz w:val="28"/>
          <w:szCs w:val="28"/>
          <w:lang w:val="en-GB"/>
        </w:rPr>
      </w:pPr>
      <w:r w:rsidRPr="004D1495">
        <w:rPr>
          <w:rFonts w:ascii="Arial" w:hAnsi="Arial" w:cs="Arial"/>
          <w:sz w:val="28"/>
          <w:szCs w:val="28"/>
          <w:lang w:val="en-GB"/>
        </w:rPr>
        <w:t>Facts</w:t>
      </w:r>
    </w:p>
    <w:p w14:paraId="42A9F5D2" w14:textId="77777777" w:rsidR="00584635" w:rsidRDefault="00DD462D" w:rsidP="00DD462D">
      <w:pPr>
        <w:spacing w:after="0"/>
        <w:jc w:val="both"/>
        <w:rPr>
          <w:rFonts w:ascii="Arial" w:hAnsi="Arial" w:cs="Arial"/>
          <w:lang w:val="en-GB"/>
        </w:rPr>
      </w:pPr>
      <w:r w:rsidRPr="004D1495">
        <w:rPr>
          <w:rFonts w:ascii="Arial" w:hAnsi="Arial" w:cs="Arial"/>
          <w:lang w:val="en-GB"/>
        </w:rPr>
        <w:t>The author</w:t>
      </w:r>
      <w:r w:rsidR="00D21037">
        <w:rPr>
          <w:rFonts w:ascii="Arial" w:hAnsi="Arial" w:cs="Arial"/>
          <w:lang w:val="en-GB"/>
        </w:rPr>
        <w:t xml:space="preserve"> has been diagnosed with “autism with a moderate development disorder”. He is a student </w:t>
      </w:r>
      <w:r w:rsidR="00427147">
        <w:rPr>
          <w:rFonts w:ascii="Arial" w:hAnsi="Arial" w:cs="Arial"/>
          <w:lang w:val="en-GB"/>
        </w:rPr>
        <w:t>in a school for children with special needs and</w:t>
      </w:r>
      <w:r w:rsidR="00D21037">
        <w:rPr>
          <w:rFonts w:ascii="Arial" w:hAnsi="Arial" w:cs="Arial"/>
          <w:lang w:val="en-GB"/>
        </w:rPr>
        <w:t xml:space="preserve"> he used the “facilitated communication” method as a tool of communication to interact with staff and other students. On 19 December 2014, the Swedish Schools Inspectorate ordered the municipality</w:t>
      </w:r>
      <w:r w:rsidR="005B4E53">
        <w:rPr>
          <w:rFonts w:ascii="Arial" w:hAnsi="Arial" w:cs="Arial"/>
          <w:lang w:val="en-GB"/>
        </w:rPr>
        <w:t xml:space="preserve"> of Gothenburg to ensure that facilitated communication was not used in any of the municipality’s operations. The municipality implemented that decision.</w:t>
      </w:r>
      <w:r w:rsidR="00D225CD">
        <w:rPr>
          <w:rFonts w:ascii="Arial" w:hAnsi="Arial" w:cs="Arial"/>
          <w:lang w:val="en-GB"/>
        </w:rPr>
        <w:t xml:space="preserve"> </w:t>
      </w:r>
      <w:r w:rsidR="005B4E53">
        <w:rPr>
          <w:rFonts w:ascii="Arial" w:hAnsi="Arial" w:cs="Arial"/>
          <w:lang w:val="en-GB"/>
        </w:rPr>
        <w:t xml:space="preserve">The author </w:t>
      </w:r>
      <w:r w:rsidR="00427147">
        <w:rPr>
          <w:rFonts w:ascii="Arial" w:hAnsi="Arial" w:cs="Arial"/>
          <w:lang w:val="en-GB"/>
        </w:rPr>
        <w:t>alleged that decision</w:t>
      </w:r>
      <w:r w:rsidR="00FA1F25">
        <w:rPr>
          <w:rFonts w:ascii="Arial" w:hAnsi="Arial" w:cs="Arial"/>
          <w:lang w:val="en-GB"/>
        </w:rPr>
        <w:t xml:space="preserve"> amounts to a violation</w:t>
      </w:r>
      <w:r w:rsidR="004C6A95">
        <w:rPr>
          <w:rFonts w:ascii="Arial" w:hAnsi="Arial" w:cs="Arial"/>
          <w:lang w:val="en-GB"/>
        </w:rPr>
        <w:t xml:space="preserve"> of his rights to education and to legal capacity</w:t>
      </w:r>
      <w:r w:rsidR="00FA1F25">
        <w:rPr>
          <w:rFonts w:ascii="Arial" w:hAnsi="Arial" w:cs="Arial"/>
          <w:lang w:val="en-GB"/>
        </w:rPr>
        <w:t xml:space="preserve">, </w:t>
      </w:r>
      <w:r w:rsidR="004C6A95">
        <w:rPr>
          <w:rFonts w:ascii="Arial" w:hAnsi="Arial" w:cs="Arial"/>
          <w:lang w:val="en-GB"/>
        </w:rPr>
        <w:t>and has an impact on</w:t>
      </w:r>
      <w:r w:rsidR="00FA1F25">
        <w:rPr>
          <w:rFonts w:ascii="Arial" w:hAnsi="Arial" w:cs="Arial"/>
          <w:lang w:val="en-GB"/>
        </w:rPr>
        <w:t xml:space="preserve"> his health and </w:t>
      </w:r>
      <w:r w:rsidR="004C6A95">
        <w:rPr>
          <w:rFonts w:ascii="Arial" w:hAnsi="Arial" w:cs="Arial"/>
          <w:lang w:val="en-GB"/>
        </w:rPr>
        <w:t xml:space="preserve">on his freedom of expression. Since the prohibition of that facilitated communication, he has faced </w:t>
      </w:r>
      <w:r w:rsidR="00243568">
        <w:rPr>
          <w:rFonts w:ascii="Arial" w:hAnsi="Arial" w:cs="Arial"/>
          <w:lang w:val="en-GB"/>
        </w:rPr>
        <w:t>barriers</w:t>
      </w:r>
      <w:r w:rsidR="004C6A95">
        <w:rPr>
          <w:rFonts w:ascii="Arial" w:hAnsi="Arial" w:cs="Arial"/>
          <w:lang w:val="en-GB"/>
        </w:rPr>
        <w:t xml:space="preserve"> to p</w:t>
      </w:r>
      <w:r w:rsidR="008B37A6">
        <w:rPr>
          <w:rFonts w:ascii="Arial" w:hAnsi="Arial" w:cs="Arial"/>
          <w:lang w:val="en-GB"/>
        </w:rPr>
        <w:t xml:space="preserve">articipate in teaching sessions, </w:t>
      </w:r>
      <w:r w:rsidR="004C6A95">
        <w:rPr>
          <w:rFonts w:ascii="Arial" w:hAnsi="Arial" w:cs="Arial"/>
          <w:lang w:val="en-GB"/>
        </w:rPr>
        <w:t xml:space="preserve">to express his will to the staff at the </w:t>
      </w:r>
      <w:r w:rsidR="008B37A6">
        <w:rPr>
          <w:rFonts w:ascii="Arial" w:hAnsi="Arial" w:cs="Arial"/>
          <w:lang w:val="en-GB"/>
        </w:rPr>
        <w:t>school, and his health has been deteriorated by the prescription of one or two pills of Valium, a heavy narcotic drug, per day.</w:t>
      </w:r>
    </w:p>
    <w:p w14:paraId="0D484BA4" w14:textId="77777777" w:rsidR="00FA1F25" w:rsidRDefault="004C6A95" w:rsidP="00DD462D">
      <w:pPr>
        <w:spacing w:after="0"/>
        <w:jc w:val="both"/>
        <w:rPr>
          <w:rFonts w:ascii="Arial" w:hAnsi="Arial" w:cs="Arial"/>
          <w:lang w:val="en-GB"/>
        </w:rPr>
      </w:pPr>
      <w:r>
        <w:rPr>
          <w:rFonts w:ascii="Arial" w:hAnsi="Arial" w:cs="Arial"/>
          <w:lang w:val="en-GB"/>
        </w:rPr>
        <w:t xml:space="preserve">  </w:t>
      </w:r>
    </w:p>
    <w:p w14:paraId="298A7798" w14:textId="77777777" w:rsidR="00237081" w:rsidRDefault="00584635" w:rsidP="00DD462D">
      <w:pPr>
        <w:spacing w:after="0"/>
        <w:jc w:val="both"/>
        <w:rPr>
          <w:rFonts w:ascii="Arial" w:hAnsi="Arial" w:cs="Arial"/>
          <w:lang w:val="en-GB"/>
        </w:rPr>
      </w:pPr>
      <w:r>
        <w:rPr>
          <w:rFonts w:ascii="Arial" w:hAnsi="Arial" w:cs="Arial"/>
          <w:lang w:val="en-GB"/>
        </w:rPr>
        <w:t>The author argues that decision does not comply with the Convention and the Committee’s general comment No. 1 (2014) on equal recognition before the law</w:t>
      </w:r>
      <w:r w:rsidR="008B37A6">
        <w:rPr>
          <w:rFonts w:ascii="Arial" w:hAnsi="Arial" w:cs="Arial"/>
          <w:lang w:val="en-GB"/>
        </w:rPr>
        <w:t>. He appealed the Schools Inspectorate’s decision to the Administrative Court in Stockholm.</w:t>
      </w:r>
      <w:r w:rsidR="00B916E1">
        <w:rPr>
          <w:rFonts w:ascii="Arial" w:hAnsi="Arial" w:cs="Arial"/>
          <w:lang w:val="en-GB"/>
        </w:rPr>
        <w:t xml:space="preserve"> </w:t>
      </w:r>
      <w:r w:rsidR="008B37A6">
        <w:rPr>
          <w:rFonts w:ascii="Arial" w:hAnsi="Arial" w:cs="Arial"/>
          <w:lang w:val="en-GB"/>
        </w:rPr>
        <w:t>On 21 January 2015, the court decided that the Schools Inspectorate was not subject to appeal according to the Education Act and could be appealed under the Administrative Procedure Act</w:t>
      </w:r>
      <w:r w:rsidR="00237081">
        <w:rPr>
          <w:rFonts w:ascii="Arial" w:hAnsi="Arial" w:cs="Arial"/>
          <w:lang w:val="en-GB"/>
        </w:rPr>
        <w:t>, if the decision is necessary to satisfy the right to judicial proceedings under article 6.1 of the European Convention for the Protection of Human Rights and Fundamental Freedom</w:t>
      </w:r>
      <w:r w:rsidR="008B37A6">
        <w:rPr>
          <w:rFonts w:ascii="Arial" w:hAnsi="Arial" w:cs="Arial"/>
          <w:lang w:val="en-GB"/>
        </w:rPr>
        <w:t xml:space="preserve">. However, as the use of facilitated communication was not considered as a civil right referred to article 6.1 of </w:t>
      </w:r>
      <w:r w:rsidR="008B37A6">
        <w:rPr>
          <w:rFonts w:ascii="Arial" w:hAnsi="Arial" w:cs="Arial"/>
          <w:lang w:val="en-GB"/>
        </w:rPr>
        <w:lastRenderedPageBreak/>
        <w:t>the European Convention</w:t>
      </w:r>
      <w:r w:rsidR="00237081">
        <w:rPr>
          <w:rFonts w:ascii="Arial" w:hAnsi="Arial" w:cs="Arial"/>
          <w:lang w:val="en-GB"/>
        </w:rPr>
        <w:t xml:space="preserve"> for the Protection of Human Rights and Fundamental Freedom</w:t>
      </w:r>
      <w:r w:rsidR="008B37A6">
        <w:rPr>
          <w:rFonts w:ascii="Arial" w:hAnsi="Arial" w:cs="Arial"/>
          <w:lang w:val="en-GB"/>
        </w:rPr>
        <w:t xml:space="preserve">, </w:t>
      </w:r>
      <w:r w:rsidR="00237081">
        <w:rPr>
          <w:rFonts w:ascii="Arial" w:hAnsi="Arial" w:cs="Arial"/>
          <w:lang w:val="en-GB"/>
        </w:rPr>
        <w:t>the decision of the Schools Inspectorate could not be appealed. The author appealed the decision of the first instance court. On 13 February 2015, the Administrative Court</w:t>
      </w:r>
      <w:r w:rsidR="007D648F">
        <w:rPr>
          <w:rFonts w:ascii="Arial" w:hAnsi="Arial" w:cs="Arial"/>
          <w:lang w:val="en-GB"/>
        </w:rPr>
        <w:t xml:space="preserve"> of Appeal rejected his request for leave to appeal.</w:t>
      </w:r>
    </w:p>
    <w:p w14:paraId="401AD1B8" w14:textId="77777777" w:rsidR="00DD462D" w:rsidRPr="004D1495" w:rsidRDefault="00DD462D" w:rsidP="00DD462D">
      <w:pPr>
        <w:spacing w:after="0"/>
        <w:jc w:val="both"/>
        <w:rPr>
          <w:rFonts w:ascii="Arial" w:hAnsi="Arial" w:cs="Arial"/>
          <w:lang w:val="en-GB"/>
        </w:rPr>
      </w:pPr>
    </w:p>
    <w:p w14:paraId="5FEC4EF7" w14:textId="77777777" w:rsidR="00DD462D" w:rsidRPr="004D1495" w:rsidRDefault="00DD462D" w:rsidP="00DD462D">
      <w:pPr>
        <w:spacing w:after="120"/>
        <w:jc w:val="both"/>
        <w:rPr>
          <w:rFonts w:ascii="Arial" w:hAnsi="Arial" w:cs="Arial"/>
          <w:sz w:val="28"/>
          <w:szCs w:val="28"/>
          <w:lang w:val="en-GB"/>
        </w:rPr>
      </w:pPr>
      <w:r w:rsidRPr="004D1495">
        <w:rPr>
          <w:rFonts w:ascii="Arial" w:hAnsi="Arial" w:cs="Arial"/>
          <w:sz w:val="28"/>
          <w:szCs w:val="28"/>
          <w:lang w:val="en-GB"/>
        </w:rPr>
        <w:t>The complaint submitted to the Committee</w:t>
      </w:r>
    </w:p>
    <w:p w14:paraId="079E52BE" w14:textId="77777777" w:rsidR="007D648F" w:rsidRPr="004D1495" w:rsidRDefault="00DD462D" w:rsidP="00DD462D">
      <w:pPr>
        <w:spacing w:after="0"/>
        <w:jc w:val="both"/>
        <w:rPr>
          <w:rFonts w:ascii="Arial" w:hAnsi="Arial" w:cs="Arial"/>
          <w:szCs w:val="20"/>
          <w:lang w:val="en-GB"/>
        </w:rPr>
      </w:pPr>
      <w:r w:rsidRPr="004D1495">
        <w:rPr>
          <w:rFonts w:ascii="Arial" w:hAnsi="Arial" w:cs="Arial"/>
          <w:lang w:val="en-GB"/>
        </w:rPr>
        <w:t>The author claims that State has breached its obligations under Articles</w:t>
      </w:r>
      <w:r w:rsidRPr="004D1495">
        <w:rPr>
          <w:rFonts w:ascii="Arial" w:hAnsi="Arial" w:cs="Arial"/>
          <w:szCs w:val="20"/>
          <w:lang w:val="en-GB"/>
        </w:rPr>
        <w:t xml:space="preserve"> </w:t>
      </w:r>
      <w:hyperlink r:id="rId25" w:anchor="5" w:history="1">
        <w:r w:rsidRPr="004D1495">
          <w:rPr>
            <w:rStyle w:val="Hyperlink"/>
            <w:rFonts w:ascii="Arial" w:hAnsi="Arial" w:cs="Arial"/>
            <w:szCs w:val="20"/>
            <w:lang w:val="en-GB"/>
          </w:rPr>
          <w:t>5</w:t>
        </w:r>
      </w:hyperlink>
      <w:r w:rsidRPr="004D1495">
        <w:rPr>
          <w:rFonts w:ascii="Arial" w:hAnsi="Arial" w:cs="Arial"/>
          <w:szCs w:val="20"/>
          <w:lang w:val="en-GB"/>
        </w:rPr>
        <w:t xml:space="preserve">, </w:t>
      </w:r>
      <w:hyperlink r:id="rId26" w:anchor="24" w:history="1">
        <w:r w:rsidR="00D96723" w:rsidRPr="007D648F">
          <w:rPr>
            <w:rStyle w:val="Hyperlink"/>
            <w:rFonts w:ascii="Arial" w:hAnsi="Arial" w:cs="Arial"/>
            <w:szCs w:val="20"/>
            <w:lang w:val="en-GB"/>
          </w:rPr>
          <w:t>24</w:t>
        </w:r>
      </w:hyperlink>
      <w:r w:rsidR="00D96723">
        <w:rPr>
          <w:rFonts w:ascii="Arial" w:hAnsi="Arial" w:cs="Arial"/>
          <w:szCs w:val="20"/>
          <w:lang w:val="en-GB"/>
        </w:rPr>
        <w:t xml:space="preserve"> and </w:t>
      </w:r>
      <w:hyperlink r:id="rId27" w:anchor="25" w:history="1">
        <w:r w:rsidR="00D96723" w:rsidRPr="007D648F">
          <w:rPr>
            <w:rStyle w:val="Hyperlink"/>
            <w:rFonts w:ascii="Arial" w:hAnsi="Arial" w:cs="Arial"/>
            <w:szCs w:val="20"/>
            <w:lang w:val="en-GB"/>
          </w:rPr>
          <w:t>25</w:t>
        </w:r>
      </w:hyperlink>
      <w:r w:rsidRPr="004D1495">
        <w:rPr>
          <w:rFonts w:ascii="Arial" w:hAnsi="Arial" w:cs="Arial"/>
          <w:szCs w:val="20"/>
          <w:lang w:val="en-GB"/>
        </w:rPr>
        <w:t xml:space="preserve">, in conjunction with Articles </w:t>
      </w:r>
      <w:hyperlink r:id="rId28" w:anchor="2" w:history="1">
        <w:r w:rsidRPr="007D648F">
          <w:rPr>
            <w:rStyle w:val="Hyperlink"/>
            <w:rFonts w:ascii="Arial" w:hAnsi="Arial" w:cs="Arial"/>
            <w:szCs w:val="20"/>
            <w:lang w:val="en-GB"/>
          </w:rPr>
          <w:t>2</w:t>
        </w:r>
      </w:hyperlink>
      <w:r w:rsidR="00D96723">
        <w:rPr>
          <w:rStyle w:val="Hyperlink"/>
          <w:rFonts w:ascii="Arial" w:hAnsi="Arial" w:cs="Arial"/>
          <w:szCs w:val="20"/>
          <w:lang w:val="en-GB"/>
        </w:rPr>
        <w:t>,</w:t>
      </w:r>
      <w:hyperlink r:id="rId29" w:anchor="3" w:history="1">
        <w:r w:rsidR="00D96723" w:rsidRPr="007D648F">
          <w:rPr>
            <w:rStyle w:val="Hyperlink"/>
            <w:rFonts w:ascii="Arial" w:hAnsi="Arial" w:cs="Arial"/>
            <w:szCs w:val="20"/>
            <w:lang w:val="en-GB"/>
          </w:rPr>
          <w:t xml:space="preserve"> 3,</w:t>
        </w:r>
      </w:hyperlink>
      <w:hyperlink r:id="rId30" w:anchor="4" w:history="1">
        <w:r w:rsidR="00D96723" w:rsidRPr="007D648F">
          <w:rPr>
            <w:rStyle w:val="Hyperlink"/>
            <w:rFonts w:ascii="Arial" w:hAnsi="Arial" w:cs="Arial"/>
            <w:szCs w:val="20"/>
            <w:lang w:val="en-GB"/>
          </w:rPr>
          <w:t xml:space="preserve"> </w:t>
        </w:r>
        <w:r w:rsidRPr="007D648F">
          <w:rPr>
            <w:rStyle w:val="Hyperlink"/>
            <w:rFonts w:ascii="Arial" w:hAnsi="Arial" w:cs="Arial"/>
            <w:szCs w:val="20"/>
            <w:lang w:val="en-GB"/>
          </w:rPr>
          <w:t>4</w:t>
        </w:r>
      </w:hyperlink>
      <w:hyperlink r:id="rId31" w:anchor="9" w:history="1">
        <w:r w:rsidR="00D96723" w:rsidRPr="007D648F">
          <w:rPr>
            <w:rStyle w:val="Hyperlink"/>
            <w:rFonts w:ascii="Arial" w:hAnsi="Arial" w:cs="Arial"/>
            <w:szCs w:val="20"/>
            <w:lang w:val="en-GB"/>
          </w:rPr>
          <w:t>, 9</w:t>
        </w:r>
      </w:hyperlink>
      <w:r w:rsidR="00D96723">
        <w:rPr>
          <w:rStyle w:val="Hyperlink"/>
          <w:rFonts w:ascii="Arial" w:hAnsi="Arial" w:cs="Arial"/>
          <w:szCs w:val="20"/>
          <w:lang w:val="en-GB"/>
        </w:rPr>
        <w:t xml:space="preserve">, </w:t>
      </w:r>
      <w:hyperlink r:id="rId32" w:anchor="12" w:history="1">
        <w:r w:rsidR="00D96723" w:rsidRPr="007D648F">
          <w:rPr>
            <w:rStyle w:val="Hyperlink"/>
            <w:rFonts w:ascii="Arial" w:hAnsi="Arial" w:cs="Arial"/>
            <w:szCs w:val="20"/>
            <w:lang w:val="en-GB"/>
          </w:rPr>
          <w:t>12</w:t>
        </w:r>
      </w:hyperlink>
      <w:r w:rsidR="00D96723">
        <w:rPr>
          <w:rStyle w:val="Hyperlink"/>
          <w:rFonts w:ascii="Arial" w:hAnsi="Arial" w:cs="Arial"/>
          <w:szCs w:val="20"/>
          <w:lang w:val="en-GB"/>
        </w:rPr>
        <w:t xml:space="preserve"> </w:t>
      </w:r>
      <w:r w:rsidR="00D96723" w:rsidRPr="007D648F">
        <w:rPr>
          <w:rStyle w:val="Hyperlink"/>
          <w:rFonts w:ascii="Arial" w:hAnsi="Arial" w:cs="Arial"/>
          <w:color w:val="auto"/>
          <w:szCs w:val="20"/>
          <w:u w:val="none"/>
          <w:lang w:val="en-GB"/>
        </w:rPr>
        <w:t xml:space="preserve">and </w:t>
      </w:r>
      <w:hyperlink r:id="rId33" w:anchor="21" w:history="1">
        <w:r w:rsidR="00D96723" w:rsidRPr="007D648F">
          <w:rPr>
            <w:rStyle w:val="Hyperlink"/>
            <w:rFonts w:ascii="Arial" w:hAnsi="Arial" w:cs="Arial"/>
            <w:szCs w:val="20"/>
            <w:lang w:val="en-GB"/>
          </w:rPr>
          <w:t>21</w:t>
        </w:r>
      </w:hyperlink>
      <w:r w:rsidRPr="004D1495">
        <w:rPr>
          <w:rFonts w:ascii="Arial" w:hAnsi="Arial" w:cs="Arial"/>
          <w:szCs w:val="20"/>
          <w:lang w:val="en-GB"/>
        </w:rPr>
        <w:t xml:space="preserve"> of the CRPD.</w:t>
      </w:r>
    </w:p>
    <w:p w14:paraId="5FD903E9" w14:textId="77777777" w:rsidR="00DD462D" w:rsidRPr="004D1495" w:rsidRDefault="00DD462D" w:rsidP="00DD462D">
      <w:pPr>
        <w:spacing w:after="0"/>
        <w:jc w:val="both"/>
        <w:rPr>
          <w:rFonts w:ascii="Arial" w:hAnsi="Arial" w:cs="Arial"/>
          <w:szCs w:val="20"/>
          <w:lang w:val="en-GB"/>
        </w:rPr>
      </w:pPr>
    </w:p>
    <w:p w14:paraId="2377E706" w14:textId="77777777" w:rsidR="007D648F" w:rsidRDefault="00902708" w:rsidP="00DD462D">
      <w:pPr>
        <w:spacing w:after="0"/>
        <w:jc w:val="both"/>
        <w:rPr>
          <w:rFonts w:ascii="Arial" w:hAnsi="Arial" w:cs="Arial"/>
          <w:szCs w:val="20"/>
          <w:lang w:val="en-GB"/>
        </w:rPr>
      </w:pPr>
      <w:r>
        <w:rPr>
          <w:rFonts w:ascii="Arial" w:hAnsi="Arial" w:cs="Arial"/>
          <w:szCs w:val="20"/>
          <w:u w:val="single"/>
          <w:lang w:val="en-GB"/>
        </w:rPr>
        <w:t>Regarding</w:t>
      </w:r>
      <w:r w:rsidR="00DD462D" w:rsidRPr="004D1495">
        <w:rPr>
          <w:rFonts w:ascii="Arial" w:hAnsi="Arial" w:cs="Arial"/>
          <w:szCs w:val="20"/>
          <w:u w:val="single"/>
          <w:lang w:val="en-GB"/>
        </w:rPr>
        <w:t xml:space="preserve"> Article </w:t>
      </w:r>
      <w:r w:rsidR="007D648F">
        <w:rPr>
          <w:rFonts w:ascii="Arial" w:hAnsi="Arial" w:cs="Arial"/>
          <w:szCs w:val="20"/>
          <w:u w:val="single"/>
          <w:lang w:val="en-GB"/>
        </w:rPr>
        <w:t>24</w:t>
      </w:r>
      <w:r w:rsidR="00254EC1">
        <w:rPr>
          <w:rFonts w:ascii="Arial" w:hAnsi="Arial" w:cs="Arial"/>
          <w:szCs w:val="20"/>
          <w:u w:val="single"/>
          <w:lang w:val="en-GB"/>
        </w:rPr>
        <w:t xml:space="preserve"> as read in conjunction with article </w:t>
      </w:r>
      <w:r>
        <w:rPr>
          <w:rFonts w:ascii="Arial" w:hAnsi="Arial" w:cs="Arial"/>
          <w:szCs w:val="20"/>
          <w:u w:val="single"/>
          <w:lang w:val="en-GB"/>
        </w:rPr>
        <w:t xml:space="preserve">2, 9, </w:t>
      </w:r>
      <w:r w:rsidR="00254EC1">
        <w:rPr>
          <w:rFonts w:ascii="Arial" w:hAnsi="Arial" w:cs="Arial"/>
          <w:szCs w:val="20"/>
          <w:u w:val="single"/>
          <w:lang w:val="en-GB"/>
        </w:rPr>
        <w:t>12</w:t>
      </w:r>
      <w:r>
        <w:rPr>
          <w:rFonts w:ascii="Arial" w:hAnsi="Arial" w:cs="Arial"/>
          <w:szCs w:val="20"/>
          <w:u w:val="single"/>
          <w:lang w:val="en-GB"/>
        </w:rPr>
        <w:t xml:space="preserve"> and 21</w:t>
      </w:r>
      <w:r w:rsidR="00F41CED" w:rsidRPr="004D1495">
        <w:rPr>
          <w:rFonts w:ascii="Arial" w:hAnsi="Arial" w:cs="Arial"/>
          <w:szCs w:val="20"/>
          <w:lang w:val="en-GB"/>
        </w:rPr>
        <w:t xml:space="preserve">, </w:t>
      </w:r>
      <w:r w:rsidR="007D648F">
        <w:rPr>
          <w:rFonts w:ascii="Arial" w:hAnsi="Arial" w:cs="Arial"/>
          <w:szCs w:val="20"/>
          <w:lang w:val="en-GB"/>
        </w:rPr>
        <w:t>he argues that he has been denied the right to make a choice on an individual basis as</w:t>
      </w:r>
      <w:r w:rsidR="00461988">
        <w:rPr>
          <w:rFonts w:ascii="Arial" w:hAnsi="Arial" w:cs="Arial"/>
          <w:szCs w:val="20"/>
          <w:lang w:val="en-GB"/>
        </w:rPr>
        <w:t xml:space="preserve"> to his method of communication, due to an error in the categorization of facilitated com</w:t>
      </w:r>
      <w:r w:rsidR="00254EC1">
        <w:rPr>
          <w:rFonts w:ascii="Arial" w:hAnsi="Arial" w:cs="Arial"/>
          <w:szCs w:val="20"/>
          <w:lang w:val="en-GB"/>
        </w:rPr>
        <w:t>munication as a teaching method, which results a disability-based discrimination.</w:t>
      </w:r>
      <w:r>
        <w:rPr>
          <w:rFonts w:ascii="Arial" w:hAnsi="Arial" w:cs="Arial"/>
          <w:szCs w:val="20"/>
          <w:lang w:val="en-GB"/>
        </w:rPr>
        <w:t xml:space="preserve"> Further, </w:t>
      </w:r>
      <w:r w:rsidR="00254EC1">
        <w:rPr>
          <w:rFonts w:ascii="Arial" w:hAnsi="Arial" w:cs="Arial"/>
          <w:szCs w:val="20"/>
          <w:lang w:val="en-GB"/>
        </w:rPr>
        <w:t xml:space="preserve">he </w:t>
      </w:r>
      <w:r w:rsidR="0017419A">
        <w:rPr>
          <w:rFonts w:ascii="Arial" w:hAnsi="Arial" w:cs="Arial"/>
          <w:szCs w:val="20"/>
          <w:lang w:val="en-GB"/>
        </w:rPr>
        <w:t xml:space="preserve">stresses </w:t>
      </w:r>
      <w:r w:rsidR="00254EC1">
        <w:rPr>
          <w:rFonts w:ascii="Arial" w:hAnsi="Arial" w:cs="Arial"/>
          <w:szCs w:val="20"/>
          <w:lang w:val="en-GB"/>
        </w:rPr>
        <w:t xml:space="preserve">the obligation </w:t>
      </w:r>
      <w:r>
        <w:rPr>
          <w:rFonts w:ascii="Arial" w:hAnsi="Arial" w:cs="Arial"/>
          <w:szCs w:val="20"/>
          <w:lang w:val="en-GB"/>
        </w:rPr>
        <w:t xml:space="preserve">of States </w:t>
      </w:r>
      <w:r w:rsidR="005F0C71">
        <w:rPr>
          <w:rFonts w:ascii="Arial" w:hAnsi="Arial" w:cs="Arial"/>
          <w:szCs w:val="20"/>
          <w:lang w:val="en-GB"/>
        </w:rPr>
        <w:t>p</w:t>
      </w:r>
      <w:r>
        <w:rPr>
          <w:rFonts w:ascii="Arial" w:hAnsi="Arial" w:cs="Arial"/>
          <w:szCs w:val="20"/>
          <w:lang w:val="en-GB"/>
        </w:rPr>
        <w:t xml:space="preserve">arties </w:t>
      </w:r>
      <w:r w:rsidR="00254EC1">
        <w:rPr>
          <w:rFonts w:ascii="Arial" w:hAnsi="Arial" w:cs="Arial"/>
          <w:szCs w:val="20"/>
          <w:lang w:val="en-GB"/>
        </w:rPr>
        <w:t xml:space="preserve">to facilitate diverse forms of communication by respecting the choice done </w:t>
      </w:r>
      <w:r>
        <w:rPr>
          <w:rFonts w:ascii="Arial" w:hAnsi="Arial" w:cs="Arial"/>
          <w:szCs w:val="20"/>
          <w:lang w:val="en-GB"/>
        </w:rPr>
        <w:t xml:space="preserve">by persons with disabilities </w:t>
      </w:r>
      <w:r w:rsidR="00254EC1">
        <w:rPr>
          <w:rFonts w:ascii="Arial" w:hAnsi="Arial" w:cs="Arial"/>
          <w:szCs w:val="20"/>
          <w:lang w:val="en-GB"/>
        </w:rPr>
        <w:t>between different modes of communication in order to respect a</w:t>
      </w:r>
      <w:r>
        <w:rPr>
          <w:rFonts w:ascii="Arial" w:hAnsi="Arial" w:cs="Arial"/>
          <w:szCs w:val="20"/>
          <w:lang w:val="en-GB"/>
        </w:rPr>
        <w:t>n inclusive approach.</w:t>
      </w:r>
    </w:p>
    <w:p w14:paraId="49E6A1CD" w14:textId="77777777" w:rsidR="00902708" w:rsidRDefault="00902708" w:rsidP="00DD462D">
      <w:pPr>
        <w:spacing w:after="0"/>
        <w:jc w:val="both"/>
        <w:rPr>
          <w:rFonts w:ascii="Arial" w:hAnsi="Arial" w:cs="Arial"/>
          <w:szCs w:val="20"/>
          <w:lang w:val="en-GB"/>
        </w:rPr>
      </w:pPr>
    </w:p>
    <w:p w14:paraId="2FDA2066" w14:textId="77777777" w:rsidR="00902708" w:rsidRPr="00FF3F4F" w:rsidRDefault="00902708" w:rsidP="00DD462D">
      <w:pPr>
        <w:spacing w:after="0"/>
        <w:jc w:val="both"/>
        <w:rPr>
          <w:rFonts w:ascii="Arial" w:hAnsi="Arial" w:cs="Arial"/>
          <w:szCs w:val="20"/>
          <w:u w:val="single"/>
          <w:lang w:val="en-GB"/>
        </w:rPr>
      </w:pPr>
      <w:r>
        <w:rPr>
          <w:rFonts w:ascii="Arial" w:hAnsi="Arial" w:cs="Arial"/>
          <w:szCs w:val="20"/>
          <w:u w:val="single"/>
          <w:lang w:val="en-GB"/>
        </w:rPr>
        <w:t>Regarding 5</w:t>
      </w:r>
      <w:r w:rsidR="000D33FC">
        <w:rPr>
          <w:rFonts w:ascii="Arial" w:hAnsi="Arial" w:cs="Arial"/>
          <w:szCs w:val="20"/>
          <w:u w:val="single"/>
          <w:lang w:val="en-GB"/>
        </w:rPr>
        <w:t>(2) and (3)</w:t>
      </w:r>
      <w:r w:rsidR="00120102">
        <w:rPr>
          <w:rFonts w:ascii="Arial" w:hAnsi="Arial" w:cs="Arial"/>
          <w:szCs w:val="20"/>
          <w:u w:val="single"/>
          <w:lang w:val="en-GB"/>
        </w:rPr>
        <w:t>,</w:t>
      </w:r>
      <w:r w:rsidR="00120102">
        <w:rPr>
          <w:rFonts w:ascii="Arial" w:hAnsi="Arial" w:cs="Arial"/>
          <w:szCs w:val="20"/>
          <w:lang w:val="en-GB"/>
        </w:rPr>
        <w:t xml:space="preserve"> he argues that his chosen method of communication would not constitute a </w:t>
      </w:r>
      <w:r w:rsidR="0017419A">
        <w:rPr>
          <w:rFonts w:ascii="Arial" w:hAnsi="Arial" w:cs="Arial"/>
          <w:szCs w:val="20"/>
          <w:lang w:val="en-GB"/>
        </w:rPr>
        <w:t>“</w:t>
      </w:r>
      <w:r w:rsidR="00120102">
        <w:rPr>
          <w:rFonts w:ascii="Arial" w:hAnsi="Arial" w:cs="Arial"/>
          <w:szCs w:val="20"/>
          <w:lang w:val="en-GB"/>
        </w:rPr>
        <w:t>disproportionate or undue burden</w:t>
      </w:r>
      <w:r w:rsidR="0017419A">
        <w:rPr>
          <w:rFonts w:ascii="Arial" w:hAnsi="Arial" w:cs="Arial"/>
          <w:szCs w:val="20"/>
          <w:lang w:val="en-GB"/>
        </w:rPr>
        <w:t>”</w:t>
      </w:r>
      <w:r w:rsidR="00120102">
        <w:rPr>
          <w:rFonts w:ascii="Arial" w:hAnsi="Arial" w:cs="Arial"/>
          <w:szCs w:val="20"/>
          <w:lang w:val="en-GB"/>
        </w:rPr>
        <w:t xml:space="preserve"> for the State </w:t>
      </w:r>
      <w:r w:rsidR="005F0C71">
        <w:rPr>
          <w:rFonts w:ascii="Arial" w:hAnsi="Arial" w:cs="Arial"/>
          <w:szCs w:val="20"/>
          <w:lang w:val="en-GB"/>
        </w:rPr>
        <w:t>p</w:t>
      </w:r>
      <w:r w:rsidR="00120102">
        <w:rPr>
          <w:rFonts w:ascii="Arial" w:hAnsi="Arial" w:cs="Arial"/>
          <w:szCs w:val="20"/>
          <w:lang w:val="en-GB"/>
        </w:rPr>
        <w:t>arty, as before the decision of 19 December 2014, he was using facilitated communication</w:t>
      </w:r>
      <w:r w:rsidR="008A75DF">
        <w:rPr>
          <w:rFonts w:ascii="Arial" w:hAnsi="Arial" w:cs="Arial"/>
          <w:szCs w:val="20"/>
          <w:lang w:val="en-GB"/>
        </w:rPr>
        <w:t xml:space="preserve">. He added that there is discrimination between persons with disabilities and </w:t>
      </w:r>
      <w:r w:rsidR="0017419A">
        <w:rPr>
          <w:rFonts w:ascii="Arial" w:hAnsi="Arial" w:cs="Arial"/>
          <w:szCs w:val="20"/>
          <w:lang w:val="en-GB"/>
        </w:rPr>
        <w:t>other persons</w:t>
      </w:r>
      <w:r w:rsidR="008A75DF">
        <w:rPr>
          <w:rFonts w:ascii="Arial" w:hAnsi="Arial" w:cs="Arial"/>
          <w:szCs w:val="20"/>
          <w:lang w:val="en-GB"/>
        </w:rPr>
        <w:t xml:space="preserve">, as there is no scientific basis to assess the validity of the communication preferences of </w:t>
      </w:r>
      <w:r w:rsidR="0017419A">
        <w:rPr>
          <w:rFonts w:ascii="Arial" w:hAnsi="Arial" w:cs="Arial"/>
          <w:szCs w:val="20"/>
          <w:lang w:val="en-GB"/>
        </w:rPr>
        <w:t>the latter</w:t>
      </w:r>
      <w:r w:rsidR="008A75DF">
        <w:rPr>
          <w:rFonts w:ascii="Arial" w:hAnsi="Arial" w:cs="Arial"/>
          <w:szCs w:val="20"/>
          <w:lang w:val="en-GB"/>
        </w:rPr>
        <w:t>.</w:t>
      </w:r>
    </w:p>
    <w:p w14:paraId="5E19A43F" w14:textId="77777777" w:rsidR="008A75DF" w:rsidRDefault="008A75DF" w:rsidP="00DD462D">
      <w:pPr>
        <w:spacing w:after="0"/>
        <w:jc w:val="both"/>
        <w:rPr>
          <w:rFonts w:ascii="Arial" w:hAnsi="Arial" w:cs="Arial"/>
          <w:szCs w:val="20"/>
          <w:lang w:val="en-GB"/>
        </w:rPr>
      </w:pPr>
    </w:p>
    <w:p w14:paraId="18BEF1C3" w14:textId="77777777" w:rsidR="00DD462D" w:rsidRPr="005F0C71" w:rsidRDefault="008A75DF" w:rsidP="00DD462D">
      <w:pPr>
        <w:spacing w:after="0"/>
        <w:jc w:val="both"/>
        <w:rPr>
          <w:rFonts w:ascii="Arial" w:hAnsi="Arial" w:cs="Arial"/>
          <w:szCs w:val="20"/>
          <w:lang w:val="en-GB"/>
        </w:rPr>
      </w:pPr>
      <w:r>
        <w:rPr>
          <w:rFonts w:ascii="Arial" w:hAnsi="Arial" w:cs="Arial"/>
          <w:szCs w:val="20"/>
          <w:u w:val="single"/>
          <w:lang w:val="en-GB"/>
        </w:rPr>
        <w:t>Regarding 25,</w:t>
      </w:r>
      <w:r>
        <w:rPr>
          <w:rFonts w:ascii="Arial" w:hAnsi="Arial" w:cs="Arial"/>
          <w:szCs w:val="20"/>
          <w:lang w:val="en-GB"/>
        </w:rPr>
        <w:t xml:space="preserve"> the author argues </w:t>
      </w:r>
      <w:r w:rsidR="005F0C71">
        <w:rPr>
          <w:rFonts w:ascii="Arial" w:hAnsi="Arial" w:cs="Arial"/>
          <w:szCs w:val="20"/>
          <w:lang w:val="en-GB"/>
        </w:rPr>
        <w:t>that his behaviour due to a lack of communication leads him to take medicine containing potentially addictive substances and put his and others health at risk.</w:t>
      </w:r>
      <w:r w:rsidR="00657C60">
        <w:rPr>
          <w:rFonts w:ascii="Arial" w:hAnsi="Arial" w:cs="Arial"/>
          <w:szCs w:val="20"/>
          <w:lang w:val="en-GB"/>
        </w:rPr>
        <w:t xml:space="preserve"> </w:t>
      </w:r>
      <w:r w:rsidR="005F0C71">
        <w:rPr>
          <w:rFonts w:ascii="Arial" w:hAnsi="Arial" w:cs="Arial"/>
          <w:szCs w:val="20"/>
          <w:lang w:val="en-GB"/>
        </w:rPr>
        <w:t>Therefore, the author requests the Committee to ensure that State party provides him with an opportunity to communicate through facilitated communication at his school</w:t>
      </w:r>
      <w:r w:rsidR="00657C60">
        <w:rPr>
          <w:rFonts w:ascii="Arial" w:hAnsi="Arial" w:cs="Arial"/>
          <w:szCs w:val="20"/>
          <w:lang w:val="en-GB"/>
        </w:rPr>
        <w:t>.</w:t>
      </w:r>
      <w:r w:rsidR="005F0C71">
        <w:rPr>
          <w:rFonts w:ascii="Arial" w:hAnsi="Arial" w:cs="Arial"/>
          <w:szCs w:val="20"/>
          <w:lang w:val="en-GB"/>
        </w:rPr>
        <w:t xml:space="preserve"> </w:t>
      </w:r>
    </w:p>
    <w:p w14:paraId="704D7664" w14:textId="77777777" w:rsidR="00DD462D" w:rsidRPr="004D1495" w:rsidRDefault="00DD462D" w:rsidP="00DD462D">
      <w:pPr>
        <w:spacing w:after="0"/>
        <w:jc w:val="both"/>
        <w:rPr>
          <w:rFonts w:ascii="Arial" w:hAnsi="Arial" w:cs="Arial"/>
          <w:lang w:val="en-GB"/>
        </w:rPr>
      </w:pPr>
    </w:p>
    <w:p w14:paraId="66C3CF24" w14:textId="77777777" w:rsidR="008B6E7A" w:rsidRPr="004D1495" w:rsidRDefault="00DD462D" w:rsidP="008B6E7A">
      <w:pPr>
        <w:spacing w:after="120"/>
        <w:jc w:val="both"/>
        <w:rPr>
          <w:rFonts w:ascii="Arial" w:hAnsi="Arial" w:cs="Arial"/>
          <w:sz w:val="28"/>
          <w:szCs w:val="28"/>
          <w:lang w:val="en-GB"/>
        </w:rPr>
      </w:pPr>
      <w:r w:rsidRPr="004D1495">
        <w:rPr>
          <w:rFonts w:ascii="Arial" w:hAnsi="Arial" w:cs="Arial"/>
          <w:sz w:val="28"/>
          <w:szCs w:val="28"/>
          <w:lang w:val="en-GB"/>
        </w:rPr>
        <w:t>State party’s observations on the admissibility and merits</w:t>
      </w:r>
    </w:p>
    <w:p w14:paraId="00EE78D1" w14:textId="77777777" w:rsidR="002C4ED7" w:rsidRDefault="002C4ED7" w:rsidP="00DD462D">
      <w:pPr>
        <w:spacing w:after="0"/>
        <w:jc w:val="both"/>
        <w:rPr>
          <w:rFonts w:ascii="Arial" w:hAnsi="Arial" w:cs="Arial"/>
          <w:lang w:val="en-GB"/>
        </w:rPr>
      </w:pPr>
      <w:r>
        <w:rPr>
          <w:rFonts w:ascii="Arial" w:hAnsi="Arial" w:cs="Arial"/>
          <w:lang w:val="en-GB"/>
        </w:rPr>
        <w:t xml:space="preserve">The State submits that </w:t>
      </w:r>
      <w:r w:rsidRPr="004D1495">
        <w:rPr>
          <w:rFonts w:ascii="Arial" w:hAnsi="Arial" w:cs="Arial"/>
          <w:lang w:val="en-GB"/>
        </w:rPr>
        <w:t xml:space="preserve">submits that the author </w:t>
      </w:r>
      <w:r w:rsidRPr="004D1495">
        <w:rPr>
          <w:rFonts w:ascii="Arial" w:hAnsi="Arial" w:cs="Arial"/>
          <w:b/>
          <w:lang w:val="en-GB"/>
        </w:rPr>
        <w:t>failed to exhaust available domestic remedies</w:t>
      </w:r>
      <w:r>
        <w:rPr>
          <w:rFonts w:ascii="Arial" w:hAnsi="Arial" w:cs="Arial"/>
          <w:lang w:val="en-GB"/>
        </w:rPr>
        <w:t xml:space="preserve"> as </w:t>
      </w:r>
      <w:r w:rsidRPr="004D1495">
        <w:rPr>
          <w:rFonts w:ascii="Arial" w:hAnsi="Arial" w:cs="Arial"/>
          <w:lang w:val="en-GB"/>
        </w:rPr>
        <w:t xml:space="preserve">he did not </w:t>
      </w:r>
      <w:r>
        <w:rPr>
          <w:rFonts w:ascii="Arial" w:hAnsi="Arial" w:cs="Arial"/>
          <w:lang w:val="en-GB"/>
        </w:rPr>
        <w:t>appeal to the Supreme Administrative Court. Therefore, the State considered that communication should be declar</w:t>
      </w:r>
      <w:r w:rsidR="00FF3F4F">
        <w:rPr>
          <w:rFonts w:ascii="Arial" w:hAnsi="Arial" w:cs="Arial"/>
          <w:lang w:val="en-GB"/>
        </w:rPr>
        <w:t>ed inadmissible under article 2</w:t>
      </w:r>
      <w:r>
        <w:rPr>
          <w:rFonts w:ascii="Arial" w:hAnsi="Arial" w:cs="Arial"/>
          <w:lang w:val="en-GB"/>
        </w:rPr>
        <w:t>(d) of the Optional Protocol and rule 68 of the Committee’s rules of procedure. Further, the State argues there is nothing to suggest that an appeal to the Supreme Administrative Court would have been unreasonably prolonged or unlikely to bring effective relief.</w:t>
      </w:r>
    </w:p>
    <w:p w14:paraId="579D8A25" w14:textId="77777777" w:rsidR="00DD462D" w:rsidRPr="004D1495" w:rsidRDefault="00DD462D" w:rsidP="00DD462D">
      <w:pPr>
        <w:spacing w:after="0"/>
        <w:jc w:val="both"/>
        <w:rPr>
          <w:rFonts w:ascii="Arial" w:hAnsi="Arial" w:cs="Arial"/>
          <w:lang w:val="en-GB"/>
        </w:rPr>
      </w:pPr>
    </w:p>
    <w:p w14:paraId="51C98B54" w14:textId="77777777" w:rsidR="00DD462D" w:rsidRPr="004D1495" w:rsidRDefault="00DD462D" w:rsidP="00DD462D">
      <w:pPr>
        <w:spacing w:after="120"/>
        <w:jc w:val="both"/>
        <w:rPr>
          <w:rFonts w:ascii="Arial" w:hAnsi="Arial" w:cs="Arial"/>
          <w:sz w:val="28"/>
          <w:szCs w:val="28"/>
          <w:lang w:val="en-GB"/>
        </w:rPr>
      </w:pPr>
      <w:r w:rsidRPr="004D1495">
        <w:rPr>
          <w:rFonts w:ascii="Arial" w:hAnsi="Arial" w:cs="Arial"/>
          <w:sz w:val="28"/>
          <w:szCs w:val="28"/>
          <w:lang w:val="en-GB"/>
        </w:rPr>
        <w:t>The author’s comments on the State party’s observations</w:t>
      </w:r>
    </w:p>
    <w:p w14:paraId="3BF2EB4F" w14:textId="77777777" w:rsidR="00C42D1A" w:rsidRDefault="00DD462D" w:rsidP="00DD462D">
      <w:pPr>
        <w:spacing w:after="0"/>
        <w:jc w:val="both"/>
        <w:rPr>
          <w:rFonts w:ascii="Arial" w:hAnsi="Arial" w:cs="Arial"/>
          <w:lang w:val="en-GB"/>
        </w:rPr>
      </w:pPr>
      <w:r w:rsidRPr="004D1495">
        <w:rPr>
          <w:rFonts w:ascii="Arial" w:hAnsi="Arial" w:cs="Arial"/>
          <w:u w:val="single"/>
          <w:lang w:val="en-GB"/>
        </w:rPr>
        <w:t>The author rejected the State’s contentions that her communication is inadmissible pursuant to article 2(d) of the OP</w:t>
      </w:r>
      <w:r w:rsidRPr="004D1495">
        <w:rPr>
          <w:rFonts w:ascii="Arial" w:hAnsi="Arial" w:cs="Arial"/>
          <w:lang w:val="en-GB"/>
        </w:rPr>
        <w:t xml:space="preserve">. </w:t>
      </w:r>
      <w:r w:rsidR="00BF53D1" w:rsidRPr="004D1495">
        <w:rPr>
          <w:rFonts w:ascii="Arial" w:hAnsi="Arial" w:cs="Arial"/>
          <w:lang w:val="en-GB"/>
        </w:rPr>
        <w:t xml:space="preserve">The author </w:t>
      </w:r>
      <w:r w:rsidR="00C12220">
        <w:rPr>
          <w:rFonts w:ascii="Arial" w:hAnsi="Arial" w:cs="Arial"/>
          <w:lang w:val="en-GB"/>
        </w:rPr>
        <w:t xml:space="preserve">argues that the proceedings would have been </w:t>
      </w:r>
      <w:r w:rsidR="00B916E1">
        <w:rPr>
          <w:rFonts w:ascii="Arial" w:hAnsi="Arial" w:cs="Arial"/>
          <w:lang w:val="en-GB"/>
        </w:rPr>
        <w:t xml:space="preserve">unreasonably </w:t>
      </w:r>
      <w:r w:rsidR="00C12220">
        <w:rPr>
          <w:rFonts w:ascii="Arial" w:hAnsi="Arial" w:cs="Arial"/>
          <w:lang w:val="en-GB"/>
        </w:rPr>
        <w:t>prolonged and unlikely to bring t</w:t>
      </w:r>
      <w:r w:rsidR="006B6FBD">
        <w:rPr>
          <w:rFonts w:ascii="Arial" w:hAnsi="Arial" w:cs="Arial"/>
          <w:lang w:val="en-GB"/>
        </w:rPr>
        <w:t xml:space="preserve">o effective relief referring to the practice of the Supreme Administrative Court </w:t>
      </w:r>
      <w:r w:rsidR="00C42D1A">
        <w:rPr>
          <w:rFonts w:ascii="Arial" w:hAnsi="Arial" w:cs="Arial"/>
          <w:lang w:val="en-GB"/>
        </w:rPr>
        <w:t>and the jurisprudence of the Committee.</w:t>
      </w:r>
    </w:p>
    <w:p w14:paraId="713A0EB6" w14:textId="77777777" w:rsidR="00C42D1A" w:rsidRDefault="00C42D1A" w:rsidP="00DD462D">
      <w:pPr>
        <w:spacing w:after="0"/>
        <w:jc w:val="both"/>
        <w:rPr>
          <w:rFonts w:ascii="Arial" w:hAnsi="Arial" w:cs="Arial"/>
          <w:lang w:val="en-GB"/>
        </w:rPr>
      </w:pPr>
    </w:p>
    <w:p w14:paraId="5B53543A" w14:textId="77777777" w:rsidR="00966579" w:rsidRDefault="00B916E1" w:rsidP="00DD462D">
      <w:pPr>
        <w:spacing w:after="0"/>
        <w:jc w:val="both"/>
        <w:rPr>
          <w:rFonts w:ascii="Arial" w:hAnsi="Arial" w:cs="Arial"/>
          <w:lang w:val="en-GB"/>
        </w:rPr>
      </w:pPr>
      <w:r>
        <w:rPr>
          <w:rFonts w:ascii="Arial" w:hAnsi="Arial" w:cs="Arial"/>
          <w:lang w:val="en-GB"/>
        </w:rPr>
        <w:t>The author alleged that, a</w:t>
      </w:r>
      <w:r w:rsidR="00C42D1A">
        <w:rPr>
          <w:rFonts w:ascii="Arial" w:hAnsi="Arial" w:cs="Arial"/>
          <w:lang w:val="en-GB"/>
        </w:rPr>
        <w:t>ccording to the website of the Supreme Admin</w:t>
      </w:r>
      <w:r w:rsidR="00966579">
        <w:rPr>
          <w:rFonts w:ascii="Arial" w:hAnsi="Arial" w:cs="Arial"/>
          <w:lang w:val="en-GB"/>
        </w:rPr>
        <w:t>istrative Court,</w:t>
      </w:r>
      <w:r w:rsidR="006B6FBD">
        <w:rPr>
          <w:rFonts w:ascii="Arial" w:hAnsi="Arial" w:cs="Arial"/>
          <w:lang w:val="en-GB"/>
        </w:rPr>
        <w:t xml:space="preserve"> </w:t>
      </w:r>
      <w:r w:rsidR="00966579">
        <w:rPr>
          <w:rFonts w:ascii="Arial" w:hAnsi="Arial" w:cs="Arial"/>
          <w:lang w:val="en-GB"/>
        </w:rPr>
        <w:t xml:space="preserve">it </w:t>
      </w:r>
      <w:r>
        <w:rPr>
          <w:rFonts w:ascii="Arial" w:hAnsi="Arial" w:cs="Arial"/>
          <w:lang w:val="en-GB"/>
        </w:rPr>
        <w:t xml:space="preserve">would </w:t>
      </w:r>
      <w:r w:rsidR="00966579">
        <w:rPr>
          <w:rFonts w:ascii="Arial" w:hAnsi="Arial" w:cs="Arial"/>
          <w:lang w:val="en-GB"/>
        </w:rPr>
        <w:t xml:space="preserve">only </w:t>
      </w:r>
      <w:r w:rsidR="006B6FBD">
        <w:rPr>
          <w:rFonts w:ascii="Arial" w:hAnsi="Arial" w:cs="Arial"/>
          <w:lang w:val="en-GB"/>
        </w:rPr>
        <w:t>grant</w:t>
      </w:r>
      <w:r w:rsidR="00966579">
        <w:rPr>
          <w:rFonts w:ascii="Arial" w:hAnsi="Arial" w:cs="Arial"/>
          <w:lang w:val="en-GB"/>
        </w:rPr>
        <w:t xml:space="preserve"> leave in</w:t>
      </w:r>
      <w:r w:rsidR="00C42D1A">
        <w:rPr>
          <w:rFonts w:ascii="Arial" w:hAnsi="Arial" w:cs="Arial"/>
          <w:lang w:val="en-GB"/>
        </w:rPr>
        <w:t xml:space="preserve"> 2 per cent </w:t>
      </w:r>
      <w:r w:rsidR="00966579">
        <w:rPr>
          <w:rFonts w:ascii="Arial" w:hAnsi="Arial" w:cs="Arial"/>
          <w:lang w:val="en-GB"/>
        </w:rPr>
        <w:t xml:space="preserve">out </w:t>
      </w:r>
      <w:r w:rsidR="00C42D1A">
        <w:rPr>
          <w:rFonts w:ascii="Arial" w:hAnsi="Arial" w:cs="Arial"/>
          <w:lang w:val="en-GB"/>
        </w:rPr>
        <w:t>of the 8,000 applications,</w:t>
      </w:r>
      <w:r w:rsidR="006B6FBD">
        <w:rPr>
          <w:rFonts w:ascii="Arial" w:hAnsi="Arial" w:cs="Arial"/>
          <w:lang w:val="en-GB"/>
        </w:rPr>
        <w:t xml:space="preserve"> </w:t>
      </w:r>
      <w:r w:rsidR="00C42D1A">
        <w:rPr>
          <w:rFonts w:ascii="Arial" w:hAnsi="Arial" w:cs="Arial"/>
          <w:lang w:val="en-GB"/>
        </w:rPr>
        <w:t xml:space="preserve">and </w:t>
      </w:r>
      <w:r w:rsidR="00966579">
        <w:rPr>
          <w:rFonts w:ascii="Arial" w:hAnsi="Arial" w:cs="Arial"/>
          <w:lang w:val="en-GB"/>
        </w:rPr>
        <w:t>“</w:t>
      </w:r>
      <w:r w:rsidR="00966579" w:rsidRPr="00966579">
        <w:rPr>
          <w:rFonts w:ascii="Arial" w:hAnsi="Arial" w:cs="Arial"/>
          <w:b/>
          <w:lang w:val="en-GB"/>
        </w:rPr>
        <w:t>in practic</w:t>
      </w:r>
      <w:r w:rsidR="00C42D1A" w:rsidRPr="00966579">
        <w:rPr>
          <w:rFonts w:ascii="Arial" w:hAnsi="Arial" w:cs="Arial"/>
          <w:b/>
          <w:lang w:val="en-GB"/>
        </w:rPr>
        <w:t>e, the administrative</w:t>
      </w:r>
      <w:r w:rsidR="00966579" w:rsidRPr="00966579">
        <w:rPr>
          <w:rFonts w:ascii="Arial" w:hAnsi="Arial" w:cs="Arial"/>
          <w:b/>
          <w:lang w:val="en-GB"/>
        </w:rPr>
        <w:t xml:space="preserve"> courts of appeal are th</w:t>
      </w:r>
      <w:r w:rsidR="00C42D1A" w:rsidRPr="00966579">
        <w:rPr>
          <w:rFonts w:ascii="Arial" w:hAnsi="Arial" w:cs="Arial"/>
          <w:b/>
          <w:lang w:val="en-GB"/>
        </w:rPr>
        <w:t>e final instance in most cases</w:t>
      </w:r>
      <w:r w:rsidR="00C42D1A">
        <w:rPr>
          <w:rFonts w:ascii="Arial" w:hAnsi="Arial" w:cs="Arial"/>
          <w:lang w:val="en-GB"/>
        </w:rPr>
        <w:t>”</w:t>
      </w:r>
      <w:r w:rsidR="00966579">
        <w:rPr>
          <w:rFonts w:ascii="Arial" w:hAnsi="Arial" w:cs="Arial"/>
          <w:lang w:val="en-GB"/>
        </w:rPr>
        <w:t>.</w:t>
      </w:r>
    </w:p>
    <w:p w14:paraId="26D31581" w14:textId="77777777" w:rsidR="00966579" w:rsidRDefault="00966579" w:rsidP="00DD462D">
      <w:pPr>
        <w:spacing w:after="0"/>
        <w:jc w:val="both"/>
        <w:rPr>
          <w:rFonts w:ascii="Arial" w:hAnsi="Arial" w:cs="Arial"/>
          <w:lang w:val="en-GB"/>
        </w:rPr>
      </w:pPr>
    </w:p>
    <w:p w14:paraId="0AECC6F0" w14:textId="77777777" w:rsidR="00966579" w:rsidRPr="006B6FBD" w:rsidRDefault="00966579" w:rsidP="00DD462D">
      <w:pPr>
        <w:spacing w:after="0"/>
        <w:jc w:val="both"/>
        <w:rPr>
          <w:rFonts w:ascii="Arial" w:hAnsi="Arial" w:cs="Arial"/>
          <w:lang w:val="en-GB"/>
        </w:rPr>
      </w:pPr>
      <w:r>
        <w:rPr>
          <w:rFonts w:ascii="Arial" w:hAnsi="Arial" w:cs="Arial"/>
          <w:lang w:val="en-GB"/>
        </w:rPr>
        <w:t xml:space="preserve">Concerning </w:t>
      </w:r>
      <w:r w:rsidR="006B6FBD">
        <w:rPr>
          <w:rFonts w:ascii="Arial" w:hAnsi="Arial" w:cs="Arial"/>
          <w:lang w:val="en-GB"/>
        </w:rPr>
        <w:t xml:space="preserve">the jurisprudence of the Committee, in particular the communication on </w:t>
      </w:r>
      <w:r w:rsidR="006B6FBD">
        <w:rPr>
          <w:rFonts w:ascii="Arial" w:hAnsi="Arial" w:cs="Arial"/>
          <w:i/>
          <w:lang w:val="en-GB"/>
        </w:rPr>
        <w:t>A.F. v. Italy</w:t>
      </w:r>
      <w:r w:rsidR="006B6FBD">
        <w:rPr>
          <w:rStyle w:val="FootnoteReference"/>
          <w:rFonts w:cs="Arial"/>
          <w:i/>
          <w:lang w:val="en-GB"/>
        </w:rPr>
        <w:footnoteReference w:id="2"/>
      </w:r>
      <w:r>
        <w:rPr>
          <w:rFonts w:ascii="Arial" w:hAnsi="Arial" w:cs="Arial"/>
          <w:lang w:val="en-GB"/>
        </w:rPr>
        <w:t>, the author argues that the two restricted categories</w:t>
      </w:r>
      <w:r w:rsidR="00BC6D2C">
        <w:rPr>
          <w:rFonts w:ascii="Arial" w:hAnsi="Arial" w:cs="Arial"/>
          <w:lang w:val="en-GB"/>
        </w:rPr>
        <w:t xml:space="preserve"> for appeal to the Supreme Administrative Court </w:t>
      </w:r>
      <w:r>
        <w:rPr>
          <w:rFonts w:ascii="Arial" w:hAnsi="Arial" w:cs="Arial"/>
          <w:lang w:val="en-GB"/>
        </w:rPr>
        <w:t>are similar to the four exceptional cases which the Italian Court of Cassation had jurisdiction.</w:t>
      </w:r>
      <w:r w:rsidR="00BC6D2C">
        <w:rPr>
          <w:rFonts w:ascii="Arial" w:hAnsi="Arial" w:cs="Arial"/>
          <w:lang w:val="en-GB"/>
        </w:rPr>
        <w:t xml:space="preserve"> </w:t>
      </w:r>
      <w:r>
        <w:rPr>
          <w:rFonts w:ascii="Arial" w:hAnsi="Arial" w:cs="Arial"/>
          <w:lang w:val="en-GB"/>
        </w:rPr>
        <w:t>Finally, the author notes the hypothetical possibility to exhaust domestic remedies would have extended the grave suffering.</w:t>
      </w:r>
    </w:p>
    <w:p w14:paraId="3898AD32" w14:textId="77777777" w:rsidR="00DD462D" w:rsidRPr="004D1495" w:rsidRDefault="00DD462D" w:rsidP="00DD462D">
      <w:pPr>
        <w:spacing w:after="0"/>
        <w:jc w:val="both"/>
        <w:rPr>
          <w:rFonts w:ascii="Arial" w:hAnsi="Arial" w:cs="Arial"/>
          <w:lang w:val="en-GB"/>
        </w:rPr>
      </w:pPr>
    </w:p>
    <w:p w14:paraId="54391FFE" w14:textId="77777777" w:rsidR="00DD462D" w:rsidRPr="004D1495" w:rsidRDefault="00DD462D" w:rsidP="00DD462D">
      <w:pPr>
        <w:spacing w:after="120"/>
        <w:jc w:val="both"/>
        <w:rPr>
          <w:rFonts w:ascii="Arial" w:hAnsi="Arial" w:cs="Arial"/>
          <w:sz w:val="28"/>
          <w:szCs w:val="28"/>
          <w:lang w:val="en-GB"/>
        </w:rPr>
      </w:pPr>
      <w:r w:rsidRPr="004D1495">
        <w:rPr>
          <w:rFonts w:ascii="Arial" w:hAnsi="Arial" w:cs="Arial"/>
          <w:sz w:val="28"/>
          <w:szCs w:val="28"/>
          <w:lang w:val="en-GB"/>
        </w:rPr>
        <w:t>State party’s further observations</w:t>
      </w:r>
    </w:p>
    <w:p w14:paraId="2E8D4265" w14:textId="77777777" w:rsidR="00C42D1A" w:rsidRDefault="00043B31" w:rsidP="00DD462D">
      <w:pPr>
        <w:spacing w:after="0"/>
        <w:jc w:val="both"/>
        <w:rPr>
          <w:rFonts w:ascii="Arial" w:hAnsi="Arial" w:cs="Arial"/>
          <w:lang w:val="en-GB"/>
        </w:rPr>
      </w:pPr>
      <w:r>
        <w:rPr>
          <w:rFonts w:ascii="Arial" w:hAnsi="Arial" w:cs="Arial"/>
          <w:lang w:val="en-GB"/>
        </w:rPr>
        <w:t xml:space="preserve">The State considered that there is a </w:t>
      </w:r>
      <w:r w:rsidR="00390611">
        <w:rPr>
          <w:rFonts w:ascii="Arial" w:hAnsi="Arial" w:cs="Arial"/>
          <w:lang w:val="en-GB"/>
        </w:rPr>
        <w:t xml:space="preserve">difference between the </w:t>
      </w:r>
      <w:r w:rsidR="00C44649">
        <w:rPr>
          <w:rFonts w:ascii="Arial" w:hAnsi="Arial" w:cs="Arial"/>
          <w:lang w:val="en-GB"/>
        </w:rPr>
        <w:t>Italian and the Sweden legislations</w:t>
      </w:r>
      <w:r w:rsidR="00390611">
        <w:rPr>
          <w:rFonts w:ascii="Arial" w:hAnsi="Arial" w:cs="Arial"/>
          <w:lang w:val="en-GB"/>
        </w:rPr>
        <w:t xml:space="preserve">. </w:t>
      </w:r>
      <w:r w:rsidR="00C44649">
        <w:rPr>
          <w:rFonts w:ascii="Arial" w:hAnsi="Arial" w:cs="Arial"/>
          <w:lang w:val="en-GB"/>
        </w:rPr>
        <w:t>Indeed, th</w:t>
      </w:r>
      <w:r w:rsidR="00390611">
        <w:rPr>
          <w:rFonts w:ascii="Arial" w:hAnsi="Arial" w:cs="Arial"/>
          <w:lang w:val="en-GB"/>
        </w:rPr>
        <w:t xml:space="preserve">e </w:t>
      </w:r>
      <w:r w:rsidR="00C44649">
        <w:rPr>
          <w:rFonts w:ascii="Arial" w:hAnsi="Arial" w:cs="Arial"/>
          <w:lang w:val="en-GB"/>
        </w:rPr>
        <w:t xml:space="preserve">Sweden </w:t>
      </w:r>
      <w:r w:rsidR="00390611">
        <w:rPr>
          <w:rFonts w:ascii="Arial" w:hAnsi="Arial" w:cs="Arial"/>
          <w:lang w:val="en-GB"/>
        </w:rPr>
        <w:t>Supreme Administrative Court is able to re-examine the merits of the case.</w:t>
      </w:r>
      <w:r w:rsidR="00C44649">
        <w:rPr>
          <w:rFonts w:ascii="Arial" w:hAnsi="Arial" w:cs="Arial"/>
          <w:lang w:val="en-GB"/>
        </w:rPr>
        <w:t xml:space="preserve"> Therefore, there is still a possibility to appeal a decision not to grant leave to appeal to the Supreme Administrative Court.</w:t>
      </w:r>
    </w:p>
    <w:p w14:paraId="7C38DE7A" w14:textId="77777777" w:rsidR="001021CE" w:rsidRPr="004D1495" w:rsidRDefault="001021CE" w:rsidP="001021CE">
      <w:pPr>
        <w:spacing w:after="0"/>
        <w:jc w:val="both"/>
        <w:rPr>
          <w:rFonts w:ascii="Arial" w:hAnsi="Arial" w:cs="Arial"/>
          <w:lang w:val="en-GB"/>
        </w:rPr>
      </w:pPr>
    </w:p>
    <w:p w14:paraId="2CBBDA98" w14:textId="77777777" w:rsidR="001021CE" w:rsidRPr="004D1495" w:rsidRDefault="001021CE" w:rsidP="001021CE">
      <w:pPr>
        <w:spacing w:after="120"/>
        <w:jc w:val="both"/>
        <w:rPr>
          <w:rFonts w:ascii="Arial" w:hAnsi="Arial" w:cs="Arial"/>
          <w:sz w:val="28"/>
          <w:szCs w:val="28"/>
          <w:lang w:val="en-GB"/>
        </w:rPr>
      </w:pPr>
      <w:r w:rsidRPr="004D1495">
        <w:rPr>
          <w:rFonts w:ascii="Arial" w:hAnsi="Arial" w:cs="Arial"/>
          <w:sz w:val="28"/>
          <w:szCs w:val="28"/>
          <w:lang w:val="en-GB"/>
        </w:rPr>
        <w:t>Issues and proceedings before the Committee</w:t>
      </w:r>
      <w:bookmarkStart w:id="1" w:name="admissibility"/>
    </w:p>
    <w:p w14:paraId="3DBDBED4" w14:textId="77777777" w:rsidR="001021CE" w:rsidRPr="004D1495" w:rsidRDefault="001021CE" w:rsidP="008A2D5D">
      <w:pPr>
        <w:spacing w:after="120"/>
        <w:jc w:val="both"/>
        <w:rPr>
          <w:rFonts w:ascii="Arial" w:hAnsi="Arial" w:cs="Arial"/>
          <w:sz w:val="28"/>
          <w:szCs w:val="28"/>
          <w:lang w:val="en-GB"/>
        </w:rPr>
      </w:pPr>
      <w:r w:rsidRPr="004D1495">
        <w:rPr>
          <w:rFonts w:ascii="Arial" w:hAnsi="Arial" w:cs="Arial"/>
          <w:sz w:val="28"/>
          <w:szCs w:val="28"/>
          <w:lang w:val="en-GB"/>
        </w:rPr>
        <w:t>Consideration of admissibility</w:t>
      </w:r>
    </w:p>
    <w:p w14:paraId="334E9B0A" w14:textId="77777777" w:rsidR="001E657C" w:rsidRPr="004D1495" w:rsidRDefault="001E657C" w:rsidP="001E657C">
      <w:pPr>
        <w:spacing w:after="120"/>
        <w:jc w:val="both"/>
        <w:rPr>
          <w:rFonts w:ascii="Arial" w:hAnsi="Arial"/>
          <w:lang w:val="en-GB"/>
        </w:rPr>
      </w:pPr>
      <w:r w:rsidRPr="004D1495">
        <w:rPr>
          <w:rFonts w:ascii="Arial" w:hAnsi="Arial"/>
          <w:lang w:val="en-GB"/>
        </w:rPr>
        <w:t xml:space="preserve">First, the Committee ascertained that the same matter has not already been examined by it and has not been or is not being examined under another procedure of international investigation or settlement, as required by </w:t>
      </w:r>
      <w:hyperlink r:id="rId34" w:history="1">
        <w:r w:rsidRPr="004D1495">
          <w:rPr>
            <w:rStyle w:val="Hyperlink"/>
            <w:rFonts w:ascii="Arial" w:hAnsi="Arial"/>
            <w:lang w:val="en-GB"/>
          </w:rPr>
          <w:t>article 2(c) of the OP</w:t>
        </w:r>
      </w:hyperlink>
      <w:r w:rsidRPr="004D1495">
        <w:rPr>
          <w:rFonts w:ascii="Arial" w:hAnsi="Arial"/>
          <w:lang w:val="en-GB"/>
        </w:rPr>
        <w:t>.</w:t>
      </w:r>
    </w:p>
    <w:p w14:paraId="699EA82B" w14:textId="77777777" w:rsidR="00F71D46" w:rsidRDefault="001E657C" w:rsidP="001E657C">
      <w:pPr>
        <w:spacing w:after="0"/>
        <w:jc w:val="both"/>
        <w:rPr>
          <w:rFonts w:ascii="Arial" w:hAnsi="Arial"/>
          <w:lang w:val="en-GB"/>
        </w:rPr>
      </w:pPr>
      <w:r w:rsidRPr="004D1495">
        <w:rPr>
          <w:rFonts w:ascii="Arial" w:hAnsi="Arial"/>
          <w:u w:val="single"/>
          <w:lang w:val="en-GB"/>
        </w:rPr>
        <w:t>Regarding inadmissibility for non-exhaustion of domestic remedies</w:t>
      </w:r>
      <w:r w:rsidR="00F71D46">
        <w:rPr>
          <w:rFonts w:ascii="Arial" w:hAnsi="Arial"/>
          <w:lang w:val="en-GB"/>
        </w:rPr>
        <w:t>, the Committee notes</w:t>
      </w:r>
      <w:r w:rsidRPr="004D1495">
        <w:rPr>
          <w:rFonts w:ascii="Arial" w:hAnsi="Arial"/>
          <w:lang w:val="en-GB"/>
        </w:rPr>
        <w:t xml:space="preserve"> the</w:t>
      </w:r>
      <w:r w:rsidR="00F71D46">
        <w:rPr>
          <w:rFonts w:ascii="Arial" w:hAnsi="Arial"/>
          <w:lang w:val="en-GB"/>
        </w:rPr>
        <w:t xml:space="preserve"> State party’s argument that the complaint should be declared inadmissible, as the author failed to appeal the decision of the Administrative Court of Appeal to the Supreme </w:t>
      </w:r>
      <w:r w:rsidR="00172948">
        <w:rPr>
          <w:rFonts w:ascii="Arial" w:hAnsi="Arial"/>
          <w:lang w:val="en-GB"/>
        </w:rPr>
        <w:t xml:space="preserve">Administrative Court. Further, it </w:t>
      </w:r>
      <w:r w:rsidR="00F71D46">
        <w:rPr>
          <w:rFonts w:ascii="Arial" w:hAnsi="Arial"/>
          <w:lang w:val="en-GB"/>
        </w:rPr>
        <w:t>notes the</w:t>
      </w:r>
      <w:r w:rsidRPr="004D1495">
        <w:rPr>
          <w:rFonts w:ascii="Arial" w:hAnsi="Arial"/>
          <w:lang w:val="en-GB"/>
        </w:rPr>
        <w:t xml:space="preserve"> </w:t>
      </w:r>
      <w:r w:rsidR="00F71D46">
        <w:rPr>
          <w:rFonts w:ascii="Arial" w:hAnsi="Arial"/>
          <w:lang w:val="en-GB"/>
        </w:rPr>
        <w:t>author’s argument that an appeal to the Supreme Administrative Court would have been unl</w:t>
      </w:r>
      <w:r w:rsidR="008F4050">
        <w:rPr>
          <w:rFonts w:ascii="Arial" w:hAnsi="Arial"/>
          <w:lang w:val="en-GB"/>
        </w:rPr>
        <w:t>ikely</w:t>
      </w:r>
      <w:r w:rsidR="00172948">
        <w:rPr>
          <w:rFonts w:ascii="Arial" w:hAnsi="Arial"/>
          <w:lang w:val="en-GB"/>
        </w:rPr>
        <w:t xml:space="preserve"> to bring effective relief. It also notes that the two categories of cases </w:t>
      </w:r>
      <w:r w:rsidR="006B7A53">
        <w:rPr>
          <w:rFonts w:ascii="Arial" w:hAnsi="Arial"/>
          <w:lang w:val="en-GB"/>
        </w:rPr>
        <w:t>for which the Supreme Administrative Court may grant leave to appeal, namely: (a) if it is of importance for guidance in the application of the law that the appeal is examined; or (b) if there are extraordinary reasons for such an examination, such as a cause for a judicial review, or if the outcome of the case in the Administrative Court of Appeal was obviously due to a gross oversight or error.</w:t>
      </w:r>
    </w:p>
    <w:p w14:paraId="06A67C26" w14:textId="77777777" w:rsidR="00F71D46" w:rsidRDefault="00F71D46" w:rsidP="001E657C">
      <w:pPr>
        <w:spacing w:after="0"/>
        <w:jc w:val="both"/>
        <w:rPr>
          <w:rFonts w:ascii="Arial" w:hAnsi="Arial"/>
          <w:lang w:val="en-GB"/>
        </w:rPr>
      </w:pPr>
    </w:p>
    <w:p w14:paraId="3BF58151" w14:textId="77777777" w:rsidR="00F71D46" w:rsidRDefault="00F71D46" w:rsidP="001E657C">
      <w:pPr>
        <w:spacing w:after="0"/>
        <w:jc w:val="both"/>
        <w:rPr>
          <w:rFonts w:ascii="Arial" w:hAnsi="Arial"/>
          <w:lang w:val="en-GB"/>
        </w:rPr>
      </w:pPr>
      <w:r>
        <w:rPr>
          <w:rFonts w:ascii="Arial" w:hAnsi="Arial"/>
          <w:lang w:val="en-GB"/>
        </w:rPr>
        <w:t xml:space="preserve">The Committee </w:t>
      </w:r>
      <w:r w:rsidR="000158A1">
        <w:rPr>
          <w:rFonts w:ascii="Arial" w:hAnsi="Arial"/>
          <w:lang w:val="en-GB"/>
        </w:rPr>
        <w:t>recalls,</w:t>
      </w:r>
      <w:r>
        <w:rPr>
          <w:rFonts w:ascii="Arial" w:hAnsi="Arial"/>
          <w:lang w:val="en-GB"/>
        </w:rPr>
        <w:t xml:space="preserve"> “that domestic remedies need not be exhausted if they objectively have no prospect of success</w:t>
      </w:r>
      <w:r>
        <w:rPr>
          <w:rStyle w:val="FootnoteReference"/>
          <w:lang w:val="en-GB"/>
        </w:rPr>
        <w:footnoteReference w:id="3"/>
      </w:r>
      <w:r>
        <w:rPr>
          <w:rFonts w:ascii="Arial" w:hAnsi="Arial"/>
          <w:lang w:val="en-GB"/>
        </w:rPr>
        <w:t>, but that mere doubts as to the effectiveness of those remedies do not absolve the author from the obligation to exhaust them</w:t>
      </w:r>
      <w:r w:rsidR="008F4050">
        <w:rPr>
          <w:rStyle w:val="FootnoteReference"/>
          <w:lang w:val="en-GB"/>
        </w:rPr>
        <w:footnoteReference w:id="4"/>
      </w:r>
      <w:r>
        <w:rPr>
          <w:rFonts w:ascii="Arial" w:hAnsi="Arial"/>
          <w:lang w:val="en-GB"/>
        </w:rPr>
        <w:t>”.</w:t>
      </w:r>
      <w:r w:rsidR="00BC6D2C">
        <w:rPr>
          <w:rFonts w:ascii="Arial" w:hAnsi="Arial"/>
          <w:lang w:val="en-GB"/>
        </w:rPr>
        <w:t>However, t</w:t>
      </w:r>
      <w:r w:rsidR="00AC02E1">
        <w:rPr>
          <w:rFonts w:ascii="Arial" w:hAnsi="Arial"/>
          <w:lang w:val="en-GB"/>
        </w:rPr>
        <w:t>he Committee considered the elements provided are not sufficient to conclude that the author’s case could not have fallen within of the two categories of cases to grant a leave to appeal, and to conclude</w:t>
      </w:r>
      <w:r w:rsidR="00BC6D2C">
        <w:rPr>
          <w:rFonts w:ascii="Arial" w:hAnsi="Arial"/>
          <w:lang w:val="en-GB"/>
        </w:rPr>
        <w:t xml:space="preserve"> that</w:t>
      </w:r>
      <w:r w:rsidR="00AC02E1">
        <w:rPr>
          <w:rFonts w:ascii="Arial" w:hAnsi="Arial"/>
          <w:lang w:val="en-GB"/>
        </w:rPr>
        <w:t xml:space="preserve"> the </w:t>
      </w:r>
      <w:r w:rsidR="00AD2818">
        <w:rPr>
          <w:rFonts w:ascii="Arial" w:hAnsi="Arial"/>
          <w:lang w:val="en-GB"/>
        </w:rPr>
        <w:t xml:space="preserve">proceedings would </w:t>
      </w:r>
      <w:r w:rsidR="00BC6D2C">
        <w:rPr>
          <w:rFonts w:ascii="Arial" w:hAnsi="Arial"/>
          <w:lang w:val="en-GB"/>
        </w:rPr>
        <w:t xml:space="preserve">have </w:t>
      </w:r>
      <w:r w:rsidR="00AD2818">
        <w:rPr>
          <w:rFonts w:ascii="Arial" w:hAnsi="Arial"/>
          <w:lang w:val="en-GB"/>
        </w:rPr>
        <w:t>be</w:t>
      </w:r>
      <w:r w:rsidR="00BC6D2C">
        <w:rPr>
          <w:rFonts w:ascii="Arial" w:hAnsi="Arial"/>
          <w:lang w:val="en-GB"/>
        </w:rPr>
        <w:t>en unduly</w:t>
      </w:r>
      <w:r w:rsidR="00AD2818">
        <w:rPr>
          <w:rFonts w:ascii="Arial" w:hAnsi="Arial"/>
          <w:lang w:val="en-GB"/>
        </w:rPr>
        <w:t xml:space="preserve"> prolonged</w:t>
      </w:r>
      <w:r w:rsidR="00BC6D2C">
        <w:rPr>
          <w:rFonts w:ascii="Arial" w:hAnsi="Arial"/>
          <w:lang w:val="en-GB"/>
        </w:rPr>
        <w:t>, notably</w:t>
      </w:r>
      <w:r w:rsidR="00AD2818">
        <w:rPr>
          <w:rFonts w:ascii="Arial" w:hAnsi="Arial"/>
          <w:lang w:val="en-GB"/>
        </w:rPr>
        <w:t xml:space="preserve"> compared to the delay he had to appeal the decision of the Administrative Court in Stockholm to the Administrative Court of Appeal.</w:t>
      </w:r>
    </w:p>
    <w:bookmarkEnd w:id="1"/>
    <w:p w14:paraId="546ECD27" w14:textId="77777777" w:rsidR="000204A1" w:rsidRPr="004D1495" w:rsidRDefault="000204A1" w:rsidP="001021CE">
      <w:pPr>
        <w:spacing w:after="0"/>
        <w:jc w:val="both"/>
        <w:rPr>
          <w:rFonts w:ascii="Arial" w:hAnsi="Arial" w:cs="Arial"/>
          <w:lang w:val="en-GB"/>
        </w:rPr>
      </w:pPr>
    </w:p>
    <w:p w14:paraId="39C12B02" w14:textId="77777777" w:rsidR="001021CE" w:rsidRPr="004D1495" w:rsidRDefault="001021CE" w:rsidP="001021CE">
      <w:pPr>
        <w:spacing w:after="120"/>
        <w:jc w:val="both"/>
        <w:rPr>
          <w:rFonts w:ascii="Arial" w:hAnsi="Arial" w:cs="Arial"/>
          <w:sz w:val="28"/>
          <w:szCs w:val="28"/>
          <w:lang w:val="en-GB"/>
        </w:rPr>
      </w:pPr>
      <w:r w:rsidRPr="004D1495">
        <w:rPr>
          <w:rFonts w:ascii="Arial" w:hAnsi="Arial" w:cs="Arial"/>
          <w:sz w:val="28"/>
          <w:szCs w:val="28"/>
          <w:lang w:val="en-GB"/>
        </w:rPr>
        <w:t>Conclusion</w:t>
      </w:r>
    </w:p>
    <w:p w14:paraId="429BBD66" w14:textId="77777777" w:rsidR="001021CE" w:rsidRPr="000204A1" w:rsidRDefault="00A2436A" w:rsidP="000204A1">
      <w:pPr>
        <w:spacing w:after="120"/>
        <w:jc w:val="both"/>
        <w:rPr>
          <w:rFonts w:ascii="Arial" w:hAnsi="Arial" w:cs="Verdana"/>
          <w:lang w:val="en-GB" w:eastAsia="fr-FR"/>
        </w:rPr>
      </w:pPr>
      <w:r w:rsidRPr="004D1495">
        <w:rPr>
          <w:rFonts w:ascii="Arial" w:hAnsi="Arial" w:cs="Verdana"/>
          <w:lang w:val="en-GB" w:eastAsia="fr-FR"/>
        </w:rPr>
        <w:lastRenderedPageBreak/>
        <w:t>The Committee concluded</w:t>
      </w:r>
      <w:r w:rsidR="000204A1">
        <w:rPr>
          <w:rFonts w:ascii="Arial" w:hAnsi="Arial" w:cs="Verdana"/>
          <w:lang w:val="en-GB" w:eastAsia="fr-FR"/>
        </w:rPr>
        <w:t xml:space="preserve"> t</w:t>
      </w:r>
      <w:r w:rsidRPr="000204A1">
        <w:rPr>
          <w:rFonts w:ascii="Arial" w:hAnsi="Arial" w:cs="Verdana"/>
          <w:lang w:val="en-GB" w:eastAsia="fr-FR"/>
        </w:rPr>
        <w:t xml:space="preserve">hat </w:t>
      </w:r>
      <w:r w:rsidR="000204A1" w:rsidRPr="000204A1">
        <w:rPr>
          <w:rFonts w:ascii="Arial" w:hAnsi="Arial" w:cs="Verdana"/>
          <w:lang w:val="en-GB" w:eastAsia="fr-FR"/>
        </w:rPr>
        <w:t xml:space="preserve">the communication </w:t>
      </w:r>
      <w:r w:rsidR="00FF3F4F">
        <w:rPr>
          <w:rFonts w:ascii="Arial" w:hAnsi="Arial" w:cs="Verdana"/>
          <w:lang w:val="en-GB" w:eastAsia="fr-FR"/>
        </w:rPr>
        <w:t>is inadmissible under article 2</w:t>
      </w:r>
      <w:r w:rsidR="000204A1" w:rsidRPr="000204A1">
        <w:rPr>
          <w:rFonts w:ascii="Arial" w:hAnsi="Arial" w:cs="Verdana"/>
          <w:lang w:val="en-GB" w:eastAsia="fr-FR"/>
        </w:rPr>
        <w:t>(d) of the Optional Protocol</w:t>
      </w:r>
      <w:r w:rsidR="000204A1">
        <w:rPr>
          <w:rFonts w:ascii="Arial" w:hAnsi="Arial" w:cs="Verdana"/>
          <w:lang w:val="en-GB" w:eastAsia="fr-FR"/>
        </w:rPr>
        <w:t>.</w:t>
      </w:r>
    </w:p>
    <w:sectPr w:rsidR="001021CE" w:rsidRPr="000204A1" w:rsidSect="001021CE">
      <w:footerReference w:type="default" r:id="rId3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FB6EB" w14:textId="77777777" w:rsidR="006B7880" w:rsidRDefault="006B7880" w:rsidP="001021CE">
      <w:pPr>
        <w:spacing w:after="0" w:line="240" w:lineRule="auto"/>
      </w:pPr>
      <w:r>
        <w:separator/>
      </w:r>
    </w:p>
  </w:endnote>
  <w:endnote w:type="continuationSeparator" w:id="0">
    <w:p w14:paraId="3B9A3B67" w14:textId="77777777" w:rsidR="006B7880" w:rsidRDefault="006B7880" w:rsidP="0010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6FE4" w14:textId="77777777" w:rsidR="00F333CF" w:rsidRPr="00CE7185" w:rsidRDefault="008D38FD">
    <w:pPr>
      <w:pStyle w:val="Footer"/>
      <w:jc w:val="right"/>
      <w:rPr>
        <w:rFonts w:ascii="Arial" w:hAnsi="Arial" w:cs="Arial"/>
        <w:sz w:val="18"/>
        <w:szCs w:val="18"/>
      </w:rPr>
    </w:pPr>
    <w:r w:rsidRPr="00CE7185">
      <w:rPr>
        <w:rFonts w:ascii="Arial" w:hAnsi="Arial" w:cs="Arial"/>
        <w:sz w:val="18"/>
        <w:szCs w:val="18"/>
      </w:rPr>
      <w:fldChar w:fldCharType="begin"/>
    </w:r>
    <w:r w:rsidR="00F333CF">
      <w:rPr>
        <w:rFonts w:ascii="Arial" w:hAnsi="Arial" w:cs="Arial"/>
        <w:sz w:val="18"/>
        <w:szCs w:val="18"/>
      </w:rPr>
      <w:instrText>PAGE</w:instrText>
    </w:r>
    <w:r w:rsidR="00F333CF" w:rsidRPr="00CE7185">
      <w:rPr>
        <w:rFonts w:ascii="Arial" w:hAnsi="Arial" w:cs="Arial"/>
        <w:sz w:val="18"/>
        <w:szCs w:val="18"/>
      </w:rPr>
      <w:instrText xml:space="preserve">   \* MERGEFORMAT</w:instrText>
    </w:r>
    <w:r w:rsidRPr="00CE7185">
      <w:rPr>
        <w:rFonts w:ascii="Arial" w:hAnsi="Arial" w:cs="Arial"/>
        <w:sz w:val="18"/>
        <w:szCs w:val="18"/>
      </w:rPr>
      <w:fldChar w:fldCharType="separate"/>
    </w:r>
    <w:r w:rsidR="00910967">
      <w:rPr>
        <w:rFonts w:ascii="Arial" w:hAnsi="Arial" w:cs="Arial"/>
        <w:noProof/>
        <w:sz w:val="18"/>
        <w:szCs w:val="18"/>
      </w:rPr>
      <w:t>1</w:t>
    </w:r>
    <w:r w:rsidRPr="00CE7185">
      <w:rPr>
        <w:rFonts w:ascii="Arial" w:hAnsi="Arial" w:cs="Arial"/>
        <w:sz w:val="18"/>
        <w:szCs w:val="18"/>
      </w:rPr>
      <w:fldChar w:fldCharType="end"/>
    </w:r>
  </w:p>
  <w:p w14:paraId="7ABD4981" w14:textId="77777777" w:rsidR="00F333CF" w:rsidRDefault="00F333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15EE" w14:textId="77777777" w:rsidR="006B7880" w:rsidRDefault="006B7880" w:rsidP="001021CE">
      <w:pPr>
        <w:spacing w:after="0" w:line="240" w:lineRule="auto"/>
      </w:pPr>
      <w:r>
        <w:separator/>
      </w:r>
    </w:p>
  </w:footnote>
  <w:footnote w:type="continuationSeparator" w:id="0">
    <w:p w14:paraId="0AE0E57B" w14:textId="77777777" w:rsidR="006B7880" w:rsidRDefault="006B7880" w:rsidP="001021CE">
      <w:pPr>
        <w:spacing w:after="0" w:line="240" w:lineRule="auto"/>
      </w:pPr>
      <w:r>
        <w:continuationSeparator/>
      </w:r>
    </w:p>
  </w:footnote>
  <w:footnote w:id="1">
    <w:p w14:paraId="7EFA337C" w14:textId="77777777" w:rsidR="00F333CF" w:rsidRPr="00D225CD" w:rsidRDefault="00F333CF" w:rsidP="00770659">
      <w:pPr>
        <w:spacing w:after="0" w:line="240" w:lineRule="auto"/>
        <w:jc w:val="both"/>
        <w:rPr>
          <w:rFonts w:ascii="Arial" w:hAnsi="Arial" w:cs="Arial"/>
          <w:sz w:val="18"/>
          <w:szCs w:val="18"/>
          <w:lang w:val="en-GB"/>
        </w:rPr>
      </w:pPr>
      <w:r w:rsidRPr="00F333CF">
        <w:rPr>
          <w:rStyle w:val="FootnoteReference"/>
          <w:rFonts w:ascii="Arial" w:hAnsi="Arial"/>
          <w:sz w:val="16"/>
          <w:szCs w:val="16"/>
        </w:rPr>
        <w:footnoteRef/>
      </w:r>
      <w:r w:rsidRPr="00F333CF">
        <w:rPr>
          <w:rFonts w:ascii="Arial" w:hAnsi="Arial"/>
          <w:sz w:val="16"/>
          <w:szCs w:val="16"/>
          <w:lang w:val="en-US"/>
        </w:rPr>
        <w:t xml:space="preserve"> </w:t>
      </w:r>
      <w:r w:rsidRPr="00F333CF">
        <w:rPr>
          <w:rFonts w:ascii="Arial" w:hAnsi="Arial" w:cs="Arial"/>
          <w:sz w:val="16"/>
          <w:szCs w:val="16"/>
          <w:lang w:val="en-GB"/>
        </w:rPr>
        <w:t>This summary has been prepared by the International Disability Alliance. For more information on how to lodge individual</w:t>
      </w:r>
      <w:r w:rsidRPr="00FD4FA3">
        <w:rPr>
          <w:rFonts w:ascii="Arial" w:hAnsi="Arial" w:cs="Arial"/>
          <w:sz w:val="16"/>
          <w:szCs w:val="16"/>
          <w:lang w:val="en-GB"/>
        </w:rPr>
        <w:t xml:space="preserve"> communications under the Optional Protocol to the CRPD, visit </w:t>
      </w:r>
      <w:r w:rsidR="006B7880">
        <w:fldChar w:fldCharType="begin"/>
      </w:r>
      <w:r w:rsidR="006B7880" w:rsidRPr="00910967">
        <w:rPr>
          <w:lang w:val="en-GB"/>
        </w:rPr>
        <w:instrText xml:space="preserve"> HYPERLINK "http://www.internationaldisabilityalliance.org/es/node/105" </w:instrText>
      </w:r>
      <w:r w:rsidR="006B7880">
        <w:fldChar w:fldCharType="separate"/>
      </w:r>
      <w:r w:rsidRPr="00FD4FA3">
        <w:rPr>
          <w:rStyle w:val="Hyperlink"/>
          <w:rFonts w:ascii="Arial" w:hAnsi="Arial" w:cs="Arial"/>
          <w:sz w:val="16"/>
          <w:szCs w:val="16"/>
          <w:lang w:val="en-GB"/>
        </w:rPr>
        <w:t xml:space="preserve">IDA’s disability rights litigation website. </w:t>
      </w:r>
      <w:r w:rsidR="006B7880">
        <w:rPr>
          <w:rStyle w:val="Hyperlink"/>
          <w:rFonts w:ascii="Arial" w:hAnsi="Arial" w:cs="Arial"/>
          <w:sz w:val="16"/>
          <w:szCs w:val="16"/>
          <w:lang w:val="en-GB"/>
        </w:rPr>
        <w:fldChar w:fldCharType="end"/>
      </w:r>
    </w:p>
  </w:footnote>
  <w:footnote w:id="2">
    <w:p w14:paraId="5F961774" w14:textId="77777777" w:rsidR="00F333CF" w:rsidRPr="00F333CF" w:rsidRDefault="00F333CF" w:rsidP="00770659">
      <w:pPr>
        <w:pStyle w:val="FootnoteText"/>
        <w:spacing w:line="240" w:lineRule="auto"/>
        <w:ind w:right="0"/>
        <w:jc w:val="both"/>
        <w:rPr>
          <w:rFonts w:cs="Arial"/>
          <w:sz w:val="16"/>
          <w:szCs w:val="16"/>
        </w:rPr>
      </w:pPr>
      <w:r w:rsidRPr="00F333CF">
        <w:rPr>
          <w:rStyle w:val="FootnoteReference"/>
          <w:rFonts w:ascii="Arial" w:hAnsi="Arial" w:cs="Arial"/>
          <w:sz w:val="16"/>
          <w:szCs w:val="16"/>
        </w:rPr>
        <w:footnoteRef/>
      </w:r>
      <w:r w:rsidRPr="00F333CF">
        <w:rPr>
          <w:rFonts w:cs="Arial"/>
          <w:sz w:val="16"/>
          <w:szCs w:val="16"/>
        </w:rPr>
        <w:t xml:space="preserve"> </w:t>
      </w:r>
      <w:hyperlink r:id="rId1" w:history="1">
        <w:r w:rsidRPr="00F333CF">
          <w:rPr>
            <w:rStyle w:val="Hyperlink"/>
            <w:rFonts w:cs="Arial"/>
            <w:sz w:val="16"/>
            <w:szCs w:val="16"/>
          </w:rPr>
          <w:t>CRPD/C/13/D/9/2012</w:t>
        </w:r>
      </w:hyperlink>
      <w:r w:rsidRPr="00F333CF">
        <w:rPr>
          <w:rFonts w:cs="Arial"/>
          <w:sz w:val="16"/>
          <w:szCs w:val="16"/>
        </w:rPr>
        <w:t xml:space="preserve">, </w:t>
      </w:r>
      <w:r w:rsidRPr="00F333CF">
        <w:rPr>
          <w:rFonts w:cs="Arial"/>
          <w:i/>
          <w:sz w:val="16"/>
          <w:szCs w:val="16"/>
        </w:rPr>
        <w:t>A.F. v. Italy</w:t>
      </w:r>
      <w:r w:rsidRPr="00F333CF">
        <w:rPr>
          <w:rFonts w:cs="Arial"/>
          <w:sz w:val="16"/>
          <w:szCs w:val="16"/>
        </w:rPr>
        <w:t>, Views adopted on 27 March 2015, para. 7.7.</w:t>
      </w:r>
    </w:p>
  </w:footnote>
  <w:footnote w:id="3">
    <w:p w14:paraId="1C0E9D47" w14:textId="77777777" w:rsidR="00F333CF" w:rsidRPr="00E83F85" w:rsidRDefault="00F333CF" w:rsidP="00770659">
      <w:pPr>
        <w:pStyle w:val="FootnoteText"/>
        <w:tabs>
          <w:tab w:val="clear" w:pos="1021"/>
        </w:tabs>
        <w:spacing w:line="240" w:lineRule="auto"/>
        <w:ind w:left="0" w:right="0" w:firstLine="0"/>
        <w:jc w:val="both"/>
        <w:rPr>
          <w:rFonts w:cs="Arial"/>
          <w:sz w:val="16"/>
          <w:szCs w:val="16"/>
        </w:rPr>
      </w:pPr>
      <w:r w:rsidRPr="00E83F85">
        <w:rPr>
          <w:rStyle w:val="FootnoteReference"/>
          <w:rFonts w:ascii="Arial" w:hAnsi="Arial" w:cs="Arial"/>
          <w:sz w:val="16"/>
          <w:szCs w:val="16"/>
        </w:rPr>
        <w:footnoteRef/>
      </w:r>
      <w:r w:rsidRPr="00E83F85">
        <w:rPr>
          <w:rFonts w:cs="Arial"/>
          <w:sz w:val="16"/>
          <w:szCs w:val="16"/>
        </w:rPr>
        <w:t xml:space="preserve"> </w:t>
      </w:r>
      <w:hyperlink r:id="rId2" w:history="1">
        <w:r w:rsidRPr="00E83F85">
          <w:rPr>
            <w:rStyle w:val="Hyperlink"/>
            <w:rFonts w:cs="Arial"/>
            <w:sz w:val="16"/>
            <w:szCs w:val="16"/>
          </w:rPr>
          <w:t>CRPD/C/16/D/7/2012</w:t>
        </w:r>
      </w:hyperlink>
      <w:r w:rsidRPr="00E83F85">
        <w:rPr>
          <w:rFonts w:cs="Arial"/>
          <w:sz w:val="16"/>
          <w:szCs w:val="16"/>
        </w:rPr>
        <w:t xml:space="preserve">, </w:t>
      </w:r>
      <w:r w:rsidRPr="00E83F85">
        <w:rPr>
          <w:rFonts w:cs="Arial"/>
          <w:i/>
          <w:sz w:val="16"/>
          <w:szCs w:val="16"/>
        </w:rPr>
        <w:t>Noble v. Australia</w:t>
      </w:r>
      <w:r w:rsidRPr="00E83F85">
        <w:rPr>
          <w:rFonts w:cs="Arial"/>
          <w:sz w:val="16"/>
          <w:szCs w:val="16"/>
        </w:rPr>
        <w:t xml:space="preserve">, Views adopted on 2 September 2016, para. 7.7 and Human Rights Committee communication </w:t>
      </w:r>
      <w:hyperlink r:id="rId3" w:history="1">
        <w:r w:rsidRPr="00E83F85">
          <w:rPr>
            <w:rStyle w:val="Hyperlink"/>
            <w:rFonts w:cs="Arial"/>
            <w:sz w:val="16"/>
            <w:szCs w:val="16"/>
          </w:rPr>
          <w:t>No. 941/2000</w:t>
        </w:r>
      </w:hyperlink>
      <w:r w:rsidRPr="00E83F85">
        <w:rPr>
          <w:rFonts w:cs="Arial"/>
          <w:sz w:val="16"/>
          <w:szCs w:val="16"/>
        </w:rPr>
        <w:t xml:space="preserve">, </w:t>
      </w:r>
      <w:r w:rsidRPr="00E83F85">
        <w:rPr>
          <w:rFonts w:cs="Arial"/>
          <w:i/>
          <w:sz w:val="16"/>
          <w:szCs w:val="16"/>
        </w:rPr>
        <w:t>Young v. Australia</w:t>
      </w:r>
      <w:r w:rsidRPr="00E83F85">
        <w:rPr>
          <w:rFonts w:cs="Arial"/>
          <w:sz w:val="16"/>
          <w:szCs w:val="16"/>
        </w:rPr>
        <w:t>, Views adopted on 18 September 2003, para. 9.4.</w:t>
      </w:r>
    </w:p>
  </w:footnote>
  <w:footnote w:id="4">
    <w:p w14:paraId="77B461FD" w14:textId="77777777" w:rsidR="00F333CF" w:rsidRPr="00E83F85" w:rsidRDefault="00F333CF" w:rsidP="00770659">
      <w:pPr>
        <w:pStyle w:val="FootnoteText"/>
        <w:tabs>
          <w:tab w:val="clear" w:pos="1021"/>
          <w:tab w:val="right" w:pos="0"/>
        </w:tabs>
        <w:spacing w:line="240" w:lineRule="auto"/>
        <w:ind w:left="0" w:right="0" w:firstLine="0"/>
        <w:jc w:val="both"/>
        <w:rPr>
          <w:rFonts w:cs="Arial"/>
          <w:sz w:val="16"/>
          <w:szCs w:val="16"/>
        </w:rPr>
      </w:pPr>
      <w:r w:rsidRPr="00E83F85">
        <w:rPr>
          <w:rStyle w:val="FootnoteReference"/>
          <w:rFonts w:ascii="Arial" w:hAnsi="Arial" w:cs="Arial"/>
          <w:sz w:val="16"/>
          <w:szCs w:val="16"/>
        </w:rPr>
        <w:footnoteRef/>
      </w:r>
      <w:r w:rsidRPr="00E83F85">
        <w:rPr>
          <w:rFonts w:cs="Arial"/>
          <w:sz w:val="16"/>
          <w:szCs w:val="16"/>
        </w:rPr>
        <w:t xml:space="preserve"> Human Rights Committee communication </w:t>
      </w:r>
      <w:hyperlink r:id="rId4" w:history="1">
        <w:r w:rsidRPr="00E83F85">
          <w:rPr>
            <w:rStyle w:val="Hyperlink"/>
            <w:rFonts w:cs="Arial"/>
            <w:sz w:val="16"/>
            <w:szCs w:val="16"/>
          </w:rPr>
          <w:t>No. 674/1995</w:t>
        </w:r>
      </w:hyperlink>
      <w:r w:rsidRPr="00E83F85">
        <w:rPr>
          <w:rFonts w:cs="Arial"/>
          <w:sz w:val="16"/>
          <w:szCs w:val="16"/>
        </w:rPr>
        <w:t xml:space="preserve">, </w:t>
      </w:r>
      <w:proofErr w:type="spellStart"/>
      <w:r w:rsidRPr="00E83F85">
        <w:rPr>
          <w:rFonts w:cs="Arial"/>
          <w:i/>
          <w:sz w:val="16"/>
          <w:szCs w:val="16"/>
        </w:rPr>
        <w:t>Kaaber</w:t>
      </w:r>
      <w:proofErr w:type="spellEnd"/>
      <w:r w:rsidRPr="00E83F85">
        <w:rPr>
          <w:rFonts w:cs="Arial"/>
          <w:i/>
          <w:sz w:val="16"/>
          <w:szCs w:val="16"/>
        </w:rPr>
        <w:t xml:space="preserve"> v. Iceland</w:t>
      </w:r>
      <w:r w:rsidRPr="00E83F85">
        <w:rPr>
          <w:rFonts w:cs="Arial"/>
          <w:sz w:val="16"/>
          <w:szCs w:val="16"/>
        </w:rPr>
        <w:t>, decision 5 Nov 1996, para. 6.2.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EA6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B6BA9E"/>
    <w:lvl w:ilvl="0">
      <w:start w:val="1"/>
      <w:numFmt w:val="decimal"/>
      <w:lvlText w:val="%1."/>
      <w:lvlJc w:val="left"/>
      <w:pPr>
        <w:tabs>
          <w:tab w:val="num" w:pos="1492"/>
        </w:tabs>
        <w:ind w:left="1492" w:hanging="360"/>
      </w:pPr>
    </w:lvl>
  </w:abstractNum>
  <w:abstractNum w:abstractNumId="2">
    <w:nsid w:val="FFFFFF7D"/>
    <w:multiLevelType w:val="singleLevel"/>
    <w:tmpl w:val="FE2C77BC"/>
    <w:lvl w:ilvl="0">
      <w:start w:val="1"/>
      <w:numFmt w:val="decimal"/>
      <w:lvlText w:val="%1."/>
      <w:lvlJc w:val="left"/>
      <w:pPr>
        <w:tabs>
          <w:tab w:val="num" w:pos="1209"/>
        </w:tabs>
        <w:ind w:left="1209" w:hanging="360"/>
      </w:pPr>
    </w:lvl>
  </w:abstractNum>
  <w:abstractNum w:abstractNumId="3">
    <w:nsid w:val="FFFFFF7E"/>
    <w:multiLevelType w:val="singleLevel"/>
    <w:tmpl w:val="9BA203EC"/>
    <w:lvl w:ilvl="0">
      <w:start w:val="1"/>
      <w:numFmt w:val="decimal"/>
      <w:lvlText w:val="%1."/>
      <w:lvlJc w:val="left"/>
      <w:pPr>
        <w:tabs>
          <w:tab w:val="num" w:pos="926"/>
        </w:tabs>
        <w:ind w:left="926" w:hanging="360"/>
      </w:pPr>
    </w:lvl>
  </w:abstractNum>
  <w:abstractNum w:abstractNumId="4">
    <w:nsid w:val="FFFFFF7F"/>
    <w:multiLevelType w:val="singleLevel"/>
    <w:tmpl w:val="5396F5CC"/>
    <w:lvl w:ilvl="0">
      <w:start w:val="1"/>
      <w:numFmt w:val="decimal"/>
      <w:lvlText w:val="%1."/>
      <w:lvlJc w:val="left"/>
      <w:pPr>
        <w:tabs>
          <w:tab w:val="num" w:pos="643"/>
        </w:tabs>
        <w:ind w:left="643" w:hanging="360"/>
      </w:pPr>
    </w:lvl>
  </w:abstractNum>
  <w:abstractNum w:abstractNumId="5">
    <w:nsid w:val="FFFFFF80"/>
    <w:multiLevelType w:val="singleLevel"/>
    <w:tmpl w:val="FA960A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EC439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968F1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C1E1F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429BC0"/>
    <w:lvl w:ilvl="0">
      <w:start w:val="1"/>
      <w:numFmt w:val="decimal"/>
      <w:lvlText w:val="%1."/>
      <w:lvlJc w:val="left"/>
      <w:pPr>
        <w:tabs>
          <w:tab w:val="num" w:pos="360"/>
        </w:tabs>
        <w:ind w:left="360" w:hanging="360"/>
      </w:pPr>
    </w:lvl>
  </w:abstractNum>
  <w:abstractNum w:abstractNumId="10">
    <w:nsid w:val="FFFFFF89"/>
    <w:multiLevelType w:val="singleLevel"/>
    <w:tmpl w:val="9AD8FA98"/>
    <w:lvl w:ilvl="0">
      <w:start w:val="1"/>
      <w:numFmt w:val="bullet"/>
      <w:lvlText w:val=""/>
      <w:lvlJc w:val="left"/>
      <w:pPr>
        <w:tabs>
          <w:tab w:val="num" w:pos="360"/>
        </w:tabs>
        <w:ind w:left="360" w:hanging="360"/>
      </w:pPr>
      <w:rPr>
        <w:rFonts w:ascii="Symbol" w:hAnsi="Symbol" w:hint="default"/>
      </w:rPr>
    </w:lvl>
  </w:abstractNum>
  <w:abstractNum w:abstractNumId="11">
    <w:nsid w:val="1FAB2000"/>
    <w:multiLevelType w:val="hybridMultilevel"/>
    <w:tmpl w:val="F46C8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853CC9"/>
    <w:multiLevelType w:val="hybridMultilevel"/>
    <w:tmpl w:val="3200A0BA"/>
    <w:lvl w:ilvl="0" w:tplc="C624C9BA">
      <w:start w:val="1"/>
      <w:numFmt w:val="bullet"/>
      <w:lvlText w:val=""/>
      <w:lvlJc w:val="left"/>
      <w:pPr>
        <w:ind w:left="720" w:hanging="360"/>
      </w:pPr>
      <w:rPr>
        <w:rFonts w:ascii="Symbol" w:hAnsi="Symbol" w:hint="default"/>
        <w:sz w:val="22"/>
        <w:szCs w:val="22"/>
      </w:rPr>
    </w:lvl>
    <w:lvl w:ilvl="1" w:tplc="9342B6B8">
      <w:start w:val="1"/>
      <w:numFmt w:val="bullet"/>
      <w:lvlText w:val="o"/>
      <w:lvlJc w:val="left"/>
      <w:pPr>
        <w:ind w:left="1440" w:hanging="360"/>
      </w:pPr>
      <w:rPr>
        <w:rFonts w:ascii="Courier New" w:hAnsi="Courier New" w:cs="Wingdings"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3805F3"/>
    <w:multiLevelType w:val="hybridMultilevel"/>
    <w:tmpl w:val="C7A8ECAC"/>
    <w:lvl w:ilvl="0" w:tplc="EDAC5F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6B1"/>
    <w:rsid w:val="000158A1"/>
    <w:rsid w:val="000204A1"/>
    <w:rsid w:val="00021A10"/>
    <w:rsid w:val="00043B31"/>
    <w:rsid w:val="000679CD"/>
    <w:rsid w:val="000A3E28"/>
    <w:rsid w:val="000A728D"/>
    <w:rsid w:val="000B5D46"/>
    <w:rsid w:val="000D33FC"/>
    <w:rsid w:val="001021CE"/>
    <w:rsid w:val="0011364C"/>
    <w:rsid w:val="00120102"/>
    <w:rsid w:val="00125234"/>
    <w:rsid w:val="00172948"/>
    <w:rsid w:val="0017419A"/>
    <w:rsid w:val="00177A49"/>
    <w:rsid w:val="0019467E"/>
    <w:rsid w:val="001E29F7"/>
    <w:rsid w:val="001E657C"/>
    <w:rsid w:val="00237081"/>
    <w:rsid w:val="00243568"/>
    <w:rsid w:val="00254EC1"/>
    <w:rsid w:val="00281544"/>
    <w:rsid w:val="002A4EFC"/>
    <w:rsid w:val="002C4ED7"/>
    <w:rsid w:val="00302291"/>
    <w:rsid w:val="00324A29"/>
    <w:rsid w:val="00356A35"/>
    <w:rsid w:val="00390611"/>
    <w:rsid w:val="003B4253"/>
    <w:rsid w:val="003D26B1"/>
    <w:rsid w:val="003E7091"/>
    <w:rsid w:val="00427147"/>
    <w:rsid w:val="00442902"/>
    <w:rsid w:val="00461988"/>
    <w:rsid w:val="00486EDC"/>
    <w:rsid w:val="004C6A95"/>
    <w:rsid w:val="004D1495"/>
    <w:rsid w:val="004F0F9C"/>
    <w:rsid w:val="00561B8B"/>
    <w:rsid w:val="005715F9"/>
    <w:rsid w:val="00584635"/>
    <w:rsid w:val="005935F1"/>
    <w:rsid w:val="005B4E53"/>
    <w:rsid w:val="005C7CA7"/>
    <w:rsid w:val="005E1E88"/>
    <w:rsid w:val="005F0C71"/>
    <w:rsid w:val="00657C60"/>
    <w:rsid w:val="00667A2A"/>
    <w:rsid w:val="00676F9D"/>
    <w:rsid w:val="006B6FBD"/>
    <w:rsid w:val="006B7880"/>
    <w:rsid w:val="006B7A53"/>
    <w:rsid w:val="006C1BA6"/>
    <w:rsid w:val="006F759B"/>
    <w:rsid w:val="007071B3"/>
    <w:rsid w:val="00725DD0"/>
    <w:rsid w:val="00740B02"/>
    <w:rsid w:val="0075556A"/>
    <w:rsid w:val="00770659"/>
    <w:rsid w:val="007D648F"/>
    <w:rsid w:val="00803008"/>
    <w:rsid w:val="00807F9F"/>
    <w:rsid w:val="00816B3F"/>
    <w:rsid w:val="00817EA3"/>
    <w:rsid w:val="008252D6"/>
    <w:rsid w:val="00840337"/>
    <w:rsid w:val="0085654E"/>
    <w:rsid w:val="008A2D5D"/>
    <w:rsid w:val="008A75DF"/>
    <w:rsid w:val="008B23E3"/>
    <w:rsid w:val="008B37A6"/>
    <w:rsid w:val="008B6E7A"/>
    <w:rsid w:val="008D38FD"/>
    <w:rsid w:val="008E0CD4"/>
    <w:rsid w:val="008E501B"/>
    <w:rsid w:val="008F4050"/>
    <w:rsid w:val="00902708"/>
    <w:rsid w:val="00910967"/>
    <w:rsid w:val="009221E1"/>
    <w:rsid w:val="00936839"/>
    <w:rsid w:val="00962A54"/>
    <w:rsid w:val="00966579"/>
    <w:rsid w:val="00973F79"/>
    <w:rsid w:val="00990395"/>
    <w:rsid w:val="009D64BF"/>
    <w:rsid w:val="009D6E48"/>
    <w:rsid w:val="009F42E6"/>
    <w:rsid w:val="00A048B2"/>
    <w:rsid w:val="00A2436A"/>
    <w:rsid w:val="00A47EA2"/>
    <w:rsid w:val="00A77382"/>
    <w:rsid w:val="00AA53AF"/>
    <w:rsid w:val="00AC02E1"/>
    <w:rsid w:val="00AD2818"/>
    <w:rsid w:val="00B07BF2"/>
    <w:rsid w:val="00B20C37"/>
    <w:rsid w:val="00B916E1"/>
    <w:rsid w:val="00BC6D2C"/>
    <w:rsid w:val="00BE7BCE"/>
    <w:rsid w:val="00BF53D1"/>
    <w:rsid w:val="00C12220"/>
    <w:rsid w:val="00C42D1A"/>
    <w:rsid w:val="00C44649"/>
    <w:rsid w:val="00C46DCE"/>
    <w:rsid w:val="00C80117"/>
    <w:rsid w:val="00C9368B"/>
    <w:rsid w:val="00D21037"/>
    <w:rsid w:val="00D225CD"/>
    <w:rsid w:val="00D65044"/>
    <w:rsid w:val="00D96723"/>
    <w:rsid w:val="00DD462D"/>
    <w:rsid w:val="00E7518D"/>
    <w:rsid w:val="00E83F85"/>
    <w:rsid w:val="00E90B31"/>
    <w:rsid w:val="00E9530E"/>
    <w:rsid w:val="00EA0AE5"/>
    <w:rsid w:val="00ED709D"/>
    <w:rsid w:val="00F333CF"/>
    <w:rsid w:val="00F40F7C"/>
    <w:rsid w:val="00F41CED"/>
    <w:rsid w:val="00F54BD9"/>
    <w:rsid w:val="00F71D46"/>
    <w:rsid w:val="00FA1F25"/>
    <w:rsid w:val="00FE1E33"/>
    <w:rsid w:val="00FF3F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619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38FD"/>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F64"/>
    <w:rPr>
      <w:color w:val="0000FF"/>
      <w:u w:val="single"/>
    </w:rPr>
  </w:style>
  <w:style w:type="character" w:styleId="FootnoteReference">
    <w:name w:val="footnote reference"/>
    <w:aliases w:val="4_G,Footnote number"/>
    <w:uiPriority w:val="99"/>
    <w:rsid w:val="004B3C3C"/>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6B6FBD"/>
    <w:pPr>
      <w:tabs>
        <w:tab w:val="right" w:pos="1021"/>
      </w:tabs>
      <w:suppressAutoHyphens/>
      <w:spacing w:after="0" w:line="220" w:lineRule="exact"/>
      <w:ind w:left="1134" w:right="1134" w:hanging="1134"/>
    </w:pPr>
    <w:rPr>
      <w:rFonts w:ascii="Arial" w:eastAsia="Times New Roman" w:hAnsi="Arial"/>
      <w:sz w:val="18"/>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6B6FBD"/>
    <w:rPr>
      <w:rFonts w:ascii="Arial" w:eastAsia="Times New Roman" w:hAnsi="Arial"/>
      <w:sz w:val="18"/>
      <w:lang w:val="en-GB"/>
    </w:rPr>
  </w:style>
  <w:style w:type="paragraph" w:customStyle="1" w:styleId="SingleTxtG">
    <w:name w:val="_ Single Txt_G"/>
    <w:basedOn w:val="Normal"/>
    <w:link w:val="SingleTxtGChar"/>
    <w:rsid w:val="00533D5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533D59"/>
    <w:rPr>
      <w:rFonts w:ascii="Times New Roman" w:eastAsia="Times New Roman" w:hAnsi="Times New Roman"/>
      <w:lang w:eastAsia="en-US"/>
    </w:rPr>
  </w:style>
  <w:style w:type="paragraph" w:styleId="Header">
    <w:name w:val="header"/>
    <w:basedOn w:val="Normal"/>
    <w:link w:val="HeaderChar"/>
    <w:uiPriority w:val="99"/>
    <w:unhideWhenUsed/>
    <w:rsid w:val="00CE7185"/>
    <w:pPr>
      <w:tabs>
        <w:tab w:val="center" w:pos="4536"/>
        <w:tab w:val="right" w:pos="9072"/>
      </w:tabs>
    </w:pPr>
  </w:style>
  <w:style w:type="character" w:customStyle="1" w:styleId="HeaderChar">
    <w:name w:val="Header Char"/>
    <w:link w:val="Header"/>
    <w:uiPriority w:val="99"/>
    <w:rsid w:val="00CE7185"/>
    <w:rPr>
      <w:sz w:val="22"/>
      <w:szCs w:val="22"/>
      <w:lang w:eastAsia="en-US"/>
    </w:rPr>
  </w:style>
  <w:style w:type="paragraph" w:styleId="Footer">
    <w:name w:val="footer"/>
    <w:basedOn w:val="Normal"/>
    <w:link w:val="FooterChar"/>
    <w:uiPriority w:val="99"/>
    <w:unhideWhenUsed/>
    <w:rsid w:val="00CE7185"/>
    <w:pPr>
      <w:tabs>
        <w:tab w:val="center" w:pos="4536"/>
        <w:tab w:val="right" w:pos="9072"/>
      </w:tabs>
    </w:pPr>
  </w:style>
  <w:style w:type="character" w:customStyle="1" w:styleId="FooterChar">
    <w:name w:val="Footer Char"/>
    <w:link w:val="Footer"/>
    <w:uiPriority w:val="99"/>
    <w:rsid w:val="00CE7185"/>
    <w:rPr>
      <w:sz w:val="22"/>
      <w:szCs w:val="22"/>
      <w:lang w:eastAsia="en-US"/>
    </w:rPr>
  </w:style>
  <w:style w:type="character" w:styleId="FollowedHyperlink">
    <w:name w:val="FollowedHyperlink"/>
    <w:uiPriority w:val="99"/>
    <w:semiHidden/>
    <w:unhideWhenUsed/>
    <w:rsid w:val="00EA215D"/>
    <w:rPr>
      <w:color w:val="800080"/>
      <w:u w:val="single"/>
    </w:rPr>
  </w:style>
  <w:style w:type="paragraph" w:customStyle="1" w:styleId="H23G">
    <w:name w:val="_ H_2/3_G"/>
    <w:basedOn w:val="Normal"/>
    <w:next w:val="Normal"/>
    <w:rsid w:val="00DB1A4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apple-converted-space">
    <w:name w:val="apple-converted-space"/>
    <w:basedOn w:val="DefaultParagraphFont"/>
    <w:rsid w:val="00533DE0"/>
  </w:style>
  <w:style w:type="paragraph" w:styleId="ListParagraph">
    <w:name w:val="List Paragraph"/>
    <w:basedOn w:val="Normal"/>
    <w:rsid w:val="000204A1"/>
    <w:pPr>
      <w:ind w:left="720"/>
      <w:contextualSpacing/>
    </w:pPr>
  </w:style>
  <w:style w:type="paragraph" w:styleId="BalloonText">
    <w:name w:val="Balloon Text"/>
    <w:basedOn w:val="Normal"/>
    <w:link w:val="BalloonTextChar"/>
    <w:semiHidden/>
    <w:unhideWhenUsed/>
    <w:rsid w:val="00561B8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561B8B"/>
    <w:rPr>
      <w:rFonts w:ascii="Times New Roman" w:hAnsi="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074">
      <w:bodyDiv w:val="1"/>
      <w:marLeft w:val="0"/>
      <w:marRight w:val="0"/>
      <w:marTop w:val="0"/>
      <w:marBottom w:val="0"/>
      <w:divBdr>
        <w:top w:val="none" w:sz="0" w:space="0" w:color="auto"/>
        <w:left w:val="none" w:sz="0" w:space="0" w:color="auto"/>
        <w:bottom w:val="none" w:sz="0" w:space="0" w:color="auto"/>
        <w:right w:val="none" w:sz="0" w:space="0" w:color="auto"/>
      </w:divBdr>
    </w:div>
    <w:div w:id="504126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cstore.ohchr.org/SelfServices/FilesHandler.ashx?enc=6QkG1d%2fPPRiCAqhKb7yhssBJ9E3UTYMV65MVabAyM%2fQIjU%2fjuaI3xqWjPzD9mY9kMG35X%2fgslV71B1llBMvxfLN%2bgRjZ1nWS3mq6Vtedhl0e%2bnukOtOUyhNoh5Dfu1kOBopcYfA8QWQthjNL1C8Wog%3d%3d" TargetMode="External"/><Relationship Id="rId21" Type="http://schemas.openxmlformats.org/officeDocument/2006/relationships/hyperlink" Target="http://docstore.ohchr.org/SelfServices/FilesHandler.ashx?enc=6QkG1d%2fPPRiCAqhKb7yhssBJ9E3UTYMV65MVabAyM%2fQIjU%2fjuaI3xqWjPzD9mY9kMG35X%2fgslV71B1llBMvxfMdRrYnl9XNSKj0%2b8ytIJuuLDrHBsIMY33%2fYsnIdu1Zv%2bw%2b5umSl4BnN8PyLo%2f16Dg%3d%3d" TargetMode="External"/><Relationship Id="rId22" Type="http://schemas.openxmlformats.org/officeDocument/2006/relationships/hyperlink" Target="http://docstore.ohchr.org/SelfServices/FilesHandler.ashx?enc=6QkG1d%2fPPRiCAqhKb7yhssBJ9E3UTYMV65MVabAyM%2fQIjU%2fjuaI3xqWjPzD9mY9kMG35X%2fgslV71B1llBMvxfJOo83YVawUKTLnj5JZ%2bk3lSV%2f2Kuq4ov6o%2bPZaGGL6bbyQ6%2bUwQc%2bz%2bChprLtSy4Q%3d%3d" TargetMode="External"/><Relationship Id="rId23" Type="http://schemas.openxmlformats.org/officeDocument/2006/relationships/hyperlink" Target="http://docstore.ohchr.org/SelfServices/FilesHandler.ashx?enc=6QkG1d%2fPPRiCAqhKb7yhssBJ9E3UTYMV65MVabAyM%2fQIjU%2fjuaI3xqWjPzD9mY9kMG35X%2fgslV71B1llBMvxfM2t%2frvh15HNbk%2bIVHmLT61nPIl3o6cTrPf2faK7brYwiEMqaFRQFK7mBqaXwp%2bfbw%3d%3d" TargetMode="External"/><Relationship Id="rId24" Type="http://schemas.openxmlformats.org/officeDocument/2006/relationships/hyperlink" Target="https://documents.un.org" TargetMode="External"/><Relationship Id="rId25" Type="http://schemas.openxmlformats.org/officeDocument/2006/relationships/hyperlink" Target="http://www.ohchr.org/EN/HRBodies/CRPD/Pages/ConventionRightsPersonsWithDisabilities.aspx" TargetMode="External"/><Relationship Id="rId26" Type="http://schemas.openxmlformats.org/officeDocument/2006/relationships/hyperlink" Target="http://www.ohchr.org/EN/HRBodies/CRPD/Pages/ConventionRightsPersonsWithDisabilities.aspx" TargetMode="External"/><Relationship Id="rId27" Type="http://schemas.openxmlformats.org/officeDocument/2006/relationships/hyperlink" Target="http://www.ohchr.org/EN/HRBodies/CRPD/Pages/ConventionRightsPersonsWithDisabilities.aspx" TargetMode="External"/><Relationship Id="rId28" Type="http://schemas.openxmlformats.org/officeDocument/2006/relationships/hyperlink" Target="http://www.ohchr.org/EN/HRBodies/CRPD/Pages/ConventionRightsPersonsWithDisabilities.aspx" TargetMode="External"/><Relationship Id="rId29" Type="http://schemas.openxmlformats.org/officeDocument/2006/relationships/hyperlink" Target="http://www.ohchr.org/EN/HRBodies/CRPD/Pages/ConventionRightsPersonsWithDisabilities.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ohchr.org/EN/HRBodies/CRPD/Pages/ConventionRightsPersonsWithDisabilities.aspx" TargetMode="External"/><Relationship Id="rId31" Type="http://schemas.openxmlformats.org/officeDocument/2006/relationships/hyperlink" Target="http://www.ohchr.org/EN/HRBodies/CRPD/Pages/ConventionRightsPersonsWithDisabilities.aspx" TargetMode="External"/><Relationship Id="rId32" Type="http://schemas.openxmlformats.org/officeDocument/2006/relationships/hyperlink" Target="http://www.ohchr.org/EN/HRBodies/CRPD/Pages/ConventionRightsPersonsWithDisabilities.aspx" TargetMode="External"/><Relationship Id="rId9" Type="http://schemas.openxmlformats.org/officeDocument/2006/relationships/hyperlink" Target="http://www.ohchr.org/EN/HRBodies/CRPD/Pages/ConventionRightsPersonsWithDisabilities.aspx" TargetMode="External"/><Relationship Id="rId6" Type="http://schemas.openxmlformats.org/officeDocument/2006/relationships/endnotes" Target="endnotes.xml"/><Relationship Id="rId7" Type="http://schemas.openxmlformats.org/officeDocument/2006/relationships/hyperlink" Target="http://www.ohchr.org/EN/HRBodies/CRPD/Pages/ConventionRightsPersonsWithDisabilities.aspx" TargetMode="External"/><Relationship Id="rId8" Type="http://schemas.openxmlformats.org/officeDocument/2006/relationships/hyperlink" Target="http://www.ohchr.org/EN/HRBodies/CRPD/Pages/ConventionRightsPersonsWithDisabilities.aspx" TargetMode="External"/><Relationship Id="rId33" Type="http://schemas.openxmlformats.org/officeDocument/2006/relationships/hyperlink" Target="http://www.ohchr.org/EN/HRBodies/CRPD/Pages/ConventionRightsPersonsWithDisabilities.aspx" TargetMode="External"/><Relationship Id="rId34" Type="http://schemas.openxmlformats.org/officeDocument/2006/relationships/hyperlink" Target="http://www.ohchr.org/EN/HRBodies/CRPD/Pages/OptionalProtocolRightsPersonsWithDisabilities.aspx"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ohchr.org/EN/HRBodies/CRPD/Pages/ConventionRightsPersonsWithDisabilities.aspx" TargetMode="External"/><Relationship Id="rId11"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www.ohchr.org/EN/HRBodies/CRPD/Pages/ConventionRightsPersonsWithDisabilities.aspx" TargetMode="External"/><Relationship Id="rId13" Type="http://schemas.openxmlformats.org/officeDocument/2006/relationships/hyperlink" Target="http://www.ohchr.org/EN/HRBodies/CRPD/Pages/ConventionRightsPersonsWithDisabilities.aspx" TargetMode="External"/><Relationship Id="rId14"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www.ohchr.org/EN/HRBodies/CRPD/Pages/ConventionRightsPersonsWithDisabilities.aspx" TargetMode="External"/><Relationship Id="rId16" Type="http://schemas.openxmlformats.org/officeDocument/2006/relationships/hyperlink" Target="http://www.ohchr.org/EN/HRBodies/CRPD/Pages/OptionalProtocolRightsPersonsWithDisabilities.aspx" TargetMode="External"/><Relationship Id="rId17" Type="http://schemas.openxmlformats.org/officeDocument/2006/relationships/hyperlink" Target="http://www.ohchr.org/EN/HRBodies/CRPD/Pages/OptionalProtocolRightsPersonsWithDisabilities.aspx" TargetMode="External"/><Relationship Id="rId18" Type="http://schemas.openxmlformats.org/officeDocument/2006/relationships/hyperlink" Target="http://docstore.ohchr.org/SelfServices/FilesHandler.ashx?enc=6QkG1d%2fPPRiCAqhKb7yhssBJ9E3UTYMV65MVabAyM%2fQIjU%2fjuaI3xqWjPzD9mY9kMG35X%2fgslV71B1llBMvxfID6BTj1%2bC3rOuCyOeN7K2QZi%2bKYdabDSl7s06oyAwZreLcYZ3vxHBJEUCaAEzFmAQ%3d%3d" TargetMode="External"/><Relationship Id="rId19" Type="http://schemas.openxmlformats.org/officeDocument/2006/relationships/hyperlink" Target="http://docstore.ohchr.org/SelfServices/FilesHandler.ashx?enc=6QkG1d%2fPPRiCAqhKb7yhssBJ9E3UTYMV65MVabAyM%2fQIjU%2fjuaI3xqWjPzD9mY9kMG35X%2fgslV71B1llBMvxfMNKM4%2fJHCcIsZnN6BY%2bXr5umUqBFqIiGGqWsObXvP82%2b8ZBjmHcUXvYYx8RUjbfPw%3d%3d"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rlibrary.umn.edu/undocs/941-2000.html" TargetMode="External"/><Relationship Id="rId4" Type="http://schemas.openxmlformats.org/officeDocument/2006/relationships/hyperlink" Target="http://hrlibrary.umn.edu/undocs/html/IDEC6745.htm" TargetMode="External"/><Relationship Id="rId1" Type="http://schemas.openxmlformats.org/officeDocument/2006/relationships/hyperlink" Target="http://docstore.ohchr.org/SelfServices/FilesHandler.ashx?enc=6QkG1d%2fPPRiCAqhKb7yhshZEsQpq2VmlaFuT3ws7ySHCTEgTV5sR1RZCLJXy3JufUrbnEQz50vHPf5j2HvZ8cIBYGiRaLO6kkkDgCI5ErqWF%2fURDQtd%2bBqf%2fTNpcwCC%2f0CHn7KBxty9UCOgXiMm8Clz%2bk%2bHxDfhwZkIuUxM9gCw%3d" TargetMode="External"/><Relationship Id="rId2" Type="http://schemas.openxmlformats.org/officeDocument/2006/relationships/hyperlink" Target="http://docstore.ohchr.org/SelfServices/FilesHandler.ashx?enc=6QkG1d%2fPPRiCAqhKb7yhshZEsQpq2VmlaFuT3ws7ySF0ibEBPqk6YvHXUF0XH5Y9bht%2fHFNoUnI7mHzT9ZNVlI6Q7VMDuFoP9Q6mMnVDhTwAcLKUFW9%2fIJBNclMnXbcbzBjBfaI7Rc%2b4GBn1JSVHGjTwdShqIQrVL8CVzr1q80I%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1839</Words>
  <Characters>10487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Links>
    <vt:vector size="180" baseType="variant">
      <vt:variant>
        <vt:i4>3211372</vt:i4>
      </vt:variant>
      <vt:variant>
        <vt:i4>81</vt:i4>
      </vt:variant>
      <vt:variant>
        <vt:i4>0</vt:i4>
      </vt:variant>
      <vt:variant>
        <vt:i4>5</vt:i4>
      </vt:variant>
      <vt:variant>
        <vt:lpwstr>http://www.ohchr.org/EN/HRBodies/CRPD/Pages/OptionalProtocolRightsPersonsWithDisabilities.aspx</vt:lpwstr>
      </vt:variant>
      <vt:variant>
        <vt:lpwstr/>
      </vt:variant>
      <vt:variant>
        <vt:i4>3211372</vt:i4>
      </vt:variant>
      <vt:variant>
        <vt:i4>78</vt:i4>
      </vt:variant>
      <vt:variant>
        <vt:i4>0</vt:i4>
      </vt:variant>
      <vt:variant>
        <vt:i4>5</vt:i4>
      </vt:variant>
      <vt:variant>
        <vt:lpwstr>http://www.ohchr.org/EN/HRBodies/CRPD/Pages/OptionalProtocolRightsPersonsWithDisabilities.aspx</vt:lpwstr>
      </vt:variant>
      <vt:variant>
        <vt:lpwstr/>
      </vt:variant>
      <vt:variant>
        <vt:i4>3211372</vt:i4>
      </vt:variant>
      <vt:variant>
        <vt:i4>75</vt:i4>
      </vt:variant>
      <vt:variant>
        <vt:i4>0</vt:i4>
      </vt:variant>
      <vt:variant>
        <vt:i4>5</vt:i4>
      </vt:variant>
      <vt:variant>
        <vt:lpwstr>http://www.ohchr.org/EN/HRBodies/CRPD/Pages/OptionalProtocolRightsPersonsWithDisabilities.aspx</vt:lpwstr>
      </vt:variant>
      <vt:variant>
        <vt:lpwstr/>
      </vt:variant>
      <vt:variant>
        <vt:i4>3211372</vt:i4>
      </vt:variant>
      <vt:variant>
        <vt:i4>72</vt:i4>
      </vt:variant>
      <vt:variant>
        <vt:i4>0</vt:i4>
      </vt:variant>
      <vt:variant>
        <vt:i4>5</vt:i4>
      </vt:variant>
      <vt:variant>
        <vt:lpwstr>http://www.ohchr.org/EN/HRBodies/CRPD/Pages/OptionalProtocolRightsPersonsWithDisabilities.aspx</vt:lpwstr>
      </vt:variant>
      <vt:variant>
        <vt:lpwstr/>
      </vt:variant>
      <vt:variant>
        <vt:i4>3735657</vt:i4>
      </vt:variant>
      <vt:variant>
        <vt:i4>69</vt:i4>
      </vt:variant>
      <vt:variant>
        <vt:i4>0</vt:i4>
      </vt:variant>
      <vt:variant>
        <vt:i4>5</vt:i4>
      </vt:variant>
      <vt:variant>
        <vt:lpwstr>http://www.oas.org/juridico/english/treaties/a-65.html</vt:lpwstr>
      </vt:variant>
      <vt:variant>
        <vt:lpwstr/>
      </vt:variant>
      <vt:variant>
        <vt:i4>5439521</vt:i4>
      </vt:variant>
      <vt:variant>
        <vt:i4>66</vt:i4>
      </vt:variant>
      <vt:variant>
        <vt:i4>0</vt:i4>
      </vt:variant>
      <vt:variant>
        <vt:i4>5</vt:i4>
      </vt:variant>
      <vt:variant>
        <vt:lpwstr>http://www.ohchr.org/EN/HRBodies/CRPD/Pages/ConventionRightsPersonsWithDisabilities.aspx</vt:lpwstr>
      </vt:variant>
      <vt:variant>
        <vt:lpwstr>4</vt:lpwstr>
      </vt:variant>
      <vt:variant>
        <vt:i4>5439524</vt:i4>
      </vt:variant>
      <vt:variant>
        <vt:i4>63</vt:i4>
      </vt:variant>
      <vt:variant>
        <vt:i4>0</vt:i4>
      </vt:variant>
      <vt:variant>
        <vt:i4>5</vt:i4>
      </vt:variant>
      <vt:variant>
        <vt:lpwstr>http://www.ohchr.org/EN/HRBodies/CRPD/Pages/ConventionRightsPersonsWithDisabilities.aspx</vt:lpwstr>
      </vt:variant>
      <vt:variant>
        <vt:lpwstr>1</vt:lpwstr>
      </vt:variant>
      <vt:variant>
        <vt:i4>5439524</vt:i4>
      </vt:variant>
      <vt:variant>
        <vt:i4>60</vt:i4>
      </vt:variant>
      <vt:variant>
        <vt:i4>0</vt:i4>
      </vt:variant>
      <vt:variant>
        <vt:i4>5</vt:i4>
      </vt:variant>
      <vt:variant>
        <vt:lpwstr>http://www.ohchr.org/EN/HRBodies/CRPD/Pages/ConventionRightsPersonsWithDisabilities.aspx</vt:lpwstr>
      </vt:variant>
      <vt:variant>
        <vt:lpwstr>1</vt:lpwstr>
      </vt:variant>
      <vt:variant>
        <vt:i4>4128873</vt:i4>
      </vt:variant>
      <vt:variant>
        <vt:i4>57</vt:i4>
      </vt:variant>
      <vt:variant>
        <vt:i4>0</vt:i4>
      </vt:variant>
      <vt:variant>
        <vt:i4>5</vt:i4>
      </vt:variant>
      <vt:variant>
        <vt:lpwstr>http://tbinternet.ohchr.org/_layouts/treatybodyexternal/Download.aspx?symbolno=CRPD%2fC%2f1&amp;Lang=en</vt:lpwstr>
      </vt:variant>
      <vt:variant>
        <vt:lpwstr/>
      </vt:variant>
      <vt:variant>
        <vt:i4>5439524</vt:i4>
      </vt:variant>
      <vt:variant>
        <vt:i4>54</vt:i4>
      </vt:variant>
      <vt:variant>
        <vt:i4>0</vt:i4>
      </vt:variant>
      <vt:variant>
        <vt:i4>5</vt:i4>
      </vt:variant>
      <vt:variant>
        <vt:lpwstr>http://www.ohchr.org/EN/HRBodies/CRPD/Pages/ConventionRightsPersonsWithDisabilities.aspx</vt:lpwstr>
      </vt:variant>
      <vt:variant>
        <vt:lpwstr>1</vt:lpwstr>
      </vt:variant>
      <vt:variant>
        <vt:i4>5439524</vt:i4>
      </vt:variant>
      <vt:variant>
        <vt:i4>51</vt:i4>
      </vt:variant>
      <vt:variant>
        <vt:i4>0</vt:i4>
      </vt:variant>
      <vt:variant>
        <vt:i4>5</vt:i4>
      </vt:variant>
      <vt:variant>
        <vt:lpwstr>http://www.ohchr.org/EN/HRBodies/CRPD/Pages/ConventionRightsPersonsWithDisabilities.aspx</vt:lpwstr>
      </vt:variant>
      <vt:variant>
        <vt:lpwstr>1</vt:lpwstr>
      </vt:variant>
      <vt:variant>
        <vt:i4>5439521</vt:i4>
      </vt:variant>
      <vt:variant>
        <vt:i4>48</vt:i4>
      </vt:variant>
      <vt:variant>
        <vt:i4>0</vt:i4>
      </vt:variant>
      <vt:variant>
        <vt:i4>5</vt:i4>
      </vt:variant>
      <vt:variant>
        <vt:lpwstr>http://www.ohchr.org/EN/HRBodies/CRPD/Pages/ConventionRightsPersonsWithDisabilities.aspx</vt:lpwstr>
      </vt:variant>
      <vt:variant>
        <vt:lpwstr>4</vt:lpwstr>
      </vt:variant>
      <vt:variant>
        <vt:i4>6553639</vt:i4>
      </vt:variant>
      <vt:variant>
        <vt:i4>45</vt:i4>
      </vt:variant>
      <vt:variant>
        <vt:i4>0</vt:i4>
      </vt:variant>
      <vt:variant>
        <vt:i4>5</vt:i4>
      </vt:variant>
      <vt:variant>
        <vt:lpwstr>http://www.ohchr.org/EN/HRBodies/CRPD/Pages/ConventionRightsPersonsWithDisabilities.aspx</vt:lpwstr>
      </vt:variant>
      <vt:variant>
        <vt:lpwstr>27</vt:lpwstr>
      </vt:variant>
      <vt:variant>
        <vt:i4>6553639</vt:i4>
      </vt:variant>
      <vt:variant>
        <vt:i4>42</vt:i4>
      </vt:variant>
      <vt:variant>
        <vt:i4>0</vt:i4>
      </vt:variant>
      <vt:variant>
        <vt:i4>5</vt:i4>
      </vt:variant>
      <vt:variant>
        <vt:lpwstr>http://www.ohchr.org/EN/HRBodies/CRPD/Pages/ConventionRightsPersonsWithDisabilities.aspx</vt:lpwstr>
      </vt:variant>
      <vt:variant>
        <vt:lpwstr>27</vt:lpwstr>
      </vt:variant>
      <vt:variant>
        <vt:i4>5439521</vt:i4>
      </vt:variant>
      <vt:variant>
        <vt:i4>39</vt:i4>
      </vt:variant>
      <vt:variant>
        <vt:i4>0</vt:i4>
      </vt:variant>
      <vt:variant>
        <vt:i4>5</vt:i4>
      </vt:variant>
      <vt:variant>
        <vt:lpwstr>http://www.ohchr.org/EN/HRBodies/CRPD/Pages/ConventionRightsPersonsWithDisabilities.aspx</vt:lpwstr>
      </vt:variant>
      <vt:variant>
        <vt:lpwstr>4</vt:lpwstr>
      </vt:variant>
      <vt:variant>
        <vt:i4>5439520</vt:i4>
      </vt:variant>
      <vt:variant>
        <vt:i4>36</vt:i4>
      </vt:variant>
      <vt:variant>
        <vt:i4>0</vt:i4>
      </vt:variant>
      <vt:variant>
        <vt:i4>5</vt:i4>
      </vt:variant>
      <vt:variant>
        <vt:lpwstr>http://www.ohchr.org/EN/HRBodies/CRPD/Pages/ConventionRightsPersonsWithDisabilities.aspx</vt:lpwstr>
      </vt:variant>
      <vt:variant>
        <vt:lpwstr>5</vt:lpwstr>
      </vt:variant>
      <vt:variant>
        <vt:i4>5439526</vt:i4>
      </vt:variant>
      <vt:variant>
        <vt:i4>33</vt:i4>
      </vt:variant>
      <vt:variant>
        <vt:i4>0</vt:i4>
      </vt:variant>
      <vt:variant>
        <vt:i4>5</vt:i4>
      </vt:variant>
      <vt:variant>
        <vt:lpwstr>http://www.ohchr.org/EN/HRBodies/CRPD/Pages/ConventionRightsPersonsWithDisabilities.aspx</vt:lpwstr>
      </vt:variant>
      <vt:variant>
        <vt:lpwstr>3</vt:lpwstr>
      </vt:variant>
      <vt:variant>
        <vt:i4>6553639</vt:i4>
      </vt:variant>
      <vt:variant>
        <vt:i4>30</vt:i4>
      </vt:variant>
      <vt:variant>
        <vt:i4>0</vt:i4>
      </vt:variant>
      <vt:variant>
        <vt:i4>5</vt:i4>
      </vt:variant>
      <vt:variant>
        <vt:lpwstr>http://www.ohchr.org/EN/HRBodies/CRPD/Pages/ConventionRightsPersonsWithDisabilities.aspx</vt:lpwstr>
      </vt:variant>
      <vt:variant>
        <vt:lpwstr>27</vt:lpwstr>
      </vt:variant>
      <vt:variant>
        <vt:i4>5439520</vt:i4>
      </vt:variant>
      <vt:variant>
        <vt:i4>27</vt:i4>
      </vt:variant>
      <vt:variant>
        <vt:i4>0</vt:i4>
      </vt:variant>
      <vt:variant>
        <vt:i4>5</vt:i4>
      </vt:variant>
      <vt:variant>
        <vt:lpwstr>http://www.ohchr.org/EN/HRBodies/CRPD/Pages/ConventionRightsPersonsWithDisabilities.aspx</vt:lpwstr>
      </vt:variant>
      <vt:variant>
        <vt:lpwstr>5</vt:lpwstr>
      </vt:variant>
      <vt:variant>
        <vt:i4>5439521</vt:i4>
      </vt:variant>
      <vt:variant>
        <vt:i4>24</vt:i4>
      </vt:variant>
      <vt:variant>
        <vt:i4>0</vt:i4>
      </vt:variant>
      <vt:variant>
        <vt:i4>5</vt:i4>
      </vt:variant>
      <vt:variant>
        <vt:lpwstr>http://www.ohchr.org/EN/HRBodies/CRPD/Pages/ConventionRightsPersonsWithDisabilities.aspx</vt:lpwstr>
      </vt:variant>
      <vt:variant>
        <vt:lpwstr>4</vt:lpwstr>
      </vt:variant>
      <vt:variant>
        <vt:i4>5439526</vt:i4>
      </vt:variant>
      <vt:variant>
        <vt:i4>21</vt:i4>
      </vt:variant>
      <vt:variant>
        <vt:i4>0</vt:i4>
      </vt:variant>
      <vt:variant>
        <vt:i4>5</vt:i4>
      </vt:variant>
      <vt:variant>
        <vt:lpwstr>http://www.ohchr.org/EN/HRBodies/CRPD/Pages/ConventionRightsPersonsWithDisabilities.aspx</vt:lpwstr>
      </vt:variant>
      <vt:variant>
        <vt:lpwstr>3</vt:lpwstr>
      </vt:variant>
      <vt:variant>
        <vt:i4>7798825</vt:i4>
      </vt:variant>
      <vt:variant>
        <vt:i4>18</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15</vt:i4>
      </vt:variant>
      <vt:variant>
        <vt:i4>0</vt:i4>
      </vt:variant>
      <vt:variant>
        <vt:i4>5</vt:i4>
      </vt:variant>
      <vt:variant>
        <vt:lpwstr>http://www.ohchr.org/EN/HRBodies/CRPD/Pages/OptionalProtocolRightsPersonsWithDisabilities.aspx</vt:lpwstr>
      </vt:variant>
      <vt:variant>
        <vt:lpwstr/>
      </vt:variant>
      <vt:variant>
        <vt:i4>6553639</vt:i4>
      </vt:variant>
      <vt:variant>
        <vt:i4>12</vt:i4>
      </vt:variant>
      <vt:variant>
        <vt:i4>0</vt:i4>
      </vt:variant>
      <vt:variant>
        <vt:i4>5</vt:i4>
      </vt:variant>
      <vt:variant>
        <vt:lpwstr>http://www.ohchr.org/EN/HRBodies/CRPD/Pages/ConventionRightsPersonsWithDisabilities.aspx</vt:lpwstr>
      </vt:variant>
      <vt:variant>
        <vt:lpwstr>27</vt:lpwstr>
      </vt:variant>
      <vt:variant>
        <vt:i4>5439520</vt:i4>
      </vt:variant>
      <vt:variant>
        <vt:i4>9</vt:i4>
      </vt:variant>
      <vt:variant>
        <vt:i4>0</vt:i4>
      </vt:variant>
      <vt:variant>
        <vt:i4>5</vt:i4>
      </vt:variant>
      <vt:variant>
        <vt:lpwstr>http://www.ohchr.org/EN/HRBodies/CRPD/Pages/ConventionRightsPersonsWithDisabilities.aspx</vt:lpwstr>
      </vt:variant>
      <vt:variant>
        <vt:lpwstr>5</vt:lpwstr>
      </vt:variant>
      <vt:variant>
        <vt:i4>5439521</vt:i4>
      </vt:variant>
      <vt:variant>
        <vt:i4>6</vt:i4>
      </vt:variant>
      <vt:variant>
        <vt:i4>0</vt:i4>
      </vt:variant>
      <vt:variant>
        <vt:i4>5</vt:i4>
      </vt:variant>
      <vt:variant>
        <vt:lpwstr>http://www.ohchr.org/EN/HRBodies/CRPD/Pages/ConventionRightsPersonsWithDisabilities.aspx</vt:lpwstr>
      </vt:variant>
      <vt:variant>
        <vt:lpwstr>4</vt:lpwstr>
      </vt:variant>
      <vt:variant>
        <vt:i4>5439526</vt:i4>
      </vt:variant>
      <vt:variant>
        <vt:i4>3</vt:i4>
      </vt:variant>
      <vt:variant>
        <vt:i4>0</vt:i4>
      </vt:variant>
      <vt:variant>
        <vt:i4>5</vt:i4>
      </vt:variant>
      <vt:variant>
        <vt:lpwstr>http://www.ohchr.org/EN/HRBodies/CRPD/Pages/ConventionRightsPersonsWithDisabilities.aspx</vt:lpwstr>
      </vt:variant>
      <vt:variant>
        <vt:lpwstr>3</vt:lpwstr>
      </vt:variant>
      <vt:variant>
        <vt:i4>7798825</vt:i4>
      </vt:variant>
      <vt:variant>
        <vt:i4>0</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3</vt:i4>
      </vt:variant>
      <vt:variant>
        <vt:i4>0</vt:i4>
      </vt:variant>
      <vt:variant>
        <vt:i4>5</vt:i4>
      </vt:variant>
      <vt:variant>
        <vt:lpwstr>http://www.ohchr.org/EN/HRBodies/CRPD/Pages/OptionalProtocolRightsPersonsWithDisabilities.aspx</vt:lpwstr>
      </vt:variant>
      <vt:variant>
        <vt:lpwstr/>
      </vt:variant>
      <vt:variant>
        <vt:i4>7077955</vt:i4>
      </vt:variant>
      <vt:variant>
        <vt:i4>0</vt:i4>
      </vt:variant>
      <vt:variant>
        <vt:i4>0</vt:i4>
      </vt:variant>
      <vt:variant>
        <vt:i4>5</vt:i4>
      </vt:variant>
      <vt:variant>
        <vt:lpwstr>http://www.internationaldisabilityalliance.org/en/disability-rights-litigationhttp:/www.internationaldisabilityalliance.org/en/disability-rights-litigation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x</cp:lastModifiedBy>
  <cp:revision>8</cp:revision>
  <dcterms:created xsi:type="dcterms:W3CDTF">2017-12-11T11:13:00Z</dcterms:created>
  <dcterms:modified xsi:type="dcterms:W3CDTF">2018-02-06T13:10:00Z</dcterms:modified>
</cp:coreProperties>
</file>