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1888" w14:textId="77777777" w:rsidR="000A506F" w:rsidRDefault="000A506F" w:rsidP="00D5090B">
      <w:pPr>
        <w:rPr>
          <w:rFonts w:ascii="Times New Roman" w:eastAsia="Calibri" w:hAnsi="Times New Roman" w:cs="Times New Roman"/>
          <w:b/>
          <w:sz w:val="24"/>
          <w:szCs w:val="24"/>
        </w:rPr>
      </w:pPr>
      <w:bookmarkStart w:id="0" w:name="_Toc461467696"/>
      <w:bookmarkStart w:id="1" w:name="_Toc461467701"/>
    </w:p>
    <w:p w14:paraId="111EE310" w14:textId="77777777" w:rsidR="00F02F1A" w:rsidRDefault="00F02F1A" w:rsidP="00D5090B">
      <w:pPr>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w:drawing>
          <wp:inline distT="0" distB="0" distL="0" distR="0" wp14:anchorId="1EAAD993" wp14:editId="1B69A4C9">
            <wp:extent cx="6188710" cy="2809875"/>
            <wp:effectExtent l="19050" t="0" r="2540" b="0"/>
            <wp:docPr id="2" name="Picture 1" descr="SGPw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wD LOGO.png"/>
                    <pic:cNvPicPr/>
                  </pic:nvPicPr>
                  <pic:blipFill>
                    <a:blip r:embed="rId8"/>
                    <a:stretch>
                      <a:fillRect/>
                    </a:stretch>
                  </pic:blipFill>
                  <pic:spPr>
                    <a:xfrm>
                      <a:off x="0" y="0"/>
                      <a:ext cx="6188710" cy="2809875"/>
                    </a:xfrm>
                    <a:prstGeom prst="rect">
                      <a:avLst/>
                    </a:prstGeom>
                  </pic:spPr>
                </pic:pic>
              </a:graphicData>
            </a:graphic>
          </wp:inline>
        </w:drawing>
      </w:r>
    </w:p>
    <w:p w14:paraId="68F9A57E" w14:textId="77777777" w:rsidR="00637053" w:rsidRDefault="00637053" w:rsidP="00D5090B">
      <w:pPr>
        <w:rPr>
          <w:rFonts w:ascii="Times New Roman" w:eastAsia="Calibri" w:hAnsi="Times New Roman" w:cs="Times New Roman"/>
          <w:b/>
          <w:sz w:val="24"/>
          <w:szCs w:val="24"/>
        </w:rPr>
      </w:pPr>
    </w:p>
    <w:p w14:paraId="4C4EB3F4" w14:textId="77777777" w:rsidR="00637053" w:rsidRDefault="00637053" w:rsidP="00D5090B">
      <w:pPr>
        <w:rPr>
          <w:rFonts w:ascii="Times New Roman" w:eastAsia="Calibri" w:hAnsi="Times New Roman" w:cs="Times New Roman"/>
          <w:b/>
          <w:sz w:val="24"/>
          <w:szCs w:val="24"/>
        </w:rPr>
      </w:pPr>
    </w:p>
    <w:p w14:paraId="025A880A" w14:textId="77777777" w:rsidR="00637053" w:rsidRDefault="00637053" w:rsidP="00D5090B">
      <w:pPr>
        <w:rPr>
          <w:rFonts w:ascii="Times New Roman" w:eastAsia="Calibri" w:hAnsi="Times New Roman" w:cs="Times New Roman"/>
          <w:b/>
          <w:sz w:val="24"/>
          <w:szCs w:val="24"/>
        </w:rPr>
      </w:pPr>
    </w:p>
    <w:p w14:paraId="6621866D" w14:textId="77777777" w:rsidR="00637053" w:rsidRDefault="00637053" w:rsidP="00D5090B">
      <w:pPr>
        <w:rPr>
          <w:rFonts w:ascii="Times New Roman" w:eastAsia="Calibri" w:hAnsi="Times New Roman" w:cs="Times New Roman"/>
          <w:b/>
          <w:sz w:val="24"/>
          <w:szCs w:val="24"/>
        </w:rPr>
      </w:pPr>
    </w:p>
    <w:p w14:paraId="2F2EF68B" w14:textId="77777777" w:rsidR="009B0DD3" w:rsidRDefault="00BC4A05" w:rsidP="00BC4A05">
      <w:pPr>
        <w:jc w:val="center"/>
        <w:rPr>
          <w:b/>
          <w:sz w:val="56"/>
          <w:szCs w:val="56"/>
        </w:rPr>
      </w:pPr>
      <w:r w:rsidRPr="009B0DD3">
        <w:rPr>
          <w:b/>
          <w:sz w:val="56"/>
          <w:szCs w:val="56"/>
        </w:rPr>
        <w:t xml:space="preserve">The Stakeholder Group of </w:t>
      </w:r>
    </w:p>
    <w:p w14:paraId="37B4EF0A" w14:textId="77777777" w:rsidR="009B0DD3" w:rsidRDefault="00BC4A05" w:rsidP="00BC4A05">
      <w:pPr>
        <w:jc w:val="center"/>
        <w:rPr>
          <w:b/>
          <w:sz w:val="56"/>
          <w:szCs w:val="56"/>
        </w:rPr>
      </w:pPr>
      <w:r w:rsidRPr="009B0DD3">
        <w:rPr>
          <w:b/>
          <w:sz w:val="56"/>
          <w:szCs w:val="56"/>
        </w:rPr>
        <w:t xml:space="preserve">Persons with Disabilities </w:t>
      </w:r>
    </w:p>
    <w:p w14:paraId="3343237B" w14:textId="77777777" w:rsidR="009B0DD3" w:rsidRDefault="009B0DD3" w:rsidP="00BC4A05">
      <w:pPr>
        <w:jc w:val="center"/>
        <w:rPr>
          <w:b/>
          <w:sz w:val="56"/>
          <w:szCs w:val="56"/>
        </w:rPr>
      </w:pPr>
    </w:p>
    <w:p w14:paraId="31B4FF26" w14:textId="35FFAF2D" w:rsidR="00BC4A05" w:rsidRPr="009B0DD3" w:rsidRDefault="00BC4A05" w:rsidP="00BC4A05">
      <w:pPr>
        <w:jc w:val="center"/>
        <w:rPr>
          <w:b/>
          <w:sz w:val="56"/>
          <w:szCs w:val="56"/>
        </w:rPr>
      </w:pPr>
      <w:r w:rsidRPr="009B0DD3">
        <w:rPr>
          <w:b/>
          <w:sz w:val="56"/>
          <w:szCs w:val="56"/>
        </w:rPr>
        <w:t>2018 H</w:t>
      </w:r>
      <w:r w:rsidR="00F0672B">
        <w:rPr>
          <w:b/>
          <w:sz w:val="56"/>
          <w:szCs w:val="56"/>
        </w:rPr>
        <w:t xml:space="preserve">igh-level </w:t>
      </w:r>
      <w:r w:rsidRPr="009B0DD3">
        <w:rPr>
          <w:b/>
          <w:sz w:val="56"/>
          <w:szCs w:val="56"/>
        </w:rPr>
        <w:t>P</w:t>
      </w:r>
      <w:r w:rsidR="00F0672B">
        <w:rPr>
          <w:b/>
          <w:sz w:val="56"/>
          <w:szCs w:val="56"/>
        </w:rPr>
        <w:t xml:space="preserve">olitical </w:t>
      </w:r>
      <w:r w:rsidRPr="009B0DD3">
        <w:rPr>
          <w:b/>
          <w:sz w:val="56"/>
          <w:szCs w:val="56"/>
        </w:rPr>
        <w:t>F</w:t>
      </w:r>
      <w:r w:rsidR="00F0672B">
        <w:rPr>
          <w:b/>
          <w:sz w:val="56"/>
          <w:szCs w:val="56"/>
        </w:rPr>
        <w:t>orum</w:t>
      </w:r>
      <w:r w:rsidRPr="009B0DD3">
        <w:rPr>
          <w:b/>
          <w:sz w:val="56"/>
          <w:szCs w:val="56"/>
        </w:rPr>
        <w:t xml:space="preserve"> Report</w:t>
      </w:r>
    </w:p>
    <w:p w14:paraId="07AD2A00" w14:textId="77777777" w:rsidR="00637053" w:rsidRDefault="00637053" w:rsidP="00D5090B">
      <w:pPr>
        <w:rPr>
          <w:rFonts w:ascii="Times New Roman" w:eastAsia="Calibri" w:hAnsi="Times New Roman" w:cs="Times New Roman"/>
          <w:b/>
          <w:sz w:val="24"/>
          <w:szCs w:val="24"/>
        </w:rPr>
      </w:pPr>
    </w:p>
    <w:p w14:paraId="193109A2" w14:textId="77777777" w:rsidR="00637053" w:rsidRDefault="00637053" w:rsidP="00D5090B">
      <w:pPr>
        <w:rPr>
          <w:rFonts w:ascii="Times New Roman" w:eastAsia="Calibri" w:hAnsi="Times New Roman" w:cs="Times New Roman"/>
          <w:b/>
          <w:sz w:val="24"/>
          <w:szCs w:val="24"/>
        </w:rPr>
      </w:pPr>
    </w:p>
    <w:p w14:paraId="094B5835" w14:textId="77777777" w:rsidR="00637053" w:rsidRDefault="00637053" w:rsidP="00D5090B">
      <w:pPr>
        <w:rPr>
          <w:rFonts w:ascii="Times New Roman" w:eastAsia="Calibri" w:hAnsi="Times New Roman" w:cs="Times New Roman"/>
          <w:b/>
          <w:sz w:val="24"/>
          <w:szCs w:val="24"/>
        </w:rPr>
      </w:pPr>
    </w:p>
    <w:p w14:paraId="2A83A041" w14:textId="77777777" w:rsidR="00637053" w:rsidRDefault="00637053" w:rsidP="00D5090B">
      <w:pPr>
        <w:rPr>
          <w:rFonts w:ascii="Times New Roman" w:eastAsia="Calibri" w:hAnsi="Times New Roman" w:cs="Times New Roman"/>
          <w:b/>
          <w:sz w:val="24"/>
          <w:szCs w:val="24"/>
        </w:rPr>
      </w:pPr>
    </w:p>
    <w:p w14:paraId="16A79D88" w14:textId="77777777" w:rsidR="00637053" w:rsidRDefault="00637053" w:rsidP="00D5090B">
      <w:pPr>
        <w:rPr>
          <w:rFonts w:ascii="Times New Roman" w:eastAsia="Calibri" w:hAnsi="Times New Roman" w:cs="Times New Roman"/>
          <w:b/>
          <w:sz w:val="24"/>
          <w:szCs w:val="24"/>
        </w:rPr>
      </w:pPr>
    </w:p>
    <w:p w14:paraId="37531B8F" w14:textId="77777777" w:rsidR="00637053" w:rsidRDefault="00637053" w:rsidP="00D5090B">
      <w:pPr>
        <w:rPr>
          <w:rFonts w:ascii="Times New Roman" w:eastAsia="Calibri" w:hAnsi="Times New Roman" w:cs="Times New Roman"/>
          <w:b/>
          <w:sz w:val="24"/>
          <w:szCs w:val="24"/>
        </w:rPr>
      </w:pPr>
    </w:p>
    <w:p w14:paraId="0A551CC9" w14:textId="77777777" w:rsidR="00637053" w:rsidRDefault="00637053" w:rsidP="00D5090B">
      <w:pPr>
        <w:rPr>
          <w:rFonts w:ascii="Times New Roman" w:eastAsia="Calibri" w:hAnsi="Times New Roman" w:cs="Times New Roman"/>
          <w:b/>
          <w:sz w:val="24"/>
          <w:szCs w:val="24"/>
        </w:rPr>
      </w:pPr>
    </w:p>
    <w:p w14:paraId="7E3E0AB5" w14:textId="77777777" w:rsidR="00637053" w:rsidRDefault="00637053" w:rsidP="00D5090B">
      <w:pPr>
        <w:rPr>
          <w:rFonts w:ascii="Times New Roman" w:eastAsia="Calibri" w:hAnsi="Times New Roman" w:cs="Times New Roman"/>
          <w:b/>
          <w:sz w:val="24"/>
          <w:szCs w:val="24"/>
        </w:rPr>
      </w:pPr>
    </w:p>
    <w:p w14:paraId="2D2DAABB" w14:textId="77777777" w:rsidR="00F02F1A" w:rsidRDefault="00F02F1A" w:rsidP="00D5090B">
      <w:pPr>
        <w:rPr>
          <w:rFonts w:ascii="Times New Roman" w:eastAsia="Calibri" w:hAnsi="Times New Roman" w:cs="Times New Roman"/>
          <w:b/>
          <w:sz w:val="24"/>
          <w:szCs w:val="24"/>
        </w:rPr>
      </w:pPr>
    </w:p>
    <w:sdt>
      <w:sdtPr>
        <w:rPr>
          <w:rFonts w:eastAsiaTheme="minorHAnsi" w:cstheme="minorBidi"/>
          <w:b w:val="0"/>
          <w:bCs w:val="0"/>
          <w:color w:val="auto"/>
          <w:sz w:val="22"/>
          <w:szCs w:val="22"/>
          <w:lang w:val="en-GB"/>
        </w:rPr>
        <w:id w:val="530387816"/>
        <w:docPartObj>
          <w:docPartGallery w:val="Table of Contents"/>
          <w:docPartUnique/>
        </w:docPartObj>
      </w:sdtPr>
      <w:sdtContent>
        <w:p w14:paraId="4BFB8DD7" w14:textId="77777777" w:rsidR="0034274B" w:rsidRDefault="0034274B" w:rsidP="005D6978">
          <w:pPr>
            <w:pStyle w:val="TOCHeading"/>
          </w:pPr>
          <w:r>
            <w:t>Contents</w:t>
          </w:r>
        </w:p>
        <w:p w14:paraId="6F3F4CD4" w14:textId="69DB7E0C" w:rsidR="005736C7" w:rsidRDefault="00B80C48">
          <w:pPr>
            <w:pStyle w:val="TOC1"/>
            <w:rPr>
              <w:rFonts w:eastAsiaTheme="minorEastAsia"/>
              <w:noProof/>
              <w:sz w:val="24"/>
              <w:szCs w:val="24"/>
              <w:lang w:val="en-US"/>
            </w:rPr>
          </w:pPr>
          <w:r>
            <w:fldChar w:fldCharType="begin"/>
          </w:r>
          <w:r w:rsidR="0034274B">
            <w:instrText xml:space="preserve"> TOC \o "1-3" \h \z \u </w:instrText>
          </w:r>
          <w:r>
            <w:fldChar w:fldCharType="separate"/>
          </w:r>
          <w:hyperlink w:anchor="_Toc531264857" w:history="1">
            <w:r w:rsidR="005736C7" w:rsidRPr="00827712">
              <w:rPr>
                <w:rStyle w:val="Hyperlink"/>
                <w:noProof/>
              </w:rPr>
              <w:t>Commonly used abbreviations</w:t>
            </w:r>
            <w:r w:rsidR="005736C7">
              <w:rPr>
                <w:noProof/>
                <w:webHidden/>
              </w:rPr>
              <w:tab/>
            </w:r>
            <w:r w:rsidR="005736C7">
              <w:rPr>
                <w:noProof/>
                <w:webHidden/>
              </w:rPr>
              <w:fldChar w:fldCharType="begin"/>
            </w:r>
            <w:r w:rsidR="005736C7">
              <w:rPr>
                <w:noProof/>
                <w:webHidden/>
              </w:rPr>
              <w:instrText xml:space="preserve"> PAGEREF _Toc531264857 \h </w:instrText>
            </w:r>
            <w:r w:rsidR="005736C7">
              <w:rPr>
                <w:noProof/>
                <w:webHidden/>
              </w:rPr>
            </w:r>
            <w:r w:rsidR="005736C7">
              <w:rPr>
                <w:noProof/>
                <w:webHidden/>
              </w:rPr>
              <w:fldChar w:fldCharType="separate"/>
            </w:r>
            <w:r w:rsidR="005736C7">
              <w:rPr>
                <w:noProof/>
                <w:webHidden/>
              </w:rPr>
              <w:t>1</w:t>
            </w:r>
            <w:r w:rsidR="005736C7">
              <w:rPr>
                <w:noProof/>
                <w:webHidden/>
              </w:rPr>
              <w:fldChar w:fldCharType="end"/>
            </w:r>
          </w:hyperlink>
        </w:p>
        <w:p w14:paraId="6A734D96" w14:textId="74D24ECA" w:rsidR="005736C7" w:rsidRDefault="00C4148C">
          <w:pPr>
            <w:pStyle w:val="TOC1"/>
            <w:rPr>
              <w:rFonts w:eastAsiaTheme="minorEastAsia"/>
              <w:noProof/>
              <w:sz w:val="24"/>
              <w:szCs w:val="24"/>
              <w:lang w:val="en-US"/>
            </w:rPr>
          </w:pPr>
          <w:hyperlink w:anchor="_Toc531264858" w:history="1">
            <w:r w:rsidR="005736C7" w:rsidRPr="00827712">
              <w:rPr>
                <w:rStyle w:val="Hyperlink"/>
                <w:noProof/>
              </w:rPr>
              <w:t>Executive Summary</w:t>
            </w:r>
            <w:r w:rsidR="005736C7">
              <w:rPr>
                <w:noProof/>
                <w:webHidden/>
              </w:rPr>
              <w:tab/>
            </w:r>
            <w:r w:rsidR="005736C7">
              <w:rPr>
                <w:noProof/>
                <w:webHidden/>
              </w:rPr>
              <w:fldChar w:fldCharType="begin"/>
            </w:r>
            <w:r w:rsidR="005736C7">
              <w:rPr>
                <w:noProof/>
                <w:webHidden/>
              </w:rPr>
              <w:instrText xml:space="preserve"> PAGEREF _Toc531264858 \h </w:instrText>
            </w:r>
            <w:r w:rsidR="005736C7">
              <w:rPr>
                <w:noProof/>
                <w:webHidden/>
              </w:rPr>
            </w:r>
            <w:r w:rsidR="005736C7">
              <w:rPr>
                <w:noProof/>
                <w:webHidden/>
              </w:rPr>
              <w:fldChar w:fldCharType="separate"/>
            </w:r>
            <w:r w:rsidR="005736C7">
              <w:rPr>
                <w:noProof/>
                <w:webHidden/>
              </w:rPr>
              <w:t>2</w:t>
            </w:r>
            <w:r w:rsidR="005736C7">
              <w:rPr>
                <w:noProof/>
                <w:webHidden/>
              </w:rPr>
              <w:fldChar w:fldCharType="end"/>
            </w:r>
          </w:hyperlink>
        </w:p>
        <w:p w14:paraId="647454F9" w14:textId="1DBEAB4D" w:rsidR="005736C7" w:rsidRDefault="00C4148C">
          <w:pPr>
            <w:pStyle w:val="TOC1"/>
            <w:rPr>
              <w:rFonts w:eastAsiaTheme="minorEastAsia"/>
              <w:noProof/>
              <w:sz w:val="24"/>
              <w:szCs w:val="24"/>
              <w:lang w:val="en-US"/>
            </w:rPr>
          </w:pPr>
          <w:hyperlink w:anchor="_Toc531264859" w:history="1">
            <w:r w:rsidR="005736C7" w:rsidRPr="00827712">
              <w:rPr>
                <w:rStyle w:val="Hyperlink"/>
                <w:noProof/>
              </w:rPr>
              <w:t>Development of position paper by the Stakeholder Group of Persons with Disabilities</w:t>
            </w:r>
            <w:r w:rsidR="005736C7">
              <w:rPr>
                <w:noProof/>
                <w:webHidden/>
              </w:rPr>
              <w:tab/>
            </w:r>
            <w:r w:rsidR="005736C7">
              <w:rPr>
                <w:noProof/>
                <w:webHidden/>
              </w:rPr>
              <w:fldChar w:fldCharType="begin"/>
            </w:r>
            <w:r w:rsidR="005736C7">
              <w:rPr>
                <w:noProof/>
                <w:webHidden/>
              </w:rPr>
              <w:instrText xml:space="preserve"> PAGEREF _Toc531264859 \h </w:instrText>
            </w:r>
            <w:r w:rsidR="005736C7">
              <w:rPr>
                <w:noProof/>
                <w:webHidden/>
              </w:rPr>
            </w:r>
            <w:r w:rsidR="005736C7">
              <w:rPr>
                <w:noProof/>
                <w:webHidden/>
              </w:rPr>
              <w:fldChar w:fldCharType="separate"/>
            </w:r>
            <w:r w:rsidR="005736C7">
              <w:rPr>
                <w:noProof/>
                <w:webHidden/>
              </w:rPr>
              <w:t>3</w:t>
            </w:r>
            <w:r w:rsidR="005736C7">
              <w:rPr>
                <w:noProof/>
                <w:webHidden/>
              </w:rPr>
              <w:fldChar w:fldCharType="end"/>
            </w:r>
          </w:hyperlink>
        </w:p>
        <w:p w14:paraId="5DECBA5C" w14:textId="58B16490" w:rsidR="005736C7" w:rsidRDefault="00C4148C">
          <w:pPr>
            <w:pStyle w:val="TOC2"/>
            <w:tabs>
              <w:tab w:val="right" w:leader="dot" w:pos="9736"/>
            </w:tabs>
            <w:rPr>
              <w:rFonts w:eastAsiaTheme="minorEastAsia"/>
              <w:noProof/>
              <w:sz w:val="24"/>
              <w:szCs w:val="24"/>
              <w:lang w:val="en-US"/>
            </w:rPr>
          </w:pPr>
          <w:hyperlink w:anchor="_Toc531264860" w:history="1">
            <w:r w:rsidR="005736C7" w:rsidRPr="00827712">
              <w:rPr>
                <w:rStyle w:val="Hyperlink"/>
                <w:noProof/>
              </w:rPr>
              <w:t>Content</w:t>
            </w:r>
            <w:r w:rsidR="005736C7">
              <w:rPr>
                <w:noProof/>
                <w:webHidden/>
              </w:rPr>
              <w:tab/>
            </w:r>
            <w:r w:rsidR="005736C7">
              <w:rPr>
                <w:noProof/>
                <w:webHidden/>
              </w:rPr>
              <w:fldChar w:fldCharType="begin"/>
            </w:r>
            <w:r w:rsidR="005736C7">
              <w:rPr>
                <w:noProof/>
                <w:webHidden/>
              </w:rPr>
              <w:instrText xml:space="preserve"> PAGEREF _Toc531264860 \h </w:instrText>
            </w:r>
            <w:r w:rsidR="005736C7">
              <w:rPr>
                <w:noProof/>
                <w:webHidden/>
              </w:rPr>
            </w:r>
            <w:r w:rsidR="005736C7">
              <w:rPr>
                <w:noProof/>
                <w:webHidden/>
              </w:rPr>
              <w:fldChar w:fldCharType="separate"/>
            </w:r>
            <w:r w:rsidR="005736C7">
              <w:rPr>
                <w:noProof/>
                <w:webHidden/>
              </w:rPr>
              <w:t>3</w:t>
            </w:r>
            <w:r w:rsidR="005736C7">
              <w:rPr>
                <w:noProof/>
                <w:webHidden/>
              </w:rPr>
              <w:fldChar w:fldCharType="end"/>
            </w:r>
          </w:hyperlink>
        </w:p>
        <w:p w14:paraId="5DB63675" w14:textId="2EC23880" w:rsidR="005736C7" w:rsidRDefault="00C4148C">
          <w:pPr>
            <w:pStyle w:val="TOC1"/>
            <w:rPr>
              <w:rFonts w:eastAsiaTheme="minorEastAsia"/>
              <w:noProof/>
              <w:sz w:val="24"/>
              <w:szCs w:val="24"/>
              <w:lang w:val="en-US"/>
            </w:rPr>
          </w:pPr>
          <w:hyperlink w:anchor="_Toc531264861" w:history="1">
            <w:r w:rsidR="005736C7" w:rsidRPr="00827712">
              <w:rPr>
                <w:rStyle w:val="Hyperlink"/>
                <w:noProof/>
              </w:rPr>
              <w:t>Pre-Meetings</w:t>
            </w:r>
            <w:r w:rsidR="005736C7">
              <w:rPr>
                <w:noProof/>
                <w:webHidden/>
              </w:rPr>
              <w:tab/>
            </w:r>
            <w:r w:rsidR="005736C7">
              <w:rPr>
                <w:noProof/>
                <w:webHidden/>
              </w:rPr>
              <w:fldChar w:fldCharType="begin"/>
            </w:r>
            <w:r w:rsidR="005736C7">
              <w:rPr>
                <w:noProof/>
                <w:webHidden/>
              </w:rPr>
              <w:instrText xml:space="preserve"> PAGEREF _Toc531264861 \h </w:instrText>
            </w:r>
            <w:r w:rsidR="005736C7">
              <w:rPr>
                <w:noProof/>
                <w:webHidden/>
              </w:rPr>
            </w:r>
            <w:r w:rsidR="005736C7">
              <w:rPr>
                <w:noProof/>
                <w:webHidden/>
              </w:rPr>
              <w:fldChar w:fldCharType="separate"/>
            </w:r>
            <w:r w:rsidR="005736C7">
              <w:rPr>
                <w:noProof/>
                <w:webHidden/>
              </w:rPr>
              <w:t>4</w:t>
            </w:r>
            <w:r w:rsidR="005736C7">
              <w:rPr>
                <w:noProof/>
                <w:webHidden/>
              </w:rPr>
              <w:fldChar w:fldCharType="end"/>
            </w:r>
          </w:hyperlink>
        </w:p>
        <w:p w14:paraId="32541AF2" w14:textId="34E972B2" w:rsidR="005736C7" w:rsidRDefault="00C4148C">
          <w:pPr>
            <w:pStyle w:val="TOC2"/>
            <w:tabs>
              <w:tab w:val="right" w:leader="dot" w:pos="9736"/>
            </w:tabs>
            <w:rPr>
              <w:rFonts w:eastAsiaTheme="minorEastAsia"/>
              <w:noProof/>
              <w:sz w:val="24"/>
              <w:szCs w:val="24"/>
              <w:lang w:val="en-US"/>
            </w:rPr>
          </w:pPr>
          <w:hyperlink w:anchor="_Toc531264862" w:history="1">
            <w:r w:rsidR="005736C7" w:rsidRPr="00827712">
              <w:rPr>
                <w:rStyle w:val="Hyperlink"/>
                <w:noProof/>
              </w:rPr>
              <w:t>Major Groups and other Stakeholders</w:t>
            </w:r>
            <w:r w:rsidR="005736C7">
              <w:rPr>
                <w:noProof/>
                <w:webHidden/>
              </w:rPr>
              <w:tab/>
            </w:r>
            <w:r w:rsidR="005736C7">
              <w:rPr>
                <w:noProof/>
                <w:webHidden/>
              </w:rPr>
              <w:fldChar w:fldCharType="begin"/>
            </w:r>
            <w:r w:rsidR="005736C7">
              <w:rPr>
                <w:noProof/>
                <w:webHidden/>
              </w:rPr>
              <w:instrText xml:space="preserve"> PAGEREF _Toc531264862 \h </w:instrText>
            </w:r>
            <w:r w:rsidR="005736C7">
              <w:rPr>
                <w:noProof/>
                <w:webHidden/>
              </w:rPr>
            </w:r>
            <w:r w:rsidR="005736C7">
              <w:rPr>
                <w:noProof/>
                <w:webHidden/>
              </w:rPr>
              <w:fldChar w:fldCharType="separate"/>
            </w:r>
            <w:r w:rsidR="005736C7">
              <w:rPr>
                <w:noProof/>
                <w:webHidden/>
              </w:rPr>
              <w:t>4</w:t>
            </w:r>
            <w:r w:rsidR="005736C7">
              <w:rPr>
                <w:noProof/>
                <w:webHidden/>
              </w:rPr>
              <w:fldChar w:fldCharType="end"/>
            </w:r>
          </w:hyperlink>
        </w:p>
        <w:p w14:paraId="5F9A73BA" w14:textId="755B9B2E" w:rsidR="005736C7" w:rsidRDefault="00C4148C">
          <w:pPr>
            <w:pStyle w:val="TOC2"/>
            <w:tabs>
              <w:tab w:val="right" w:leader="dot" w:pos="9736"/>
            </w:tabs>
            <w:rPr>
              <w:rFonts w:eastAsiaTheme="minorEastAsia"/>
              <w:noProof/>
              <w:sz w:val="24"/>
              <w:szCs w:val="24"/>
              <w:lang w:val="en-US"/>
            </w:rPr>
          </w:pPr>
          <w:hyperlink w:anchor="_Toc531264863" w:history="1">
            <w:r w:rsidR="005736C7" w:rsidRPr="00827712">
              <w:rPr>
                <w:rStyle w:val="Hyperlink"/>
                <w:noProof/>
              </w:rPr>
              <w:t>Stakeholder Group of Persons with Disabilities</w:t>
            </w:r>
            <w:r w:rsidR="005736C7">
              <w:rPr>
                <w:noProof/>
                <w:webHidden/>
              </w:rPr>
              <w:tab/>
            </w:r>
            <w:r w:rsidR="005736C7">
              <w:rPr>
                <w:noProof/>
                <w:webHidden/>
              </w:rPr>
              <w:fldChar w:fldCharType="begin"/>
            </w:r>
            <w:r w:rsidR="005736C7">
              <w:rPr>
                <w:noProof/>
                <w:webHidden/>
              </w:rPr>
              <w:instrText xml:space="preserve"> PAGEREF _Toc531264863 \h </w:instrText>
            </w:r>
            <w:r w:rsidR="005736C7">
              <w:rPr>
                <w:noProof/>
                <w:webHidden/>
              </w:rPr>
            </w:r>
            <w:r w:rsidR="005736C7">
              <w:rPr>
                <w:noProof/>
                <w:webHidden/>
              </w:rPr>
              <w:fldChar w:fldCharType="separate"/>
            </w:r>
            <w:r w:rsidR="005736C7">
              <w:rPr>
                <w:noProof/>
                <w:webHidden/>
              </w:rPr>
              <w:t>4</w:t>
            </w:r>
            <w:r w:rsidR="005736C7">
              <w:rPr>
                <w:noProof/>
                <w:webHidden/>
              </w:rPr>
              <w:fldChar w:fldCharType="end"/>
            </w:r>
          </w:hyperlink>
        </w:p>
        <w:p w14:paraId="4356A127" w14:textId="2D1184BC" w:rsidR="005736C7" w:rsidRDefault="00C4148C">
          <w:pPr>
            <w:pStyle w:val="TOC1"/>
            <w:rPr>
              <w:rFonts w:eastAsiaTheme="minorEastAsia"/>
              <w:noProof/>
              <w:sz w:val="24"/>
              <w:szCs w:val="24"/>
              <w:lang w:val="en-US"/>
            </w:rPr>
          </w:pPr>
          <w:hyperlink w:anchor="_Toc531264864" w:history="1">
            <w:r w:rsidR="005736C7" w:rsidRPr="00827712">
              <w:rPr>
                <w:rStyle w:val="Hyperlink"/>
                <w:noProof/>
              </w:rPr>
              <w:t>Monday, 9</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_Toc531264864 \h </w:instrText>
            </w:r>
            <w:r w:rsidR="005736C7">
              <w:rPr>
                <w:noProof/>
                <w:webHidden/>
              </w:rPr>
            </w:r>
            <w:r w:rsidR="005736C7">
              <w:rPr>
                <w:noProof/>
                <w:webHidden/>
              </w:rPr>
              <w:fldChar w:fldCharType="separate"/>
            </w:r>
            <w:r w:rsidR="005736C7">
              <w:rPr>
                <w:noProof/>
                <w:webHidden/>
              </w:rPr>
              <w:t>4</w:t>
            </w:r>
            <w:r w:rsidR="005736C7">
              <w:rPr>
                <w:noProof/>
                <w:webHidden/>
              </w:rPr>
              <w:fldChar w:fldCharType="end"/>
            </w:r>
          </w:hyperlink>
        </w:p>
        <w:p w14:paraId="6D71354C" w14:textId="43734108" w:rsidR="005736C7" w:rsidRDefault="00C4148C">
          <w:pPr>
            <w:pStyle w:val="TOC2"/>
            <w:tabs>
              <w:tab w:val="right" w:leader="dot" w:pos="9736"/>
            </w:tabs>
            <w:rPr>
              <w:rFonts w:eastAsiaTheme="minorEastAsia"/>
              <w:noProof/>
              <w:sz w:val="24"/>
              <w:szCs w:val="24"/>
              <w:lang w:val="en-US"/>
            </w:rPr>
          </w:pPr>
          <w:hyperlink w:anchor="_Toc531264865" w:history="1">
            <w:r w:rsidR="005736C7" w:rsidRPr="00827712">
              <w:rPr>
                <w:rStyle w:val="Hyperlink"/>
                <w:noProof/>
              </w:rPr>
              <w:t>Opening: How far have we come on the SDGs?</w:t>
            </w:r>
            <w:r w:rsidR="005736C7">
              <w:rPr>
                <w:noProof/>
                <w:webHidden/>
              </w:rPr>
              <w:tab/>
            </w:r>
            <w:r w:rsidR="005736C7">
              <w:rPr>
                <w:noProof/>
                <w:webHidden/>
              </w:rPr>
              <w:fldChar w:fldCharType="begin"/>
            </w:r>
            <w:r w:rsidR="005736C7">
              <w:rPr>
                <w:noProof/>
                <w:webHidden/>
              </w:rPr>
              <w:instrText xml:space="preserve"> PAGEREF _Toc531264865 \h </w:instrText>
            </w:r>
            <w:r w:rsidR="005736C7">
              <w:rPr>
                <w:noProof/>
                <w:webHidden/>
              </w:rPr>
            </w:r>
            <w:r w:rsidR="005736C7">
              <w:rPr>
                <w:noProof/>
                <w:webHidden/>
              </w:rPr>
              <w:fldChar w:fldCharType="separate"/>
            </w:r>
            <w:r w:rsidR="005736C7">
              <w:rPr>
                <w:noProof/>
                <w:webHidden/>
              </w:rPr>
              <w:t>4</w:t>
            </w:r>
            <w:r w:rsidR="005736C7">
              <w:rPr>
                <w:noProof/>
                <w:webHidden/>
              </w:rPr>
              <w:fldChar w:fldCharType="end"/>
            </w:r>
          </w:hyperlink>
        </w:p>
        <w:p w14:paraId="2B16A689" w14:textId="13000A27" w:rsidR="005736C7" w:rsidRDefault="00C4148C">
          <w:pPr>
            <w:pStyle w:val="TOC2"/>
            <w:tabs>
              <w:tab w:val="right" w:leader="dot" w:pos="9736"/>
            </w:tabs>
            <w:rPr>
              <w:rFonts w:eastAsiaTheme="minorEastAsia"/>
              <w:noProof/>
              <w:sz w:val="24"/>
              <w:szCs w:val="24"/>
              <w:lang w:val="en-US"/>
            </w:rPr>
          </w:pPr>
          <w:hyperlink w:anchor="_Toc531264866" w:history="1">
            <w:r w:rsidR="005736C7" w:rsidRPr="00827712">
              <w:rPr>
                <w:rStyle w:val="Hyperlink"/>
                <w:noProof/>
                <w:shd w:val="clear" w:color="auto" w:fill="FFFFFF"/>
              </w:rPr>
              <w:t>Implementing the 2030 Agenda for resilient societies</w:t>
            </w:r>
            <w:r w:rsidR="005736C7">
              <w:rPr>
                <w:noProof/>
                <w:webHidden/>
              </w:rPr>
              <w:tab/>
            </w:r>
            <w:r w:rsidR="005736C7">
              <w:rPr>
                <w:noProof/>
                <w:webHidden/>
              </w:rPr>
              <w:fldChar w:fldCharType="begin"/>
            </w:r>
            <w:r w:rsidR="005736C7">
              <w:rPr>
                <w:noProof/>
                <w:webHidden/>
              </w:rPr>
              <w:instrText xml:space="preserve"> PAGEREF _Toc531264866 \h </w:instrText>
            </w:r>
            <w:r w:rsidR="005736C7">
              <w:rPr>
                <w:noProof/>
                <w:webHidden/>
              </w:rPr>
            </w:r>
            <w:r w:rsidR="005736C7">
              <w:rPr>
                <w:noProof/>
                <w:webHidden/>
              </w:rPr>
              <w:fldChar w:fldCharType="separate"/>
            </w:r>
            <w:r w:rsidR="005736C7">
              <w:rPr>
                <w:noProof/>
                <w:webHidden/>
              </w:rPr>
              <w:t>5</w:t>
            </w:r>
            <w:r w:rsidR="005736C7">
              <w:rPr>
                <w:noProof/>
                <w:webHidden/>
              </w:rPr>
              <w:fldChar w:fldCharType="end"/>
            </w:r>
          </w:hyperlink>
        </w:p>
        <w:p w14:paraId="1EFFAE69" w14:textId="3BA984F9" w:rsidR="005736C7" w:rsidRDefault="00C4148C">
          <w:pPr>
            <w:pStyle w:val="TOC2"/>
            <w:tabs>
              <w:tab w:val="right" w:leader="dot" w:pos="9736"/>
            </w:tabs>
            <w:rPr>
              <w:rFonts w:eastAsiaTheme="minorEastAsia"/>
              <w:noProof/>
              <w:sz w:val="24"/>
              <w:szCs w:val="24"/>
              <w:lang w:val="en-US"/>
            </w:rPr>
          </w:pPr>
          <w:hyperlink w:anchor="_Toc531264867" w:history="1">
            <w:r w:rsidR="005736C7" w:rsidRPr="00827712">
              <w:rPr>
                <w:rStyle w:val="Hyperlink"/>
                <w:noProof/>
              </w:rPr>
              <w:t>Panellist Mr. Zachary Mwangi Chege</w:t>
            </w:r>
            <w:r w:rsidR="005736C7">
              <w:rPr>
                <w:noProof/>
                <w:webHidden/>
              </w:rPr>
              <w:tab/>
            </w:r>
            <w:r w:rsidR="005736C7">
              <w:rPr>
                <w:noProof/>
                <w:webHidden/>
              </w:rPr>
              <w:fldChar w:fldCharType="begin"/>
            </w:r>
            <w:r w:rsidR="005736C7">
              <w:rPr>
                <w:noProof/>
                <w:webHidden/>
              </w:rPr>
              <w:instrText xml:space="preserve"> PAGEREF _Toc531264867 \h </w:instrText>
            </w:r>
            <w:r w:rsidR="005736C7">
              <w:rPr>
                <w:noProof/>
                <w:webHidden/>
              </w:rPr>
            </w:r>
            <w:r w:rsidR="005736C7">
              <w:rPr>
                <w:noProof/>
                <w:webHidden/>
              </w:rPr>
              <w:fldChar w:fldCharType="separate"/>
            </w:r>
            <w:r w:rsidR="005736C7">
              <w:rPr>
                <w:noProof/>
                <w:webHidden/>
              </w:rPr>
              <w:t>6</w:t>
            </w:r>
            <w:r w:rsidR="005736C7">
              <w:rPr>
                <w:noProof/>
                <w:webHidden/>
              </w:rPr>
              <w:fldChar w:fldCharType="end"/>
            </w:r>
          </w:hyperlink>
        </w:p>
        <w:p w14:paraId="51D2C76A" w14:textId="31EE8D4F" w:rsidR="005736C7" w:rsidRDefault="00C4148C">
          <w:pPr>
            <w:pStyle w:val="TOC2"/>
            <w:tabs>
              <w:tab w:val="right" w:leader="dot" w:pos="9736"/>
            </w:tabs>
            <w:rPr>
              <w:rFonts w:eastAsiaTheme="minorEastAsia"/>
              <w:noProof/>
              <w:sz w:val="24"/>
              <w:szCs w:val="24"/>
              <w:lang w:val="en-US"/>
            </w:rPr>
          </w:pPr>
          <w:hyperlink w:anchor="_Toc531264868" w:history="1">
            <w:r w:rsidR="005736C7" w:rsidRPr="00827712">
              <w:rPr>
                <w:rStyle w:val="Hyperlink"/>
                <w:noProof/>
              </w:rPr>
              <w:t>Review of SDG 6 implementation</w:t>
            </w:r>
            <w:r w:rsidR="005736C7">
              <w:rPr>
                <w:noProof/>
                <w:webHidden/>
              </w:rPr>
              <w:tab/>
            </w:r>
            <w:r w:rsidR="005736C7">
              <w:rPr>
                <w:noProof/>
                <w:webHidden/>
              </w:rPr>
              <w:fldChar w:fldCharType="begin"/>
            </w:r>
            <w:r w:rsidR="005736C7">
              <w:rPr>
                <w:noProof/>
                <w:webHidden/>
              </w:rPr>
              <w:instrText xml:space="preserve"> PAGEREF _Toc531264868 \h </w:instrText>
            </w:r>
            <w:r w:rsidR="005736C7">
              <w:rPr>
                <w:noProof/>
                <w:webHidden/>
              </w:rPr>
            </w:r>
            <w:r w:rsidR="005736C7">
              <w:rPr>
                <w:noProof/>
                <w:webHidden/>
              </w:rPr>
              <w:fldChar w:fldCharType="separate"/>
            </w:r>
            <w:r w:rsidR="005736C7">
              <w:rPr>
                <w:noProof/>
                <w:webHidden/>
              </w:rPr>
              <w:t>6</w:t>
            </w:r>
            <w:r w:rsidR="005736C7">
              <w:rPr>
                <w:noProof/>
                <w:webHidden/>
              </w:rPr>
              <w:fldChar w:fldCharType="end"/>
            </w:r>
          </w:hyperlink>
        </w:p>
        <w:p w14:paraId="1E38FC1C" w14:textId="62C81F5F" w:rsidR="005736C7" w:rsidRDefault="00C4148C">
          <w:pPr>
            <w:pStyle w:val="TOC1"/>
            <w:rPr>
              <w:rFonts w:eastAsiaTheme="minorEastAsia"/>
              <w:noProof/>
              <w:sz w:val="24"/>
              <w:szCs w:val="24"/>
              <w:lang w:val="en-US"/>
            </w:rPr>
          </w:pPr>
          <w:hyperlink w:anchor="_Toc531264869" w:history="1">
            <w:r w:rsidR="005736C7" w:rsidRPr="00827712">
              <w:rPr>
                <w:rStyle w:val="Hyperlink"/>
                <w:noProof/>
              </w:rPr>
              <w:t>Tuesday, 10</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_Toc531264869 \h </w:instrText>
            </w:r>
            <w:r w:rsidR="005736C7">
              <w:rPr>
                <w:noProof/>
                <w:webHidden/>
              </w:rPr>
            </w:r>
            <w:r w:rsidR="005736C7">
              <w:rPr>
                <w:noProof/>
                <w:webHidden/>
              </w:rPr>
              <w:fldChar w:fldCharType="separate"/>
            </w:r>
            <w:r w:rsidR="005736C7">
              <w:rPr>
                <w:noProof/>
                <w:webHidden/>
              </w:rPr>
              <w:t>7</w:t>
            </w:r>
            <w:r w:rsidR="005736C7">
              <w:rPr>
                <w:noProof/>
                <w:webHidden/>
              </w:rPr>
              <w:fldChar w:fldCharType="end"/>
            </w:r>
          </w:hyperlink>
        </w:p>
        <w:p w14:paraId="0B2C8668" w14:textId="1B30FECB" w:rsidR="005736C7" w:rsidRDefault="00C4148C">
          <w:pPr>
            <w:pStyle w:val="TOC2"/>
            <w:tabs>
              <w:tab w:val="right" w:leader="dot" w:pos="9736"/>
            </w:tabs>
            <w:rPr>
              <w:rFonts w:eastAsiaTheme="minorEastAsia"/>
              <w:noProof/>
              <w:sz w:val="24"/>
              <w:szCs w:val="24"/>
              <w:lang w:val="en-US"/>
            </w:rPr>
          </w:pPr>
          <w:hyperlink w:anchor="_Toc531264870" w:history="1">
            <w:r w:rsidR="005736C7" w:rsidRPr="00827712">
              <w:rPr>
                <w:rStyle w:val="Hyperlink"/>
                <w:noProof/>
              </w:rPr>
              <w:t>Thematic review: Transformation towards sustainable and resilient societies – building resilience</w:t>
            </w:r>
            <w:r w:rsidR="005736C7">
              <w:rPr>
                <w:noProof/>
                <w:webHidden/>
              </w:rPr>
              <w:tab/>
            </w:r>
            <w:r w:rsidR="005736C7">
              <w:rPr>
                <w:noProof/>
                <w:webHidden/>
              </w:rPr>
              <w:fldChar w:fldCharType="begin"/>
            </w:r>
            <w:r w:rsidR="005736C7">
              <w:rPr>
                <w:noProof/>
                <w:webHidden/>
              </w:rPr>
              <w:instrText xml:space="preserve"> PAGEREF _Toc531264870 \h </w:instrText>
            </w:r>
            <w:r w:rsidR="005736C7">
              <w:rPr>
                <w:noProof/>
                <w:webHidden/>
              </w:rPr>
            </w:r>
            <w:r w:rsidR="005736C7">
              <w:rPr>
                <w:noProof/>
                <w:webHidden/>
              </w:rPr>
              <w:fldChar w:fldCharType="separate"/>
            </w:r>
            <w:r w:rsidR="005736C7">
              <w:rPr>
                <w:noProof/>
                <w:webHidden/>
              </w:rPr>
              <w:t>7</w:t>
            </w:r>
            <w:r w:rsidR="005736C7">
              <w:rPr>
                <w:noProof/>
                <w:webHidden/>
              </w:rPr>
              <w:fldChar w:fldCharType="end"/>
            </w:r>
          </w:hyperlink>
        </w:p>
        <w:p w14:paraId="462CFB27" w14:textId="064A408B" w:rsidR="005736C7" w:rsidRDefault="00C4148C">
          <w:pPr>
            <w:pStyle w:val="TOC1"/>
            <w:rPr>
              <w:rFonts w:eastAsiaTheme="minorEastAsia"/>
              <w:noProof/>
              <w:sz w:val="24"/>
              <w:szCs w:val="24"/>
              <w:lang w:val="en-US"/>
            </w:rPr>
          </w:pPr>
          <w:hyperlink w:anchor="_Toc531264871" w:history="1">
            <w:r w:rsidR="005736C7" w:rsidRPr="00827712">
              <w:rPr>
                <w:rStyle w:val="Hyperlink"/>
                <w:noProof/>
              </w:rPr>
              <w:t>Wednesday, 11</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_Toc531264871 \h </w:instrText>
            </w:r>
            <w:r w:rsidR="005736C7">
              <w:rPr>
                <w:noProof/>
                <w:webHidden/>
              </w:rPr>
            </w:r>
            <w:r w:rsidR="005736C7">
              <w:rPr>
                <w:noProof/>
                <w:webHidden/>
              </w:rPr>
              <w:fldChar w:fldCharType="separate"/>
            </w:r>
            <w:r w:rsidR="005736C7">
              <w:rPr>
                <w:noProof/>
                <w:webHidden/>
              </w:rPr>
              <w:t>7</w:t>
            </w:r>
            <w:r w:rsidR="005736C7">
              <w:rPr>
                <w:noProof/>
                <w:webHidden/>
              </w:rPr>
              <w:fldChar w:fldCharType="end"/>
            </w:r>
          </w:hyperlink>
        </w:p>
        <w:p w14:paraId="46ABE9EC" w14:textId="1944B58F" w:rsidR="005736C7" w:rsidRDefault="00C4148C">
          <w:pPr>
            <w:pStyle w:val="TOC2"/>
            <w:tabs>
              <w:tab w:val="right" w:leader="dot" w:pos="9736"/>
            </w:tabs>
            <w:rPr>
              <w:rFonts w:eastAsiaTheme="minorEastAsia"/>
              <w:noProof/>
              <w:sz w:val="24"/>
              <w:szCs w:val="24"/>
              <w:lang w:val="en-US"/>
            </w:rPr>
          </w:pPr>
          <w:hyperlink w:anchor="_Toc531264872" w:history="1">
            <w:r w:rsidR="005736C7" w:rsidRPr="00827712">
              <w:rPr>
                <w:rStyle w:val="Hyperlink"/>
                <w:noProof/>
              </w:rPr>
              <w:t>Thematic review: Transformation towards sustainable and resilient societies – SIDS perspective</w:t>
            </w:r>
            <w:r w:rsidR="005736C7">
              <w:rPr>
                <w:noProof/>
                <w:webHidden/>
              </w:rPr>
              <w:tab/>
            </w:r>
            <w:r w:rsidR="005736C7">
              <w:rPr>
                <w:noProof/>
                <w:webHidden/>
              </w:rPr>
              <w:fldChar w:fldCharType="begin"/>
            </w:r>
            <w:r w:rsidR="005736C7">
              <w:rPr>
                <w:noProof/>
                <w:webHidden/>
              </w:rPr>
              <w:instrText xml:space="preserve"> PAGEREF _Toc531264872 \h </w:instrText>
            </w:r>
            <w:r w:rsidR="005736C7">
              <w:rPr>
                <w:noProof/>
                <w:webHidden/>
              </w:rPr>
            </w:r>
            <w:r w:rsidR="005736C7">
              <w:rPr>
                <w:noProof/>
                <w:webHidden/>
              </w:rPr>
              <w:fldChar w:fldCharType="separate"/>
            </w:r>
            <w:r w:rsidR="005736C7">
              <w:rPr>
                <w:noProof/>
                <w:webHidden/>
              </w:rPr>
              <w:t>7</w:t>
            </w:r>
            <w:r w:rsidR="005736C7">
              <w:rPr>
                <w:noProof/>
                <w:webHidden/>
              </w:rPr>
              <w:fldChar w:fldCharType="end"/>
            </w:r>
          </w:hyperlink>
        </w:p>
        <w:p w14:paraId="4C39EC02" w14:textId="1EB297C0" w:rsidR="005736C7" w:rsidRDefault="00C4148C">
          <w:pPr>
            <w:pStyle w:val="TOC2"/>
            <w:tabs>
              <w:tab w:val="right" w:leader="dot" w:pos="9736"/>
            </w:tabs>
            <w:rPr>
              <w:rFonts w:eastAsiaTheme="minorEastAsia"/>
              <w:noProof/>
              <w:sz w:val="24"/>
              <w:szCs w:val="24"/>
              <w:lang w:val="en-US"/>
            </w:rPr>
          </w:pPr>
          <w:hyperlink w:anchor="_Toc531264873" w:history="1">
            <w:r w:rsidR="005736C7" w:rsidRPr="00827712">
              <w:rPr>
                <w:rStyle w:val="Hyperlink"/>
                <w:noProof/>
              </w:rPr>
              <w:t>Transformation towards sustainable and resilient societies – LDC, LLDC, AND MIC perspectives</w:t>
            </w:r>
            <w:r w:rsidR="005736C7">
              <w:rPr>
                <w:noProof/>
                <w:webHidden/>
              </w:rPr>
              <w:tab/>
            </w:r>
            <w:r w:rsidR="005736C7">
              <w:rPr>
                <w:noProof/>
                <w:webHidden/>
              </w:rPr>
              <w:fldChar w:fldCharType="begin"/>
            </w:r>
            <w:r w:rsidR="005736C7">
              <w:rPr>
                <w:noProof/>
                <w:webHidden/>
              </w:rPr>
              <w:instrText xml:space="preserve"> PAGEREF _Toc531264873 \h </w:instrText>
            </w:r>
            <w:r w:rsidR="005736C7">
              <w:rPr>
                <w:noProof/>
                <w:webHidden/>
              </w:rPr>
            </w:r>
            <w:r w:rsidR="005736C7">
              <w:rPr>
                <w:noProof/>
                <w:webHidden/>
              </w:rPr>
              <w:fldChar w:fldCharType="separate"/>
            </w:r>
            <w:r w:rsidR="005736C7">
              <w:rPr>
                <w:noProof/>
                <w:webHidden/>
              </w:rPr>
              <w:t>8</w:t>
            </w:r>
            <w:r w:rsidR="005736C7">
              <w:rPr>
                <w:noProof/>
                <w:webHidden/>
              </w:rPr>
              <w:fldChar w:fldCharType="end"/>
            </w:r>
          </w:hyperlink>
        </w:p>
        <w:p w14:paraId="651FEA6E" w14:textId="410DC208" w:rsidR="005736C7" w:rsidRDefault="00C4148C">
          <w:pPr>
            <w:pStyle w:val="TOC2"/>
            <w:tabs>
              <w:tab w:val="right" w:leader="dot" w:pos="9736"/>
            </w:tabs>
            <w:rPr>
              <w:rFonts w:eastAsiaTheme="minorEastAsia"/>
              <w:noProof/>
              <w:sz w:val="24"/>
              <w:szCs w:val="24"/>
              <w:lang w:val="en-US"/>
            </w:rPr>
          </w:pPr>
          <w:hyperlink w:anchor="_Toc531264874" w:history="1">
            <w:r w:rsidR="005736C7" w:rsidRPr="00827712">
              <w:rPr>
                <w:rStyle w:val="Hyperlink"/>
                <w:noProof/>
                <w:shd w:val="clear" w:color="auto" w:fill="FFFFFF"/>
              </w:rPr>
              <w:t>Review of SDGs implementation: SDG 11 – Make cities and human settlements inclusive, safe, resilient and sustainable</w:t>
            </w:r>
            <w:r w:rsidR="005736C7">
              <w:rPr>
                <w:noProof/>
                <w:webHidden/>
              </w:rPr>
              <w:tab/>
            </w:r>
            <w:r w:rsidR="005736C7">
              <w:rPr>
                <w:noProof/>
                <w:webHidden/>
              </w:rPr>
              <w:fldChar w:fldCharType="begin"/>
            </w:r>
            <w:r w:rsidR="005736C7">
              <w:rPr>
                <w:noProof/>
                <w:webHidden/>
              </w:rPr>
              <w:instrText xml:space="preserve"> PAGEREF _Toc531264874 \h </w:instrText>
            </w:r>
            <w:r w:rsidR="005736C7">
              <w:rPr>
                <w:noProof/>
                <w:webHidden/>
              </w:rPr>
            </w:r>
            <w:r w:rsidR="005736C7">
              <w:rPr>
                <w:noProof/>
                <w:webHidden/>
              </w:rPr>
              <w:fldChar w:fldCharType="separate"/>
            </w:r>
            <w:r w:rsidR="005736C7">
              <w:rPr>
                <w:noProof/>
                <w:webHidden/>
              </w:rPr>
              <w:t>9</w:t>
            </w:r>
            <w:r w:rsidR="005736C7">
              <w:rPr>
                <w:noProof/>
                <w:webHidden/>
              </w:rPr>
              <w:fldChar w:fldCharType="end"/>
            </w:r>
          </w:hyperlink>
        </w:p>
        <w:p w14:paraId="147178C5" w14:textId="3FDCC7C7" w:rsidR="005736C7" w:rsidRDefault="00C4148C">
          <w:pPr>
            <w:pStyle w:val="TOC3"/>
            <w:tabs>
              <w:tab w:val="right" w:leader="dot" w:pos="9736"/>
            </w:tabs>
            <w:rPr>
              <w:rFonts w:eastAsiaTheme="minorEastAsia"/>
              <w:noProof/>
              <w:sz w:val="24"/>
              <w:szCs w:val="24"/>
              <w:lang w:val="en-US"/>
            </w:rPr>
          </w:pPr>
          <w:hyperlink w:anchor="_Toc531264875" w:history="1">
            <w:r w:rsidR="005736C7" w:rsidRPr="00827712">
              <w:rPr>
                <w:rStyle w:val="Hyperlink"/>
                <w:noProof/>
              </w:rPr>
              <w:t>Panellist Mr. Jean Todt,</w:t>
            </w:r>
            <w:r w:rsidR="005736C7">
              <w:rPr>
                <w:noProof/>
                <w:webHidden/>
              </w:rPr>
              <w:tab/>
            </w:r>
            <w:r w:rsidR="005736C7">
              <w:rPr>
                <w:noProof/>
                <w:webHidden/>
              </w:rPr>
              <w:fldChar w:fldCharType="begin"/>
            </w:r>
            <w:r w:rsidR="005736C7">
              <w:rPr>
                <w:noProof/>
                <w:webHidden/>
              </w:rPr>
              <w:instrText xml:space="preserve"> PAGEREF _Toc531264875 \h </w:instrText>
            </w:r>
            <w:r w:rsidR="005736C7">
              <w:rPr>
                <w:noProof/>
                <w:webHidden/>
              </w:rPr>
            </w:r>
            <w:r w:rsidR="005736C7">
              <w:rPr>
                <w:noProof/>
                <w:webHidden/>
              </w:rPr>
              <w:fldChar w:fldCharType="separate"/>
            </w:r>
            <w:r w:rsidR="005736C7">
              <w:rPr>
                <w:noProof/>
                <w:webHidden/>
              </w:rPr>
              <w:t>9</w:t>
            </w:r>
            <w:r w:rsidR="005736C7">
              <w:rPr>
                <w:noProof/>
                <w:webHidden/>
              </w:rPr>
              <w:fldChar w:fldCharType="end"/>
            </w:r>
          </w:hyperlink>
        </w:p>
        <w:p w14:paraId="6032EC3D" w14:textId="0B948BA9" w:rsidR="005736C7" w:rsidRDefault="00C4148C">
          <w:pPr>
            <w:pStyle w:val="TOC3"/>
            <w:tabs>
              <w:tab w:val="right" w:leader="dot" w:pos="9736"/>
            </w:tabs>
            <w:rPr>
              <w:rFonts w:eastAsiaTheme="minorEastAsia"/>
              <w:noProof/>
              <w:sz w:val="24"/>
              <w:szCs w:val="24"/>
              <w:lang w:val="en-US"/>
            </w:rPr>
          </w:pPr>
          <w:hyperlink w:anchor="_Toc531264876" w:history="1">
            <w:r w:rsidR="005736C7" w:rsidRPr="00827712">
              <w:rPr>
                <w:rStyle w:val="Hyperlink"/>
                <w:noProof/>
              </w:rPr>
              <w:t>Panellist Ms. Leilani Farha</w:t>
            </w:r>
            <w:r w:rsidR="005736C7">
              <w:rPr>
                <w:noProof/>
                <w:webHidden/>
              </w:rPr>
              <w:tab/>
            </w:r>
            <w:r w:rsidR="005736C7">
              <w:rPr>
                <w:noProof/>
                <w:webHidden/>
              </w:rPr>
              <w:fldChar w:fldCharType="begin"/>
            </w:r>
            <w:r w:rsidR="005736C7">
              <w:rPr>
                <w:noProof/>
                <w:webHidden/>
              </w:rPr>
              <w:instrText xml:space="preserve"> PAGEREF _Toc531264876 \h </w:instrText>
            </w:r>
            <w:r w:rsidR="005736C7">
              <w:rPr>
                <w:noProof/>
                <w:webHidden/>
              </w:rPr>
            </w:r>
            <w:r w:rsidR="005736C7">
              <w:rPr>
                <w:noProof/>
                <w:webHidden/>
              </w:rPr>
              <w:fldChar w:fldCharType="separate"/>
            </w:r>
            <w:r w:rsidR="005736C7">
              <w:rPr>
                <w:noProof/>
                <w:webHidden/>
              </w:rPr>
              <w:t>9</w:t>
            </w:r>
            <w:r w:rsidR="005736C7">
              <w:rPr>
                <w:noProof/>
                <w:webHidden/>
              </w:rPr>
              <w:fldChar w:fldCharType="end"/>
            </w:r>
          </w:hyperlink>
        </w:p>
        <w:p w14:paraId="1C9DD5BA" w14:textId="63F8CD63" w:rsidR="005736C7" w:rsidRDefault="00C4148C">
          <w:pPr>
            <w:pStyle w:val="TOC3"/>
            <w:tabs>
              <w:tab w:val="right" w:leader="dot" w:pos="9736"/>
            </w:tabs>
            <w:rPr>
              <w:rFonts w:eastAsiaTheme="minorEastAsia"/>
              <w:noProof/>
              <w:sz w:val="24"/>
              <w:szCs w:val="24"/>
              <w:lang w:val="en-US"/>
            </w:rPr>
          </w:pPr>
          <w:hyperlink w:anchor="_Toc531264877" w:history="1">
            <w:r w:rsidR="005736C7" w:rsidRPr="00827712">
              <w:rPr>
                <w:rStyle w:val="Hyperlink"/>
                <w:noProof/>
              </w:rPr>
              <w:t>Panellist Ms. Maimunah Mohd Sharif</w:t>
            </w:r>
            <w:r w:rsidR="005736C7">
              <w:rPr>
                <w:noProof/>
                <w:webHidden/>
              </w:rPr>
              <w:tab/>
            </w:r>
            <w:r w:rsidR="005736C7">
              <w:rPr>
                <w:noProof/>
                <w:webHidden/>
              </w:rPr>
              <w:fldChar w:fldCharType="begin"/>
            </w:r>
            <w:r w:rsidR="005736C7">
              <w:rPr>
                <w:noProof/>
                <w:webHidden/>
              </w:rPr>
              <w:instrText xml:space="preserve"> PAGEREF _Toc531264877 \h </w:instrText>
            </w:r>
            <w:r w:rsidR="005736C7">
              <w:rPr>
                <w:noProof/>
                <w:webHidden/>
              </w:rPr>
            </w:r>
            <w:r w:rsidR="005736C7">
              <w:rPr>
                <w:noProof/>
                <w:webHidden/>
              </w:rPr>
              <w:fldChar w:fldCharType="separate"/>
            </w:r>
            <w:r w:rsidR="005736C7">
              <w:rPr>
                <w:noProof/>
                <w:webHidden/>
              </w:rPr>
              <w:t>9</w:t>
            </w:r>
            <w:r w:rsidR="005736C7">
              <w:rPr>
                <w:noProof/>
                <w:webHidden/>
              </w:rPr>
              <w:fldChar w:fldCharType="end"/>
            </w:r>
          </w:hyperlink>
        </w:p>
        <w:p w14:paraId="6E1CF3D2" w14:textId="7329AB10" w:rsidR="005736C7" w:rsidRDefault="00C4148C">
          <w:pPr>
            <w:pStyle w:val="TOC1"/>
            <w:rPr>
              <w:rFonts w:eastAsiaTheme="minorEastAsia"/>
              <w:noProof/>
              <w:sz w:val="24"/>
              <w:szCs w:val="24"/>
              <w:lang w:val="en-US"/>
            </w:rPr>
          </w:pPr>
          <w:hyperlink w:anchor="_Toc531264878" w:history="1">
            <w:r w:rsidR="005736C7" w:rsidRPr="00827712">
              <w:rPr>
                <w:rStyle w:val="Hyperlink"/>
                <w:noProof/>
              </w:rPr>
              <w:t>Thursday, 12</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_Toc531264878 \h </w:instrText>
            </w:r>
            <w:r w:rsidR="005736C7">
              <w:rPr>
                <w:noProof/>
                <w:webHidden/>
              </w:rPr>
            </w:r>
            <w:r w:rsidR="005736C7">
              <w:rPr>
                <w:noProof/>
                <w:webHidden/>
              </w:rPr>
              <w:fldChar w:fldCharType="separate"/>
            </w:r>
            <w:r w:rsidR="005736C7">
              <w:rPr>
                <w:noProof/>
                <w:webHidden/>
              </w:rPr>
              <w:t>10</w:t>
            </w:r>
            <w:r w:rsidR="005736C7">
              <w:rPr>
                <w:noProof/>
                <w:webHidden/>
              </w:rPr>
              <w:fldChar w:fldCharType="end"/>
            </w:r>
          </w:hyperlink>
        </w:p>
        <w:p w14:paraId="67C2A26B" w14:textId="1C1EB324" w:rsidR="005736C7" w:rsidRDefault="00C4148C">
          <w:pPr>
            <w:pStyle w:val="TOC2"/>
            <w:tabs>
              <w:tab w:val="right" w:leader="dot" w:pos="9736"/>
            </w:tabs>
            <w:rPr>
              <w:rFonts w:eastAsiaTheme="minorEastAsia"/>
              <w:noProof/>
              <w:sz w:val="24"/>
              <w:szCs w:val="24"/>
              <w:lang w:val="en-US"/>
            </w:rPr>
          </w:pPr>
          <w:hyperlink w:anchor="_Toc531264879" w:history="1">
            <w:r w:rsidR="005736C7" w:rsidRPr="00827712">
              <w:rPr>
                <w:rStyle w:val="Hyperlink"/>
                <w:noProof/>
              </w:rPr>
              <w:t>Thematic review: Perspectives of society – Session organized with Major Groups and other Stakeholders</w:t>
            </w:r>
            <w:r w:rsidR="005736C7">
              <w:rPr>
                <w:noProof/>
                <w:webHidden/>
              </w:rPr>
              <w:tab/>
            </w:r>
            <w:r w:rsidR="005736C7">
              <w:rPr>
                <w:noProof/>
                <w:webHidden/>
              </w:rPr>
              <w:fldChar w:fldCharType="begin"/>
            </w:r>
            <w:r w:rsidR="005736C7">
              <w:rPr>
                <w:noProof/>
                <w:webHidden/>
              </w:rPr>
              <w:instrText xml:space="preserve"> PAGEREF _Toc531264879 \h </w:instrText>
            </w:r>
            <w:r w:rsidR="005736C7">
              <w:rPr>
                <w:noProof/>
                <w:webHidden/>
              </w:rPr>
            </w:r>
            <w:r w:rsidR="005736C7">
              <w:rPr>
                <w:noProof/>
                <w:webHidden/>
              </w:rPr>
              <w:fldChar w:fldCharType="separate"/>
            </w:r>
            <w:r w:rsidR="005736C7">
              <w:rPr>
                <w:noProof/>
                <w:webHidden/>
              </w:rPr>
              <w:t>10</w:t>
            </w:r>
            <w:r w:rsidR="005736C7">
              <w:rPr>
                <w:noProof/>
                <w:webHidden/>
              </w:rPr>
              <w:fldChar w:fldCharType="end"/>
            </w:r>
          </w:hyperlink>
        </w:p>
        <w:p w14:paraId="30DDC8B3" w14:textId="0E7710D2" w:rsidR="005736C7" w:rsidRDefault="00C4148C">
          <w:pPr>
            <w:pStyle w:val="TOC2"/>
            <w:tabs>
              <w:tab w:val="right" w:leader="dot" w:pos="9736"/>
            </w:tabs>
            <w:rPr>
              <w:rFonts w:eastAsiaTheme="minorEastAsia"/>
              <w:noProof/>
              <w:sz w:val="24"/>
              <w:szCs w:val="24"/>
              <w:lang w:val="en-US"/>
            </w:rPr>
          </w:pPr>
          <w:hyperlink w:anchor="_Toc531264880" w:history="1">
            <w:r w:rsidR="005736C7" w:rsidRPr="00827712">
              <w:rPr>
                <w:rStyle w:val="Hyperlink"/>
                <w:noProof/>
                <w:shd w:val="clear" w:color="auto" w:fill="FFFFFF"/>
              </w:rPr>
              <w:t>Review of SDGs implementation: SDG 12 – Ensure sustainable consumption and production patterns</w:t>
            </w:r>
            <w:r w:rsidR="005736C7">
              <w:rPr>
                <w:noProof/>
                <w:webHidden/>
              </w:rPr>
              <w:tab/>
            </w:r>
            <w:r w:rsidR="005736C7">
              <w:rPr>
                <w:noProof/>
                <w:webHidden/>
              </w:rPr>
              <w:fldChar w:fldCharType="begin"/>
            </w:r>
            <w:r w:rsidR="005736C7">
              <w:rPr>
                <w:noProof/>
                <w:webHidden/>
              </w:rPr>
              <w:instrText xml:space="preserve"> PAGEREF _Toc531264880 \h </w:instrText>
            </w:r>
            <w:r w:rsidR="005736C7">
              <w:rPr>
                <w:noProof/>
                <w:webHidden/>
              </w:rPr>
            </w:r>
            <w:r w:rsidR="005736C7">
              <w:rPr>
                <w:noProof/>
                <w:webHidden/>
              </w:rPr>
              <w:fldChar w:fldCharType="separate"/>
            </w:r>
            <w:r w:rsidR="005736C7">
              <w:rPr>
                <w:noProof/>
                <w:webHidden/>
              </w:rPr>
              <w:t>11</w:t>
            </w:r>
            <w:r w:rsidR="005736C7">
              <w:rPr>
                <w:noProof/>
                <w:webHidden/>
              </w:rPr>
              <w:fldChar w:fldCharType="end"/>
            </w:r>
          </w:hyperlink>
        </w:p>
        <w:p w14:paraId="47694F19" w14:textId="3BE2D6EF" w:rsidR="005736C7" w:rsidRDefault="00C4148C">
          <w:pPr>
            <w:pStyle w:val="TOC3"/>
            <w:tabs>
              <w:tab w:val="right" w:leader="dot" w:pos="9736"/>
            </w:tabs>
            <w:rPr>
              <w:rFonts w:eastAsiaTheme="minorEastAsia"/>
              <w:noProof/>
              <w:sz w:val="24"/>
              <w:szCs w:val="24"/>
              <w:lang w:val="en-US"/>
            </w:rPr>
          </w:pPr>
          <w:hyperlink w:anchor="_Toc531264881" w:history="1">
            <w:r w:rsidR="005736C7" w:rsidRPr="00827712">
              <w:rPr>
                <w:rStyle w:val="Hyperlink"/>
                <w:noProof/>
              </w:rPr>
              <w:t>Panellist: Ms. Nur H. Rahayu</w:t>
            </w:r>
            <w:r w:rsidR="005736C7">
              <w:rPr>
                <w:noProof/>
                <w:webHidden/>
              </w:rPr>
              <w:tab/>
            </w:r>
            <w:r w:rsidR="005736C7">
              <w:rPr>
                <w:noProof/>
                <w:webHidden/>
              </w:rPr>
              <w:fldChar w:fldCharType="begin"/>
            </w:r>
            <w:r w:rsidR="005736C7">
              <w:rPr>
                <w:noProof/>
                <w:webHidden/>
              </w:rPr>
              <w:instrText xml:space="preserve"> PAGEREF _Toc531264881 \h </w:instrText>
            </w:r>
            <w:r w:rsidR="005736C7">
              <w:rPr>
                <w:noProof/>
                <w:webHidden/>
              </w:rPr>
            </w:r>
            <w:r w:rsidR="005736C7">
              <w:rPr>
                <w:noProof/>
                <w:webHidden/>
              </w:rPr>
              <w:fldChar w:fldCharType="separate"/>
            </w:r>
            <w:r w:rsidR="005736C7">
              <w:rPr>
                <w:noProof/>
                <w:webHidden/>
              </w:rPr>
              <w:t>11</w:t>
            </w:r>
            <w:r w:rsidR="005736C7">
              <w:rPr>
                <w:noProof/>
                <w:webHidden/>
              </w:rPr>
              <w:fldChar w:fldCharType="end"/>
            </w:r>
          </w:hyperlink>
        </w:p>
        <w:p w14:paraId="2E0C4448" w14:textId="1C17EF26" w:rsidR="005736C7" w:rsidRDefault="00C4148C">
          <w:pPr>
            <w:pStyle w:val="TOC3"/>
            <w:tabs>
              <w:tab w:val="right" w:leader="dot" w:pos="9736"/>
            </w:tabs>
            <w:rPr>
              <w:rFonts w:eastAsiaTheme="minorEastAsia"/>
              <w:noProof/>
              <w:sz w:val="24"/>
              <w:szCs w:val="24"/>
              <w:lang w:val="en-US"/>
            </w:rPr>
          </w:pPr>
          <w:hyperlink w:anchor="_Toc531264882" w:history="1">
            <w:r w:rsidR="005736C7" w:rsidRPr="00827712">
              <w:rPr>
                <w:rStyle w:val="Hyperlink"/>
                <w:noProof/>
              </w:rPr>
              <w:t>Panellist: Ms. Jane Nyakang’o</w:t>
            </w:r>
            <w:r w:rsidR="005736C7">
              <w:rPr>
                <w:noProof/>
                <w:webHidden/>
              </w:rPr>
              <w:tab/>
            </w:r>
            <w:r w:rsidR="005736C7">
              <w:rPr>
                <w:noProof/>
                <w:webHidden/>
              </w:rPr>
              <w:fldChar w:fldCharType="begin"/>
            </w:r>
            <w:r w:rsidR="005736C7">
              <w:rPr>
                <w:noProof/>
                <w:webHidden/>
              </w:rPr>
              <w:instrText xml:space="preserve"> PAGEREF _Toc531264882 \h </w:instrText>
            </w:r>
            <w:r w:rsidR="005736C7">
              <w:rPr>
                <w:noProof/>
                <w:webHidden/>
              </w:rPr>
            </w:r>
            <w:r w:rsidR="005736C7">
              <w:rPr>
                <w:noProof/>
                <w:webHidden/>
              </w:rPr>
              <w:fldChar w:fldCharType="separate"/>
            </w:r>
            <w:r w:rsidR="005736C7">
              <w:rPr>
                <w:noProof/>
                <w:webHidden/>
              </w:rPr>
              <w:t>11</w:t>
            </w:r>
            <w:r w:rsidR="005736C7">
              <w:rPr>
                <w:noProof/>
                <w:webHidden/>
              </w:rPr>
              <w:fldChar w:fldCharType="end"/>
            </w:r>
          </w:hyperlink>
        </w:p>
        <w:p w14:paraId="27A43B99" w14:textId="1664323E" w:rsidR="005736C7" w:rsidRDefault="00C4148C">
          <w:pPr>
            <w:pStyle w:val="TOC3"/>
            <w:tabs>
              <w:tab w:val="right" w:leader="dot" w:pos="9736"/>
            </w:tabs>
            <w:rPr>
              <w:rFonts w:eastAsiaTheme="minorEastAsia"/>
              <w:noProof/>
              <w:sz w:val="24"/>
              <w:szCs w:val="24"/>
              <w:lang w:val="en-US"/>
            </w:rPr>
          </w:pPr>
          <w:hyperlink w:anchor="_Toc531264883" w:history="1">
            <w:r w:rsidR="005736C7" w:rsidRPr="00827712">
              <w:rPr>
                <w:rStyle w:val="Hyperlink"/>
                <w:noProof/>
              </w:rPr>
              <w:t>Lead discussant Mr. Julius H. Cainglet,</w:t>
            </w:r>
            <w:r w:rsidR="005736C7">
              <w:rPr>
                <w:noProof/>
                <w:webHidden/>
              </w:rPr>
              <w:tab/>
            </w:r>
            <w:r w:rsidR="005736C7">
              <w:rPr>
                <w:noProof/>
                <w:webHidden/>
              </w:rPr>
              <w:fldChar w:fldCharType="begin"/>
            </w:r>
            <w:r w:rsidR="005736C7">
              <w:rPr>
                <w:noProof/>
                <w:webHidden/>
              </w:rPr>
              <w:instrText xml:space="preserve"> PAGEREF _Toc531264883 \h </w:instrText>
            </w:r>
            <w:r w:rsidR="005736C7">
              <w:rPr>
                <w:noProof/>
                <w:webHidden/>
              </w:rPr>
            </w:r>
            <w:r w:rsidR="005736C7">
              <w:rPr>
                <w:noProof/>
                <w:webHidden/>
              </w:rPr>
              <w:fldChar w:fldCharType="separate"/>
            </w:r>
            <w:r w:rsidR="005736C7">
              <w:rPr>
                <w:noProof/>
                <w:webHidden/>
              </w:rPr>
              <w:t>11</w:t>
            </w:r>
            <w:r w:rsidR="005736C7">
              <w:rPr>
                <w:noProof/>
                <w:webHidden/>
              </w:rPr>
              <w:fldChar w:fldCharType="end"/>
            </w:r>
          </w:hyperlink>
        </w:p>
        <w:p w14:paraId="628F3452" w14:textId="292A8E7D" w:rsidR="005736C7" w:rsidRDefault="00C4148C">
          <w:pPr>
            <w:pStyle w:val="TOC1"/>
            <w:rPr>
              <w:rFonts w:eastAsiaTheme="minorEastAsia"/>
              <w:noProof/>
              <w:sz w:val="24"/>
              <w:szCs w:val="24"/>
              <w:lang w:val="en-US"/>
            </w:rPr>
          </w:pPr>
          <w:hyperlink w:anchor="_Toc531264884" w:history="1">
            <w:r w:rsidR="005736C7" w:rsidRPr="00827712">
              <w:rPr>
                <w:rStyle w:val="Hyperlink"/>
                <w:noProof/>
              </w:rPr>
              <w:t>Friday, 13</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_Toc531264884 \h </w:instrText>
            </w:r>
            <w:r w:rsidR="005736C7">
              <w:rPr>
                <w:noProof/>
                <w:webHidden/>
              </w:rPr>
            </w:r>
            <w:r w:rsidR="005736C7">
              <w:rPr>
                <w:noProof/>
                <w:webHidden/>
              </w:rPr>
              <w:fldChar w:fldCharType="separate"/>
            </w:r>
            <w:r w:rsidR="005736C7">
              <w:rPr>
                <w:noProof/>
                <w:webHidden/>
              </w:rPr>
              <w:t>12</w:t>
            </w:r>
            <w:r w:rsidR="005736C7">
              <w:rPr>
                <w:noProof/>
                <w:webHidden/>
              </w:rPr>
              <w:fldChar w:fldCharType="end"/>
            </w:r>
          </w:hyperlink>
        </w:p>
        <w:p w14:paraId="2AD72287" w14:textId="6DD0A2FE" w:rsidR="005736C7" w:rsidRDefault="00C4148C">
          <w:pPr>
            <w:pStyle w:val="TOC2"/>
            <w:tabs>
              <w:tab w:val="right" w:leader="dot" w:pos="9736"/>
            </w:tabs>
            <w:rPr>
              <w:rFonts w:eastAsiaTheme="minorEastAsia"/>
              <w:noProof/>
              <w:sz w:val="24"/>
              <w:szCs w:val="24"/>
              <w:lang w:val="en-US"/>
            </w:rPr>
          </w:pPr>
          <w:hyperlink w:anchor="_Toc531264885" w:history="1">
            <w:r w:rsidR="005736C7" w:rsidRPr="00827712">
              <w:rPr>
                <w:rStyle w:val="Hyperlink"/>
                <w:noProof/>
                <w:shd w:val="clear" w:color="auto" w:fill="FFFFFF"/>
              </w:rPr>
              <w:t>Review of SDGs implementation: SDG 17 – Strengthening the means of implementation and revitalize the global partnership for sustainable development</w:t>
            </w:r>
            <w:r w:rsidR="005736C7">
              <w:rPr>
                <w:noProof/>
                <w:webHidden/>
              </w:rPr>
              <w:tab/>
            </w:r>
            <w:r w:rsidR="005736C7">
              <w:rPr>
                <w:noProof/>
                <w:webHidden/>
              </w:rPr>
              <w:fldChar w:fldCharType="begin"/>
            </w:r>
            <w:r w:rsidR="005736C7">
              <w:rPr>
                <w:noProof/>
                <w:webHidden/>
              </w:rPr>
              <w:instrText xml:space="preserve"> PAGEREF _Toc531264885 \h </w:instrText>
            </w:r>
            <w:r w:rsidR="005736C7">
              <w:rPr>
                <w:noProof/>
                <w:webHidden/>
              </w:rPr>
            </w:r>
            <w:r w:rsidR="005736C7">
              <w:rPr>
                <w:noProof/>
                <w:webHidden/>
              </w:rPr>
              <w:fldChar w:fldCharType="separate"/>
            </w:r>
            <w:r w:rsidR="005736C7">
              <w:rPr>
                <w:noProof/>
                <w:webHidden/>
              </w:rPr>
              <w:t>12</w:t>
            </w:r>
            <w:r w:rsidR="005736C7">
              <w:rPr>
                <w:noProof/>
                <w:webHidden/>
              </w:rPr>
              <w:fldChar w:fldCharType="end"/>
            </w:r>
          </w:hyperlink>
        </w:p>
        <w:p w14:paraId="1A546EBC" w14:textId="377BA0BC" w:rsidR="005736C7" w:rsidRDefault="00C4148C">
          <w:pPr>
            <w:pStyle w:val="TOC2"/>
            <w:tabs>
              <w:tab w:val="right" w:leader="dot" w:pos="9736"/>
            </w:tabs>
            <w:rPr>
              <w:rFonts w:eastAsiaTheme="minorEastAsia"/>
              <w:noProof/>
              <w:sz w:val="24"/>
              <w:szCs w:val="24"/>
              <w:lang w:val="en-US"/>
            </w:rPr>
          </w:pPr>
          <w:hyperlink w:anchor="_Toc531264886" w:history="1">
            <w:r w:rsidR="005736C7" w:rsidRPr="00827712">
              <w:rPr>
                <w:rStyle w:val="Hyperlink"/>
                <w:noProof/>
              </w:rPr>
              <w:t>Leaving no one behind: are we succeeding?</w:t>
            </w:r>
            <w:r w:rsidR="005736C7">
              <w:rPr>
                <w:noProof/>
                <w:webHidden/>
              </w:rPr>
              <w:tab/>
            </w:r>
            <w:r w:rsidR="005736C7">
              <w:rPr>
                <w:noProof/>
                <w:webHidden/>
              </w:rPr>
              <w:fldChar w:fldCharType="begin"/>
            </w:r>
            <w:r w:rsidR="005736C7">
              <w:rPr>
                <w:noProof/>
                <w:webHidden/>
              </w:rPr>
              <w:instrText xml:space="preserve"> PAGEREF _Toc531264886 \h </w:instrText>
            </w:r>
            <w:r w:rsidR="005736C7">
              <w:rPr>
                <w:noProof/>
                <w:webHidden/>
              </w:rPr>
            </w:r>
            <w:r w:rsidR="005736C7">
              <w:rPr>
                <w:noProof/>
                <w:webHidden/>
              </w:rPr>
              <w:fldChar w:fldCharType="separate"/>
            </w:r>
            <w:r w:rsidR="005736C7">
              <w:rPr>
                <w:noProof/>
                <w:webHidden/>
              </w:rPr>
              <w:t>12</w:t>
            </w:r>
            <w:r w:rsidR="005736C7">
              <w:rPr>
                <w:noProof/>
                <w:webHidden/>
              </w:rPr>
              <w:fldChar w:fldCharType="end"/>
            </w:r>
          </w:hyperlink>
        </w:p>
        <w:p w14:paraId="3428E608" w14:textId="464CA2F0" w:rsidR="005736C7" w:rsidRDefault="00C4148C">
          <w:pPr>
            <w:pStyle w:val="TOC2"/>
            <w:tabs>
              <w:tab w:val="right" w:leader="dot" w:pos="9736"/>
            </w:tabs>
            <w:rPr>
              <w:rFonts w:eastAsiaTheme="minorEastAsia"/>
              <w:noProof/>
              <w:sz w:val="24"/>
              <w:szCs w:val="24"/>
              <w:lang w:val="en-US"/>
            </w:rPr>
          </w:pPr>
          <w:hyperlink w:anchor="_Toc531264887" w:history="1">
            <w:r w:rsidR="005736C7" w:rsidRPr="00827712">
              <w:rPr>
                <w:rStyle w:val="Hyperlink"/>
                <w:noProof/>
              </w:rPr>
              <w:t>Summary of the first week</w:t>
            </w:r>
            <w:r w:rsidR="005736C7">
              <w:rPr>
                <w:noProof/>
                <w:webHidden/>
              </w:rPr>
              <w:tab/>
            </w:r>
            <w:r w:rsidR="005736C7">
              <w:rPr>
                <w:noProof/>
                <w:webHidden/>
              </w:rPr>
              <w:fldChar w:fldCharType="begin"/>
            </w:r>
            <w:r w:rsidR="005736C7">
              <w:rPr>
                <w:noProof/>
                <w:webHidden/>
              </w:rPr>
              <w:instrText xml:space="preserve"> PAGEREF _Toc531264887 \h </w:instrText>
            </w:r>
            <w:r w:rsidR="005736C7">
              <w:rPr>
                <w:noProof/>
                <w:webHidden/>
              </w:rPr>
            </w:r>
            <w:r w:rsidR="005736C7">
              <w:rPr>
                <w:noProof/>
                <w:webHidden/>
              </w:rPr>
              <w:fldChar w:fldCharType="separate"/>
            </w:r>
            <w:r w:rsidR="005736C7">
              <w:rPr>
                <w:noProof/>
                <w:webHidden/>
              </w:rPr>
              <w:t>13</w:t>
            </w:r>
            <w:r w:rsidR="005736C7">
              <w:rPr>
                <w:noProof/>
                <w:webHidden/>
              </w:rPr>
              <w:fldChar w:fldCharType="end"/>
            </w:r>
          </w:hyperlink>
        </w:p>
        <w:p w14:paraId="200DA28A" w14:textId="68357663" w:rsidR="005736C7" w:rsidRDefault="00C4148C">
          <w:pPr>
            <w:pStyle w:val="TOC1"/>
            <w:rPr>
              <w:rFonts w:eastAsiaTheme="minorEastAsia"/>
              <w:noProof/>
              <w:sz w:val="24"/>
              <w:szCs w:val="24"/>
              <w:lang w:val="en-US"/>
            </w:rPr>
          </w:pPr>
          <w:hyperlink w:anchor="_Toc531264888" w:history="1">
            <w:r w:rsidR="005736C7" w:rsidRPr="00827712">
              <w:rPr>
                <w:rStyle w:val="Hyperlink"/>
                <w:rFonts w:eastAsia="Calibri"/>
                <w:noProof/>
              </w:rPr>
              <w:t>Ministerial week, 16</w:t>
            </w:r>
            <w:r w:rsidR="005736C7" w:rsidRPr="00827712">
              <w:rPr>
                <w:rStyle w:val="Hyperlink"/>
                <w:rFonts w:eastAsia="Calibri"/>
                <w:noProof/>
                <w:vertAlign w:val="superscript"/>
              </w:rPr>
              <w:t>th</w:t>
            </w:r>
            <w:r w:rsidR="005736C7" w:rsidRPr="00827712">
              <w:rPr>
                <w:rStyle w:val="Hyperlink"/>
                <w:rFonts w:eastAsia="Calibri"/>
                <w:noProof/>
              </w:rPr>
              <w:t xml:space="preserve"> July 2018 – 18</w:t>
            </w:r>
            <w:r w:rsidR="005736C7" w:rsidRPr="00827712">
              <w:rPr>
                <w:rStyle w:val="Hyperlink"/>
                <w:rFonts w:eastAsia="Calibri"/>
                <w:noProof/>
                <w:vertAlign w:val="superscript"/>
              </w:rPr>
              <w:t>th</w:t>
            </w:r>
            <w:r w:rsidR="005736C7" w:rsidRPr="00827712">
              <w:rPr>
                <w:rStyle w:val="Hyperlink"/>
                <w:rFonts w:eastAsia="Calibri"/>
                <w:noProof/>
              </w:rPr>
              <w:t xml:space="preserve"> July 2018</w:t>
            </w:r>
            <w:r w:rsidR="005736C7">
              <w:rPr>
                <w:noProof/>
                <w:webHidden/>
              </w:rPr>
              <w:tab/>
            </w:r>
            <w:r w:rsidR="005736C7">
              <w:rPr>
                <w:noProof/>
                <w:webHidden/>
              </w:rPr>
              <w:fldChar w:fldCharType="begin"/>
            </w:r>
            <w:r w:rsidR="005736C7">
              <w:rPr>
                <w:noProof/>
                <w:webHidden/>
              </w:rPr>
              <w:instrText xml:space="preserve"> PAGEREF _Toc531264888 \h </w:instrText>
            </w:r>
            <w:r w:rsidR="005736C7">
              <w:rPr>
                <w:noProof/>
                <w:webHidden/>
              </w:rPr>
            </w:r>
            <w:r w:rsidR="005736C7">
              <w:rPr>
                <w:noProof/>
                <w:webHidden/>
              </w:rPr>
              <w:fldChar w:fldCharType="separate"/>
            </w:r>
            <w:r w:rsidR="005736C7">
              <w:rPr>
                <w:noProof/>
                <w:webHidden/>
              </w:rPr>
              <w:t>13</w:t>
            </w:r>
            <w:r w:rsidR="005736C7">
              <w:rPr>
                <w:noProof/>
                <w:webHidden/>
              </w:rPr>
              <w:fldChar w:fldCharType="end"/>
            </w:r>
          </w:hyperlink>
        </w:p>
        <w:p w14:paraId="4621559C" w14:textId="7FA34820" w:rsidR="005736C7" w:rsidRDefault="00C4148C">
          <w:pPr>
            <w:pStyle w:val="TOC1"/>
            <w:rPr>
              <w:rFonts w:eastAsiaTheme="minorEastAsia"/>
              <w:noProof/>
              <w:sz w:val="24"/>
              <w:szCs w:val="24"/>
              <w:lang w:val="en-US"/>
            </w:rPr>
          </w:pPr>
          <w:hyperlink w:anchor="_Toc531264889" w:history="1">
            <w:r w:rsidR="005736C7" w:rsidRPr="00827712">
              <w:rPr>
                <w:rStyle w:val="Hyperlink"/>
                <w:noProof/>
              </w:rPr>
              <w:t>Monday, 16</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_Toc531264889 \h </w:instrText>
            </w:r>
            <w:r w:rsidR="005736C7">
              <w:rPr>
                <w:noProof/>
                <w:webHidden/>
              </w:rPr>
            </w:r>
            <w:r w:rsidR="005736C7">
              <w:rPr>
                <w:noProof/>
                <w:webHidden/>
              </w:rPr>
              <w:fldChar w:fldCharType="separate"/>
            </w:r>
            <w:r w:rsidR="005736C7">
              <w:rPr>
                <w:noProof/>
                <w:webHidden/>
              </w:rPr>
              <w:t>15</w:t>
            </w:r>
            <w:r w:rsidR="005736C7">
              <w:rPr>
                <w:noProof/>
                <w:webHidden/>
              </w:rPr>
              <w:fldChar w:fldCharType="end"/>
            </w:r>
          </w:hyperlink>
        </w:p>
        <w:p w14:paraId="07DE1479" w14:textId="6FE64EAD" w:rsidR="005736C7" w:rsidRDefault="00C4148C">
          <w:pPr>
            <w:pStyle w:val="TOC2"/>
            <w:tabs>
              <w:tab w:val="right" w:leader="dot" w:pos="9736"/>
            </w:tabs>
            <w:rPr>
              <w:rFonts w:eastAsiaTheme="minorEastAsia"/>
              <w:noProof/>
              <w:sz w:val="24"/>
              <w:szCs w:val="24"/>
              <w:lang w:val="en-US"/>
            </w:rPr>
          </w:pPr>
          <w:hyperlink w:anchor="_Toc531264890" w:history="1">
            <w:r w:rsidR="005736C7" w:rsidRPr="00827712">
              <w:rPr>
                <w:rStyle w:val="Hyperlink"/>
                <w:noProof/>
              </w:rPr>
              <w:t>Ecuador, Kiribati, Lithuania, Mali</w:t>
            </w:r>
            <w:r w:rsidR="005736C7">
              <w:rPr>
                <w:noProof/>
                <w:webHidden/>
              </w:rPr>
              <w:tab/>
            </w:r>
            <w:r w:rsidR="005736C7">
              <w:rPr>
                <w:noProof/>
                <w:webHidden/>
              </w:rPr>
              <w:fldChar w:fldCharType="begin"/>
            </w:r>
            <w:r w:rsidR="005736C7">
              <w:rPr>
                <w:noProof/>
                <w:webHidden/>
              </w:rPr>
              <w:instrText xml:space="preserve"> PAGEREF _Toc531264890 \h </w:instrText>
            </w:r>
            <w:r w:rsidR="005736C7">
              <w:rPr>
                <w:noProof/>
                <w:webHidden/>
              </w:rPr>
            </w:r>
            <w:r w:rsidR="005736C7">
              <w:rPr>
                <w:noProof/>
                <w:webHidden/>
              </w:rPr>
              <w:fldChar w:fldCharType="separate"/>
            </w:r>
            <w:r w:rsidR="005736C7">
              <w:rPr>
                <w:noProof/>
                <w:webHidden/>
              </w:rPr>
              <w:t>15</w:t>
            </w:r>
            <w:r w:rsidR="005736C7">
              <w:rPr>
                <w:noProof/>
                <w:webHidden/>
              </w:rPr>
              <w:fldChar w:fldCharType="end"/>
            </w:r>
          </w:hyperlink>
        </w:p>
        <w:p w14:paraId="6DC40E6A" w14:textId="360EF819" w:rsidR="005736C7" w:rsidRDefault="00C4148C">
          <w:pPr>
            <w:pStyle w:val="TOC2"/>
            <w:tabs>
              <w:tab w:val="right" w:leader="dot" w:pos="9736"/>
            </w:tabs>
            <w:rPr>
              <w:rFonts w:eastAsiaTheme="minorEastAsia"/>
              <w:noProof/>
              <w:sz w:val="24"/>
              <w:szCs w:val="24"/>
              <w:lang w:val="en-US"/>
            </w:rPr>
          </w:pPr>
          <w:hyperlink w:anchor="_Toc531264891" w:history="1">
            <w:r w:rsidR="005736C7" w:rsidRPr="00827712">
              <w:rPr>
                <w:rStyle w:val="Hyperlink"/>
                <w:noProof/>
              </w:rPr>
              <w:t>Greece, Guinea, Mexico, United Arab Emirates</w:t>
            </w:r>
            <w:r w:rsidR="005736C7">
              <w:rPr>
                <w:noProof/>
                <w:webHidden/>
              </w:rPr>
              <w:tab/>
            </w:r>
            <w:r w:rsidR="005736C7">
              <w:rPr>
                <w:noProof/>
                <w:webHidden/>
              </w:rPr>
              <w:fldChar w:fldCharType="begin"/>
            </w:r>
            <w:r w:rsidR="005736C7">
              <w:rPr>
                <w:noProof/>
                <w:webHidden/>
              </w:rPr>
              <w:instrText xml:space="preserve"> PAGEREF _Toc531264891 \h </w:instrText>
            </w:r>
            <w:r w:rsidR="005736C7">
              <w:rPr>
                <w:noProof/>
                <w:webHidden/>
              </w:rPr>
            </w:r>
            <w:r w:rsidR="005736C7">
              <w:rPr>
                <w:noProof/>
                <w:webHidden/>
              </w:rPr>
              <w:fldChar w:fldCharType="separate"/>
            </w:r>
            <w:r w:rsidR="005736C7">
              <w:rPr>
                <w:noProof/>
                <w:webHidden/>
              </w:rPr>
              <w:t>15</w:t>
            </w:r>
            <w:r w:rsidR="005736C7">
              <w:rPr>
                <w:noProof/>
                <w:webHidden/>
              </w:rPr>
              <w:fldChar w:fldCharType="end"/>
            </w:r>
          </w:hyperlink>
        </w:p>
        <w:p w14:paraId="1569FC03" w14:textId="7F459AAD" w:rsidR="005736C7" w:rsidRDefault="00C4148C">
          <w:pPr>
            <w:pStyle w:val="TOC2"/>
            <w:tabs>
              <w:tab w:val="right" w:leader="dot" w:pos="9736"/>
            </w:tabs>
            <w:rPr>
              <w:rFonts w:eastAsiaTheme="minorEastAsia"/>
              <w:noProof/>
              <w:sz w:val="24"/>
              <w:szCs w:val="24"/>
              <w:lang w:val="en-US"/>
            </w:rPr>
          </w:pPr>
          <w:hyperlink w:anchor="_Toc531264892" w:history="1">
            <w:r w:rsidR="005736C7" w:rsidRPr="00827712">
              <w:rPr>
                <w:rStyle w:val="Hyperlink"/>
                <w:noProof/>
              </w:rPr>
              <w:t>Benin and Cabo Verde</w:t>
            </w:r>
            <w:r w:rsidR="005736C7">
              <w:rPr>
                <w:noProof/>
                <w:webHidden/>
              </w:rPr>
              <w:tab/>
            </w:r>
            <w:r w:rsidR="005736C7">
              <w:rPr>
                <w:noProof/>
                <w:webHidden/>
              </w:rPr>
              <w:fldChar w:fldCharType="begin"/>
            </w:r>
            <w:r w:rsidR="005736C7">
              <w:rPr>
                <w:noProof/>
                <w:webHidden/>
              </w:rPr>
              <w:instrText xml:space="preserve"> PAGEREF _Toc531264892 \h </w:instrText>
            </w:r>
            <w:r w:rsidR="005736C7">
              <w:rPr>
                <w:noProof/>
                <w:webHidden/>
              </w:rPr>
            </w:r>
            <w:r w:rsidR="005736C7">
              <w:rPr>
                <w:noProof/>
                <w:webHidden/>
              </w:rPr>
              <w:fldChar w:fldCharType="separate"/>
            </w:r>
            <w:r w:rsidR="005736C7">
              <w:rPr>
                <w:noProof/>
                <w:webHidden/>
              </w:rPr>
              <w:t>16</w:t>
            </w:r>
            <w:r w:rsidR="005736C7">
              <w:rPr>
                <w:noProof/>
                <w:webHidden/>
              </w:rPr>
              <w:fldChar w:fldCharType="end"/>
            </w:r>
          </w:hyperlink>
        </w:p>
        <w:p w14:paraId="1DF5AA2D" w14:textId="47AF0842" w:rsidR="005736C7" w:rsidRDefault="00C4148C">
          <w:pPr>
            <w:pStyle w:val="TOC2"/>
            <w:tabs>
              <w:tab w:val="right" w:leader="dot" w:pos="9736"/>
            </w:tabs>
            <w:rPr>
              <w:rFonts w:eastAsiaTheme="minorEastAsia"/>
              <w:noProof/>
              <w:sz w:val="24"/>
              <w:szCs w:val="24"/>
              <w:lang w:val="en-US"/>
            </w:rPr>
          </w:pPr>
          <w:hyperlink w:anchor="_Toc531264893" w:history="1">
            <w:r w:rsidR="005736C7" w:rsidRPr="00827712">
              <w:rPr>
                <w:rStyle w:val="Hyperlink"/>
                <w:noProof/>
              </w:rPr>
              <w:t>Bahrain, Colombia, Slovakia, Viet Nam</w:t>
            </w:r>
            <w:r w:rsidR="005736C7">
              <w:rPr>
                <w:noProof/>
                <w:webHidden/>
              </w:rPr>
              <w:tab/>
            </w:r>
            <w:r w:rsidR="005736C7">
              <w:rPr>
                <w:noProof/>
                <w:webHidden/>
              </w:rPr>
              <w:fldChar w:fldCharType="begin"/>
            </w:r>
            <w:r w:rsidR="005736C7">
              <w:rPr>
                <w:noProof/>
                <w:webHidden/>
              </w:rPr>
              <w:instrText xml:space="preserve"> PAGEREF _Toc531264893 \h </w:instrText>
            </w:r>
            <w:r w:rsidR="005736C7">
              <w:rPr>
                <w:noProof/>
                <w:webHidden/>
              </w:rPr>
            </w:r>
            <w:r w:rsidR="005736C7">
              <w:rPr>
                <w:noProof/>
                <w:webHidden/>
              </w:rPr>
              <w:fldChar w:fldCharType="separate"/>
            </w:r>
            <w:r w:rsidR="005736C7">
              <w:rPr>
                <w:noProof/>
                <w:webHidden/>
              </w:rPr>
              <w:t>16</w:t>
            </w:r>
            <w:r w:rsidR="005736C7">
              <w:rPr>
                <w:noProof/>
                <w:webHidden/>
              </w:rPr>
              <w:fldChar w:fldCharType="end"/>
            </w:r>
          </w:hyperlink>
        </w:p>
        <w:p w14:paraId="748E44D4" w14:textId="6A504432" w:rsidR="005736C7" w:rsidRDefault="00C4148C">
          <w:pPr>
            <w:pStyle w:val="TOC1"/>
            <w:rPr>
              <w:rFonts w:eastAsiaTheme="minorEastAsia"/>
              <w:noProof/>
              <w:sz w:val="24"/>
              <w:szCs w:val="24"/>
              <w:lang w:val="en-US"/>
            </w:rPr>
          </w:pPr>
          <w:hyperlink w:anchor="_Toc531264894" w:history="1">
            <w:r w:rsidR="005736C7" w:rsidRPr="00827712">
              <w:rPr>
                <w:rStyle w:val="Hyperlink"/>
                <w:noProof/>
              </w:rPr>
              <w:t>Tuesday, 17</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_Toc531264894 \h </w:instrText>
            </w:r>
            <w:r w:rsidR="005736C7">
              <w:rPr>
                <w:noProof/>
                <w:webHidden/>
              </w:rPr>
            </w:r>
            <w:r w:rsidR="005736C7">
              <w:rPr>
                <w:noProof/>
                <w:webHidden/>
              </w:rPr>
              <w:fldChar w:fldCharType="separate"/>
            </w:r>
            <w:r w:rsidR="005736C7">
              <w:rPr>
                <w:noProof/>
                <w:webHidden/>
              </w:rPr>
              <w:t>17</w:t>
            </w:r>
            <w:r w:rsidR="005736C7">
              <w:rPr>
                <w:noProof/>
                <w:webHidden/>
              </w:rPr>
              <w:fldChar w:fldCharType="end"/>
            </w:r>
          </w:hyperlink>
        </w:p>
        <w:p w14:paraId="10F379F8" w14:textId="7989D8E2" w:rsidR="005736C7" w:rsidRDefault="00C4148C">
          <w:pPr>
            <w:pStyle w:val="TOC2"/>
            <w:tabs>
              <w:tab w:val="right" w:leader="dot" w:pos="9736"/>
            </w:tabs>
            <w:rPr>
              <w:rFonts w:eastAsiaTheme="minorEastAsia"/>
              <w:noProof/>
              <w:sz w:val="24"/>
              <w:szCs w:val="24"/>
              <w:lang w:val="en-US"/>
            </w:rPr>
          </w:pPr>
          <w:hyperlink w:anchor="_Toc531264895" w:history="1">
            <w:r w:rsidR="005736C7" w:rsidRPr="00827712">
              <w:rPr>
                <w:rStyle w:val="Hyperlink"/>
                <w:noProof/>
              </w:rPr>
              <w:t>Albania, Latvia, Niger, Sudan</w:t>
            </w:r>
            <w:r w:rsidR="005736C7">
              <w:rPr>
                <w:noProof/>
                <w:webHidden/>
              </w:rPr>
              <w:tab/>
            </w:r>
            <w:r w:rsidR="005736C7">
              <w:rPr>
                <w:noProof/>
                <w:webHidden/>
              </w:rPr>
              <w:fldChar w:fldCharType="begin"/>
            </w:r>
            <w:r w:rsidR="005736C7">
              <w:rPr>
                <w:noProof/>
                <w:webHidden/>
              </w:rPr>
              <w:instrText xml:space="preserve"> PAGEREF _Toc531264895 \h </w:instrText>
            </w:r>
            <w:r w:rsidR="005736C7">
              <w:rPr>
                <w:noProof/>
                <w:webHidden/>
              </w:rPr>
            </w:r>
            <w:r w:rsidR="005736C7">
              <w:rPr>
                <w:noProof/>
                <w:webHidden/>
              </w:rPr>
              <w:fldChar w:fldCharType="separate"/>
            </w:r>
            <w:r w:rsidR="005736C7">
              <w:rPr>
                <w:noProof/>
                <w:webHidden/>
              </w:rPr>
              <w:t>17</w:t>
            </w:r>
            <w:r w:rsidR="005736C7">
              <w:rPr>
                <w:noProof/>
                <w:webHidden/>
              </w:rPr>
              <w:fldChar w:fldCharType="end"/>
            </w:r>
          </w:hyperlink>
        </w:p>
        <w:p w14:paraId="679AE9CC" w14:textId="5A3A81FB" w:rsidR="005736C7" w:rsidRDefault="00C4148C">
          <w:pPr>
            <w:pStyle w:val="TOC2"/>
            <w:tabs>
              <w:tab w:val="right" w:leader="dot" w:pos="9736"/>
            </w:tabs>
            <w:rPr>
              <w:rFonts w:eastAsiaTheme="minorEastAsia"/>
              <w:noProof/>
              <w:sz w:val="24"/>
              <w:szCs w:val="24"/>
              <w:lang w:val="en-US"/>
            </w:rPr>
          </w:pPr>
          <w:hyperlink w:anchor="_Toc531264896" w:history="1">
            <w:r w:rsidR="005736C7" w:rsidRPr="00827712">
              <w:rPr>
                <w:rStyle w:val="Hyperlink"/>
                <w:noProof/>
              </w:rPr>
              <w:t>Armenia, Ireland, Namibia, Jamaica, State of Palestine</w:t>
            </w:r>
            <w:r w:rsidR="005736C7">
              <w:rPr>
                <w:noProof/>
                <w:webHidden/>
              </w:rPr>
              <w:tab/>
            </w:r>
            <w:r w:rsidR="005736C7">
              <w:rPr>
                <w:noProof/>
                <w:webHidden/>
              </w:rPr>
              <w:fldChar w:fldCharType="begin"/>
            </w:r>
            <w:r w:rsidR="005736C7">
              <w:rPr>
                <w:noProof/>
                <w:webHidden/>
              </w:rPr>
              <w:instrText xml:space="preserve"> PAGEREF _Toc531264896 \h </w:instrText>
            </w:r>
            <w:r w:rsidR="005736C7">
              <w:rPr>
                <w:noProof/>
                <w:webHidden/>
              </w:rPr>
            </w:r>
            <w:r w:rsidR="005736C7">
              <w:rPr>
                <w:noProof/>
                <w:webHidden/>
              </w:rPr>
              <w:fldChar w:fldCharType="separate"/>
            </w:r>
            <w:r w:rsidR="005736C7">
              <w:rPr>
                <w:noProof/>
                <w:webHidden/>
              </w:rPr>
              <w:t>18</w:t>
            </w:r>
            <w:r w:rsidR="005736C7">
              <w:rPr>
                <w:noProof/>
                <w:webHidden/>
              </w:rPr>
              <w:fldChar w:fldCharType="end"/>
            </w:r>
          </w:hyperlink>
        </w:p>
        <w:p w14:paraId="3D08149F" w14:textId="021A4A1E" w:rsidR="005736C7" w:rsidRDefault="00C4148C">
          <w:pPr>
            <w:pStyle w:val="TOC2"/>
            <w:tabs>
              <w:tab w:val="right" w:leader="dot" w:pos="9736"/>
            </w:tabs>
            <w:rPr>
              <w:rFonts w:eastAsiaTheme="minorEastAsia"/>
              <w:noProof/>
              <w:sz w:val="24"/>
              <w:szCs w:val="24"/>
              <w:lang w:val="en-US"/>
            </w:rPr>
          </w:pPr>
          <w:hyperlink w:anchor="_Toc531264897" w:history="1">
            <w:r w:rsidR="005736C7" w:rsidRPr="00827712">
              <w:rPr>
                <w:rStyle w:val="Hyperlink"/>
                <w:noProof/>
              </w:rPr>
              <w:t>Togo and Bhutan</w:t>
            </w:r>
            <w:r w:rsidR="005736C7">
              <w:rPr>
                <w:noProof/>
                <w:webHidden/>
              </w:rPr>
              <w:tab/>
            </w:r>
            <w:r w:rsidR="005736C7">
              <w:rPr>
                <w:noProof/>
                <w:webHidden/>
              </w:rPr>
              <w:fldChar w:fldCharType="begin"/>
            </w:r>
            <w:r w:rsidR="005736C7">
              <w:rPr>
                <w:noProof/>
                <w:webHidden/>
              </w:rPr>
              <w:instrText xml:space="preserve"> PAGEREF _Toc531264897 \h </w:instrText>
            </w:r>
            <w:r w:rsidR="005736C7">
              <w:rPr>
                <w:noProof/>
                <w:webHidden/>
              </w:rPr>
            </w:r>
            <w:r w:rsidR="005736C7">
              <w:rPr>
                <w:noProof/>
                <w:webHidden/>
              </w:rPr>
              <w:fldChar w:fldCharType="separate"/>
            </w:r>
            <w:r w:rsidR="005736C7">
              <w:rPr>
                <w:noProof/>
                <w:webHidden/>
              </w:rPr>
              <w:t>19</w:t>
            </w:r>
            <w:r w:rsidR="005736C7">
              <w:rPr>
                <w:noProof/>
                <w:webHidden/>
              </w:rPr>
              <w:fldChar w:fldCharType="end"/>
            </w:r>
          </w:hyperlink>
        </w:p>
        <w:p w14:paraId="7A0BE59C" w14:textId="7DE1E601" w:rsidR="005736C7" w:rsidRDefault="00C4148C">
          <w:pPr>
            <w:pStyle w:val="TOC2"/>
            <w:tabs>
              <w:tab w:val="right" w:leader="dot" w:pos="9736"/>
            </w:tabs>
            <w:rPr>
              <w:rFonts w:eastAsiaTheme="minorEastAsia"/>
              <w:noProof/>
              <w:sz w:val="24"/>
              <w:szCs w:val="24"/>
              <w:lang w:val="en-US"/>
            </w:rPr>
          </w:pPr>
          <w:hyperlink w:anchor="_Toc531264898" w:history="1">
            <w:r w:rsidR="005736C7" w:rsidRPr="00827712">
              <w:rPr>
                <w:rStyle w:val="Hyperlink"/>
                <w:noProof/>
              </w:rPr>
              <w:t>Uruguay, Sri Lanka, Switzerland, Australia</w:t>
            </w:r>
            <w:r w:rsidR="005736C7">
              <w:rPr>
                <w:noProof/>
                <w:webHidden/>
              </w:rPr>
              <w:tab/>
            </w:r>
            <w:r w:rsidR="005736C7">
              <w:rPr>
                <w:noProof/>
                <w:webHidden/>
              </w:rPr>
              <w:fldChar w:fldCharType="begin"/>
            </w:r>
            <w:r w:rsidR="005736C7">
              <w:rPr>
                <w:noProof/>
                <w:webHidden/>
              </w:rPr>
              <w:instrText xml:space="preserve"> PAGEREF _Toc531264898 \h </w:instrText>
            </w:r>
            <w:r w:rsidR="005736C7">
              <w:rPr>
                <w:noProof/>
                <w:webHidden/>
              </w:rPr>
            </w:r>
            <w:r w:rsidR="005736C7">
              <w:rPr>
                <w:noProof/>
                <w:webHidden/>
              </w:rPr>
              <w:fldChar w:fldCharType="separate"/>
            </w:r>
            <w:r w:rsidR="005736C7">
              <w:rPr>
                <w:noProof/>
                <w:webHidden/>
              </w:rPr>
              <w:t>20</w:t>
            </w:r>
            <w:r w:rsidR="005736C7">
              <w:rPr>
                <w:noProof/>
                <w:webHidden/>
              </w:rPr>
              <w:fldChar w:fldCharType="end"/>
            </w:r>
          </w:hyperlink>
        </w:p>
        <w:p w14:paraId="3574874F" w14:textId="28AEE5A6" w:rsidR="005736C7" w:rsidRDefault="00C4148C">
          <w:pPr>
            <w:pStyle w:val="TOC2"/>
            <w:tabs>
              <w:tab w:val="right" w:leader="dot" w:pos="9736"/>
            </w:tabs>
            <w:rPr>
              <w:rFonts w:eastAsiaTheme="minorEastAsia"/>
              <w:noProof/>
              <w:sz w:val="24"/>
              <w:szCs w:val="24"/>
              <w:lang w:val="en-US"/>
            </w:rPr>
          </w:pPr>
          <w:hyperlink w:anchor="_Toc531264899" w:history="1">
            <w:r w:rsidR="005736C7" w:rsidRPr="00827712">
              <w:rPr>
                <w:rStyle w:val="Hyperlink"/>
                <w:noProof/>
              </w:rPr>
              <w:t>Andorra, Canada, Dominican Republic, Egypt, Lao PDR, Senegal</w:t>
            </w:r>
            <w:r w:rsidR="005736C7">
              <w:rPr>
                <w:noProof/>
                <w:webHidden/>
              </w:rPr>
              <w:tab/>
            </w:r>
            <w:r w:rsidR="005736C7">
              <w:rPr>
                <w:noProof/>
                <w:webHidden/>
              </w:rPr>
              <w:fldChar w:fldCharType="begin"/>
            </w:r>
            <w:r w:rsidR="005736C7">
              <w:rPr>
                <w:noProof/>
                <w:webHidden/>
              </w:rPr>
              <w:instrText xml:space="preserve"> PAGEREF _Toc531264899 \h </w:instrText>
            </w:r>
            <w:r w:rsidR="005736C7">
              <w:rPr>
                <w:noProof/>
                <w:webHidden/>
              </w:rPr>
            </w:r>
            <w:r w:rsidR="005736C7">
              <w:rPr>
                <w:noProof/>
                <w:webHidden/>
              </w:rPr>
              <w:fldChar w:fldCharType="separate"/>
            </w:r>
            <w:r w:rsidR="005736C7">
              <w:rPr>
                <w:noProof/>
                <w:webHidden/>
              </w:rPr>
              <w:t>21</w:t>
            </w:r>
            <w:r w:rsidR="005736C7">
              <w:rPr>
                <w:noProof/>
                <w:webHidden/>
              </w:rPr>
              <w:fldChar w:fldCharType="end"/>
            </w:r>
          </w:hyperlink>
        </w:p>
        <w:p w14:paraId="5277C26E" w14:textId="3A11CCB8" w:rsidR="005736C7" w:rsidRDefault="00C4148C">
          <w:pPr>
            <w:pStyle w:val="TOC1"/>
            <w:rPr>
              <w:rFonts w:eastAsiaTheme="minorEastAsia"/>
              <w:noProof/>
              <w:sz w:val="24"/>
              <w:szCs w:val="24"/>
              <w:lang w:val="en-US"/>
            </w:rPr>
          </w:pPr>
          <w:hyperlink w:anchor="_Toc531264900" w:history="1">
            <w:r w:rsidR="005736C7" w:rsidRPr="00827712">
              <w:rPr>
                <w:rStyle w:val="Hyperlink"/>
                <w:noProof/>
              </w:rPr>
              <w:t>Wednesday, 18</w:t>
            </w:r>
            <w:r w:rsidR="005736C7" w:rsidRPr="00827712">
              <w:rPr>
                <w:rStyle w:val="Hyperlink"/>
                <w:noProof/>
                <w:vertAlign w:val="superscript"/>
              </w:rPr>
              <w:t>th</w:t>
            </w:r>
            <w:r w:rsidR="005736C7" w:rsidRPr="00827712">
              <w:rPr>
                <w:rStyle w:val="Hyperlink"/>
                <w:noProof/>
              </w:rPr>
              <w:t xml:space="preserve"> July 2018</w:t>
            </w:r>
            <w:r w:rsidR="005736C7">
              <w:rPr>
                <w:noProof/>
                <w:webHidden/>
              </w:rPr>
              <w:tab/>
            </w:r>
            <w:r w:rsidR="005736C7">
              <w:rPr>
                <w:noProof/>
                <w:webHidden/>
              </w:rPr>
              <w:fldChar w:fldCharType="begin"/>
            </w:r>
            <w:r w:rsidR="005736C7">
              <w:rPr>
                <w:noProof/>
                <w:webHidden/>
              </w:rPr>
              <w:instrText xml:space="preserve"> PAGEREF _Toc531264900 \h </w:instrText>
            </w:r>
            <w:r w:rsidR="005736C7">
              <w:rPr>
                <w:noProof/>
                <w:webHidden/>
              </w:rPr>
            </w:r>
            <w:r w:rsidR="005736C7">
              <w:rPr>
                <w:noProof/>
                <w:webHidden/>
              </w:rPr>
              <w:fldChar w:fldCharType="separate"/>
            </w:r>
            <w:r w:rsidR="005736C7">
              <w:rPr>
                <w:noProof/>
                <w:webHidden/>
              </w:rPr>
              <w:t>23</w:t>
            </w:r>
            <w:r w:rsidR="005736C7">
              <w:rPr>
                <w:noProof/>
                <w:webHidden/>
              </w:rPr>
              <w:fldChar w:fldCharType="end"/>
            </w:r>
          </w:hyperlink>
        </w:p>
        <w:p w14:paraId="576AE2E8" w14:textId="54779FD4" w:rsidR="005736C7" w:rsidRDefault="00C4148C">
          <w:pPr>
            <w:pStyle w:val="TOC2"/>
            <w:tabs>
              <w:tab w:val="right" w:leader="dot" w:pos="9736"/>
            </w:tabs>
            <w:rPr>
              <w:rFonts w:eastAsiaTheme="minorEastAsia"/>
              <w:noProof/>
              <w:sz w:val="24"/>
              <w:szCs w:val="24"/>
              <w:lang w:val="en-US"/>
            </w:rPr>
          </w:pPr>
          <w:hyperlink w:anchor="_Toc531264901" w:history="1">
            <w:r w:rsidR="005736C7" w:rsidRPr="00827712">
              <w:rPr>
                <w:rStyle w:val="Hyperlink"/>
                <w:noProof/>
              </w:rPr>
              <w:t>Lebanon, Romania, Bahamas, Hungary, Malta, Poland, Singapore, Spain, Saudi Arabia</w:t>
            </w:r>
            <w:r w:rsidR="005736C7">
              <w:rPr>
                <w:noProof/>
                <w:webHidden/>
              </w:rPr>
              <w:tab/>
            </w:r>
            <w:r w:rsidR="005736C7">
              <w:rPr>
                <w:noProof/>
                <w:webHidden/>
              </w:rPr>
              <w:fldChar w:fldCharType="begin"/>
            </w:r>
            <w:r w:rsidR="005736C7">
              <w:rPr>
                <w:noProof/>
                <w:webHidden/>
              </w:rPr>
              <w:instrText xml:space="preserve"> PAGEREF _Toc531264901 \h </w:instrText>
            </w:r>
            <w:r w:rsidR="005736C7">
              <w:rPr>
                <w:noProof/>
                <w:webHidden/>
              </w:rPr>
            </w:r>
            <w:r w:rsidR="005736C7">
              <w:rPr>
                <w:noProof/>
                <w:webHidden/>
              </w:rPr>
              <w:fldChar w:fldCharType="separate"/>
            </w:r>
            <w:r w:rsidR="005736C7">
              <w:rPr>
                <w:noProof/>
                <w:webHidden/>
              </w:rPr>
              <w:t>23</w:t>
            </w:r>
            <w:r w:rsidR="005736C7">
              <w:rPr>
                <w:noProof/>
                <w:webHidden/>
              </w:rPr>
              <w:fldChar w:fldCharType="end"/>
            </w:r>
          </w:hyperlink>
        </w:p>
        <w:p w14:paraId="3A8FBC2B" w14:textId="2561612D" w:rsidR="005736C7" w:rsidRDefault="00C4148C">
          <w:pPr>
            <w:pStyle w:val="TOC1"/>
            <w:rPr>
              <w:rFonts w:eastAsiaTheme="minorEastAsia"/>
              <w:noProof/>
              <w:sz w:val="24"/>
              <w:szCs w:val="24"/>
              <w:lang w:val="en-US"/>
            </w:rPr>
          </w:pPr>
          <w:hyperlink w:anchor="_Toc531264902" w:history="1">
            <w:r w:rsidR="005736C7" w:rsidRPr="00827712">
              <w:rPr>
                <w:rStyle w:val="Hyperlink"/>
                <w:noProof/>
              </w:rPr>
              <w:t>The Ministerial Declaration</w:t>
            </w:r>
            <w:r w:rsidR="005736C7">
              <w:rPr>
                <w:noProof/>
                <w:webHidden/>
              </w:rPr>
              <w:tab/>
            </w:r>
            <w:r w:rsidR="005736C7">
              <w:rPr>
                <w:noProof/>
                <w:webHidden/>
              </w:rPr>
              <w:fldChar w:fldCharType="begin"/>
            </w:r>
            <w:r w:rsidR="005736C7">
              <w:rPr>
                <w:noProof/>
                <w:webHidden/>
              </w:rPr>
              <w:instrText xml:space="preserve"> PAGEREF _Toc531264902 \h </w:instrText>
            </w:r>
            <w:r w:rsidR="005736C7">
              <w:rPr>
                <w:noProof/>
                <w:webHidden/>
              </w:rPr>
            </w:r>
            <w:r w:rsidR="005736C7">
              <w:rPr>
                <w:noProof/>
                <w:webHidden/>
              </w:rPr>
              <w:fldChar w:fldCharType="separate"/>
            </w:r>
            <w:r w:rsidR="005736C7">
              <w:rPr>
                <w:noProof/>
                <w:webHidden/>
              </w:rPr>
              <w:t>25</w:t>
            </w:r>
            <w:r w:rsidR="005736C7">
              <w:rPr>
                <w:noProof/>
                <w:webHidden/>
              </w:rPr>
              <w:fldChar w:fldCharType="end"/>
            </w:r>
          </w:hyperlink>
        </w:p>
        <w:p w14:paraId="373287F3" w14:textId="65458E01" w:rsidR="005736C7" w:rsidRDefault="00C4148C">
          <w:pPr>
            <w:pStyle w:val="TOC1"/>
            <w:rPr>
              <w:rFonts w:eastAsiaTheme="minorEastAsia"/>
              <w:noProof/>
              <w:sz w:val="24"/>
              <w:szCs w:val="24"/>
              <w:lang w:val="en-US"/>
            </w:rPr>
          </w:pPr>
          <w:hyperlink w:anchor="_Toc531264903" w:history="1">
            <w:r w:rsidR="005736C7" w:rsidRPr="00827712">
              <w:rPr>
                <w:rStyle w:val="Hyperlink"/>
                <w:noProof/>
              </w:rPr>
              <w:t>Compilation of references to persons with disabilities in the 2018 Voluntary National Reviews</w:t>
            </w:r>
            <w:r w:rsidR="005736C7">
              <w:rPr>
                <w:noProof/>
                <w:webHidden/>
              </w:rPr>
              <w:tab/>
            </w:r>
            <w:r w:rsidR="005736C7">
              <w:rPr>
                <w:noProof/>
                <w:webHidden/>
              </w:rPr>
              <w:fldChar w:fldCharType="begin"/>
            </w:r>
            <w:r w:rsidR="005736C7">
              <w:rPr>
                <w:noProof/>
                <w:webHidden/>
              </w:rPr>
              <w:instrText xml:space="preserve"> PAGEREF _Toc531264903 \h </w:instrText>
            </w:r>
            <w:r w:rsidR="005736C7">
              <w:rPr>
                <w:noProof/>
                <w:webHidden/>
              </w:rPr>
            </w:r>
            <w:r w:rsidR="005736C7">
              <w:rPr>
                <w:noProof/>
                <w:webHidden/>
              </w:rPr>
              <w:fldChar w:fldCharType="separate"/>
            </w:r>
            <w:r w:rsidR="005736C7">
              <w:rPr>
                <w:noProof/>
                <w:webHidden/>
              </w:rPr>
              <w:t>26</w:t>
            </w:r>
            <w:r w:rsidR="005736C7">
              <w:rPr>
                <w:noProof/>
                <w:webHidden/>
              </w:rPr>
              <w:fldChar w:fldCharType="end"/>
            </w:r>
          </w:hyperlink>
        </w:p>
        <w:p w14:paraId="28965650" w14:textId="143A7969" w:rsidR="005736C7" w:rsidRDefault="00C4148C">
          <w:pPr>
            <w:pStyle w:val="TOC1"/>
            <w:rPr>
              <w:rFonts w:eastAsiaTheme="minorEastAsia"/>
              <w:noProof/>
              <w:sz w:val="24"/>
              <w:szCs w:val="24"/>
              <w:lang w:val="en-US"/>
            </w:rPr>
          </w:pPr>
          <w:hyperlink w:anchor="_Toc531264904" w:history="1">
            <w:r w:rsidR="005736C7" w:rsidRPr="00827712">
              <w:rPr>
                <w:rStyle w:val="Hyperlink"/>
                <w:noProof/>
              </w:rPr>
              <w:t>Albania</w:t>
            </w:r>
            <w:r w:rsidR="005736C7">
              <w:rPr>
                <w:noProof/>
                <w:webHidden/>
              </w:rPr>
              <w:tab/>
            </w:r>
            <w:r w:rsidR="005736C7">
              <w:rPr>
                <w:noProof/>
                <w:webHidden/>
              </w:rPr>
              <w:fldChar w:fldCharType="begin"/>
            </w:r>
            <w:r w:rsidR="005736C7">
              <w:rPr>
                <w:noProof/>
                <w:webHidden/>
              </w:rPr>
              <w:instrText xml:space="preserve"> PAGEREF _Toc531264904 \h </w:instrText>
            </w:r>
            <w:r w:rsidR="005736C7">
              <w:rPr>
                <w:noProof/>
                <w:webHidden/>
              </w:rPr>
            </w:r>
            <w:r w:rsidR="005736C7">
              <w:rPr>
                <w:noProof/>
                <w:webHidden/>
              </w:rPr>
              <w:fldChar w:fldCharType="separate"/>
            </w:r>
            <w:r w:rsidR="005736C7">
              <w:rPr>
                <w:noProof/>
                <w:webHidden/>
              </w:rPr>
              <w:t>26</w:t>
            </w:r>
            <w:r w:rsidR="005736C7">
              <w:rPr>
                <w:noProof/>
                <w:webHidden/>
              </w:rPr>
              <w:fldChar w:fldCharType="end"/>
            </w:r>
          </w:hyperlink>
        </w:p>
        <w:p w14:paraId="2A79F728" w14:textId="358F2E60" w:rsidR="005736C7" w:rsidRDefault="00C4148C">
          <w:pPr>
            <w:pStyle w:val="TOC2"/>
            <w:tabs>
              <w:tab w:val="right" w:leader="dot" w:pos="9736"/>
            </w:tabs>
            <w:rPr>
              <w:rFonts w:eastAsiaTheme="minorEastAsia"/>
              <w:noProof/>
              <w:sz w:val="24"/>
              <w:szCs w:val="24"/>
              <w:lang w:val="en-US"/>
            </w:rPr>
          </w:pPr>
          <w:hyperlink w:anchor="_Toc531264905" w:history="1">
            <w:r w:rsidR="005736C7" w:rsidRPr="00827712">
              <w:rPr>
                <w:rStyle w:val="Hyperlink"/>
                <w:noProof/>
              </w:rPr>
              <w:t>Justice reform</w:t>
            </w:r>
            <w:r w:rsidR="005736C7">
              <w:rPr>
                <w:noProof/>
                <w:webHidden/>
              </w:rPr>
              <w:tab/>
            </w:r>
            <w:r w:rsidR="005736C7">
              <w:rPr>
                <w:noProof/>
                <w:webHidden/>
              </w:rPr>
              <w:fldChar w:fldCharType="begin"/>
            </w:r>
            <w:r w:rsidR="005736C7">
              <w:rPr>
                <w:noProof/>
                <w:webHidden/>
              </w:rPr>
              <w:instrText xml:space="preserve"> PAGEREF _Toc531264905 \h </w:instrText>
            </w:r>
            <w:r w:rsidR="005736C7">
              <w:rPr>
                <w:noProof/>
                <w:webHidden/>
              </w:rPr>
            </w:r>
            <w:r w:rsidR="005736C7">
              <w:rPr>
                <w:noProof/>
                <w:webHidden/>
              </w:rPr>
              <w:fldChar w:fldCharType="separate"/>
            </w:r>
            <w:r w:rsidR="005736C7">
              <w:rPr>
                <w:noProof/>
                <w:webHidden/>
              </w:rPr>
              <w:t>29</w:t>
            </w:r>
            <w:r w:rsidR="005736C7">
              <w:rPr>
                <w:noProof/>
                <w:webHidden/>
              </w:rPr>
              <w:fldChar w:fldCharType="end"/>
            </w:r>
          </w:hyperlink>
        </w:p>
        <w:p w14:paraId="240B86EF" w14:textId="74352650" w:rsidR="005736C7" w:rsidRDefault="00C4148C">
          <w:pPr>
            <w:pStyle w:val="TOC2"/>
            <w:tabs>
              <w:tab w:val="right" w:leader="dot" w:pos="9736"/>
            </w:tabs>
            <w:rPr>
              <w:rFonts w:eastAsiaTheme="minorEastAsia"/>
              <w:noProof/>
              <w:sz w:val="24"/>
              <w:szCs w:val="24"/>
              <w:lang w:val="en-US"/>
            </w:rPr>
          </w:pPr>
          <w:hyperlink w:anchor="_Toc531264906" w:history="1">
            <w:r w:rsidR="005736C7" w:rsidRPr="00827712">
              <w:rPr>
                <w:rStyle w:val="Hyperlink"/>
                <w:noProof/>
              </w:rPr>
              <w:t>Social inclusion</w:t>
            </w:r>
            <w:r w:rsidR="005736C7">
              <w:rPr>
                <w:noProof/>
                <w:webHidden/>
              </w:rPr>
              <w:tab/>
            </w:r>
            <w:r w:rsidR="005736C7">
              <w:rPr>
                <w:noProof/>
                <w:webHidden/>
              </w:rPr>
              <w:fldChar w:fldCharType="begin"/>
            </w:r>
            <w:r w:rsidR="005736C7">
              <w:rPr>
                <w:noProof/>
                <w:webHidden/>
              </w:rPr>
              <w:instrText xml:space="preserve"> PAGEREF _Toc531264906 \h </w:instrText>
            </w:r>
            <w:r w:rsidR="005736C7">
              <w:rPr>
                <w:noProof/>
                <w:webHidden/>
              </w:rPr>
            </w:r>
            <w:r w:rsidR="005736C7">
              <w:rPr>
                <w:noProof/>
                <w:webHidden/>
              </w:rPr>
              <w:fldChar w:fldCharType="separate"/>
            </w:r>
            <w:r w:rsidR="005736C7">
              <w:rPr>
                <w:noProof/>
                <w:webHidden/>
              </w:rPr>
              <w:t>29</w:t>
            </w:r>
            <w:r w:rsidR="005736C7">
              <w:rPr>
                <w:noProof/>
                <w:webHidden/>
              </w:rPr>
              <w:fldChar w:fldCharType="end"/>
            </w:r>
          </w:hyperlink>
        </w:p>
        <w:p w14:paraId="69444AA6" w14:textId="1D0594BB" w:rsidR="005736C7" w:rsidRDefault="00C4148C">
          <w:pPr>
            <w:pStyle w:val="TOC2"/>
            <w:tabs>
              <w:tab w:val="right" w:leader="dot" w:pos="9736"/>
            </w:tabs>
            <w:rPr>
              <w:rFonts w:eastAsiaTheme="minorEastAsia"/>
              <w:noProof/>
              <w:sz w:val="24"/>
              <w:szCs w:val="24"/>
              <w:lang w:val="en-US"/>
            </w:rPr>
          </w:pPr>
          <w:hyperlink w:anchor="_Toc531264907" w:history="1">
            <w:r w:rsidR="005736C7" w:rsidRPr="00827712">
              <w:rPr>
                <w:rStyle w:val="Hyperlink"/>
                <w:noProof/>
              </w:rPr>
              <w:t>Tackling the inclusion challenges in Albania</w:t>
            </w:r>
            <w:r w:rsidR="005736C7">
              <w:rPr>
                <w:noProof/>
                <w:webHidden/>
              </w:rPr>
              <w:tab/>
            </w:r>
            <w:r w:rsidR="005736C7">
              <w:rPr>
                <w:noProof/>
                <w:webHidden/>
              </w:rPr>
              <w:fldChar w:fldCharType="begin"/>
            </w:r>
            <w:r w:rsidR="005736C7">
              <w:rPr>
                <w:noProof/>
                <w:webHidden/>
              </w:rPr>
              <w:instrText xml:space="preserve"> PAGEREF _Toc531264907 \h </w:instrText>
            </w:r>
            <w:r w:rsidR="005736C7">
              <w:rPr>
                <w:noProof/>
                <w:webHidden/>
              </w:rPr>
            </w:r>
            <w:r w:rsidR="005736C7">
              <w:rPr>
                <w:noProof/>
                <w:webHidden/>
              </w:rPr>
              <w:fldChar w:fldCharType="separate"/>
            </w:r>
            <w:r w:rsidR="005736C7">
              <w:rPr>
                <w:noProof/>
                <w:webHidden/>
              </w:rPr>
              <w:t>30</w:t>
            </w:r>
            <w:r w:rsidR="005736C7">
              <w:rPr>
                <w:noProof/>
                <w:webHidden/>
              </w:rPr>
              <w:fldChar w:fldCharType="end"/>
            </w:r>
          </w:hyperlink>
        </w:p>
        <w:p w14:paraId="7BF0BB9C" w14:textId="45B5C56E" w:rsidR="005736C7" w:rsidRDefault="00C4148C">
          <w:pPr>
            <w:pStyle w:val="TOC1"/>
            <w:rPr>
              <w:rFonts w:eastAsiaTheme="minorEastAsia"/>
              <w:noProof/>
              <w:sz w:val="24"/>
              <w:szCs w:val="24"/>
              <w:lang w:val="en-US"/>
            </w:rPr>
          </w:pPr>
          <w:hyperlink w:anchor="_Toc531264908" w:history="1">
            <w:r w:rsidR="005736C7" w:rsidRPr="00827712">
              <w:rPr>
                <w:rStyle w:val="Hyperlink"/>
                <w:noProof/>
              </w:rPr>
              <w:t>Armenia</w:t>
            </w:r>
            <w:r w:rsidR="005736C7">
              <w:rPr>
                <w:noProof/>
                <w:webHidden/>
              </w:rPr>
              <w:tab/>
            </w:r>
            <w:r w:rsidR="005736C7">
              <w:rPr>
                <w:noProof/>
                <w:webHidden/>
              </w:rPr>
              <w:fldChar w:fldCharType="begin"/>
            </w:r>
            <w:r w:rsidR="005736C7">
              <w:rPr>
                <w:noProof/>
                <w:webHidden/>
              </w:rPr>
              <w:instrText xml:space="preserve"> PAGEREF _Toc531264908 \h </w:instrText>
            </w:r>
            <w:r w:rsidR="005736C7">
              <w:rPr>
                <w:noProof/>
                <w:webHidden/>
              </w:rPr>
            </w:r>
            <w:r w:rsidR="005736C7">
              <w:rPr>
                <w:noProof/>
                <w:webHidden/>
              </w:rPr>
              <w:fldChar w:fldCharType="separate"/>
            </w:r>
            <w:r w:rsidR="005736C7">
              <w:rPr>
                <w:noProof/>
                <w:webHidden/>
              </w:rPr>
              <w:t>31</w:t>
            </w:r>
            <w:r w:rsidR="005736C7">
              <w:rPr>
                <w:noProof/>
                <w:webHidden/>
              </w:rPr>
              <w:fldChar w:fldCharType="end"/>
            </w:r>
          </w:hyperlink>
        </w:p>
        <w:p w14:paraId="5D5A52CC" w14:textId="70452B57" w:rsidR="005736C7" w:rsidRDefault="00C4148C">
          <w:pPr>
            <w:pStyle w:val="TOC2"/>
            <w:tabs>
              <w:tab w:val="right" w:leader="dot" w:pos="9736"/>
            </w:tabs>
            <w:rPr>
              <w:rFonts w:eastAsiaTheme="minorEastAsia"/>
              <w:noProof/>
              <w:sz w:val="24"/>
              <w:szCs w:val="24"/>
              <w:lang w:val="en-US"/>
            </w:rPr>
          </w:pPr>
          <w:hyperlink w:anchor="_Toc531264909" w:history="1">
            <w:r w:rsidR="005736C7" w:rsidRPr="00827712">
              <w:rPr>
                <w:rStyle w:val="Hyperlink"/>
                <w:noProof/>
              </w:rPr>
              <w:t>Challenges</w:t>
            </w:r>
            <w:r w:rsidR="005736C7">
              <w:rPr>
                <w:noProof/>
                <w:webHidden/>
              </w:rPr>
              <w:tab/>
            </w:r>
            <w:r w:rsidR="005736C7">
              <w:rPr>
                <w:noProof/>
                <w:webHidden/>
              </w:rPr>
              <w:fldChar w:fldCharType="begin"/>
            </w:r>
            <w:r w:rsidR="005736C7">
              <w:rPr>
                <w:noProof/>
                <w:webHidden/>
              </w:rPr>
              <w:instrText xml:space="preserve"> PAGEREF _Toc531264909 \h </w:instrText>
            </w:r>
            <w:r w:rsidR="005736C7">
              <w:rPr>
                <w:noProof/>
                <w:webHidden/>
              </w:rPr>
            </w:r>
            <w:r w:rsidR="005736C7">
              <w:rPr>
                <w:noProof/>
                <w:webHidden/>
              </w:rPr>
              <w:fldChar w:fldCharType="separate"/>
            </w:r>
            <w:r w:rsidR="005736C7">
              <w:rPr>
                <w:noProof/>
                <w:webHidden/>
              </w:rPr>
              <w:t>31</w:t>
            </w:r>
            <w:r w:rsidR="005736C7">
              <w:rPr>
                <w:noProof/>
                <w:webHidden/>
              </w:rPr>
              <w:fldChar w:fldCharType="end"/>
            </w:r>
          </w:hyperlink>
        </w:p>
        <w:p w14:paraId="6D273127" w14:textId="741F383A" w:rsidR="005736C7" w:rsidRDefault="00C4148C">
          <w:pPr>
            <w:pStyle w:val="TOC3"/>
            <w:tabs>
              <w:tab w:val="right" w:leader="dot" w:pos="9736"/>
            </w:tabs>
            <w:rPr>
              <w:rFonts w:eastAsiaTheme="minorEastAsia"/>
              <w:noProof/>
              <w:sz w:val="24"/>
              <w:szCs w:val="24"/>
              <w:lang w:val="en-US"/>
            </w:rPr>
          </w:pPr>
          <w:hyperlink w:anchor="_Toc531264910" w:history="1">
            <w:r w:rsidR="005736C7" w:rsidRPr="00827712">
              <w:rPr>
                <w:rStyle w:val="Hyperlink"/>
                <w:noProof/>
              </w:rPr>
              <w:t>Table 2. Unemployment, by sex, age and persons with disabilities, %</w:t>
            </w:r>
            <w:r w:rsidR="005736C7">
              <w:rPr>
                <w:noProof/>
                <w:webHidden/>
              </w:rPr>
              <w:tab/>
            </w:r>
            <w:r w:rsidR="005736C7">
              <w:rPr>
                <w:noProof/>
                <w:webHidden/>
              </w:rPr>
              <w:fldChar w:fldCharType="begin"/>
            </w:r>
            <w:r w:rsidR="005736C7">
              <w:rPr>
                <w:noProof/>
                <w:webHidden/>
              </w:rPr>
              <w:instrText xml:space="preserve"> PAGEREF _Toc531264910 \h </w:instrText>
            </w:r>
            <w:r w:rsidR="005736C7">
              <w:rPr>
                <w:noProof/>
                <w:webHidden/>
              </w:rPr>
            </w:r>
            <w:r w:rsidR="005736C7">
              <w:rPr>
                <w:noProof/>
                <w:webHidden/>
              </w:rPr>
              <w:fldChar w:fldCharType="separate"/>
            </w:r>
            <w:r w:rsidR="005736C7">
              <w:rPr>
                <w:noProof/>
                <w:webHidden/>
              </w:rPr>
              <w:t>31</w:t>
            </w:r>
            <w:r w:rsidR="005736C7">
              <w:rPr>
                <w:noProof/>
                <w:webHidden/>
              </w:rPr>
              <w:fldChar w:fldCharType="end"/>
            </w:r>
          </w:hyperlink>
        </w:p>
        <w:p w14:paraId="1395853B" w14:textId="33411D32" w:rsidR="005736C7" w:rsidRDefault="00C4148C">
          <w:pPr>
            <w:pStyle w:val="TOC2"/>
            <w:tabs>
              <w:tab w:val="right" w:leader="dot" w:pos="9736"/>
            </w:tabs>
            <w:rPr>
              <w:rFonts w:eastAsiaTheme="minorEastAsia"/>
              <w:noProof/>
              <w:sz w:val="24"/>
              <w:szCs w:val="24"/>
              <w:lang w:val="en-US"/>
            </w:rPr>
          </w:pPr>
          <w:hyperlink w:anchor="_Toc531264911" w:history="1">
            <w:r w:rsidR="005736C7" w:rsidRPr="00827712">
              <w:rPr>
                <w:rStyle w:val="Hyperlink"/>
                <w:noProof/>
              </w:rPr>
              <w:t>Inclusive communities (SDG target 11.7)</w:t>
            </w:r>
            <w:r w:rsidR="005736C7">
              <w:rPr>
                <w:noProof/>
                <w:webHidden/>
              </w:rPr>
              <w:tab/>
            </w:r>
            <w:r w:rsidR="005736C7">
              <w:rPr>
                <w:noProof/>
                <w:webHidden/>
              </w:rPr>
              <w:fldChar w:fldCharType="begin"/>
            </w:r>
            <w:r w:rsidR="005736C7">
              <w:rPr>
                <w:noProof/>
                <w:webHidden/>
              </w:rPr>
              <w:instrText xml:space="preserve"> PAGEREF _Toc531264911 \h </w:instrText>
            </w:r>
            <w:r w:rsidR="005736C7">
              <w:rPr>
                <w:noProof/>
                <w:webHidden/>
              </w:rPr>
            </w:r>
            <w:r w:rsidR="005736C7">
              <w:rPr>
                <w:noProof/>
                <w:webHidden/>
              </w:rPr>
              <w:fldChar w:fldCharType="separate"/>
            </w:r>
            <w:r w:rsidR="005736C7">
              <w:rPr>
                <w:noProof/>
                <w:webHidden/>
              </w:rPr>
              <w:t>32</w:t>
            </w:r>
            <w:r w:rsidR="005736C7">
              <w:rPr>
                <w:noProof/>
                <w:webHidden/>
              </w:rPr>
              <w:fldChar w:fldCharType="end"/>
            </w:r>
          </w:hyperlink>
        </w:p>
        <w:p w14:paraId="6A24D6D0" w14:textId="7126C3C1" w:rsidR="005736C7" w:rsidRDefault="00C4148C">
          <w:pPr>
            <w:pStyle w:val="TOC1"/>
            <w:rPr>
              <w:rFonts w:eastAsiaTheme="minorEastAsia"/>
              <w:noProof/>
              <w:sz w:val="24"/>
              <w:szCs w:val="24"/>
              <w:lang w:val="en-US"/>
            </w:rPr>
          </w:pPr>
          <w:hyperlink w:anchor="_Toc531264912" w:history="1">
            <w:r w:rsidR="005736C7" w:rsidRPr="00827712">
              <w:rPr>
                <w:rStyle w:val="Hyperlink"/>
                <w:noProof/>
              </w:rPr>
              <w:t>Inclusive communities (SDG 11.3, 11.7, 11a)</w:t>
            </w:r>
            <w:r w:rsidR="005736C7">
              <w:rPr>
                <w:noProof/>
                <w:webHidden/>
              </w:rPr>
              <w:tab/>
            </w:r>
            <w:r w:rsidR="005736C7">
              <w:rPr>
                <w:noProof/>
                <w:webHidden/>
              </w:rPr>
              <w:fldChar w:fldCharType="begin"/>
            </w:r>
            <w:r w:rsidR="005736C7">
              <w:rPr>
                <w:noProof/>
                <w:webHidden/>
              </w:rPr>
              <w:instrText xml:space="preserve"> PAGEREF _Toc531264912 \h </w:instrText>
            </w:r>
            <w:r w:rsidR="005736C7">
              <w:rPr>
                <w:noProof/>
                <w:webHidden/>
              </w:rPr>
            </w:r>
            <w:r w:rsidR="005736C7">
              <w:rPr>
                <w:noProof/>
                <w:webHidden/>
              </w:rPr>
              <w:fldChar w:fldCharType="separate"/>
            </w:r>
            <w:r w:rsidR="005736C7">
              <w:rPr>
                <w:noProof/>
                <w:webHidden/>
              </w:rPr>
              <w:t>32</w:t>
            </w:r>
            <w:r w:rsidR="005736C7">
              <w:rPr>
                <w:noProof/>
                <w:webHidden/>
              </w:rPr>
              <w:fldChar w:fldCharType="end"/>
            </w:r>
          </w:hyperlink>
        </w:p>
        <w:p w14:paraId="2251D41D" w14:textId="641E4356" w:rsidR="005736C7" w:rsidRDefault="00C4148C">
          <w:pPr>
            <w:pStyle w:val="TOC1"/>
            <w:rPr>
              <w:rFonts w:eastAsiaTheme="minorEastAsia"/>
              <w:noProof/>
              <w:sz w:val="24"/>
              <w:szCs w:val="24"/>
              <w:lang w:val="en-US"/>
            </w:rPr>
          </w:pPr>
          <w:hyperlink w:anchor="_Toc531264913" w:history="1">
            <w:r w:rsidR="005736C7" w:rsidRPr="00827712">
              <w:rPr>
                <w:rStyle w:val="Hyperlink"/>
                <w:noProof/>
              </w:rPr>
              <w:t>Australia</w:t>
            </w:r>
            <w:r w:rsidR="005736C7">
              <w:rPr>
                <w:noProof/>
                <w:webHidden/>
              </w:rPr>
              <w:tab/>
            </w:r>
            <w:r w:rsidR="005736C7">
              <w:rPr>
                <w:noProof/>
                <w:webHidden/>
              </w:rPr>
              <w:fldChar w:fldCharType="begin"/>
            </w:r>
            <w:r w:rsidR="005736C7">
              <w:rPr>
                <w:noProof/>
                <w:webHidden/>
              </w:rPr>
              <w:instrText xml:space="preserve"> PAGEREF _Toc531264913 \h </w:instrText>
            </w:r>
            <w:r w:rsidR="005736C7">
              <w:rPr>
                <w:noProof/>
                <w:webHidden/>
              </w:rPr>
            </w:r>
            <w:r w:rsidR="005736C7">
              <w:rPr>
                <w:noProof/>
                <w:webHidden/>
              </w:rPr>
              <w:fldChar w:fldCharType="separate"/>
            </w:r>
            <w:r w:rsidR="005736C7">
              <w:rPr>
                <w:noProof/>
                <w:webHidden/>
              </w:rPr>
              <w:t>32</w:t>
            </w:r>
            <w:r w:rsidR="005736C7">
              <w:rPr>
                <w:noProof/>
                <w:webHidden/>
              </w:rPr>
              <w:fldChar w:fldCharType="end"/>
            </w:r>
          </w:hyperlink>
        </w:p>
        <w:p w14:paraId="38431B40" w14:textId="5DB1230D" w:rsidR="005736C7" w:rsidRDefault="00C4148C">
          <w:pPr>
            <w:pStyle w:val="TOC2"/>
            <w:tabs>
              <w:tab w:val="right" w:leader="dot" w:pos="9736"/>
            </w:tabs>
            <w:rPr>
              <w:rFonts w:eastAsiaTheme="minorEastAsia"/>
              <w:noProof/>
              <w:sz w:val="24"/>
              <w:szCs w:val="24"/>
              <w:lang w:val="en-US"/>
            </w:rPr>
          </w:pPr>
          <w:hyperlink w:anchor="_Toc531264914" w:history="1">
            <w:r w:rsidR="005736C7" w:rsidRPr="00827712">
              <w:rPr>
                <w:rStyle w:val="Hyperlink"/>
                <w:noProof/>
              </w:rPr>
              <w:t>Australia’s approach to the SDGs</w:t>
            </w:r>
            <w:r w:rsidR="005736C7">
              <w:rPr>
                <w:noProof/>
                <w:webHidden/>
              </w:rPr>
              <w:tab/>
            </w:r>
            <w:r w:rsidR="005736C7">
              <w:rPr>
                <w:noProof/>
                <w:webHidden/>
              </w:rPr>
              <w:fldChar w:fldCharType="begin"/>
            </w:r>
            <w:r w:rsidR="005736C7">
              <w:rPr>
                <w:noProof/>
                <w:webHidden/>
              </w:rPr>
              <w:instrText xml:space="preserve"> PAGEREF _Toc531264914 \h </w:instrText>
            </w:r>
            <w:r w:rsidR="005736C7">
              <w:rPr>
                <w:noProof/>
                <w:webHidden/>
              </w:rPr>
            </w:r>
            <w:r w:rsidR="005736C7">
              <w:rPr>
                <w:noProof/>
                <w:webHidden/>
              </w:rPr>
              <w:fldChar w:fldCharType="separate"/>
            </w:r>
            <w:r w:rsidR="005736C7">
              <w:rPr>
                <w:noProof/>
                <w:webHidden/>
              </w:rPr>
              <w:t>33</w:t>
            </w:r>
            <w:r w:rsidR="005736C7">
              <w:rPr>
                <w:noProof/>
                <w:webHidden/>
              </w:rPr>
              <w:fldChar w:fldCharType="end"/>
            </w:r>
          </w:hyperlink>
        </w:p>
        <w:p w14:paraId="0179415E" w14:textId="5CADE205" w:rsidR="005736C7" w:rsidRDefault="00C4148C">
          <w:pPr>
            <w:pStyle w:val="TOC2"/>
            <w:tabs>
              <w:tab w:val="right" w:leader="dot" w:pos="9736"/>
            </w:tabs>
            <w:rPr>
              <w:rFonts w:eastAsiaTheme="minorEastAsia"/>
              <w:noProof/>
              <w:sz w:val="24"/>
              <w:szCs w:val="24"/>
              <w:lang w:val="en-US"/>
            </w:rPr>
          </w:pPr>
          <w:hyperlink w:anchor="_Toc531264915" w:history="1">
            <w:r w:rsidR="005736C7" w:rsidRPr="00827712">
              <w:rPr>
                <w:rStyle w:val="Hyperlink"/>
                <w:noProof/>
              </w:rPr>
              <w:t>Leaving no one behind: Australia’s National Disability Strategy</w:t>
            </w:r>
            <w:r w:rsidR="005736C7">
              <w:rPr>
                <w:noProof/>
                <w:webHidden/>
              </w:rPr>
              <w:tab/>
            </w:r>
            <w:r w:rsidR="005736C7">
              <w:rPr>
                <w:noProof/>
                <w:webHidden/>
              </w:rPr>
              <w:fldChar w:fldCharType="begin"/>
            </w:r>
            <w:r w:rsidR="005736C7">
              <w:rPr>
                <w:noProof/>
                <w:webHidden/>
              </w:rPr>
              <w:instrText xml:space="preserve"> PAGEREF _Toc531264915 \h </w:instrText>
            </w:r>
            <w:r w:rsidR="005736C7">
              <w:rPr>
                <w:noProof/>
                <w:webHidden/>
              </w:rPr>
            </w:r>
            <w:r w:rsidR="005736C7">
              <w:rPr>
                <w:noProof/>
                <w:webHidden/>
              </w:rPr>
              <w:fldChar w:fldCharType="separate"/>
            </w:r>
            <w:r w:rsidR="005736C7">
              <w:rPr>
                <w:noProof/>
                <w:webHidden/>
              </w:rPr>
              <w:t>33</w:t>
            </w:r>
            <w:r w:rsidR="005736C7">
              <w:rPr>
                <w:noProof/>
                <w:webHidden/>
              </w:rPr>
              <w:fldChar w:fldCharType="end"/>
            </w:r>
          </w:hyperlink>
        </w:p>
        <w:p w14:paraId="23CD61D5" w14:textId="01F5D129" w:rsidR="005736C7" w:rsidRDefault="00C4148C">
          <w:pPr>
            <w:pStyle w:val="TOC2"/>
            <w:tabs>
              <w:tab w:val="right" w:leader="dot" w:pos="9736"/>
            </w:tabs>
            <w:rPr>
              <w:rFonts w:eastAsiaTheme="minorEastAsia"/>
              <w:noProof/>
              <w:sz w:val="24"/>
              <w:szCs w:val="24"/>
              <w:lang w:val="en-US"/>
            </w:rPr>
          </w:pPr>
          <w:hyperlink w:anchor="_Toc531264916" w:history="1">
            <w:r w:rsidR="005736C7" w:rsidRPr="00827712">
              <w:rPr>
                <w:rStyle w:val="Hyperlink"/>
                <w:noProof/>
              </w:rPr>
              <w:t>Disaster risk reduction: building resilience</w:t>
            </w:r>
            <w:r w:rsidR="005736C7">
              <w:rPr>
                <w:noProof/>
                <w:webHidden/>
              </w:rPr>
              <w:tab/>
            </w:r>
            <w:r w:rsidR="005736C7">
              <w:rPr>
                <w:noProof/>
                <w:webHidden/>
              </w:rPr>
              <w:fldChar w:fldCharType="begin"/>
            </w:r>
            <w:r w:rsidR="005736C7">
              <w:rPr>
                <w:noProof/>
                <w:webHidden/>
              </w:rPr>
              <w:instrText xml:space="preserve"> PAGEREF _Toc531264916 \h </w:instrText>
            </w:r>
            <w:r w:rsidR="005736C7">
              <w:rPr>
                <w:noProof/>
                <w:webHidden/>
              </w:rPr>
            </w:r>
            <w:r w:rsidR="005736C7">
              <w:rPr>
                <w:noProof/>
                <w:webHidden/>
              </w:rPr>
              <w:fldChar w:fldCharType="separate"/>
            </w:r>
            <w:r w:rsidR="005736C7">
              <w:rPr>
                <w:noProof/>
                <w:webHidden/>
              </w:rPr>
              <w:t>34</w:t>
            </w:r>
            <w:r w:rsidR="005736C7">
              <w:rPr>
                <w:noProof/>
                <w:webHidden/>
              </w:rPr>
              <w:fldChar w:fldCharType="end"/>
            </w:r>
          </w:hyperlink>
        </w:p>
        <w:p w14:paraId="192EE214" w14:textId="09B55A29" w:rsidR="005736C7" w:rsidRDefault="00C4148C">
          <w:pPr>
            <w:pStyle w:val="TOC2"/>
            <w:tabs>
              <w:tab w:val="right" w:leader="dot" w:pos="9736"/>
            </w:tabs>
            <w:rPr>
              <w:rFonts w:eastAsiaTheme="minorEastAsia"/>
              <w:noProof/>
              <w:sz w:val="24"/>
              <w:szCs w:val="24"/>
              <w:lang w:val="en-US"/>
            </w:rPr>
          </w:pPr>
          <w:hyperlink w:anchor="_Toc531264917" w:history="1">
            <w:r w:rsidR="005736C7" w:rsidRPr="00827712">
              <w:rPr>
                <w:rStyle w:val="Hyperlink"/>
                <w:noProof/>
              </w:rPr>
              <w:t>Australian action</w:t>
            </w:r>
            <w:r w:rsidR="005736C7">
              <w:rPr>
                <w:noProof/>
                <w:webHidden/>
              </w:rPr>
              <w:tab/>
            </w:r>
            <w:r w:rsidR="005736C7">
              <w:rPr>
                <w:noProof/>
                <w:webHidden/>
              </w:rPr>
              <w:fldChar w:fldCharType="begin"/>
            </w:r>
            <w:r w:rsidR="005736C7">
              <w:rPr>
                <w:noProof/>
                <w:webHidden/>
              </w:rPr>
              <w:instrText xml:space="preserve"> PAGEREF _Toc531264917 \h </w:instrText>
            </w:r>
            <w:r w:rsidR="005736C7">
              <w:rPr>
                <w:noProof/>
                <w:webHidden/>
              </w:rPr>
            </w:r>
            <w:r w:rsidR="005736C7">
              <w:rPr>
                <w:noProof/>
                <w:webHidden/>
              </w:rPr>
              <w:fldChar w:fldCharType="separate"/>
            </w:r>
            <w:r w:rsidR="005736C7">
              <w:rPr>
                <w:noProof/>
                <w:webHidden/>
              </w:rPr>
              <w:t>34</w:t>
            </w:r>
            <w:r w:rsidR="005736C7">
              <w:rPr>
                <w:noProof/>
                <w:webHidden/>
              </w:rPr>
              <w:fldChar w:fldCharType="end"/>
            </w:r>
          </w:hyperlink>
        </w:p>
        <w:p w14:paraId="36A3D300" w14:textId="27CEDD3A" w:rsidR="005736C7" w:rsidRDefault="00C4148C">
          <w:pPr>
            <w:pStyle w:val="TOC3"/>
            <w:tabs>
              <w:tab w:val="right" w:leader="dot" w:pos="9736"/>
            </w:tabs>
            <w:rPr>
              <w:rFonts w:eastAsiaTheme="minorEastAsia"/>
              <w:noProof/>
              <w:sz w:val="24"/>
              <w:szCs w:val="24"/>
              <w:lang w:val="en-US"/>
            </w:rPr>
          </w:pPr>
          <w:hyperlink w:anchor="_Toc531264918" w:history="1">
            <w:r w:rsidR="005736C7" w:rsidRPr="00827712">
              <w:rPr>
                <w:rStyle w:val="Hyperlink"/>
                <w:noProof/>
              </w:rPr>
              <w:t>National Disability Insurance Scheme</w:t>
            </w:r>
            <w:r w:rsidR="005736C7">
              <w:rPr>
                <w:noProof/>
                <w:webHidden/>
              </w:rPr>
              <w:tab/>
            </w:r>
            <w:r w:rsidR="005736C7">
              <w:rPr>
                <w:noProof/>
                <w:webHidden/>
              </w:rPr>
              <w:fldChar w:fldCharType="begin"/>
            </w:r>
            <w:r w:rsidR="005736C7">
              <w:rPr>
                <w:noProof/>
                <w:webHidden/>
              </w:rPr>
              <w:instrText xml:space="preserve"> PAGEREF _Toc531264918 \h </w:instrText>
            </w:r>
            <w:r w:rsidR="005736C7">
              <w:rPr>
                <w:noProof/>
                <w:webHidden/>
              </w:rPr>
            </w:r>
            <w:r w:rsidR="005736C7">
              <w:rPr>
                <w:noProof/>
                <w:webHidden/>
              </w:rPr>
              <w:fldChar w:fldCharType="separate"/>
            </w:r>
            <w:r w:rsidR="005736C7">
              <w:rPr>
                <w:noProof/>
                <w:webHidden/>
              </w:rPr>
              <w:t>34</w:t>
            </w:r>
            <w:r w:rsidR="005736C7">
              <w:rPr>
                <w:noProof/>
                <w:webHidden/>
              </w:rPr>
              <w:fldChar w:fldCharType="end"/>
            </w:r>
          </w:hyperlink>
        </w:p>
        <w:p w14:paraId="45E26BE6" w14:textId="168D2E55" w:rsidR="005736C7" w:rsidRDefault="00C4148C">
          <w:pPr>
            <w:pStyle w:val="TOC3"/>
            <w:tabs>
              <w:tab w:val="right" w:leader="dot" w:pos="9736"/>
            </w:tabs>
            <w:rPr>
              <w:rFonts w:eastAsiaTheme="minorEastAsia"/>
              <w:noProof/>
              <w:sz w:val="24"/>
              <w:szCs w:val="24"/>
              <w:lang w:val="en-US"/>
            </w:rPr>
          </w:pPr>
          <w:hyperlink w:anchor="_Toc531264919" w:history="1">
            <w:r w:rsidR="005736C7" w:rsidRPr="00827712">
              <w:rPr>
                <w:rStyle w:val="Hyperlink"/>
                <w:noProof/>
              </w:rPr>
              <w:t>Regional and global action</w:t>
            </w:r>
            <w:r w:rsidR="005736C7">
              <w:rPr>
                <w:noProof/>
                <w:webHidden/>
              </w:rPr>
              <w:tab/>
            </w:r>
            <w:r w:rsidR="005736C7">
              <w:rPr>
                <w:noProof/>
                <w:webHidden/>
              </w:rPr>
              <w:fldChar w:fldCharType="begin"/>
            </w:r>
            <w:r w:rsidR="005736C7">
              <w:rPr>
                <w:noProof/>
                <w:webHidden/>
              </w:rPr>
              <w:instrText xml:space="preserve"> PAGEREF _Toc531264919 \h </w:instrText>
            </w:r>
            <w:r w:rsidR="005736C7">
              <w:rPr>
                <w:noProof/>
                <w:webHidden/>
              </w:rPr>
            </w:r>
            <w:r w:rsidR="005736C7">
              <w:rPr>
                <w:noProof/>
                <w:webHidden/>
              </w:rPr>
              <w:fldChar w:fldCharType="separate"/>
            </w:r>
            <w:r w:rsidR="005736C7">
              <w:rPr>
                <w:noProof/>
                <w:webHidden/>
              </w:rPr>
              <w:t>35</w:t>
            </w:r>
            <w:r w:rsidR="005736C7">
              <w:rPr>
                <w:noProof/>
                <w:webHidden/>
              </w:rPr>
              <w:fldChar w:fldCharType="end"/>
            </w:r>
          </w:hyperlink>
        </w:p>
        <w:p w14:paraId="1A521DE4" w14:textId="181300B6" w:rsidR="005736C7" w:rsidRDefault="00C4148C">
          <w:pPr>
            <w:pStyle w:val="TOC2"/>
            <w:tabs>
              <w:tab w:val="right" w:leader="dot" w:pos="9736"/>
            </w:tabs>
            <w:rPr>
              <w:rFonts w:eastAsiaTheme="minorEastAsia"/>
              <w:noProof/>
              <w:sz w:val="24"/>
              <w:szCs w:val="24"/>
              <w:lang w:val="en-US"/>
            </w:rPr>
          </w:pPr>
          <w:hyperlink w:anchor="_Toc531264920" w:history="1">
            <w:r w:rsidR="005736C7" w:rsidRPr="00827712">
              <w:rPr>
                <w:rStyle w:val="Hyperlink"/>
                <w:noProof/>
              </w:rPr>
              <w:t>Inclusive and quality learning in Australia</w:t>
            </w:r>
            <w:r w:rsidR="005736C7">
              <w:rPr>
                <w:noProof/>
                <w:webHidden/>
              </w:rPr>
              <w:tab/>
            </w:r>
            <w:r w:rsidR="005736C7">
              <w:rPr>
                <w:noProof/>
                <w:webHidden/>
              </w:rPr>
              <w:fldChar w:fldCharType="begin"/>
            </w:r>
            <w:r w:rsidR="005736C7">
              <w:rPr>
                <w:noProof/>
                <w:webHidden/>
              </w:rPr>
              <w:instrText xml:space="preserve"> PAGEREF _Toc531264920 \h </w:instrText>
            </w:r>
            <w:r w:rsidR="005736C7">
              <w:rPr>
                <w:noProof/>
                <w:webHidden/>
              </w:rPr>
            </w:r>
            <w:r w:rsidR="005736C7">
              <w:rPr>
                <w:noProof/>
                <w:webHidden/>
              </w:rPr>
              <w:fldChar w:fldCharType="separate"/>
            </w:r>
            <w:r w:rsidR="005736C7">
              <w:rPr>
                <w:noProof/>
                <w:webHidden/>
              </w:rPr>
              <w:t>35</w:t>
            </w:r>
            <w:r w:rsidR="005736C7">
              <w:rPr>
                <w:noProof/>
                <w:webHidden/>
              </w:rPr>
              <w:fldChar w:fldCharType="end"/>
            </w:r>
          </w:hyperlink>
        </w:p>
        <w:p w14:paraId="5B51644E" w14:textId="0B31B231" w:rsidR="005736C7" w:rsidRDefault="00C4148C">
          <w:pPr>
            <w:pStyle w:val="TOC2"/>
            <w:tabs>
              <w:tab w:val="right" w:leader="dot" w:pos="9736"/>
            </w:tabs>
            <w:rPr>
              <w:rFonts w:eastAsiaTheme="minorEastAsia"/>
              <w:noProof/>
              <w:sz w:val="24"/>
              <w:szCs w:val="24"/>
              <w:lang w:val="en-US"/>
            </w:rPr>
          </w:pPr>
          <w:hyperlink w:anchor="_Toc531264921" w:history="1">
            <w:r w:rsidR="005736C7" w:rsidRPr="00827712">
              <w:rPr>
                <w:rStyle w:val="Hyperlink"/>
                <w:noProof/>
              </w:rPr>
              <w:t>Global action</w:t>
            </w:r>
            <w:r w:rsidR="005736C7">
              <w:rPr>
                <w:noProof/>
                <w:webHidden/>
              </w:rPr>
              <w:tab/>
            </w:r>
            <w:r w:rsidR="005736C7">
              <w:rPr>
                <w:noProof/>
                <w:webHidden/>
              </w:rPr>
              <w:fldChar w:fldCharType="begin"/>
            </w:r>
            <w:r w:rsidR="005736C7">
              <w:rPr>
                <w:noProof/>
                <w:webHidden/>
              </w:rPr>
              <w:instrText xml:space="preserve"> PAGEREF _Toc531264921 \h </w:instrText>
            </w:r>
            <w:r w:rsidR="005736C7">
              <w:rPr>
                <w:noProof/>
                <w:webHidden/>
              </w:rPr>
            </w:r>
            <w:r w:rsidR="005736C7">
              <w:rPr>
                <w:noProof/>
                <w:webHidden/>
              </w:rPr>
              <w:fldChar w:fldCharType="separate"/>
            </w:r>
            <w:r w:rsidR="005736C7">
              <w:rPr>
                <w:noProof/>
                <w:webHidden/>
              </w:rPr>
              <w:t>36</w:t>
            </w:r>
            <w:r w:rsidR="005736C7">
              <w:rPr>
                <w:noProof/>
                <w:webHidden/>
              </w:rPr>
              <w:fldChar w:fldCharType="end"/>
            </w:r>
          </w:hyperlink>
        </w:p>
        <w:p w14:paraId="5C81F22E" w14:textId="3D13DF67" w:rsidR="005736C7" w:rsidRDefault="00C4148C">
          <w:pPr>
            <w:pStyle w:val="TOC3"/>
            <w:tabs>
              <w:tab w:val="right" w:leader="dot" w:pos="9736"/>
            </w:tabs>
            <w:rPr>
              <w:rFonts w:eastAsiaTheme="minorEastAsia"/>
              <w:noProof/>
              <w:sz w:val="24"/>
              <w:szCs w:val="24"/>
              <w:lang w:val="en-US"/>
            </w:rPr>
          </w:pPr>
          <w:hyperlink w:anchor="_Toc531264922" w:history="1">
            <w:r w:rsidR="005736C7" w:rsidRPr="00827712">
              <w:rPr>
                <w:rStyle w:val="Hyperlink"/>
                <w:noProof/>
              </w:rPr>
              <w:t>Enhancing global knowledge exchange through education</w:t>
            </w:r>
            <w:r w:rsidR="005736C7">
              <w:rPr>
                <w:noProof/>
                <w:webHidden/>
              </w:rPr>
              <w:tab/>
            </w:r>
            <w:r w:rsidR="005736C7">
              <w:rPr>
                <w:noProof/>
                <w:webHidden/>
              </w:rPr>
              <w:fldChar w:fldCharType="begin"/>
            </w:r>
            <w:r w:rsidR="005736C7">
              <w:rPr>
                <w:noProof/>
                <w:webHidden/>
              </w:rPr>
              <w:instrText xml:space="preserve"> PAGEREF _Toc531264922 \h </w:instrText>
            </w:r>
            <w:r w:rsidR="005736C7">
              <w:rPr>
                <w:noProof/>
                <w:webHidden/>
              </w:rPr>
            </w:r>
            <w:r w:rsidR="005736C7">
              <w:rPr>
                <w:noProof/>
                <w:webHidden/>
              </w:rPr>
              <w:fldChar w:fldCharType="separate"/>
            </w:r>
            <w:r w:rsidR="005736C7">
              <w:rPr>
                <w:noProof/>
                <w:webHidden/>
              </w:rPr>
              <w:t>36</w:t>
            </w:r>
            <w:r w:rsidR="005736C7">
              <w:rPr>
                <w:noProof/>
                <w:webHidden/>
              </w:rPr>
              <w:fldChar w:fldCharType="end"/>
            </w:r>
          </w:hyperlink>
        </w:p>
        <w:p w14:paraId="0034B37E" w14:textId="7A84F631" w:rsidR="005736C7" w:rsidRDefault="00C4148C">
          <w:pPr>
            <w:pStyle w:val="TOC3"/>
            <w:tabs>
              <w:tab w:val="right" w:leader="dot" w:pos="9736"/>
            </w:tabs>
            <w:rPr>
              <w:rFonts w:eastAsiaTheme="minorEastAsia"/>
              <w:noProof/>
              <w:sz w:val="24"/>
              <w:szCs w:val="24"/>
              <w:lang w:val="en-US"/>
            </w:rPr>
          </w:pPr>
          <w:hyperlink w:anchor="_Toc531264923" w:history="1">
            <w:r w:rsidR="005736C7" w:rsidRPr="00827712">
              <w:rPr>
                <w:rStyle w:val="Hyperlink"/>
                <w:noProof/>
              </w:rPr>
              <w:t>Addressing violence, discrimination and harassment</w:t>
            </w:r>
            <w:r w:rsidR="005736C7">
              <w:rPr>
                <w:noProof/>
                <w:webHidden/>
              </w:rPr>
              <w:tab/>
            </w:r>
            <w:r w:rsidR="005736C7">
              <w:rPr>
                <w:noProof/>
                <w:webHidden/>
              </w:rPr>
              <w:fldChar w:fldCharType="begin"/>
            </w:r>
            <w:r w:rsidR="005736C7">
              <w:rPr>
                <w:noProof/>
                <w:webHidden/>
              </w:rPr>
              <w:instrText xml:space="preserve"> PAGEREF _Toc531264923 \h </w:instrText>
            </w:r>
            <w:r w:rsidR="005736C7">
              <w:rPr>
                <w:noProof/>
                <w:webHidden/>
              </w:rPr>
            </w:r>
            <w:r w:rsidR="005736C7">
              <w:rPr>
                <w:noProof/>
                <w:webHidden/>
              </w:rPr>
              <w:fldChar w:fldCharType="separate"/>
            </w:r>
            <w:r w:rsidR="005736C7">
              <w:rPr>
                <w:noProof/>
                <w:webHidden/>
              </w:rPr>
              <w:t>36</w:t>
            </w:r>
            <w:r w:rsidR="005736C7">
              <w:rPr>
                <w:noProof/>
                <w:webHidden/>
              </w:rPr>
              <w:fldChar w:fldCharType="end"/>
            </w:r>
          </w:hyperlink>
        </w:p>
        <w:p w14:paraId="00D6A804" w14:textId="527706E6" w:rsidR="005736C7" w:rsidRDefault="00C4148C">
          <w:pPr>
            <w:pStyle w:val="TOC3"/>
            <w:tabs>
              <w:tab w:val="right" w:leader="dot" w:pos="9736"/>
            </w:tabs>
            <w:rPr>
              <w:rFonts w:eastAsiaTheme="minorEastAsia"/>
              <w:noProof/>
              <w:sz w:val="24"/>
              <w:szCs w:val="24"/>
              <w:lang w:val="en-US"/>
            </w:rPr>
          </w:pPr>
          <w:hyperlink w:anchor="_Toc531264924" w:history="1">
            <w:r w:rsidR="005736C7" w:rsidRPr="00827712">
              <w:rPr>
                <w:rStyle w:val="Hyperlink"/>
                <w:noProof/>
              </w:rPr>
              <w:t>Leaving no one behind</w:t>
            </w:r>
            <w:r w:rsidR="005736C7">
              <w:rPr>
                <w:noProof/>
                <w:webHidden/>
              </w:rPr>
              <w:tab/>
            </w:r>
            <w:r w:rsidR="005736C7">
              <w:rPr>
                <w:noProof/>
                <w:webHidden/>
              </w:rPr>
              <w:fldChar w:fldCharType="begin"/>
            </w:r>
            <w:r w:rsidR="005736C7">
              <w:rPr>
                <w:noProof/>
                <w:webHidden/>
              </w:rPr>
              <w:instrText xml:space="preserve"> PAGEREF _Toc531264924 \h </w:instrText>
            </w:r>
            <w:r w:rsidR="005736C7">
              <w:rPr>
                <w:noProof/>
                <w:webHidden/>
              </w:rPr>
            </w:r>
            <w:r w:rsidR="005736C7">
              <w:rPr>
                <w:noProof/>
                <w:webHidden/>
              </w:rPr>
              <w:fldChar w:fldCharType="separate"/>
            </w:r>
            <w:r w:rsidR="005736C7">
              <w:rPr>
                <w:noProof/>
                <w:webHidden/>
              </w:rPr>
              <w:t>36</w:t>
            </w:r>
            <w:r w:rsidR="005736C7">
              <w:rPr>
                <w:noProof/>
                <w:webHidden/>
              </w:rPr>
              <w:fldChar w:fldCharType="end"/>
            </w:r>
          </w:hyperlink>
        </w:p>
        <w:p w14:paraId="45F8609E" w14:textId="2845519F" w:rsidR="005736C7" w:rsidRDefault="00C4148C">
          <w:pPr>
            <w:pStyle w:val="TOC3"/>
            <w:tabs>
              <w:tab w:val="right" w:leader="dot" w:pos="9736"/>
            </w:tabs>
            <w:rPr>
              <w:rFonts w:eastAsiaTheme="minorEastAsia"/>
              <w:noProof/>
              <w:sz w:val="24"/>
              <w:szCs w:val="24"/>
              <w:lang w:val="en-US"/>
            </w:rPr>
          </w:pPr>
          <w:hyperlink w:anchor="_Toc531264925" w:history="1">
            <w:r w:rsidR="005736C7" w:rsidRPr="00827712">
              <w:rPr>
                <w:rStyle w:val="Hyperlink"/>
                <w:noProof/>
              </w:rPr>
              <w:t>Inequality and human rights</w:t>
            </w:r>
            <w:r w:rsidR="005736C7">
              <w:rPr>
                <w:noProof/>
                <w:webHidden/>
              </w:rPr>
              <w:tab/>
            </w:r>
            <w:r w:rsidR="005736C7">
              <w:rPr>
                <w:noProof/>
                <w:webHidden/>
              </w:rPr>
              <w:fldChar w:fldCharType="begin"/>
            </w:r>
            <w:r w:rsidR="005736C7">
              <w:rPr>
                <w:noProof/>
                <w:webHidden/>
              </w:rPr>
              <w:instrText xml:space="preserve"> PAGEREF _Toc531264925 \h </w:instrText>
            </w:r>
            <w:r w:rsidR="005736C7">
              <w:rPr>
                <w:noProof/>
                <w:webHidden/>
              </w:rPr>
            </w:r>
            <w:r w:rsidR="005736C7">
              <w:rPr>
                <w:noProof/>
                <w:webHidden/>
              </w:rPr>
              <w:fldChar w:fldCharType="separate"/>
            </w:r>
            <w:r w:rsidR="005736C7">
              <w:rPr>
                <w:noProof/>
                <w:webHidden/>
              </w:rPr>
              <w:t>37</w:t>
            </w:r>
            <w:r w:rsidR="005736C7">
              <w:rPr>
                <w:noProof/>
                <w:webHidden/>
              </w:rPr>
              <w:fldChar w:fldCharType="end"/>
            </w:r>
          </w:hyperlink>
        </w:p>
        <w:p w14:paraId="649F7A54" w14:textId="5494D211" w:rsidR="005736C7" w:rsidRDefault="00C4148C">
          <w:pPr>
            <w:pStyle w:val="TOC2"/>
            <w:tabs>
              <w:tab w:val="right" w:leader="dot" w:pos="9736"/>
            </w:tabs>
            <w:rPr>
              <w:rFonts w:eastAsiaTheme="minorEastAsia"/>
              <w:noProof/>
              <w:sz w:val="24"/>
              <w:szCs w:val="24"/>
              <w:lang w:val="en-US"/>
            </w:rPr>
          </w:pPr>
          <w:hyperlink w:anchor="_Toc531264926" w:history="1">
            <w:r w:rsidR="005736C7" w:rsidRPr="00827712">
              <w:rPr>
                <w:rStyle w:val="Hyperlink"/>
                <w:noProof/>
              </w:rPr>
              <w:t>Australia in the Green Climate Fund</w:t>
            </w:r>
            <w:r w:rsidR="005736C7">
              <w:rPr>
                <w:noProof/>
                <w:webHidden/>
              </w:rPr>
              <w:tab/>
            </w:r>
            <w:r w:rsidR="005736C7">
              <w:rPr>
                <w:noProof/>
                <w:webHidden/>
              </w:rPr>
              <w:fldChar w:fldCharType="begin"/>
            </w:r>
            <w:r w:rsidR="005736C7">
              <w:rPr>
                <w:noProof/>
                <w:webHidden/>
              </w:rPr>
              <w:instrText xml:space="preserve"> PAGEREF _Toc531264926 \h </w:instrText>
            </w:r>
            <w:r w:rsidR="005736C7">
              <w:rPr>
                <w:noProof/>
                <w:webHidden/>
              </w:rPr>
            </w:r>
            <w:r w:rsidR="005736C7">
              <w:rPr>
                <w:noProof/>
                <w:webHidden/>
              </w:rPr>
              <w:fldChar w:fldCharType="separate"/>
            </w:r>
            <w:r w:rsidR="005736C7">
              <w:rPr>
                <w:noProof/>
                <w:webHidden/>
              </w:rPr>
              <w:t>37</w:t>
            </w:r>
            <w:r w:rsidR="005736C7">
              <w:rPr>
                <w:noProof/>
                <w:webHidden/>
              </w:rPr>
              <w:fldChar w:fldCharType="end"/>
            </w:r>
          </w:hyperlink>
        </w:p>
        <w:p w14:paraId="5524E160" w14:textId="5E08BA94" w:rsidR="005736C7" w:rsidRDefault="00C4148C">
          <w:pPr>
            <w:pStyle w:val="TOC3"/>
            <w:tabs>
              <w:tab w:val="right" w:leader="dot" w:pos="9736"/>
            </w:tabs>
            <w:rPr>
              <w:rFonts w:eastAsiaTheme="minorEastAsia"/>
              <w:noProof/>
              <w:sz w:val="24"/>
              <w:szCs w:val="24"/>
              <w:lang w:val="en-US"/>
            </w:rPr>
          </w:pPr>
          <w:hyperlink w:anchor="_Toc531264927" w:history="1">
            <w:r w:rsidR="005736C7" w:rsidRPr="00827712">
              <w:rPr>
                <w:rStyle w:val="Hyperlink"/>
                <w:noProof/>
              </w:rPr>
              <w:t>Sector wide engagement: Extractives</w:t>
            </w:r>
            <w:r w:rsidR="005736C7">
              <w:rPr>
                <w:noProof/>
                <w:webHidden/>
              </w:rPr>
              <w:tab/>
            </w:r>
            <w:r w:rsidR="005736C7">
              <w:rPr>
                <w:noProof/>
                <w:webHidden/>
              </w:rPr>
              <w:fldChar w:fldCharType="begin"/>
            </w:r>
            <w:r w:rsidR="005736C7">
              <w:rPr>
                <w:noProof/>
                <w:webHidden/>
              </w:rPr>
              <w:instrText xml:space="preserve"> PAGEREF _Toc531264927 \h </w:instrText>
            </w:r>
            <w:r w:rsidR="005736C7">
              <w:rPr>
                <w:noProof/>
                <w:webHidden/>
              </w:rPr>
            </w:r>
            <w:r w:rsidR="005736C7">
              <w:rPr>
                <w:noProof/>
                <w:webHidden/>
              </w:rPr>
              <w:fldChar w:fldCharType="separate"/>
            </w:r>
            <w:r w:rsidR="005736C7">
              <w:rPr>
                <w:noProof/>
                <w:webHidden/>
              </w:rPr>
              <w:t>37</w:t>
            </w:r>
            <w:r w:rsidR="005736C7">
              <w:rPr>
                <w:noProof/>
                <w:webHidden/>
              </w:rPr>
              <w:fldChar w:fldCharType="end"/>
            </w:r>
          </w:hyperlink>
        </w:p>
        <w:p w14:paraId="02E6F932" w14:textId="6038BF78" w:rsidR="005736C7" w:rsidRDefault="00C4148C">
          <w:pPr>
            <w:pStyle w:val="TOC3"/>
            <w:tabs>
              <w:tab w:val="right" w:leader="dot" w:pos="9736"/>
            </w:tabs>
            <w:rPr>
              <w:rFonts w:eastAsiaTheme="minorEastAsia"/>
              <w:noProof/>
              <w:sz w:val="24"/>
              <w:szCs w:val="24"/>
              <w:lang w:val="en-US"/>
            </w:rPr>
          </w:pPr>
          <w:hyperlink w:anchor="_Toc531264928" w:history="1">
            <w:r w:rsidR="005736C7" w:rsidRPr="00827712">
              <w:rPr>
                <w:rStyle w:val="Hyperlink"/>
                <w:noProof/>
              </w:rPr>
              <w:t>Data disaggregation</w:t>
            </w:r>
            <w:r w:rsidR="005736C7">
              <w:rPr>
                <w:noProof/>
                <w:webHidden/>
              </w:rPr>
              <w:tab/>
            </w:r>
            <w:r w:rsidR="005736C7">
              <w:rPr>
                <w:noProof/>
                <w:webHidden/>
              </w:rPr>
              <w:fldChar w:fldCharType="begin"/>
            </w:r>
            <w:r w:rsidR="005736C7">
              <w:rPr>
                <w:noProof/>
                <w:webHidden/>
              </w:rPr>
              <w:instrText xml:space="preserve"> PAGEREF _Toc531264928 \h </w:instrText>
            </w:r>
            <w:r w:rsidR="005736C7">
              <w:rPr>
                <w:noProof/>
                <w:webHidden/>
              </w:rPr>
            </w:r>
            <w:r w:rsidR="005736C7">
              <w:rPr>
                <w:noProof/>
                <w:webHidden/>
              </w:rPr>
              <w:fldChar w:fldCharType="separate"/>
            </w:r>
            <w:r w:rsidR="005736C7">
              <w:rPr>
                <w:noProof/>
                <w:webHidden/>
              </w:rPr>
              <w:t>38</w:t>
            </w:r>
            <w:r w:rsidR="005736C7">
              <w:rPr>
                <w:noProof/>
                <w:webHidden/>
              </w:rPr>
              <w:fldChar w:fldCharType="end"/>
            </w:r>
          </w:hyperlink>
        </w:p>
        <w:p w14:paraId="71F2940E" w14:textId="5D2D7170" w:rsidR="005736C7" w:rsidRDefault="00C4148C">
          <w:pPr>
            <w:pStyle w:val="TOC1"/>
            <w:rPr>
              <w:rFonts w:eastAsiaTheme="minorEastAsia"/>
              <w:noProof/>
              <w:sz w:val="24"/>
              <w:szCs w:val="24"/>
              <w:lang w:val="en-US"/>
            </w:rPr>
          </w:pPr>
          <w:hyperlink w:anchor="_Toc531264929" w:history="1">
            <w:r w:rsidR="005736C7" w:rsidRPr="00827712">
              <w:rPr>
                <w:rStyle w:val="Hyperlink"/>
                <w:noProof/>
              </w:rPr>
              <w:t>Bahrain</w:t>
            </w:r>
            <w:r w:rsidR="005736C7">
              <w:rPr>
                <w:noProof/>
                <w:webHidden/>
              </w:rPr>
              <w:tab/>
            </w:r>
            <w:r w:rsidR="005736C7">
              <w:rPr>
                <w:noProof/>
                <w:webHidden/>
              </w:rPr>
              <w:fldChar w:fldCharType="begin"/>
            </w:r>
            <w:r w:rsidR="005736C7">
              <w:rPr>
                <w:noProof/>
                <w:webHidden/>
              </w:rPr>
              <w:instrText xml:space="preserve"> PAGEREF _Toc531264929 \h </w:instrText>
            </w:r>
            <w:r w:rsidR="005736C7">
              <w:rPr>
                <w:noProof/>
                <w:webHidden/>
              </w:rPr>
            </w:r>
            <w:r w:rsidR="005736C7">
              <w:rPr>
                <w:noProof/>
                <w:webHidden/>
              </w:rPr>
              <w:fldChar w:fldCharType="separate"/>
            </w:r>
            <w:r w:rsidR="005736C7">
              <w:rPr>
                <w:noProof/>
                <w:webHidden/>
              </w:rPr>
              <w:t>38</w:t>
            </w:r>
            <w:r w:rsidR="005736C7">
              <w:rPr>
                <w:noProof/>
                <w:webHidden/>
              </w:rPr>
              <w:fldChar w:fldCharType="end"/>
            </w:r>
          </w:hyperlink>
        </w:p>
        <w:p w14:paraId="0226D354" w14:textId="166046A6" w:rsidR="005736C7" w:rsidRDefault="00C4148C">
          <w:pPr>
            <w:pStyle w:val="TOC1"/>
            <w:rPr>
              <w:rFonts w:eastAsiaTheme="minorEastAsia"/>
              <w:noProof/>
              <w:sz w:val="24"/>
              <w:szCs w:val="24"/>
              <w:lang w:val="en-US"/>
            </w:rPr>
          </w:pPr>
          <w:hyperlink w:anchor="_Toc531264930" w:history="1">
            <w:r w:rsidR="005736C7" w:rsidRPr="00827712">
              <w:rPr>
                <w:rStyle w:val="Hyperlink"/>
                <w:noProof/>
              </w:rPr>
              <w:t>Bhutan</w:t>
            </w:r>
            <w:r w:rsidR="005736C7">
              <w:rPr>
                <w:noProof/>
                <w:webHidden/>
              </w:rPr>
              <w:tab/>
            </w:r>
            <w:r w:rsidR="005736C7">
              <w:rPr>
                <w:noProof/>
                <w:webHidden/>
              </w:rPr>
              <w:fldChar w:fldCharType="begin"/>
            </w:r>
            <w:r w:rsidR="005736C7">
              <w:rPr>
                <w:noProof/>
                <w:webHidden/>
              </w:rPr>
              <w:instrText xml:space="preserve"> PAGEREF _Toc531264930 \h </w:instrText>
            </w:r>
            <w:r w:rsidR="005736C7">
              <w:rPr>
                <w:noProof/>
                <w:webHidden/>
              </w:rPr>
            </w:r>
            <w:r w:rsidR="005736C7">
              <w:rPr>
                <w:noProof/>
                <w:webHidden/>
              </w:rPr>
              <w:fldChar w:fldCharType="separate"/>
            </w:r>
            <w:r w:rsidR="005736C7">
              <w:rPr>
                <w:noProof/>
                <w:webHidden/>
              </w:rPr>
              <w:t>38</w:t>
            </w:r>
            <w:r w:rsidR="005736C7">
              <w:rPr>
                <w:noProof/>
                <w:webHidden/>
              </w:rPr>
              <w:fldChar w:fldCharType="end"/>
            </w:r>
          </w:hyperlink>
        </w:p>
        <w:p w14:paraId="2685F9D6" w14:textId="71E6A238" w:rsidR="005736C7" w:rsidRDefault="00C4148C">
          <w:pPr>
            <w:pStyle w:val="TOC1"/>
            <w:rPr>
              <w:rFonts w:eastAsiaTheme="minorEastAsia"/>
              <w:noProof/>
              <w:sz w:val="24"/>
              <w:szCs w:val="24"/>
              <w:lang w:val="en-US"/>
            </w:rPr>
          </w:pPr>
          <w:hyperlink w:anchor="_Toc531264931" w:history="1">
            <w:r w:rsidR="005736C7" w:rsidRPr="00827712">
              <w:rPr>
                <w:rStyle w:val="Hyperlink"/>
                <w:noProof/>
              </w:rPr>
              <w:t>Cabo Verde</w:t>
            </w:r>
            <w:r w:rsidR="005736C7">
              <w:rPr>
                <w:noProof/>
                <w:webHidden/>
              </w:rPr>
              <w:tab/>
            </w:r>
            <w:r w:rsidR="005736C7">
              <w:rPr>
                <w:noProof/>
                <w:webHidden/>
              </w:rPr>
              <w:fldChar w:fldCharType="begin"/>
            </w:r>
            <w:r w:rsidR="005736C7">
              <w:rPr>
                <w:noProof/>
                <w:webHidden/>
              </w:rPr>
              <w:instrText xml:space="preserve"> PAGEREF _Toc531264931 \h </w:instrText>
            </w:r>
            <w:r w:rsidR="005736C7">
              <w:rPr>
                <w:noProof/>
                <w:webHidden/>
              </w:rPr>
            </w:r>
            <w:r w:rsidR="005736C7">
              <w:rPr>
                <w:noProof/>
                <w:webHidden/>
              </w:rPr>
              <w:fldChar w:fldCharType="separate"/>
            </w:r>
            <w:r w:rsidR="005736C7">
              <w:rPr>
                <w:noProof/>
                <w:webHidden/>
              </w:rPr>
              <w:t>39</w:t>
            </w:r>
            <w:r w:rsidR="005736C7">
              <w:rPr>
                <w:noProof/>
                <w:webHidden/>
              </w:rPr>
              <w:fldChar w:fldCharType="end"/>
            </w:r>
          </w:hyperlink>
        </w:p>
        <w:p w14:paraId="7CCE42AF" w14:textId="23D0ACCA" w:rsidR="005736C7" w:rsidRDefault="00C4148C">
          <w:pPr>
            <w:pStyle w:val="TOC2"/>
            <w:tabs>
              <w:tab w:val="right" w:leader="dot" w:pos="9736"/>
            </w:tabs>
            <w:rPr>
              <w:rFonts w:eastAsiaTheme="minorEastAsia"/>
              <w:noProof/>
              <w:sz w:val="24"/>
              <w:szCs w:val="24"/>
              <w:lang w:val="en-US"/>
            </w:rPr>
          </w:pPr>
          <w:hyperlink w:anchor="_Toc531264932" w:history="1">
            <w:r w:rsidR="005736C7" w:rsidRPr="00827712">
              <w:rPr>
                <w:rStyle w:val="Hyperlink"/>
                <w:noProof/>
              </w:rPr>
              <w:t>Families with problems of access to piped water or electricity</w:t>
            </w:r>
            <w:r w:rsidR="005736C7">
              <w:rPr>
                <w:noProof/>
                <w:webHidden/>
              </w:rPr>
              <w:tab/>
            </w:r>
            <w:r w:rsidR="005736C7">
              <w:rPr>
                <w:noProof/>
                <w:webHidden/>
              </w:rPr>
              <w:fldChar w:fldCharType="begin"/>
            </w:r>
            <w:r w:rsidR="005736C7">
              <w:rPr>
                <w:noProof/>
                <w:webHidden/>
              </w:rPr>
              <w:instrText xml:space="preserve"> PAGEREF _Toc531264932 \h </w:instrText>
            </w:r>
            <w:r w:rsidR="005736C7">
              <w:rPr>
                <w:noProof/>
                <w:webHidden/>
              </w:rPr>
            </w:r>
            <w:r w:rsidR="005736C7">
              <w:rPr>
                <w:noProof/>
                <w:webHidden/>
              </w:rPr>
              <w:fldChar w:fldCharType="separate"/>
            </w:r>
            <w:r w:rsidR="005736C7">
              <w:rPr>
                <w:noProof/>
                <w:webHidden/>
              </w:rPr>
              <w:t>40</w:t>
            </w:r>
            <w:r w:rsidR="005736C7">
              <w:rPr>
                <w:noProof/>
                <w:webHidden/>
              </w:rPr>
              <w:fldChar w:fldCharType="end"/>
            </w:r>
          </w:hyperlink>
        </w:p>
        <w:p w14:paraId="0FE13068" w14:textId="07FC53F9" w:rsidR="005736C7" w:rsidRDefault="00C4148C">
          <w:pPr>
            <w:pStyle w:val="TOC1"/>
            <w:rPr>
              <w:rFonts w:eastAsiaTheme="minorEastAsia"/>
              <w:noProof/>
              <w:sz w:val="24"/>
              <w:szCs w:val="24"/>
              <w:lang w:val="en-US"/>
            </w:rPr>
          </w:pPr>
          <w:hyperlink w:anchor="_Toc531264933" w:history="1">
            <w:r w:rsidR="005736C7" w:rsidRPr="00827712">
              <w:rPr>
                <w:rStyle w:val="Hyperlink"/>
                <w:noProof/>
              </w:rPr>
              <w:t>Egypt</w:t>
            </w:r>
            <w:r w:rsidR="005736C7">
              <w:rPr>
                <w:noProof/>
                <w:webHidden/>
              </w:rPr>
              <w:tab/>
            </w:r>
            <w:r w:rsidR="005736C7">
              <w:rPr>
                <w:noProof/>
                <w:webHidden/>
              </w:rPr>
              <w:fldChar w:fldCharType="begin"/>
            </w:r>
            <w:r w:rsidR="005736C7">
              <w:rPr>
                <w:noProof/>
                <w:webHidden/>
              </w:rPr>
              <w:instrText xml:space="preserve"> PAGEREF _Toc531264933 \h </w:instrText>
            </w:r>
            <w:r w:rsidR="005736C7">
              <w:rPr>
                <w:noProof/>
                <w:webHidden/>
              </w:rPr>
            </w:r>
            <w:r w:rsidR="005736C7">
              <w:rPr>
                <w:noProof/>
                <w:webHidden/>
              </w:rPr>
              <w:fldChar w:fldCharType="separate"/>
            </w:r>
            <w:r w:rsidR="005736C7">
              <w:rPr>
                <w:noProof/>
                <w:webHidden/>
              </w:rPr>
              <w:t>41</w:t>
            </w:r>
            <w:r w:rsidR="005736C7">
              <w:rPr>
                <w:noProof/>
                <w:webHidden/>
              </w:rPr>
              <w:fldChar w:fldCharType="end"/>
            </w:r>
          </w:hyperlink>
        </w:p>
        <w:p w14:paraId="4D0AD0EF" w14:textId="79ED338E" w:rsidR="005736C7" w:rsidRDefault="00C4148C">
          <w:pPr>
            <w:pStyle w:val="TOC2"/>
            <w:tabs>
              <w:tab w:val="right" w:leader="dot" w:pos="9736"/>
            </w:tabs>
            <w:rPr>
              <w:rFonts w:eastAsiaTheme="minorEastAsia"/>
              <w:noProof/>
              <w:sz w:val="24"/>
              <w:szCs w:val="24"/>
              <w:lang w:val="en-US"/>
            </w:rPr>
          </w:pPr>
          <w:hyperlink w:anchor="_Toc531264934" w:history="1">
            <w:r w:rsidR="005736C7" w:rsidRPr="00827712">
              <w:rPr>
                <w:rStyle w:val="Hyperlink"/>
                <w:noProof/>
              </w:rPr>
              <w:t>Protection, rehabilitation and empowerment of people with disabilities</w:t>
            </w:r>
            <w:r w:rsidR="005736C7">
              <w:rPr>
                <w:noProof/>
                <w:webHidden/>
              </w:rPr>
              <w:tab/>
            </w:r>
            <w:r w:rsidR="005736C7">
              <w:rPr>
                <w:noProof/>
                <w:webHidden/>
              </w:rPr>
              <w:fldChar w:fldCharType="begin"/>
            </w:r>
            <w:r w:rsidR="005736C7">
              <w:rPr>
                <w:noProof/>
                <w:webHidden/>
              </w:rPr>
              <w:instrText xml:space="preserve"> PAGEREF _Toc531264934 \h </w:instrText>
            </w:r>
            <w:r w:rsidR="005736C7">
              <w:rPr>
                <w:noProof/>
                <w:webHidden/>
              </w:rPr>
            </w:r>
            <w:r w:rsidR="005736C7">
              <w:rPr>
                <w:noProof/>
                <w:webHidden/>
              </w:rPr>
              <w:fldChar w:fldCharType="separate"/>
            </w:r>
            <w:r w:rsidR="005736C7">
              <w:rPr>
                <w:noProof/>
                <w:webHidden/>
              </w:rPr>
              <w:t>42</w:t>
            </w:r>
            <w:r w:rsidR="005736C7">
              <w:rPr>
                <w:noProof/>
                <w:webHidden/>
              </w:rPr>
              <w:fldChar w:fldCharType="end"/>
            </w:r>
          </w:hyperlink>
        </w:p>
        <w:p w14:paraId="32FE41C8" w14:textId="56698C11" w:rsidR="005736C7" w:rsidRDefault="00C4148C">
          <w:pPr>
            <w:pStyle w:val="TOC2"/>
            <w:tabs>
              <w:tab w:val="right" w:leader="dot" w:pos="9736"/>
            </w:tabs>
            <w:rPr>
              <w:rFonts w:eastAsiaTheme="minorEastAsia"/>
              <w:noProof/>
              <w:sz w:val="24"/>
              <w:szCs w:val="24"/>
              <w:lang w:val="en-US"/>
            </w:rPr>
          </w:pPr>
          <w:hyperlink w:anchor="_Toc531264935" w:history="1">
            <w:r w:rsidR="005736C7" w:rsidRPr="00827712">
              <w:rPr>
                <w:rStyle w:val="Hyperlink"/>
                <w:noProof/>
              </w:rPr>
              <w:t>Corporate social responsibility(CSR) allocated to provide health services</w:t>
            </w:r>
            <w:r w:rsidR="005736C7">
              <w:rPr>
                <w:noProof/>
                <w:webHidden/>
              </w:rPr>
              <w:tab/>
            </w:r>
            <w:r w:rsidR="005736C7">
              <w:rPr>
                <w:noProof/>
                <w:webHidden/>
              </w:rPr>
              <w:fldChar w:fldCharType="begin"/>
            </w:r>
            <w:r w:rsidR="005736C7">
              <w:rPr>
                <w:noProof/>
                <w:webHidden/>
              </w:rPr>
              <w:instrText xml:space="preserve"> PAGEREF _Toc531264935 \h </w:instrText>
            </w:r>
            <w:r w:rsidR="005736C7">
              <w:rPr>
                <w:noProof/>
                <w:webHidden/>
              </w:rPr>
            </w:r>
            <w:r w:rsidR="005736C7">
              <w:rPr>
                <w:noProof/>
                <w:webHidden/>
              </w:rPr>
              <w:fldChar w:fldCharType="separate"/>
            </w:r>
            <w:r w:rsidR="005736C7">
              <w:rPr>
                <w:noProof/>
                <w:webHidden/>
              </w:rPr>
              <w:t>43</w:t>
            </w:r>
            <w:r w:rsidR="005736C7">
              <w:rPr>
                <w:noProof/>
                <w:webHidden/>
              </w:rPr>
              <w:fldChar w:fldCharType="end"/>
            </w:r>
          </w:hyperlink>
        </w:p>
        <w:p w14:paraId="5F2E7124" w14:textId="5B117F78" w:rsidR="005736C7" w:rsidRDefault="00C4148C">
          <w:pPr>
            <w:pStyle w:val="TOC2"/>
            <w:tabs>
              <w:tab w:val="right" w:leader="dot" w:pos="9736"/>
            </w:tabs>
            <w:rPr>
              <w:rFonts w:eastAsiaTheme="minorEastAsia"/>
              <w:noProof/>
              <w:sz w:val="24"/>
              <w:szCs w:val="24"/>
              <w:lang w:val="en-US"/>
            </w:rPr>
          </w:pPr>
          <w:hyperlink w:anchor="_Toc531264936" w:history="1">
            <w:r w:rsidR="005736C7" w:rsidRPr="00827712">
              <w:rPr>
                <w:rStyle w:val="Hyperlink"/>
                <w:noProof/>
              </w:rPr>
              <w:t>Data</w:t>
            </w:r>
            <w:r w:rsidR="005736C7">
              <w:rPr>
                <w:noProof/>
                <w:webHidden/>
              </w:rPr>
              <w:tab/>
            </w:r>
            <w:r w:rsidR="005736C7">
              <w:rPr>
                <w:noProof/>
                <w:webHidden/>
              </w:rPr>
              <w:fldChar w:fldCharType="begin"/>
            </w:r>
            <w:r w:rsidR="005736C7">
              <w:rPr>
                <w:noProof/>
                <w:webHidden/>
              </w:rPr>
              <w:instrText xml:space="preserve"> PAGEREF _Toc531264936 \h </w:instrText>
            </w:r>
            <w:r w:rsidR="005736C7">
              <w:rPr>
                <w:noProof/>
                <w:webHidden/>
              </w:rPr>
            </w:r>
            <w:r w:rsidR="005736C7">
              <w:rPr>
                <w:noProof/>
                <w:webHidden/>
              </w:rPr>
              <w:fldChar w:fldCharType="separate"/>
            </w:r>
            <w:r w:rsidR="005736C7">
              <w:rPr>
                <w:noProof/>
                <w:webHidden/>
              </w:rPr>
              <w:t>43</w:t>
            </w:r>
            <w:r w:rsidR="005736C7">
              <w:rPr>
                <w:noProof/>
                <w:webHidden/>
              </w:rPr>
              <w:fldChar w:fldCharType="end"/>
            </w:r>
          </w:hyperlink>
        </w:p>
        <w:p w14:paraId="13B769F7" w14:textId="6579D803" w:rsidR="005736C7" w:rsidRDefault="00C4148C">
          <w:pPr>
            <w:pStyle w:val="TOC1"/>
            <w:rPr>
              <w:rFonts w:eastAsiaTheme="minorEastAsia"/>
              <w:noProof/>
              <w:sz w:val="24"/>
              <w:szCs w:val="24"/>
              <w:lang w:val="en-US"/>
            </w:rPr>
          </w:pPr>
          <w:hyperlink w:anchor="_Toc531264937" w:history="1">
            <w:r w:rsidR="005736C7" w:rsidRPr="00827712">
              <w:rPr>
                <w:rStyle w:val="Hyperlink"/>
                <w:noProof/>
              </w:rPr>
              <w:t>Greece</w:t>
            </w:r>
            <w:r w:rsidR="005736C7">
              <w:rPr>
                <w:noProof/>
                <w:webHidden/>
              </w:rPr>
              <w:tab/>
            </w:r>
            <w:r w:rsidR="005736C7">
              <w:rPr>
                <w:noProof/>
                <w:webHidden/>
              </w:rPr>
              <w:fldChar w:fldCharType="begin"/>
            </w:r>
            <w:r w:rsidR="005736C7">
              <w:rPr>
                <w:noProof/>
                <w:webHidden/>
              </w:rPr>
              <w:instrText xml:space="preserve"> PAGEREF _Toc531264937 \h </w:instrText>
            </w:r>
            <w:r w:rsidR="005736C7">
              <w:rPr>
                <w:noProof/>
                <w:webHidden/>
              </w:rPr>
            </w:r>
            <w:r w:rsidR="005736C7">
              <w:rPr>
                <w:noProof/>
                <w:webHidden/>
              </w:rPr>
              <w:fldChar w:fldCharType="separate"/>
            </w:r>
            <w:r w:rsidR="005736C7">
              <w:rPr>
                <w:noProof/>
                <w:webHidden/>
              </w:rPr>
              <w:t>43</w:t>
            </w:r>
            <w:r w:rsidR="005736C7">
              <w:rPr>
                <w:noProof/>
                <w:webHidden/>
              </w:rPr>
              <w:fldChar w:fldCharType="end"/>
            </w:r>
          </w:hyperlink>
        </w:p>
        <w:p w14:paraId="7E68F42E" w14:textId="5858416E" w:rsidR="005736C7" w:rsidRDefault="00C4148C">
          <w:pPr>
            <w:pStyle w:val="TOC2"/>
            <w:tabs>
              <w:tab w:val="right" w:leader="dot" w:pos="9736"/>
            </w:tabs>
            <w:rPr>
              <w:rFonts w:eastAsiaTheme="minorEastAsia"/>
              <w:noProof/>
              <w:sz w:val="24"/>
              <w:szCs w:val="24"/>
              <w:lang w:val="en-US"/>
            </w:rPr>
          </w:pPr>
          <w:hyperlink w:anchor="_Toc531264938" w:history="1">
            <w:r w:rsidR="005736C7" w:rsidRPr="00827712">
              <w:rPr>
                <w:rStyle w:val="Hyperlink"/>
                <w:noProof/>
              </w:rPr>
              <w:t>Job guarantee programme in the private sector</w:t>
            </w:r>
            <w:r w:rsidR="005736C7">
              <w:rPr>
                <w:noProof/>
                <w:webHidden/>
              </w:rPr>
              <w:tab/>
            </w:r>
            <w:r w:rsidR="005736C7">
              <w:rPr>
                <w:noProof/>
                <w:webHidden/>
              </w:rPr>
              <w:fldChar w:fldCharType="begin"/>
            </w:r>
            <w:r w:rsidR="005736C7">
              <w:rPr>
                <w:noProof/>
                <w:webHidden/>
              </w:rPr>
              <w:instrText xml:space="preserve"> PAGEREF _Toc531264938 \h </w:instrText>
            </w:r>
            <w:r w:rsidR="005736C7">
              <w:rPr>
                <w:noProof/>
                <w:webHidden/>
              </w:rPr>
            </w:r>
            <w:r w:rsidR="005736C7">
              <w:rPr>
                <w:noProof/>
                <w:webHidden/>
              </w:rPr>
              <w:fldChar w:fldCharType="separate"/>
            </w:r>
            <w:r w:rsidR="005736C7">
              <w:rPr>
                <w:noProof/>
                <w:webHidden/>
              </w:rPr>
              <w:t>44</w:t>
            </w:r>
            <w:r w:rsidR="005736C7">
              <w:rPr>
                <w:noProof/>
                <w:webHidden/>
              </w:rPr>
              <w:fldChar w:fldCharType="end"/>
            </w:r>
          </w:hyperlink>
        </w:p>
        <w:p w14:paraId="1B6C858B" w14:textId="2EE1BF7F" w:rsidR="005736C7" w:rsidRDefault="00C4148C">
          <w:pPr>
            <w:pStyle w:val="TOC1"/>
            <w:rPr>
              <w:rFonts w:eastAsiaTheme="minorEastAsia"/>
              <w:noProof/>
              <w:sz w:val="24"/>
              <w:szCs w:val="24"/>
              <w:lang w:val="en-US"/>
            </w:rPr>
          </w:pPr>
          <w:hyperlink w:anchor="_Toc531264939" w:history="1">
            <w:r w:rsidR="005736C7" w:rsidRPr="00827712">
              <w:rPr>
                <w:rStyle w:val="Hyperlink"/>
                <w:rFonts w:eastAsia="Times New Roman"/>
                <w:noProof/>
                <w:lang w:eastAsia="en-GB"/>
              </w:rPr>
              <w:t>Ireland</w:t>
            </w:r>
            <w:r w:rsidR="005736C7">
              <w:rPr>
                <w:noProof/>
                <w:webHidden/>
              </w:rPr>
              <w:tab/>
            </w:r>
            <w:r w:rsidR="005736C7">
              <w:rPr>
                <w:noProof/>
                <w:webHidden/>
              </w:rPr>
              <w:fldChar w:fldCharType="begin"/>
            </w:r>
            <w:r w:rsidR="005736C7">
              <w:rPr>
                <w:noProof/>
                <w:webHidden/>
              </w:rPr>
              <w:instrText xml:space="preserve"> PAGEREF _Toc531264939 \h </w:instrText>
            </w:r>
            <w:r w:rsidR="005736C7">
              <w:rPr>
                <w:noProof/>
                <w:webHidden/>
              </w:rPr>
            </w:r>
            <w:r w:rsidR="005736C7">
              <w:rPr>
                <w:noProof/>
                <w:webHidden/>
              </w:rPr>
              <w:fldChar w:fldCharType="separate"/>
            </w:r>
            <w:r w:rsidR="005736C7">
              <w:rPr>
                <w:noProof/>
                <w:webHidden/>
              </w:rPr>
              <w:t>46</w:t>
            </w:r>
            <w:r w:rsidR="005736C7">
              <w:rPr>
                <w:noProof/>
                <w:webHidden/>
              </w:rPr>
              <w:fldChar w:fldCharType="end"/>
            </w:r>
          </w:hyperlink>
        </w:p>
        <w:p w14:paraId="2D4BF0A7" w14:textId="3041EA48" w:rsidR="005736C7" w:rsidRDefault="00C4148C">
          <w:pPr>
            <w:pStyle w:val="TOC1"/>
            <w:rPr>
              <w:rFonts w:eastAsiaTheme="minorEastAsia"/>
              <w:noProof/>
              <w:sz w:val="24"/>
              <w:szCs w:val="24"/>
              <w:lang w:val="en-US"/>
            </w:rPr>
          </w:pPr>
          <w:hyperlink w:anchor="_Toc531264940" w:history="1">
            <w:r w:rsidR="005736C7" w:rsidRPr="00827712">
              <w:rPr>
                <w:rStyle w:val="Hyperlink"/>
                <w:noProof/>
              </w:rPr>
              <w:t>Jamaica</w:t>
            </w:r>
            <w:r w:rsidR="005736C7">
              <w:rPr>
                <w:noProof/>
                <w:webHidden/>
              </w:rPr>
              <w:tab/>
            </w:r>
            <w:r w:rsidR="005736C7">
              <w:rPr>
                <w:noProof/>
                <w:webHidden/>
              </w:rPr>
              <w:fldChar w:fldCharType="begin"/>
            </w:r>
            <w:r w:rsidR="005736C7">
              <w:rPr>
                <w:noProof/>
                <w:webHidden/>
              </w:rPr>
              <w:instrText xml:space="preserve"> PAGEREF _Toc531264940 \h </w:instrText>
            </w:r>
            <w:r w:rsidR="005736C7">
              <w:rPr>
                <w:noProof/>
                <w:webHidden/>
              </w:rPr>
            </w:r>
            <w:r w:rsidR="005736C7">
              <w:rPr>
                <w:noProof/>
                <w:webHidden/>
              </w:rPr>
              <w:fldChar w:fldCharType="separate"/>
            </w:r>
            <w:r w:rsidR="005736C7">
              <w:rPr>
                <w:noProof/>
                <w:webHidden/>
              </w:rPr>
              <w:t>47</w:t>
            </w:r>
            <w:r w:rsidR="005736C7">
              <w:rPr>
                <w:noProof/>
                <w:webHidden/>
              </w:rPr>
              <w:fldChar w:fldCharType="end"/>
            </w:r>
          </w:hyperlink>
        </w:p>
        <w:p w14:paraId="555BF143" w14:textId="532DEBA8" w:rsidR="005736C7" w:rsidRDefault="00C4148C">
          <w:pPr>
            <w:pStyle w:val="TOC2"/>
            <w:tabs>
              <w:tab w:val="right" w:leader="dot" w:pos="9736"/>
            </w:tabs>
            <w:rPr>
              <w:rFonts w:eastAsiaTheme="minorEastAsia"/>
              <w:noProof/>
              <w:sz w:val="24"/>
              <w:szCs w:val="24"/>
              <w:lang w:val="en-US"/>
            </w:rPr>
          </w:pPr>
          <w:hyperlink w:anchor="_Toc531264941" w:history="1">
            <w:r w:rsidR="005736C7" w:rsidRPr="00827712">
              <w:rPr>
                <w:rStyle w:val="Hyperlink"/>
                <w:noProof/>
              </w:rPr>
              <w:t>Inclusiveness and stakeholder participation</w:t>
            </w:r>
            <w:r w:rsidR="005736C7">
              <w:rPr>
                <w:noProof/>
                <w:webHidden/>
              </w:rPr>
              <w:tab/>
            </w:r>
            <w:r w:rsidR="005736C7">
              <w:rPr>
                <w:noProof/>
                <w:webHidden/>
              </w:rPr>
              <w:fldChar w:fldCharType="begin"/>
            </w:r>
            <w:r w:rsidR="005736C7">
              <w:rPr>
                <w:noProof/>
                <w:webHidden/>
              </w:rPr>
              <w:instrText xml:space="preserve"> PAGEREF _Toc531264941 \h </w:instrText>
            </w:r>
            <w:r w:rsidR="005736C7">
              <w:rPr>
                <w:noProof/>
                <w:webHidden/>
              </w:rPr>
            </w:r>
            <w:r w:rsidR="005736C7">
              <w:rPr>
                <w:noProof/>
                <w:webHidden/>
              </w:rPr>
              <w:fldChar w:fldCharType="separate"/>
            </w:r>
            <w:r w:rsidR="005736C7">
              <w:rPr>
                <w:noProof/>
                <w:webHidden/>
              </w:rPr>
              <w:t>47</w:t>
            </w:r>
            <w:r w:rsidR="005736C7">
              <w:rPr>
                <w:noProof/>
                <w:webHidden/>
              </w:rPr>
              <w:fldChar w:fldCharType="end"/>
            </w:r>
          </w:hyperlink>
        </w:p>
        <w:p w14:paraId="434372D4" w14:textId="6AA33BF7" w:rsidR="005736C7" w:rsidRDefault="00C4148C">
          <w:pPr>
            <w:pStyle w:val="TOC1"/>
            <w:rPr>
              <w:rFonts w:eastAsiaTheme="minorEastAsia"/>
              <w:noProof/>
              <w:sz w:val="24"/>
              <w:szCs w:val="24"/>
              <w:lang w:val="en-US"/>
            </w:rPr>
          </w:pPr>
          <w:hyperlink w:anchor="_Toc531264942" w:history="1">
            <w:r w:rsidR="005736C7" w:rsidRPr="00827712">
              <w:rPr>
                <w:rStyle w:val="Hyperlink"/>
                <w:rFonts w:eastAsia="Times New Roman"/>
                <w:noProof/>
                <w:lang w:eastAsia="en-GB"/>
              </w:rPr>
              <w:t>Lao PDR</w:t>
            </w:r>
            <w:r w:rsidR="005736C7">
              <w:rPr>
                <w:noProof/>
                <w:webHidden/>
              </w:rPr>
              <w:tab/>
            </w:r>
            <w:r w:rsidR="005736C7">
              <w:rPr>
                <w:noProof/>
                <w:webHidden/>
              </w:rPr>
              <w:fldChar w:fldCharType="begin"/>
            </w:r>
            <w:r w:rsidR="005736C7">
              <w:rPr>
                <w:noProof/>
                <w:webHidden/>
              </w:rPr>
              <w:instrText xml:space="preserve"> PAGEREF _Toc531264942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0D99008A" w14:textId="2653BA41" w:rsidR="005736C7" w:rsidRDefault="00C4148C">
          <w:pPr>
            <w:pStyle w:val="TOC2"/>
            <w:tabs>
              <w:tab w:val="right" w:leader="dot" w:pos="9736"/>
            </w:tabs>
            <w:rPr>
              <w:rFonts w:eastAsiaTheme="minorEastAsia"/>
              <w:noProof/>
              <w:sz w:val="24"/>
              <w:szCs w:val="24"/>
              <w:lang w:val="en-US"/>
            </w:rPr>
          </w:pPr>
          <w:hyperlink w:anchor="_Toc531264943" w:history="1">
            <w:r w:rsidR="005736C7" w:rsidRPr="00827712">
              <w:rPr>
                <w:rStyle w:val="Hyperlink"/>
                <w:noProof/>
                <w:lang w:eastAsia="en-GB"/>
              </w:rPr>
              <w:t>People with disabilities are another vulnerable group</w:t>
            </w:r>
            <w:r w:rsidR="005736C7">
              <w:rPr>
                <w:noProof/>
                <w:webHidden/>
              </w:rPr>
              <w:tab/>
            </w:r>
            <w:r w:rsidR="005736C7">
              <w:rPr>
                <w:noProof/>
                <w:webHidden/>
              </w:rPr>
              <w:fldChar w:fldCharType="begin"/>
            </w:r>
            <w:r w:rsidR="005736C7">
              <w:rPr>
                <w:noProof/>
                <w:webHidden/>
              </w:rPr>
              <w:instrText xml:space="preserve"> PAGEREF _Toc531264943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41B67996" w14:textId="0BD122FC" w:rsidR="005736C7" w:rsidRDefault="00C4148C">
          <w:pPr>
            <w:pStyle w:val="TOC2"/>
            <w:tabs>
              <w:tab w:val="right" w:leader="dot" w:pos="9736"/>
            </w:tabs>
            <w:rPr>
              <w:rFonts w:eastAsiaTheme="minorEastAsia"/>
              <w:noProof/>
              <w:sz w:val="24"/>
              <w:szCs w:val="24"/>
              <w:lang w:val="en-US"/>
            </w:rPr>
          </w:pPr>
          <w:hyperlink w:anchor="_Toc531264944" w:history="1">
            <w:r w:rsidR="005736C7" w:rsidRPr="00827712">
              <w:rPr>
                <w:rStyle w:val="Hyperlink"/>
                <w:noProof/>
              </w:rPr>
              <w:t>Measurement issues</w:t>
            </w:r>
            <w:r w:rsidR="005736C7">
              <w:rPr>
                <w:noProof/>
                <w:webHidden/>
              </w:rPr>
              <w:tab/>
            </w:r>
            <w:r w:rsidR="005736C7">
              <w:rPr>
                <w:noProof/>
                <w:webHidden/>
              </w:rPr>
              <w:fldChar w:fldCharType="begin"/>
            </w:r>
            <w:r w:rsidR="005736C7">
              <w:rPr>
                <w:noProof/>
                <w:webHidden/>
              </w:rPr>
              <w:instrText xml:space="preserve"> PAGEREF _Toc531264944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106345F6" w14:textId="040B05DB" w:rsidR="005736C7" w:rsidRDefault="00C4148C">
          <w:pPr>
            <w:pStyle w:val="TOC2"/>
            <w:tabs>
              <w:tab w:val="right" w:leader="dot" w:pos="9736"/>
            </w:tabs>
            <w:rPr>
              <w:rFonts w:eastAsiaTheme="minorEastAsia"/>
              <w:noProof/>
              <w:sz w:val="24"/>
              <w:szCs w:val="24"/>
              <w:lang w:val="en-US"/>
            </w:rPr>
          </w:pPr>
          <w:hyperlink w:anchor="_Toc531264945" w:history="1">
            <w:r w:rsidR="005736C7" w:rsidRPr="00827712">
              <w:rPr>
                <w:rStyle w:val="Hyperlink"/>
                <w:noProof/>
              </w:rPr>
              <w:t>Disaggregation of data by sex and age has improved but is still inconsistent</w:t>
            </w:r>
            <w:r w:rsidR="005736C7">
              <w:rPr>
                <w:noProof/>
                <w:webHidden/>
              </w:rPr>
              <w:tab/>
            </w:r>
            <w:r w:rsidR="005736C7">
              <w:rPr>
                <w:noProof/>
                <w:webHidden/>
              </w:rPr>
              <w:fldChar w:fldCharType="begin"/>
            </w:r>
            <w:r w:rsidR="005736C7">
              <w:rPr>
                <w:noProof/>
                <w:webHidden/>
              </w:rPr>
              <w:instrText xml:space="preserve"> PAGEREF _Toc531264945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4B7FB95F" w14:textId="63A5D1CE" w:rsidR="005736C7" w:rsidRDefault="00C4148C">
          <w:pPr>
            <w:pStyle w:val="TOC2"/>
            <w:tabs>
              <w:tab w:val="right" w:leader="dot" w:pos="9736"/>
            </w:tabs>
            <w:rPr>
              <w:rFonts w:eastAsiaTheme="minorEastAsia"/>
              <w:noProof/>
              <w:sz w:val="24"/>
              <w:szCs w:val="24"/>
              <w:lang w:val="en-US"/>
            </w:rPr>
          </w:pPr>
          <w:hyperlink w:anchor="_Toc531264946" w:history="1">
            <w:r w:rsidR="005736C7" w:rsidRPr="00827712">
              <w:rPr>
                <w:rStyle w:val="Hyperlink"/>
                <w:noProof/>
              </w:rPr>
              <w:t>Measurement issues</w:t>
            </w:r>
            <w:r w:rsidR="005736C7">
              <w:rPr>
                <w:noProof/>
                <w:webHidden/>
              </w:rPr>
              <w:tab/>
            </w:r>
            <w:r w:rsidR="005736C7">
              <w:rPr>
                <w:noProof/>
                <w:webHidden/>
              </w:rPr>
              <w:fldChar w:fldCharType="begin"/>
            </w:r>
            <w:r w:rsidR="005736C7">
              <w:rPr>
                <w:noProof/>
                <w:webHidden/>
              </w:rPr>
              <w:instrText xml:space="preserve"> PAGEREF _Toc531264946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7DF74487" w14:textId="185B0BFB" w:rsidR="005736C7" w:rsidRDefault="00C4148C">
          <w:pPr>
            <w:pStyle w:val="TOC2"/>
            <w:tabs>
              <w:tab w:val="right" w:leader="dot" w:pos="9736"/>
            </w:tabs>
            <w:rPr>
              <w:rFonts w:eastAsiaTheme="minorEastAsia"/>
              <w:noProof/>
              <w:sz w:val="24"/>
              <w:szCs w:val="24"/>
              <w:lang w:val="en-US"/>
            </w:rPr>
          </w:pPr>
          <w:hyperlink w:anchor="_Toc531264947" w:history="1">
            <w:r w:rsidR="005736C7" w:rsidRPr="00827712">
              <w:rPr>
                <w:rStyle w:val="Hyperlink"/>
                <w:noProof/>
              </w:rPr>
              <w:t>Tackling the measurement and data challenges identified in this report</w:t>
            </w:r>
            <w:r w:rsidR="005736C7">
              <w:rPr>
                <w:noProof/>
                <w:webHidden/>
              </w:rPr>
              <w:tab/>
            </w:r>
            <w:r w:rsidR="005736C7">
              <w:rPr>
                <w:noProof/>
                <w:webHidden/>
              </w:rPr>
              <w:fldChar w:fldCharType="begin"/>
            </w:r>
            <w:r w:rsidR="005736C7">
              <w:rPr>
                <w:noProof/>
                <w:webHidden/>
              </w:rPr>
              <w:instrText xml:space="preserve"> PAGEREF _Toc531264947 \h </w:instrText>
            </w:r>
            <w:r w:rsidR="005736C7">
              <w:rPr>
                <w:noProof/>
                <w:webHidden/>
              </w:rPr>
            </w:r>
            <w:r w:rsidR="005736C7">
              <w:rPr>
                <w:noProof/>
                <w:webHidden/>
              </w:rPr>
              <w:fldChar w:fldCharType="separate"/>
            </w:r>
            <w:r w:rsidR="005736C7">
              <w:rPr>
                <w:noProof/>
                <w:webHidden/>
              </w:rPr>
              <w:t>48</w:t>
            </w:r>
            <w:r w:rsidR="005736C7">
              <w:rPr>
                <w:noProof/>
                <w:webHidden/>
              </w:rPr>
              <w:fldChar w:fldCharType="end"/>
            </w:r>
          </w:hyperlink>
        </w:p>
        <w:p w14:paraId="120CF924" w14:textId="04DD2DFD" w:rsidR="005736C7" w:rsidRDefault="00C4148C">
          <w:pPr>
            <w:pStyle w:val="TOC1"/>
            <w:rPr>
              <w:rFonts w:eastAsiaTheme="minorEastAsia"/>
              <w:noProof/>
              <w:sz w:val="24"/>
              <w:szCs w:val="24"/>
              <w:lang w:val="en-US"/>
            </w:rPr>
          </w:pPr>
          <w:hyperlink w:anchor="_Toc531264948" w:history="1">
            <w:r w:rsidR="005736C7" w:rsidRPr="00827712">
              <w:rPr>
                <w:rStyle w:val="Hyperlink"/>
                <w:noProof/>
              </w:rPr>
              <w:t>Latvia</w:t>
            </w:r>
            <w:r w:rsidR="005736C7">
              <w:rPr>
                <w:noProof/>
                <w:webHidden/>
              </w:rPr>
              <w:tab/>
            </w:r>
            <w:r w:rsidR="005736C7">
              <w:rPr>
                <w:noProof/>
                <w:webHidden/>
              </w:rPr>
              <w:fldChar w:fldCharType="begin"/>
            </w:r>
            <w:r w:rsidR="005736C7">
              <w:rPr>
                <w:noProof/>
                <w:webHidden/>
              </w:rPr>
              <w:instrText xml:space="preserve"> PAGEREF _Toc531264948 \h </w:instrText>
            </w:r>
            <w:r w:rsidR="005736C7">
              <w:rPr>
                <w:noProof/>
                <w:webHidden/>
              </w:rPr>
            </w:r>
            <w:r w:rsidR="005736C7">
              <w:rPr>
                <w:noProof/>
                <w:webHidden/>
              </w:rPr>
              <w:fldChar w:fldCharType="separate"/>
            </w:r>
            <w:r w:rsidR="005736C7">
              <w:rPr>
                <w:noProof/>
                <w:webHidden/>
              </w:rPr>
              <w:t>49</w:t>
            </w:r>
            <w:r w:rsidR="005736C7">
              <w:rPr>
                <w:noProof/>
                <w:webHidden/>
              </w:rPr>
              <w:fldChar w:fldCharType="end"/>
            </w:r>
          </w:hyperlink>
        </w:p>
        <w:p w14:paraId="16BE8491" w14:textId="79DAE492" w:rsidR="005736C7" w:rsidRDefault="00C4148C">
          <w:pPr>
            <w:pStyle w:val="TOC1"/>
            <w:rPr>
              <w:rFonts w:eastAsiaTheme="minorEastAsia"/>
              <w:noProof/>
              <w:sz w:val="24"/>
              <w:szCs w:val="24"/>
              <w:lang w:val="en-US"/>
            </w:rPr>
          </w:pPr>
          <w:hyperlink w:anchor="_Toc531264949" w:history="1">
            <w:r w:rsidR="005736C7" w:rsidRPr="00827712">
              <w:rPr>
                <w:rStyle w:val="Hyperlink"/>
                <w:noProof/>
              </w:rPr>
              <w:t>Lebanon</w:t>
            </w:r>
            <w:r w:rsidR="005736C7">
              <w:rPr>
                <w:noProof/>
                <w:webHidden/>
              </w:rPr>
              <w:tab/>
            </w:r>
            <w:r w:rsidR="005736C7">
              <w:rPr>
                <w:noProof/>
                <w:webHidden/>
              </w:rPr>
              <w:fldChar w:fldCharType="begin"/>
            </w:r>
            <w:r w:rsidR="005736C7">
              <w:rPr>
                <w:noProof/>
                <w:webHidden/>
              </w:rPr>
              <w:instrText xml:space="preserve"> PAGEREF _Toc531264949 \h </w:instrText>
            </w:r>
            <w:r w:rsidR="005736C7">
              <w:rPr>
                <w:noProof/>
                <w:webHidden/>
              </w:rPr>
            </w:r>
            <w:r w:rsidR="005736C7">
              <w:rPr>
                <w:noProof/>
                <w:webHidden/>
              </w:rPr>
              <w:fldChar w:fldCharType="separate"/>
            </w:r>
            <w:r w:rsidR="005736C7">
              <w:rPr>
                <w:noProof/>
                <w:webHidden/>
              </w:rPr>
              <w:t>50</w:t>
            </w:r>
            <w:r w:rsidR="005736C7">
              <w:rPr>
                <w:noProof/>
                <w:webHidden/>
              </w:rPr>
              <w:fldChar w:fldCharType="end"/>
            </w:r>
          </w:hyperlink>
        </w:p>
        <w:p w14:paraId="25F061C7" w14:textId="27D28FAF" w:rsidR="005736C7" w:rsidRDefault="00C4148C">
          <w:pPr>
            <w:pStyle w:val="TOC1"/>
            <w:rPr>
              <w:rFonts w:eastAsiaTheme="minorEastAsia"/>
              <w:noProof/>
              <w:sz w:val="24"/>
              <w:szCs w:val="24"/>
              <w:lang w:val="en-US"/>
            </w:rPr>
          </w:pPr>
          <w:hyperlink w:anchor="_Toc531264950" w:history="1">
            <w:r w:rsidR="005736C7" w:rsidRPr="00827712">
              <w:rPr>
                <w:rStyle w:val="Hyperlink"/>
                <w:noProof/>
              </w:rPr>
              <w:t>Lithuania</w:t>
            </w:r>
            <w:r w:rsidR="005736C7">
              <w:rPr>
                <w:noProof/>
                <w:webHidden/>
              </w:rPr>
              <w:tab/>
            </w:r>
            <w:r w:rsidR="005736C7">
              <w:rPr>
                <w:noProof/>
                <w:webHidden/>
              </w:rPr>
              <w:fldChar w:fldCharType="begin"/>
            </w:r>
            <w:r w:rsidR="005736C7">
              <w:rPr>
                <w:noProof/>
                <w:webHidden/>
              </w:rPr>
              <w:instrText xml:space="preserve"> PAGEREF _Toc531264950 \h </w:instrText>
            </w:r>
            <w:r w:rsidR="005736C7">
              <w:rPr>
                <w:noProof/>
                <w:webHidden/>
              </w:rPr>
            </w:r>
            <w:r w:rsidR="005736C7">
              <w:rPr>
                <w:noProof/>
                <w:webHidden/>
              </w:rPr>
              <w:fldChar w:fldCharType="separate"/>
            </w:r>
            <w:r w:rsidR="005736C7">
              <w:rPr>
                <w:noProof/>
                <w:webHidden/>
              </w:rPr>
              <w:t>50</w:t>
            </w:r>
            <w:r w:rsidR="005736C7">
              <w:rPr>
                <w:noProof/>
                <w:webHidden/>
              </w:rPr>
              <w:fldChar w:fldCharType="end"/>
            </w:r>
          </w:hyperlink>
        </w:p>
        <w:p w14:paraId="11E3E47D" w14:textId="28290062" w:rsidR="005736C7" w:rsidRDefault="00C4148C">
          <w:pPr>
            <w:pStyle w:val="TOC2"/>
            <w:tabs>
              <w:tab w:val="right" w:leader="dot" w:pos="9736"/>
            </w:tabs>
            <w:rPr>
              <w:rFonts w:eastAsiaTheme="minorEastAsia"/>
              <w:noProof/>
              <w:sz w:val="24"/>
              <w:szCs w:val="24"/>
              <w:lang w:val="en-US"/>
            </w:rPr>
          </w:pPr>
          <w:hyperlink w:anchor="_Toc531264951" w:history="1">
            <w:r w:rsidR="005736C7" w:rsidRPr="00827712">
              <w:rPr>
                <w:rStyle w:val="Hyperlink"/>
                <w:noProof/>
              </w:rPr>
              <w:t>Achieve gender equality and empower all women and girls</w:t>
            </w:r>
            <w:r w:rsidR="005736C7">
              <w:rPr>
                <w:noProof/>
                <w:webHidden/>
              </w:rPr>
              <w:tab/>
            </w:r>
            <w:r w:rsidR="005736C7">
              <w:rPr>
                <w:noProof/>
                <w:webHidden/>
              </w:rPr>
              <w:fldChar w:fldCharType="begin"/>
            </w:r>
            <w:r w:rsidR="005736C7">
              <w:rPr>
                <w:noProof/>
                <w:webHidden/>
              </w:rPr>
              <w:instrText xml:space="preserve"> PAGEREF _Toc531264951 \h </w:instrText>
            </w:r>
            <w:r w:rsidR="005736C7">
              <w:rPr>
                <w:noProof/>
                <w:webHidden/>
              </w:rPr>
            </w:r>
            <w:r w:rsidR="005736C7">
              <w:rPr>
                <w:noProof/>
                <w:webHidden/>
              </w:rPr>
              <w:fldChar w:fldCharType="separate"/>
            </w:r>
            <w:r w:rsidR="005736C7">
              <w:rPr>
                <w:noProof/>
                <w:webHidden/>
              </w:rPr>
              <w:t>51</w:t>
            </w:r>
            <w:r w:rsidR="005736C7">
              <w:rPr>
                <w:noProof/>
                <w:webHidden/>
              </w:rPr>
              <w:fldChar w:fldCharType="end"/>
            </w:r>
          </w:hyperlink>
        </w:p>
        <w:p w14:paraId="6EC1570A" w14:textId="61463B06" w:rsidR="005736C7" w:rsidRDefault="00C4148C">
          <w:pPr>
            <w:pStyle w:val="TOC1"/>
            <w:rPr>
              <w:rFonts w:eastAsiaTheme="minorEastAsia"/>
              <w:noProof/>
              <w:sz w:val="24"/>
              <w:szCs w:val="24"/>
              <w:lang w:val="en-US"/>
            </w:rPr>
          </w:pPr>
          <w:hyperlink w:anchor="_Toc531264952" w:history="1">
            <w:r w:rsidR="005736C7" w:rsidRPr="00827712">
              <w:rPr>
                <w:rStyle w:val="Hyperlink"/>
                <w:noProof/>
              </w:rPr>
              <w:t>Namibia</w:t>
            </w:r>
            <w:r w:rsidR="005736C7">
              <w:rPr>
                <w:noProof/>
                <w:webHidden/>
              </w:rPr>
              <w:tab/>
            </w:r>
            <w:r w:rsidR="005736C7">
              <w:rPr>
                <w:noProof/>
                <w:webHidden/>
              </w:rPr>
              <w:fldChar w:fldCharType="begin"/>
            </w:r>
            <w:r w:rsidR="005736C7">
              <w:rPr>
                <w:noProof/>
                <w:webHidden/>
              </w:rPr>
              <w:instrText xml:space="preserve"> PAGEREF _Toc531264952 \h </w:instrText>
            </w:r>
            <w:r w:rsidR="005736C7">
              <w:rPr>
                <w:noProof/>
                <w:webHidden/>
              </w:rPr>
            </w:r>
            <w:r w:rsidR="005736C7">
              <w:rPr>
                <w:noProof/>
                <w:webHidden/>
              </w:rPr>
              <w:fldChar w:fldCharType="separate"/>
            </w:r>
            <w:r w:rsidR="005736C7">
              <w:rPr>
                <w:noProof/>
                <w:webHidden/>
              </w:rPr>
              <w:t>52</w:t>
            </w:r>
            <w:r w:rsidR="005736C7">
              <w:rPr>
                <w:noProof/>
                <w:webHidden/>
              </w:rPr>
              <w:fldChar w:fldCharType="end"/>
            </w:r>
          </w:hyperlink>
        </w:p>
        <w:p w14:paraId="0A350D5A" w14:textId="0BAC0A48" w:rsidR="005736C7" w:rsidRDefault="00C4148C">
          <w:pPr>
            <w:pStyle w:val="TOC2"/>
            <w:tabs>
              <w:tab w:val="right" w:leader="dot" w:pos="9736"/>
            </w:tabs>
            <w:rPr>
              <w:rFonts w:eastAsiaTheme="minorEastAsia"/>
              <w:noProof/>
              <w:sz w:val="24"/>
              <w:szCs w:val="24"/>
              <w:lang w:val="en-US"/>
            </w:rPr>
          </w:pPr>
          <w:hyperlink w:anchor="_Toc531264953" w:history="1">
            <w:r w:rsidR="005736C7" w:rsidRPr="00827712">
              <w:rPr>
                <w:rStyle w:val="Hyperlink"/>
                <w:noProof/>
              </w:rPr>
              <w:t>Fragmented social programmes</w:t>
            </w:r>
            <w:r w:rsidR="005736C7">
              <w:rPr>
                <w:noProof/>
                <w:webHidden/>
              </w:rPr>
              <w:tab/>
            </w:r>
            <w:r w:rsidR="005736C7">
              <w:rPr>
                <w:noProof/>
                <w:webHidden/>
              </w:rPr>
              <w:fldChar w:fldCharType="begin"/>
            </w:r>
            <w:r w:rsidR="005736C7">
              <w:rPr>
                <w:noProof/>
                <w:webHidden/>
              </w:rPr>
              <w:instrText xml:space="preserve"> PAGEREF _Toc531264953 \h </w:instrText>
            </w:r>
            <w:r w:rsidR="005736C7">
              <w:rPr>
                <w:noProof/>
                <w:webHidden/>
              </w:rPr>
            </w:r>
            <w:r w:rsidR="005736C7">
              <w:rPr>
                <w:noProof/>
                <w:webHidden/>
              </w:rPr>
              <w:fldChar w:fldCharType="separate"/>
            </w:r>
            <w:r w:rsidR="005736C7">
              <w:rPr>
                <w:noProof/>
                <w:webHidden/>
              </w:rPr>
              <w:t>52</w:t>
            </w:r>
            <w:r w:rsidR="005736C7">
              <w:rPr>
                <w:noProof/>
                <w:webHidden/>
              </w:rPr>
              <w:fldChar w:fldCharType="end"/>
            </w:r>
          </w:hyperlink>
        </w:p>
        <w:p w14:paraId="304DECC5" w14:textId="68ADCE15" w:rsidR="005736C7" w:rsidRDefault="00C4148C">
          <w:pPr>
            <w:pStyle w:val="TOC2"/>
            <w:tabs>
              <w:tab w:val="right" w:leader="dot" w:pos="9736"/>
            </w:tabs>
            <w:rPr>
              <w:rFonts w:eastAsiaTheme="minorEastAsia"/>
              <w:noProof/>
              <w:sz w:val="24"/>
              <w:szCs w:val="24"/>
              <w:lang w:val="en-US"/>
            </w:rPr>
          </w:pPr>
          <w:hyperlink w:anchor="_Toc531264954" w:history="1">
            <w:r w:rsidR="005736C7" w:rsidRPr="00827712">
              <w:rPr>
                <w:rStyle w:val="Hyperlink"/>
                <w:noProof/>
              </w:rPr>
              <w:t>Higher education and training</w:t>
            </w:r>
            <w:r w:rsidR="005736C7">
              <w:rPr>
                <w:noProof/>
                <w:webHidden/>
              </w:rPr>
              <w:tab/>
            </w:r>
            <w:r w:rsidR="005736C7">
              <w:rPr>
                <w:noProof/>
                <w:webHidden/>
              </w:rPr>
              <w:fldChar w:fldCharType="begin"/>
            </w:r>
            <w:r w:rsidR="005736C7">
              <w:rPr>
                <w:noProof/>
                <w:webHidden/>
              </w:rPr>
              <w:instrText xml:space="preserve"> PAGEREF _Toc531264954 \h </w:instrText>
            </w:r>
            <w:r w:rsidR="005736C7">
              <w:rPr>
                <w:noProof/>
                <w:webHidden/>
              </w:rPr>
            </w:r>
            <w:r w:rsidR="005736C7">
              <w:rPr>
                <w:noProof/>
                <w:webHidden/>
              </w:rPr>
              <w:fldChar w:fldCharType="separate"/>
            </w:r>
            <w:r w:rsidR="005736C7">
              <w:rPr>
                <w:noProof/>
                <w:webHidden/>
              </w:rPr>
              <w:t>52</w:t>
            </w:r>
            <w:r w:rsidR="005736C7">
              <w:rPr>
                <w:noProof/>
                <w:webHidden/>
              </w:rPr>
              <w:fldChar w:fldCharType="end"/>
            </w:r>
          </w:hyperlink>
        </w:p>
        <w:p w14:paraId="38810873" w14:textId="2E738A0D" w:rsidR="005736C7" w:rsidRDefault="00C4148C">
          <w:pPr>
            <w:pStyle w:val="TOC1"/>
            <w:rPr>
              <w:rFonts w:eastAsiaTheme="minorEastAsia"/>
              <w:noProof/>
              <w:sz w:val="24"/>
              <w:szCs w:val="24"/>
              <w:lang w:val="en-US"/>
            </w:rPr>
          </w:pPr>
          <w:hyperlink w:anchor="_Toc531264955" w:history="1">
            <w:r w:rsidR="005736C7" w:rsidRPr="00827712">
              <w:rPr>
                <w:rStyle w:val="Hyperlink"/>
                <w:noProof/>
              </w:rPr>
              <w:t>Poland</w:t>
            </w:r>
            <w:r w:rsidR="005736C7">
              <w:rPr>
                <w:noProof/>
                <w:webHidden/>
              </w:rPr>
              <w:tab/>
            </w:r>
            <w:r w:rsidR="005736C7">
              <w:rPr>
                <w:noProof/>
                <w:webHidden/>
              </w:rPr>
              <w:fldChar w:fldCharType="begin"/>
            </w:r>
            <w:r w:rsidR="005736C7">
              <w:rPr>
                <w:noProof/>
                <w:webHidden/>
              </w:rPr>
              <w:instrText xml:space="preserve"> PAGEREF _Toc531264955 \h </w:instrText>
            </w:r>
            <w:r w:rsidR="005736C7">
              <w:rPr>
                <w:noProof/>
                <w:webHidden/>
              </w:rPr>
            </w:r>
            <w:r w:rsidR="005736C7">
              <w:rPr>
                <w:noProof/>
                <w:webHidden/>
              </w:rPr>
              <w:fldChar w:fldCharType="separate"/>
            </w:r>
            <w:r w:rsidR="005736C7">
              <w:rPr>
                <w:noProof/>
                <w:webHidden/>
              </w:rPr>
              <w:t>52</w:t>
            </w:r>
            <w:r w:rsidR="005736C7">
              <w:rPr>
                <w:noProof/>
                <w:webHidden/>
              </w:rPr>
              <w:fldChar w:fldCharType="end"/>
            </w:r>
          </w:hyperlink>
        </w:p>
        <w:p w14:paraId="492DF72C" w14:textId="44089058" w:rsidR="005736C7" w:rsidRDefault="00C4148C">
          <w:pPr>
            <w:pStyle w:val="TOC1"/>
            <w:rPr>
              <w:rFonts w:eastAsiaTheme="minorEastAsia"/>
              <w:noProof/>
              <w:sz w:val="24"/>
              <w:szCs w:val="24"/>
              <w:lang w:val="en-US"/>
            </w:rPr>
          </w:pPr>
          <w:hyperlink w:anchor="_Toc531264956" w:history="1">
            <w:r w:rsidR="005736C7" w:rsidRPr="00827712">
              <w:rPr>
                <w:rStyle w:val="Hyperlink"/>
                <w:noProof/>
              </w:rPr>
              <w:t>Qatar</w:t>
            </w:r>
            <w:r w:rsidR="005736C7">
              <w:rPr>
                <w:noProof/>
                <w:webHidden/>
              </w:rPr>
              <w:tab/>
            </w:r>
            <w:r w:rsidR="005736C7">
              <w:rPr>
                <w:noProof/>
                <w:webHidden/>
              </w:rPr>
              <w:fldChar w:fldCharType="begin"/>
            </w:r>
            <w:r w:rsidR="005736C7">
              <w:rPr>
                <w:noProof/>
                <w:webHidden/>
              </w:rPr>
              <w:instrText xml:space="preserve"> PAGEREF _Toc531264956 \h </w:instrText>
            </w:r>
            <w:r w:rsidR="005736C7">
              <w:rPr>
                <w:noProof/>
                <w:webHidden/>
              </w:rPr>
            </w:r>
            <w:r w:rsidR="005736C7">
              <w:rPr>
                <w:noProof/>
                <w:webHidden/>
              </w:rPr>
              <w:fldChar w:fldCharType="separate"/>
            </w:r>
            <w:r w:rsidR="005736C7">
              <w:rPr>
                <w:noProof/>
                <w:webHidden/>
              </w:rPr>
              <w:t>54</w:t>
            </w:r>
            <w:r w:rsidR="005736C7">
              <w:rPr>
                <w:noProof/>
                <w:webHidden/>
              </w:rPr>
              <w:fldChar w:fldCharType="end"/>
            </w:r>
          </w:hyperlink>
        </w:p>
        <w:p w14:paraId="03703332" w14:textId="365267D0" w:rsidR="005736C7" w:rsidRDefault="00C4148C">
          <w:pPr>
            <w:pStyle w:val="TOC1"/>
            <w:rPr>
              <w:rFonts w:eastAsiaTheme="minorEastAsia"/>
              <w:noProof/>
              <w:sz w:val="24"/>
              <w:szCs w:val="24"/>
              <w:lang w:val="en-US"/>
            </w:rPr>
          </w:pPr>
          <w:hyperlink w:anchor="_Toc531264957" w:history="1">
            <w:r w:rsidR="005736C7" w:rsidRPr="00827712">
              <w:rPr>
                <w:rStyle w:val="Hyperlink"/>
                <w:noProof/>
              </w:rPr>
              <w:t>Romania</w:t>
            </w:r>
            <w:r w:rsidR="005736C7">
              <w:rPr>
                <w:noProof/>
                <w:webHidden/>
              </w:rPr>
              <w:tab/>
            </w:r>
            <w:r w:rsidR="005736C7">
              <w:rPr>
                <w:noProof/>
                <w:webHidden/>
              </w:rPr>
              <w:fldChar w:fldCharType="begin"/>
            </w:r>
            <w:r w:rsidR="005736C7">
              <w:rPr>
                <w:noProof/>
                <w:webHidden/>
              </w:rPr>
              <w:instrText xml:space="preserve"> PAGEREF _Toc531264957 \h </w:instrText>
            </w:r>
            <w:r w:rsidR="005736C7">
              <w:rPr>
                <w:noProof/>
                <w:webHidden/>
              </w:rPr>
            </w:r>
            <w:r w:rsidR="005736C7">
              <w:rPr>
                <w:noProof/>
                <w:webHidden/>
              </w:rPr>
              <w:fldChar w:fldCharType="separate"/>
            </w:r>
            <w:r w:rsidR="005736C7">
              <w:rPr>
                <w:noProof/>
                <w:webHidden/>
              </w:rPr>
              <w:t>55</w:t>
            </w:r>
            <w:r w:rsidR="005736C7">
              <w:rPr>
                <w:noProof/>
                <w:webHidden/>
              </w:rPr>
              <w:fldChar w:fldCharType="end"/>
            </w:r>
          </w:hyperlink>
        </w:p>
        <w:p w14:paraId="0268C156" w14:textId="6B70FDED" w:rsidR="005736C7" w:rsidRDefault="00C4148C">
          <w:pPr>
            <w:pStyle w:val="TOC2"/>
            <w:tabs>
              <w:tab w:val="right" w:leader="dot" w:pos="9736"/>
            </w:tabs>
            <w:rPr>
              <w:rFonts w:eastAsiaTheme="minorEastAsia"/>
              <w:noProof/>
              <w:sz w:val="24"/>
              <w:szCs w:val="24"/>
              <w:lang w:val="en-US"/>
            </w:rPr>
          </w:pPr>
          <w:hyperlink w:anchor="_Toc531264958" w:history="1">
            <w:r w:rsidR="005736C7" w:rsidRPr="00827712">
              <w:rPr>
                <w:rStyle w:val="Hyperlink"/>
                <w:noProof/>
              </w:rPr>
              <w:t>Addressing most vulnerable groups</w:t>
            </w:r>
            <w:r w:rsidR="005736C7">
              <w:rPr>
                <w:noProof/>
                <w:webHidden/>
              </w:rPr>
              <w:tab/>
            </w:r>
            <w:r w:rsidR="005736C7">
              <w:rPr>
                <w:noProof/>
                <w:webHidden/>
              </w:rPr>
              <w:fldChar w:fldCharType="begin"/>
            </w:r>
            <w:r w:rsidR="005736C7">
              <w:rPr>
                <w:noProof/>
                <w:webHidden/>
              </w:rPr>
              <w:instrText xml:space="preserve"> PAGEREF _Toc531264958 \h </w:instrText>
            </w:r>
            <w:r w:rsidR="005736C7">
              <w:rPr>
                <w:noProof/>
                <w:webHidden/>
              </w:rPr>
            </w:r>
            <w:r w:rsidR="005736C7">
              <w:rPr>
                <w:noProof/>
                <w:webHidden/>
              </w:rPr>
              <w:fldChar w:fldCharType="separate"/>
            </w:r>
            <w:r w:rsidR="005736C7">
              <w:rPr>
                <w:noProof/>
                <w:webHidden/>
              </w:rPr>
              <w:t>55</w:t>
            </w:r>
            <w:r w:rsidR="005736C7">
              <w:rPr>
                <w:noProof/>
                <w:webHidden/>
              </w:rPr>
              <w:fldChar w:fldCharType="end"/>
            </w:r>
          </w:hyperlink>
        </w:p>
        <w:p w14:paraId="07CDAE40" w14:textId="632CEBF9" w:rsidR="005736C7" w:rsidRDefault="00C4148C">
          <w:pPr>
            <w:pStyle w:val="TOC2"/>
            <w:tabs>
              <w:tab w:val="right" w:leader="dot" w:pos="9736"/>
            </w:tabs>
            <w:rPr>
              <w:rFonts w:eastAsiaTheme="minorEastAsia"/>
              <w:noProof/>
              <w:sz w:val="24"/>
              <w:szCs w:val="24"/>
              <w:lang w:val="en-US"/>
            </w:rPr>
          </w:pPr>
          <w:hyperlink w:anchor="_Toc531264959" w:history="1">
            <w:r w:rsidR="005736C7" w:rsidRPr="00827712">
              <w:rPr>
                <w:rStyle w:val="Hyperlink"/>
                <w:noProof/>
              </w:rPr>
              <w:t>Longer working life is encouraged and ability to work is maintained</w:t>
            </w:r>
            <w:r w:rsidR="005736C7">
              <w:rPr>
                <w:noProof/>
                <w:webHidden/>
              </w:rPr>
              <w:tab/>
            </w:r>
            <w:r w:rsidR="005736C7">
              <w:rPr>
                <w:noProof/>
                <w:webHidden/>
              </w:rPr>
              <w:fldChar w:fldCharType="begin"/>
            </w:r>
            <w:r w:rsidR="005736C7">
              <w:rPr>
                <w:noProof/>
                <w:webHidden/>
              </w:rPr>
              <w:instrText xml:space="preserve"> PAGEREF _Toc531264959 \h </w:instrText>
            </w:r>
            <w:r w:rsidR="005736C7">
              <w:rPr>
                <w:noProof/>
                <w:webHidden/>
              </w:rPr>
            </w:r>
            <w:r w:rsidR="005736C7">
              <w:rPr>
                <w:noProof/>
                <w:webHidden/>
              </w:rPr>
              <w:fldChar w:fldCharType="separate"/>
            </w:r>
            <w:r w:rsidR="005736C7">
              <w:rPr>
                <w:noProof/>
                <w:webHidden/>
              </w:rPr>
              <w:t>55</w:t>
            </w:r>
            <w:r w:rsidR="005736C7">
              <w:rPr>
                <w:noProof/>
                <w:webHidden/>
              </w:rPr>
              <w:fldChar w:fldCharType="end"/>
            </w:r>
          </w:hyperlink>
        </w:p>
        <w:p w14:paraId="78A294F5" w14:textId="2A9B0EAE" w:rsidR="005736C7" w:rsidRDefault="00C4148C">
          <w:pPr>
            <w:pStyle w:val="TOC2"/>
            <w:tabs>
              <w:tab w:val="right" w:leader="dot" w:pos="9736"/>
            </w:tabs>
            <w:rPr>
              <w:rFonts w:eastAsiaTheme="minorEastAsia"/>
              <w:noProof/>
              <w:sz w:val="24"/>
              <w:szCs w:val="24"/>
              <w:lang w:val="en-US"/>
            </w:rPr>
          </w:pPr>
          <w:hyperlink w:anchor="_Toc531264960" w:history="1">
            <w:r w:rsidR="005736C7" w:rsidRPr="00827712">
              <w:rPr>
                <w:rStyle w:val="Hyperlink"/>
                <w:noProof/>
              </w:rPr>
              <w:t>Public safety</w:t>
            </w:r>
            <w:r w:rsidR="005736C7">
              <w:rPr>
                <w:noProof/>
                <w:webHidden/>
              </w:rPr>
              <w:tab/>
            </w:r>
            <w:r w:rsidR="005736C7">
              <w:rPr>
                <w:noProof/>
                <w:webHidden/>
              </w:rPr>
              <w:fldChar w:fldCharType="begin"/>
            </w:r>
            <w:r w:rsidR="005736C7">
              <w:rPr>
                <w:noProof/>
                <w:webHidden/>
              </w:rPr>
              <w:instrText xml:space="preserve"> PAGEREF _Toc531264960 \h </w:instrText>
            </w:r>
            <w:r w:rsidR="005736C7">
              <w:rPr>
                <w:noProof/>
                <w:webHidden/>
              </w:rPr>
            </w:r>
            <w:r w:rsidR="005736C7">
              <w:rPr>
                <w:noProof/>
                <w:webHidden/>
              </w:rPr>
              <w:fldChar w:fldCharType="separate"/>
            </w:r>
            <w:r w:rsidR="005736C7">
              <w:rPr>
                <w:noProof/>
                <w:webHidden/>
              </w:rPr>
              <w:t>56</w:t>
            </w:r>
            <w:r w:rsidR="005736C7">
              <w:rPr>
                <w:noProof/>
                <w:webHidden/>
              </w:rPr>
              <w:fldChar w:fldCharType="end"/>
            </w:r>
          </w:hyperlink>
        </w:p>
        <w:p w14:paraId="10396552" w14:textId="0B47E56E" w:rsidR="005736C7" w:rsidRDefault="00C4148C">
          <w:pPr>
            <w:pStyle w:val="TOC1"/>
            <w:rPr>
              <w:rFonts w:eastAsiaTheme="minorEastAsia"/>
              <w:noProof/>
              <w:sz w:val="24"/>
              <w:szCs w:val="24"/>
              <w:lang w:val="en-US"/>
            </w:rPr>
          </w:pPr>
          <w:hyperlink w:anchor="_Toc531264961" w:history="1">
            <w:r w:rsidR="005736C7" w:rsidRPr="00827712">
              <w:rPr>
                <w:rStyle w:val="Hyperlink"/>
                <w:rFonts w:eastAsia="Times New Roman"/>
                <w:noProof/>
                <w:lang w:eastAsia="en-GB"/>
              </w:rPr>
              <w:t>Saudi Arabia</w:t>
            </w:r>
            <w:r w:rsidR="005736C7">
              <w:rPr>
                <w:noProof/>
                <w:webHidden/>
              </w:rPr>
              <w:tab/>
            </w:r>
            <w:r w:rsidR="005736C7">
              <w:rPr>
                <w:noProof/>
                <w:webHidden/>
              </w:rPr>
              <w:fldChar w:fldCharType="begin"/>
            </w:r>
            <w:r w:rsidR="005736C7">
              <w:rPr>
                <w:noProof/>
                <w:webHidden/>
              </w:rPr>
              <w:instrText xml:space="preserve"> PAGEREF _Toc531264961 \h </w:instrText>
            </w:r>
            <w:r w:rsidR="005736C7">
              <w:rPr>
                <w:noProof/>
                <w:webHidden/>
              </w:rPr>
            </w:r>
            <w:r w:rsidR="005736C7">
              <w:rPr>
                <w:noProof/>
                <w:webHidden/>
              </w:rPr>
              <w:fldChar w:fldCharType="separate"/>
            </w:r>
            <w:r w:rsidR="005736C7">
              <w:rPr>
                <w:noProof/>
                <w:webHidden/>
              </w:rPr>
              <w:t>56</w:t>
            </w:r>
            <w:r w:rsidR="005736C7">
              <w:rPr>
                <w:noProof/>
                <w:webHidden/>
              </w:rPr>
              <w:fldChar w:fldCharType="end"/>
            </w:r>
          </w:hyperlink>
        </w:p>
        <w:p w14:paraId="04F0BBC1" w14:textId="14D862C2" w:rsidR="005736C7" w:rsidRDefault="00C4148C">
          <w:pPr>
            <w:pStyle w:val="TOC1"/>
            <w:rPr>
              <w:rFonts w:eastAsiaTheme="minorEastAsia"/>
              <w:noProof/>
              <w:sz w:val="24"/>
              <w:szCs w:val="24"/>
              <w:lang w:val="en-US"/>
            </w:rPr>
          </w:pPr>
          <w:hyperlink w:anchor="_Toc531264962" w:history="1">
            <w:r w:rsidR="005736C7" w:rsidRPr="00827712">
              <w:rPr>
                <w:rStyle w:val="Hyperlink"/>
                <w:rFonts w:eastAsia="Times New Roman"/>
                <w:noProof/>
                <w:lang w:eastAsia="en-GB"/>
              </w:rPr>
              <w:t>Singapore</w:t>
            </w:r>
            <w:r w:rsidR="005736C7">
              <w:rPr>
                <w:noProof/>
                <w:webHidden/>
              </w:rPr>
              <w:tab/>
            </w:r>
            <w:r w:rsidR="005736C7">
              <w:rPr>
                <w:noProof/>
                <w:webHidden/>
              </w:rPr>
              <w:fldChar w:fldCharType="begin"/>
            </w:r>
            <w:r w:rsidR="005736C7">
              <w:rPr>
                <w:noProof/>
                <w:webHidden/>
              </w:rPr>
              <w:instrText xml:space="preserve"> PAGEREF _Toc531264962 \h </w:instrText>
            </w:r>
            <w:r w:rsidR="005736C7">
              <w:rPr>
                <w:noProof/>
                <w:webHidden/>
              </w:rPr>
            </w:r>
            <w:r w:rsidR="005736C7">
              <w:rPr>
                <w:noProof/>
                <w:webHidden/>
              </w:rPr>
              <w:fldChar w:fldCharType="separate"/>
            </w:r>
            <w:r w:rsidR="005736C7">
              <w:rPr>
                <w:noProof/>
                <w:webHidden/>
              </w:rPr>
              <w:t>56</w:t>
            </w:r>
            <w:r w:rsidR="005736C7">
              <w:rPr>
                <w:noProof/>
                <w:webHidden/>
              </w:rPr>
              <w:fldChar w:fldCharType="end"/>
            </w:r>
          </w:hyperlink>
        </w:p>
        <w:p w14:paraId="225FA119" w14:textId="7E3DF987" w:rsidR="005736C7" w:rsidRDefault="00C4148C">
          <w:pPr>
            <w:pStyle w:val="TOC1"/>
            <w:rPr>
              <w:rFonts w:eastAsiaTheme="minorEastAsia"/>
              <w:noProof/>
              <w:sz w:val="24"/>
              <w:szCs w:val="24"/>
              <w:lang w:val="en-US"/>
            </w:rPr>
          </w:pPr>
          <w:hyperlink w:anchor="_Toc531264963" w:history="1">
            <w:r w:rsidR="005736C7" w:rsidRPr="00827712">
              <w:rPr>
                <w:rStyle w:val="Hyperlink"/>
                <w:rFonts w:eastAsia="Times New Roman"/>
                <w:noProof/>
                <w:lang w:eastAsia="en-GB"/>
              </w:rPr>
              <w:t>Spain</w:t>
            </w:r>
            <w:r w:rsidR="005736C7">
              <w:rPr>
                <w:noProof/>
                <w:webHidden/>
              </w:rPr>
              <w:tab/>
            </w:r>
            <w:r w:rsidR="005736C7">
              <w:rPr>
                <w:noProof/>
                <w:webHidden/>
              </w:rPr>
              <w:fldChar w:fldCharType="begin"/>
            </w:r>
            <w:r w:rsidR="005736C7">
              <w:rPr>
                <w:noProof/>
                <w:webHidden/>
              </w:rPr>
              <w:instrText xml:space="preserve"> PAGEREF _Toc531264963 \h </w:instrText>
            </w:r>
            <w:r w:rsidR="005736C7">
              <w:rPr>
                <w:noProof/>
                <w:webHidden/>
              </w:rPr>
            </w:r>
            <w:r w:rsidR="005736C7">
              <w:rPr>
                <w:noProof/>
                <w:webHidden/>
              </w:rPr>
              <w:fldChar w:fldCharType="separate"/>
            </w:r>
            <w:r w:rsidR="005736C7">
              <w:rPr>
                <w:noProof/>
                <w:webHidden/>
              </w:rPr>
              <w:t>57</w:t>
            </w:r>
            <w:r w:rsidR="005736C7">
              <w:rPr>
                <w:noProof/>
                <w:webHidden/>
              </w:rPr>
              <w:fldChar w:fldCharType="end"/>
            </w:r>
          </w:hyperlink>
        </w:p>
        <w:p w14:paraId="49B40895" w14:textId="0CBF929F" w:rsidR="005736C7" w:rsidRDefault="00C4148C">
          <w:pPr>
            <w:pStyle w:val="TOC2"/>
            <w:tabs>
              <w:tab w:val="right" w:leader="dot" w:pos="9736"/>
            </w:tabs>
            <w:rPr>
              <w:rFonts w:eastAsiaTheme="minorEastAsia"/>
              <w:noProof/>
              <w:sz w:val="24"/>
              <w:szCs w:val="24"/>
              <w:lang w:val="en-US"/>
            </w:rPr>
          </w:pPr>
          <w:hyperlink w:anchor="_Toc531264964" w:history="1">
            <w:r w:rsidR="005736C7" w:rsidRPr="00827712">
              <w:rPr>
                <w:rStyle w:val="Hyperlink"/>
                <w:noProof/>
              </w:rPr>
              <w:t>Organized civil society: FuturoenComún’s vision of the Action Plan</w:t>
            </w:r>
            <w:r w:rsidR="005736C7">
              <w:rPr>
                <w:noProof/>
                <w:webHidden/>
              </w:rPr>
              <w:tab/>
            </w:r>
            <w:r w:rsidR="005736C7">
              <w:rPr>
                <w:noProof/>
                <w:webHidden/>
              </w:rPr>
              <w:fldChar w:fldCharType="begin"/>
            </w:r>
            <w:r w:rsidR="005736C7">
              <w:rPr>
                <w:noProof/>
                <w:webHidden/>
              </w:rPr>
              <w:instrText xml:space="preserve"> PAGEREF _Toc531264964 \h </w:instrText>
            </w:r>
            <w:r w:rsidR="005736C7">
              <w:rPr>
                <w:noProof/>
                <w:webHidden/>
              </w:rPr>
            </w:r>
            <w:r w:rsidR="005736C7">
              <w:rPr>
                <w:noProof/>
                <w:webHidden/>
              </w:rPr>
              <w:fldChar w:fldCharType="separate"/>
            </w:r>
            <w:r w:rsidR="005736C7">
              <w:rPr>
                <w:noProof/>
                <w:webHidden/>
              </w:rPr>
              <w:t>57</w:t>
            </w:r>
            <w:r w:rsidR="005736C7">
              <w:rPr>
                <w:noProof/>
                <w:webHidden/>
              </w:rPr>
              <w:fldChar w:fldCharType="end"/>
            </w:r>
          </w:hyperlink>
        </w:p>
        <w:p w14:paraId="1ABA276E" w14:textId="1949D6EE" w:rsidR="005736C7" w:rsidRDefault="00C4148C">
          <w:pPr>
            <w:pStyle w:val="TOC2"/>
            <w:tabs>
              <w:tab w:val="right" w:leader="dot" w:pos="9736"/>
            </w:tabs>
            <w:rPr>
              <w:rFonts w:eastAsiaTheme="minorEastAsia"/>
              <w:noProof/>
              <w:sz w:val="24"/>
              <w:szCs w:val="24"/>
              <w:lang w:val="en-US"/>
            </w:rPr>
          </w:pPr>
          <w:hyperlink w:anchor="_Toc531264965" w:history="1">
            <w:r w:rsidR="005736C7" w:rsidRPr="00827712">
              <w:rPr>
                <w:rStyle w:val="Hyperlink"/>
                <w:noProof/>
              </w:rPr>
              <w:t>The challenge of accessibility</w:t>
            </w:r>
            <w:r w:rsidR="005736C7">
              <w:rPr>
                <w:noProof/>
                <w:webHidden/>
              </w:rPr>
              <w:tab/>
            </w:r>
            <w:r w:rsidR="005736C7">
              <w:rPr>
                <w:noProof/>
                <w:webHidden/>
              </w:rPr>
              <w:fldChar w:fldCharType="begin"/>
            </w:r>
            <w:r w:rsidR="005736C7">
              <w:rPr>
                <w:noProof/>
                <w:webHidden/>
              </w:rPr>
              <w:instrText xml:space="preserve"> PAGEREF _Toc531264965 \h </w:instrText>
            </w:r>
            <w:r w:rsidR="005736C7">
              <w:rPr>
                <w:noProof/>
                <w:webHidden/>
              </w:rPr>
            </w:r>
            <w:r w:rsidR="005736C7">
              <w:rPr>
                <w:noProof/>
                <w:webHidden/>
              </w:rPr>
              <w:fldChar w:fldCharType="separate"/>
            </w:r>
            <w:r w:rsidR="005736C7">
              <w:rPr>
                <w:noProof/>
                <w:webHidden/>
              </w:rPr>
              <w:t>59</w:t>
            </w:r>
            <w:r w:rsidR="005736C7">
              <w:rPr>
                <w:noProof/>
                <w:webHidden/>
              </w:rPr>
              <w:fldChar w:fldCharType="end"/>
            </w:r>
          </w:hyperlink>
        </w:p>
        <w:p w14:paraId="72875EA1" w14:textId="13A46A12" w:rsidR="005736C7" w:rsidRDefault="00C4148C">
          <w:pPr>
            <w:pStyle w:val="TOC1"/>
            <w:rPr>
              <w:rFonts w:eastAsiaTheme="minorEastAsia"/>
              <w:noProof/>
              <w:sz w:val="24"/>
              <w:szCs w:val="24"/>
              <w:lang w:val="en-US"/>
            </w:rPr>
          </w:pPr>
          <w:hyperlink w:anchor="_Toc531264966" w:history="1">
            <w:r w:rsidR="005736C7" w:rsidRPr="00827712">
              <w:rPr>
                <w:rStyle w:val="Hyperlink"/>
                <w:rFonts w:eastAsia="Times New Roman"/>
                <w:noProof/>
                <w:lang w:eastAsia="en-GB"/>
              </w:rPr>
              <w:t>Sri Lanka</w:t>
            </w:r>
            <w:r w:rsidR="005736C7">
              <w:rPr>
                <w:noProof/>
                <w:webHidden/>
              </w:rPr>
              <w:tab/>
            </w:r>
            <w:r w:rsidR="005736C7">
              <w:rPr>
                <w:noProof/>
                <w:webHidden/>
              </w:rPr>
              <w:fldChar w:fldCharType="begin"/>
            </w:r>
            <w:r w:rsidR="005736C7">
              <w:rPr>
                <w:noProof/>
                <w:webHidden/>
              </w:rPr>
              <w:instrText xml:space="preserve"> PAGEREF _Toc531264966 \h </w:instrText>
            </w:r>
            <w:r w:rsidR="005736C7">
              <w:rPr>
                <w:noProof/>
                <w:webHidden/>
              </w:rPr>
            </w:r>
            <w:r w:rsidR="005736C7">
              <w:rPr>
                <w:noProof/>
                <w:webHidden/>
              </w:rPr>
              <w:fldChar w:fldCharType="separate"/>
            </w:r>
            <w:r w:rsidR="005736C7">
              <w:rPr>
                <w:noProof/>
                <w:webHidden/>
              </w:rPr>
              <w:t>60</w:t>
            </w:r>
            <w:r w:rsidR="005736C7">
              <w:rPr>
                <w:noProof/>
                <w:webHidden/>
              </w:rPr>
              <w:fldChar w:fldCharType="end"/>
            </w:r>
          </w:hyperlink>
        </w:p>
        <w:p w14:paraId="4E46451E" w14:textId="7AE36BA2" w:rsidR="005736C7" w:rsidRDefault="00C4148C">
          <w:pPr>
            <w:pStyle w:val="TOC2"/>
            <w:tabs>
              <w:tab w:val="right" w:leader="dot" w:pos="9736"/>
            </w:tabs>
            <w:rPr>
              <w:rFonts w:eastAsiaTheme="minorEastAsia"/>
              <w:noProof/>
              <w:sz w:val="24"/>
              <w:szCs w:val="24"/>
              <w:lang w:val="en-US"/>
            </w:rPr>
          </w:pPr>
          <w:hyperlink w:anchor="_Toc531264967" w:history="1">
            <w:r w:rsidR="005736C7" w:rsidRPr="00827712">
              <w:rPr>
                <w:rStyle w:val="Hyperlink"/>
                <w:noProof/>
              </w:rPr>
              <w:t>Social protection</w:t>
            </w:r>
            <w:r w:rsidR="005736C7">
              <w:rPr>
                <w:noProof/>
                <w:webHidden/>
              </w:rPr>
              <w:tab/>
            </w:r>
            <w:r w:rsidR="005736C7">
              <w:rPr>
                <w:noProof/>
                <w:webHidden/>
              </w:rPr>
              <w:fldChar w:fldCharType="begin"/>
            </w:r>
            <w:r w:rsidR="005736C7">
              <w:rPr>
                <w:noProof/>
                <w:webHidden/>
              </w:rPr>
              <w:instrText xml:space="preserve"> PAGEREF _Toc531264967 \h </w:instrText>
            </w:r>
            <w:r w:rsidR="005736C7">
              <w:rPr>
                <w:noProof/>
                <w:webHidden/>
              </w:rPr>
            </w:r>
            <w:r w:rsidR="005736C7">
              <w:rPr>
                <w:noProof/>
                <w:webHidden/>
              </w:rPr>
              <w:fldChar w:fldCharType="separate"/>
            </w:r>
            <w:r w:rsidR="005736C7">
              <w:rPr>
                <w:noProof/>
                <w:webHidden/>
              </w:rPr>
              <w:t>60</w:t>
            </w:r>
            <w:r w:rsidR="005736C7">
              <w:rPr>
                <w:noProof/>
                <w:webHidden/>
              </w:rPr>
              <w:fldChar w:fldCharType="end"/>
            </w:r>
          </w:hyperlink>
        </w:p>
        <w:p w14:paraId="78D668D6" w14:textId="5A392755" w:rsidR="005736C7" w:rsidRDefault="00C4148C">
          <w:pPr>
            <w:pStyle w:val="TOC1"/>
            <w:rPr>
              <w:rFonts w:eastAsiaTheme="minorEastAsia"/>
              <w:noProof/>
              <w:sz w:val="24"/>
              <w:szCs w:val="24"/>
              <w:lang w:val="en-US"/>
            </w:rPr>
          </w:pPr>
          <w:hyperlink w:anchor="_Toc531264968" w:history="1">
            <w:r w:rsidR="005736C7" w:rsidRPr="00827712">
              <w:rPr>
                <w:rStyle w:val="Hyperlink"/>
                <w:rFonts w:eastAsia="Times New Roman"/>
                <w:noProof/>
                <w:lang w:eastAsia="en-GB"/>
              </w:rPr>
              <w:t>State of Palestine</w:t>
            </w:r>
            <w:r w:rsidR="005736C7">
              <w:rPr>
                <w:noProof/>
                <w:webHidden/>
              </w:rPr>
              <w:tab/>
            </w:r>
            <w:r w:rsidR="005736C7">
              <w:rPr>
                <w:noProof/>
                <w:webHidden/>
              </w:rPr>
              <w:fldChar w:fldCharType="begin"/>
            </w:r>
            <w:r w:rsidR="005736C7">
              <w:rPr>
                <w:noProof/>
                <w:webHidden/>
              </w:rPr>
              <w:instrText xml:space="preserve"> PAGEREF _Toc531264968 \h </w:instrText>
            </w:r>
            <w:r w:rsidR="005736C7">
              <w:rPr>
                <w:noProof/>
                <w:webHidden/>
              </w:rPr>
            </w:r>
            <w:r w:rsidR="005736C7">
              <w:rPr>
                <w:noProof/>
                <w:webHidden/>
              </w:rPr>
              <w:fldChar w:fldCharType="separate"/>
            </w:r>
            <w:r w:rsidR="005736C7">
              <w:rPr>
                <w:noProof/>
                <w:webHidden/>
              </w:rPr>
              <w:t>62</w:t>
            </w:r>
            <w:r w:rsidR="005736C7">
              <w:rPr>
                <w:noProof/>
                <w:webHidden/>
              </w:rPr>
              <w:fldChar w:fldCharType="end"/>
            </w:r>
          </w:hyperlink>
        </w:p>
        <w:p w14:paraId="5480CAE2" w14:textId="776BCC40" w:rsidR="005736C7" w:rsidRDefault="00C4148C">
          <w:pPr>
            <w:pStyle w:val="TOC2"/>
            <w:tabs>
              <w:tab w:val="right" w:leader="dot" w:pos="9736"/>
            </w:tabs>
            <w:rPr>
              <w:rFonts w:eastAsiaTheme="minorEastAsia"/>
              <w:noProof/>
              <w:sz w:val="24"/>
              <w:szCs w:val="24"/>
              <w:lang w:val="en-US"/>
            </w:rPr>
          </w:pPr>
          <w:hyperlink w:anchor="_Toc531264969" w:history="1">
            <w:r w:rsidR="005736C7" w:rsidRPr="00827712">
              <w:rPr>
                <w:rStyle w:val="Hyperlink"/>
                <w:noProof/>
              </w:rPr>
              <w:t>Key challenges to good health and wellbeing:</w:t>
            </w:r>
            <w:r w:rsidR="005736C7">
              <w:rPr>
                <w:noProof/>
                <w:webHidden/>
              </w:rPr>
              <w:tab/>
            </w:r>
            <w:r w:rsidR="005736C7">
              <w:rPr>
                <w:noProof/>
                <w:webHidden/>
              </w:rPr>
              <w:fldChar w:fldCharType="begin"/>
            </w:r>
            <w:r w:rsidR="005736C7">
              <w:rPr>
                <w:noProof/>
                <w:webHidden/>
              </w:rPr>
              <w:instrText xml:space="preserve"> PAGEREF _Toc531264969 \h </w:instrText>
            </w:r>
            <w:r w:rsidR="005736C7">
              <w:rPr>
                <w:noProof/>
                <w:webHidden/>
              </w:rPr>
            </w:r>
            <w:r w:rsidR="005736C7">
              <w:rPr>
                <w:noProof/>
                <w:webHidden/>
              </w:rPr>
              <w:fldChar w:fldCharType="separate"/>
            </w:r>
            <w:r w:rsidR="005736C7">
              <w:rPr>
                <w:noProof/>
                <w:webHidden/>
              </w:rPr>
              <w:t>63</w:t>
            </w:r>
            <w:r w:rsidR="005736C7">
              <w:rPr>
                <w:noProof/>
                <w:webHidden/>
              </w:rPr>
              <w:fldChar w:fldCharType="end"/>
            </w:r>
          </w:hyperlink>
        </w:p>
        <w:p w14:paraId="6BF424BA" w14:textId="651AB433" w:rsidR="005736C7" w:rsidRDefault="00C4148C">
          <w:pPr>
            <w:pStyle w:val="TOC2"/>
            <w:tabs>
              <w:tab w:val="right" w:leader="dot" w:pos="9736"/>
            </w:tabs>
            <w:rPr>
              <w:rFonts w:eastAsiaTheme="minorEastAsia"/>
              <w:noProof/>
              <w:sz w:val="24"/>
              <w:szCs w:val="24"/>
              <w:lang w:val="en-US"/>
            </w:rPr>
          </w:pPr>
          <w:hyperlink w:anchor="_Toc531264970" w:history="1">
            <w:r w:rsidR="005736C7" w:rsidRPr="00827712">
              <w:rPr>
                <w:rStyle w:val="Hyperlink"/>
                <w:noProof/>
              </w:rPr>
              <w:t>Government and partners efforts:</w:t>
            </w:r>
            <w:r w:rsidR="005736C7">
              <w:rPr>
                <w:noProof/>
                <w:webHidden/>
              </w:rPr>
              <w:tab/>
            </w:r>
            <w:r w:rsidR="005736C7">
              <w:rPr>
                <w:noProof/>
                <w:webHidden/>
              </w:rPr>
              <w:fldChar w:fldCharType="begin"/>
            </w:r>
            <w:r w:rsidR="005736C7">
              <w:rPr>
                <w:noProof/>
                <w:webHidden/>
              </w:rPr>
              <w:instrText xml:space="preserve"> PAGEREF _Toc531264970 \h </w:instrText>
            </w:r>
            <w:r w:rsidR="005736C7">
              <w:rPr>
                <w:noProof/>
                <w:webHidden/>
              </w:rPr>
            </w:r>
            <w:r w:rsidR="005736C7">
              <w:rPr>
                <w:noProof/>
                <w:webHidden/>
              </w:rPr>
              <w:fldChar w:fldCharType="separate"/>
            </w:r>
            <w:r w:rsidR="005736C7">
              <w:rPr>
                <w:noProof/>
                <w:webHidden/>
              </w:rPr>
              <w:t>64</w:t>
            </w:r>
            <w:r w:rsidR="005736C7">
              <w:rPr>
                <w:noProof/>
                <w:webHidden/>
              </w:rPr>
              <w:fldChar w:fldCharType="end"/>
            </w:r>
          </w:hyperlink>
        </w:p>
        <w:p w14:paraId="1031F19A" w14:textId="7BE9BC12" w:rsidR="005736C7" w:rsidRDefault="00C4148C">
          <w:pPr>
            <w:pStyle w:val="TOC2"/>
            <w:tabs>
              <w:tab w:val="right" w:leader="dot" w:pos="9736"/>
            </w:tabs>
            <w:rPr>
              <w:rFonts w:eastAsiaTheme="minorEastAsia"/>
              <w:noProof/>
              <w:sz w:val="24"/>
              <w:szCs w:val="24"/>
              <w:lang w:val="en-US"/>
            </w:rPr>
          </w:pPr>
          <w:hyperlink w:anchor="_Toc531264971" w:history="1">
            <w:r w:rsidR="005736C7" w:rsidRPr="00827712">
              <w:rPr>
                <w:rStyle w:val="Hyperlink"/>
                <w:noProof/>
              </w:rPr>
              <w:t>Looking forward</w:t>
            </w:r>
            <w:r w:rsidR="005736C7">
              <w:rPr>
                <w:noProof/>
                <w:webHidden/>
              </w:rPr>
              <w:tab/>
            </w:r>
            <w:r w:rsidR="005736C7">
              <w:rPr>
                <w:noProof/>
                <w:webHidden/>
              </w:rPr>
              <w:fldChar w:fldCharType="begin"/>
            </w:r>
            <w:r w:rsidR="005736C7">
              <w:rPr>
                <w:noProof/>
                <w:webHidden/>
              </w:rPr>
              <w:instrText xml:space="preserve"> PAGEREF _Toc531264971 \h </w:instrText>
            </w:r>
            <w:r w:rsidR="005736C7">
              <w:rPr>
                <w:noProof/>
                <w:webHidden/>
              </w:rPr>
            </w:r>
            <w:r w:rsidR="005736C7">
              <w:rPr>
                <w:noProof/>
                <w:webHidden/>
              </w:rPr>
              <w:fldChar w:fldCharType="separate"/>
            </w:r>
            <w:r w:rsidR="005736C7">
              <w:rPr>
                <w:noProof/>
                <w:webHidden/>
              </w:rPr>
              <w:t>65</w:t>
            </w:r>
            <w:r w:rsidR="005736C7">
              <w:rPr>
                <w:noProof/>
                <w:webHidden/>
              </w:rPr>
              <w:fldChar w:fldCharType="end"/>
            </w:r>
          </w:hyperlink>
        </w:p>
        <w:p w14:paraId="670E6880" w14:textId="280EEA1B" w:rsidR="005736C7" w:rsidRDefault="00C4148C">
          <w:pPr>
            <w:pStyle w:val="TOC2"/>
            <w:tabs>
              <w:tab w:val="right" w:leader="dot" w:pos="9736"/>
            </w:tabs>
            <w:rPr>
              <w:rFonts w:eastAsiaTheme="minorEastAsia"/>
              <w:noProof/>
              <w:sz w:val="24"/>
              <w:szCs w:val="24"/>
              <w:lang w:val="en-US"/>
            </w:rPr>
          </w:pPr>
          <w:hyperlink w:anchor="_Toc531264972" w:history="1">
            <w:r w:rsidR="005736C7" w:rsidRPr="00827712">
              <w:rPr>
                <w:rStyle w:val="Hyperlink"/>
                <w:noProof/>
              </w:rPr>
              <w:t>Looking forward:</w:t>
            </w:r>
            <w:r w:rsidR="005736C7">
              <w:rPr>
                <w:noProof/>
                <w:webHidden/>
              </w:rPr>
              <w:tab/>
            </w:r>
            <w:r w:rsidR="005736C7">
              <w:rPr>
                <w:noProof/>
                <w:webHidden/>
              </w:rPr>
              <w:fldChar w:fldCharType="begin"/>
            </w:r>
            <w:r w:rsidR="005736C7">
              <w:rPr>
                <w:noProof/>
                <w:webHidden/>
              </w:rPr>
              <w:instrText xml:space="preserve"> PAGEREF _Toc531264972 \h </w:instrText>
            </w:r>
            <w:r w:rsidR="005736C7">
              <w:rPr>
                <w:noProof/>
                <w:webHidden/>
              </w:rPr>
            </w:r>
            <w:r w:rsidR="005736C7">
              <w:rPr>
                <w:noProof/>
                <w:webHidden/>
              </w:rPr>
              <w:fldChar w:fldCharType="separate"/>
            </w:r>
            <w:r w:rsidR="005736C7">
              <w:rPr>
                <w:noProof/>
                <w:webHidden/>
              </w:rPr>
              <w:t>65</w:t>
            </w:r>
            <w:r w:rsidR="005736C7">
              <w:rPr>
                <w:noProof/>
                <w:webHidden/>
              </w:rPr>
              <w:fldChar w:fldCharType="end"/>
            </w:r>
          </w:hyperlink>
        </w:p>
        <w:p w14:paraId="2ECBE240" w14:textId="74C6B561" w:rsidR="005736C7" w:rsidRDefault="00C4148C">
          <w:pPr>
            <w:pStyle w:val="TOC1"/>
            <w:rPr>
              <w:rFonts w:eastAsiaTheme="minorEastAsia"/>
              <w:noProof/>
              <w:sz w:val="24"/>
              <w:szCs w:val="24"/>
              <w:lang w:val="en-US"/>
            </w:rPr>
          </w:pPr>
          <w:hyperlink w:anchor="_Toc531264973" w:history="1">
            <w:r w:rsidR="005736C7" w:rsidRPr="00827712">
              <w:rPr>
                <w:rStyle w:val="Hyperlink"/>
                <w:noProof/>
              </w:rPr>
              <w:t>UAE</w:t>
            </w:r>
            <w:r w:rsidR="005736C7">
              <w:rPr>
                <w:noProof/>
                <w:webHidden/>
              </w:rPr>
              <w:tab/>
            </w:r>
            <w:r w:rsidR="005736C7">
              <w:rPr>
                <w:noProof/>
                <w:webHidden/>
              </w:rPr>
              <w:fldChar w:fldCharType="begin"/>
            </w:r>
            <w:r w:rsidR="005736C7">
              <w:rPr>
                <w:noProof/>
                <w:webHidden/>
              </w:rPr>
              <w:instrText xml:space="preserve"> PAGEREF _Toc531264973 \h </w:instrText>
            </w:r>
            <w:r w:rsidR="005736C7">
              <w:rPr>
                <w:noProof/>
                <w:webHidden/>
              </w:rPr>
            </w:r>
            <w:r w:rsidR="005736C7">
              <w:rPr>
                <w:noProof/>
                <w:webHidden/>
              </w:rPr>
              <w:fldChar w:fldCharType="separate"/>
            </w:r>
            <w:r w:rsidR="005736C7">
              <w:rPr>
                <w:noProof/>
                <w:webHidden/>
              </w:rPr>
              <w:t>66</w:t>
            </w:r>
            <w:r w:rsidR="005736C7">
              <w:rPr>
                <w:noProof/>
                <w:webHidden/>
              </w:rPr>
              <w:fldChar w:fldCharType="end"/>
            </w:r>
          </w:hyperlink>
        </w:p>
        <w:p w14:paraId="5EB36C5E" w14:textId="49C77A02" w:rsidR="005736C7" w:rsidRDefault="00C4148C">
          <w:pPr>
            <w:pStyle w:val="TOC2"/>
            <w:tabs>
              <w:tab w:val="right" w:leader="dot" w:pos="9736"/>
            </w:tabs>
            <w:rPr>
              <w:rFonts w:eastAsiaTheme="minorEastAsia"/>
              <w:noProof/>
              <w:sz w:val="24"/>
              <w:szCs w:val="24"/>
              <w:lang w:val="en-US"/>
            </w:rPr>
          </w:pPr>
          <w:hyperlink w:anchor="_Toc531264974" w:history="1">
            <w:r w:rsidR="005736C7" w:rsidRPr="00827712">
              <w:rPr>
                <w:rStyle w:val="Hyperlink"/>
                <w:noProof/>
              </w:rPr>
              <w:t>My Community. A City for Everyone. Dubai Disability Strategy.</w:t>
            </w:r>
            <w:r w:rsidR="005736C7">
              <w:rPr>
                <w:noProof/>
                <w:webHidden/>
              </w:rPr>
              <w:tab/>
            </w:r>
            <w:r w:rsidR="005736C7">
              <w:rPr>
                <w:noProof/>
                <w:webHidden/>
              </w:rPr>
              <w:fldChar w:fldCharType="begin"/>
            </w:r>
            <w:r w:rsidR="005736C7">
              <w:rPr>
                <w:noProof/>
                <w:webHidden/>
              </w:rPr>
              <w:instrText xml:space="preserve"> PAGEREF _Toc531264974 \h </w:instrText>
            </w:r>
            <w:r w:rsidR="005736C7">
              <w:rPr>
                <w:noProof/>
                <w:webHidden/>
              </w:rPr>
            </w:r>
            <w:r w:rsidR="005736C7">
              <w:rPr>
                <w:noProof/>
                <w:webHidden/>
              </w:rPr>
              <w:fldChar w:fldCharType="separate"/>
            </w:r>
            <w:r w:rsidR="005736C7">
              <w:rPr>
                <w:noProof/>
                <w:webHidden/>
              </w:rPr>
              <w:t>66</w:t>
            </w:r>
            <w:r w:rsidR="005736C7">
              <w:rPr>
                <w:noProof/>
                <w:webHidden/>
              </w:rPr>
              <w:fldChar w:fldCharType="end"/>
            </w:r>
          </w:hyperlink>
        </w:p>
        <w:p w14:paraId="2451380E" w14:textId="2563049E" w:rsidR="005736C7" w:rsidRDefault="00C4148C">
          <w:pPr>
            <w:pStyle w:val="TOC2"/>
            <w:tabs>
              <w:tab w:val="right" w:leader="dot" w:pos="9736"/>
            </w:tabs>
            <w:rPr>
              <w:rFonts w:eastAsiaTheme="minorEastAsia"/>
              <w:noProof/>
              <w:sz w:val="24"/>
              <w:szCs w:val="24"/>
              <w:lang w:val="en-US"/>
            </w:rPr>
          </w:pPr>
          <w:hyperlink w:anchor="_Toc531264975" w:history="1">
            <w:r w:rsidR="005736C7" w:rsidRPr="00827712">
              <w:rPr>
                <w:rStyle w:val="Hyperlink"/>
                <w:noProof/>
              </w:rPr>
              <w:t>Goal 4</w:t>
            </w:r>
            <w:r w:rsidR="005736C7">
              <w:rPr>
                <w:noProof/>
                <w:webHidden/>
              </w:rPr>
              <w:tab/>
            </w:r>
            <w:r w:rsidR="005736C7">
              <w:rPr>
                <w:noProof/>
                <w:webHidden/>
              </w:rPr>
              <w:fldChar w:fldCharType="begin"/>
            </w:r>
            <w:r w:rsidR="005736C7">
              <w:rPr>
                <w:noProof/>
                <w:webHidden/>
              </w:rPr>
              <w:instrText xml:space="preserve"> PAGEREF _Toc531264975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5AE025C2" w14:textId="6779A395" w:rsidR="005736C7" w:rsidRDefault="00C4148C">
          <w:pPr>
            <w:pStyle w:val="TOC2"/>
            <w:tabs>
              <w:tab w:val="right" w:leader="dot" w:pos="9736"/>
            </w:tabs>
            <w:rPr>
              <w:rFonts w:eastAsiaTheme="minorEastAsia"/>
              <w:noProof/>
              <w:sz w:val="24"/>
              <w:szCs w:val="24"/>
              <w:lang w:val="en-US"/>
            </w:rPr>
          </w:pPr>
          <w:hyperlink w:anchor="_Toc531264976" w:history="1">
            <w:r w:rsidR="005736C7" w:rsidRPr="00827712">
              <w:rPr>
                <w:rStyle w:val="Hyperlink"/>
                <w:noProof/>
              </w:rPr>
              <w:t>Goal 8</w:t>
            </w:r>
            <w:r w:rsidR="005736C7">
              <w:rPr>
                <w:noProof/>
                <w:webHidden/>
              </w:rPr>
              <w:tab/>
            </w:r>
            <w:r w:rsidR="005736C7">
              <w:rPr>
                <w:noProof/>
                <w:webHidden/>
              </w:rPr>
              <w:fldChar w:fldCharType="begin"/>
            </w:r>
            <w:r w:rsidR="005736C7">
              <w:rPr>
                <w:noProof/>
                <w:webHidden/>
              </w:rPr>
              <w:instrText xml:space="preserve"> PAGEREF _Toc531264976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641577EA" w14:textId="7523AF07" w:rsidR="005736C7" w:rsidRDefault="00C4148C">
          <w:pPr>
            <w:pStyle w:val="TOC2"/>
            <w:tabs>
              <w:tab w:val="right" w:leader="dot" w:pos="9736"/>
            </w:tabs>
            <w:rPr>
              <w:rFonts w:eastAsiaTheme="minorEastAsia"/>
              <w:noProof/>
              <w:sz w:val="24"/>
              <w:szCs w:val="24"/>
              <w:lang w:val="en-US"/>
            </w:rPr>
          </w:pPr>
          <w:hyperlink w:anchor="_Toc531264977" w:history="1">
            <w:r w:rsidR="005736C7" w:rsidRPr="00827712">
              <w:rPr>
                <w:rStyle w:val="Hyperlink"/>
                <w:noProof/>
              </w:rPr>
              <w:t>Goal 10</w:t>
            </w:r>
            <w:r w:rsidR="005736C7">
              <w:rPr>
                <w:noProof/>
                <w:webHidden/>
              </w:rPr>
              <w:tab/>
            </w:r>
            <w:r w:rsidR="005736C7">
              <w:rPr>
                <w:noProof/>
                <w:webHidden/>
              </w:rPr>
              <w:fldChar w:fldCharType="begin"/>
            </w:r>
            <w:r w:rsidR="005736C7">
              <w:rPr>
                <w:noProof/>
                <w:webHidden/>
              </w:rPr>
              <w:instrText xml:space="preserve"> PAGEREF _Toc531264977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26A63030" w14:textId="15BB18F1" w:rsidR="005736C7" w:rsidRDefault="00C4148C">
          <w:pPr>
            <w:pStyle w:val="TOC2"/>
            <w:tabs>
              <w:tab w:val="right" w:leader="dot" w:pos="9736"/>
            </w:tabs>
            <w:rPr>
              <w:rFonts w:eastAsiaTheme="minorEastAsia"/>
              <w:noProof/>
              <w:sz w:val="24"/>
              <w:szCs w:val="24"/>
              <w:lang w:val="en-US"/>
            </w:rPr>
          </w:pPr>
          <w:hyperlink w:anchor="_Toc531264978" w:history="1">
            <w:r w:rsidR="005736C7" w:rsidRPr="00827712">
              <w:rPr>
                <w:rStyle w:val="Hyperlink"/>
                <w:noProof/>
              </w:rPr>
              <w:t>Goal 11</w:t>
            </w:r>
            <w:r w:rsidR="005736C7">
              <w:rPr>
                <w:noProof/>
                <w:webHidden/>
              </w:rPr>
              <w:tab/>
            </w:r>
            <w:r w:rsidR="005736C7">
              <w:rPr>
                <w:noProof/>
                <w:webHidden/>
              </w:rPr>
              <w:fldChar w:fldCharType="begin"/>
            </w:r>
            <w:r w:rsidR="005736C7">
              <w:rPr>
                <w:noProof/>
                <w:webHidden/>
              </w:rPr>
              <w:instrText xml:space="preserve"> PAGEREF _Toc531264978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509375A8" w14:textId="00CDD289" w:rsidR="005736C7" w:rsidRDefault="00C4148C">
          <w:pPr>
            <w:pStyle w:val="TOC2"/>
            <w:tabs>
              <w:tab w:val="right" w:leader="dot" w:pos="9736"/>
            </w:tabs>
            <w:rPr>
              <w:rFonts w:eastAsiaTheme="minorEastAsia"/>
              <w:noProof/>
              <w:sz w:val="24"/>
              <w:szCs w:val="24"/>
              <w:lang w:val="en-US"/>
            </w:rPr>
          </w:pPr>
          <w:hyperlink w:anchor="_Toc531264979" w:history="1">
            <w:r w:rsidR="005736C7" w:rsidRPr="00827712">
              <w:rPr>
                <w:rStyle w:val="Hyperlink"/>
                <w:noProof/>
              </w:rPr>
              <w:t>Goal 17</w:t>
            </w:r>
            <w:r w:rsidR="005736C7">
              <w:rPr>
                <w:noProof/>
                <w:webHidden/>
              </w:rPr>
              <w:tab/>
            </w:r>
            <w:r w:rsidR="005736C7">
              <w:rPr>
                <w:noProof/>
                <w:webHidden/>
              </w:rPr>
              <w:fldChar w:fldCharType="begin"/>
            </w:r>
            <w:r w:rsidR="005736C7">
              <w:rPr>
                <w:noProof/>
                <w:webHidden/>
              </w:rPr>
              <w:instrText xml:space="preserve"> PAGEREF _Toc531264979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44158E2A" w14:textId="1EF007C5" w:rsidR="005736C7" w:rsidRDefault="00C4148C">
          <w:pPr>
            <w:pStyle w:val="TOC2"/>
            <w:tabs>
              <w:tab w:val="right" w:leader="dot" w:pos="9736"/>
            </w:tabs>
            <w:rPr>
              <w:rFonts w:eastAsiaTheme="minorEastAsia"/>
              <w:noProof/>
              <w:sz w:val="24"/>
              <w:szCs w:val="24"/>
              <w:lang w:val="en-US"/>
            </w:rPr>
          </w:pPr>
          <w:hyperlink w:anchor="_Toc531264980" w:history="1">
            <w:r w:rsidR="005736C7" w:rsidRPr="00827712">
              <w:rPr>
                <w:rStyle w:val="Hyperlink"/>
                <w:noProof/>
              </w:rPr>
              <w:t>Local context</w:t>
            </w:r>
            <w:r w:rsidR="005736C7">
              <w:rPr>
                <w:noProof/>
                <w:webHidden/>
              </w:rPr>
              <w:tab/>
            </w:r>
            <w:r w:rsidR="005736C7">
              <w:rPr>
                <w:noProof/>
                <w:webHidden/>
              </w:rPr>
              <w:fldChar w:fldCharType="begin"/>
            </w:r>
            <w:r w:rsidR="005736C7">
              <w:rPr>
                <w:noProof/>
                <w:webHidden/>
              </w:rPr>
              <w:instrText xml:space="preserve"> PAGEREF _Toc531264980 \h </w:instrText>
            </w:r>
            <w:r w:rsidR="005736C7">
              <w:rPr>
                <w:noProof/>
                <w:webHidden/>
              </w:rPr>
            </w:r>
            <w:r w:rsidR="005736C7">
              <w:rPr>
                <w:noProof/>
                <w:webHidden/>
              </w:rPr>
              <w:fldChar w:fldCharType="separate"/>
            </w:r>
            <w:r w:rsidR="005736C7">
              <w:rPr>
                <w:noProof/>
                <w:webHidden/>
              </w:rPr>
              <w:t>67</w:t>
            </w:r>
            <w:r w:rsidR="005736C7">
              <w:rPr>
                <w:noProof/>
                <w:webHidden/>
              </w:rPr>
              <w:fldChar w:fldCharType="end"/>
            </w:r>
          </w:hyperlink>
        </w:p>
        <w:p w14:paraId="09FBBCD3" w14:textId="28082F5A" w:rsidR="005736C7" w:rsidRDefault="00C4148C">
          <w:pPr>
            <w:pStyle w:val="TOC1"/>
            <w:rPr>
              <w:rFonts w:eastAsiaTheme="minorEastAsia"/>
              <w:noProof/>
              <w:sz w:val="24"/>
              <w:szCs w:val="24"/>
              <w:lang w:val="en-US"/>
            </w:rPr>
          </w:pPr>
          <w:hyperlink w:anchor="_Toc531264981" w:history="1">
            <w:r w:rsidR="005736C7" w:rsidRPr="00827712">
              <w:rPr>
                <w:rStyle w:val="Hyperlink"/>
                <w:noProof/>
              </w:rPr>
              <w:t>The Dubai Disability Strategy Framework</w:t>
            </w:r>
            <w:r w:rsidR="005736C7">
              <w:rPr>
                <w:noProof/>
                <w:webHidden/>
              </w:rPr>
              <w:tab/>
            </w:r>
            <w:r w:rsidR="005736C7">
              <w:rPr>
                <w:noProof/>
                <w:webHidden/>
              </w:rPr>
              <w:fldChar w:fldCharType="begin"/>
            </w:r>
            <w:r w:rsidR="005736C7">
              <w:rPr>
                <w:noProof/>
                <w:webHidden/>
              </w:rPr>
              <w:instrText xml:space="preserve"> PAGEREF _Toc531264981 \h </w:instrText>
            </w:r>
            <w:r w:rsidR="005736C7">
              <w:rPr>
                <w:noProof/>
                <w:webHidden/>
              </w:rPr>
            </w:r>
            <w:r w:rsidR="005736C7">
              <w:rPr>
                <w:noProof/>
                <w:webHidden/>
              </w:rPr>
              <w:fldChar w:fldCharType="separate"/>
            </w:r>
            <w:r w:rsidR="005736C7">
              <w:rPr>
                <w:noProof/>
                <w:webHidden/>
              </w:rPr>
              <w:t>69</w:t>
            </w:r>
            <w:r w:rsidR="005736C7">
              <w:rPr>
                <w:noProof/>
                <w:webHidden/>
              </w:rPr>
              <w:fldChar w:fldCharType="end"/>
            </w:r>
          </w:hyperlink>
        </w:p>
        <w:p w14:paraId="19879CC8" w14:textId="52BC0FB3" w:rsidR="005736C7" w:rsidRDefault="00C4148C">
          <w:pPr>
            <w:pStyle w:val="TOC2"/>
            <w:tabs>
              <w:tab w:val="right" w:leader="dot" w:pos="9736"/>
            </w:tabs>
            <w:rPr>
              <w:rFonts w:eastAsiaTheme="minorEastAsia"/>
              <w:noProof/>
              <w:sz w:val="24"/>
              <w:szCs w:val="24"/>
              <w:lang w:val="en-US"/>
            </w:rPr>
          </w:pPr>
          <w:hyperlink w:anchor="_Toc531264982" w:history="1">
            <w:r w:rsidR="005736C7" w:rsidRPr="00827712">
              <w:rPr>
                <w:rStyle w:val="Hyperlink"/>
                <w:noProof/>
              </w:rPr>
              <w:t>Local Context</w:t>
            </w:r>
            <w:r w:rsidR="005736C7">
              <w:rPr>
                <w:noProof/>
                <w:webHidden/>
              </w:rPr>
              <w:tab/>
            </w:r>
            <w:r w:rsidR="005736C7">
              <w:rPr>
                <w:noProof/>
                <w:webHidden/>
              </w:rPr>
              <w:fldChar w:fldCharType="begin"/>
            </w:r>
            <w:r w:rsidR="005736C7">
              <w:rPr>
                <w:noProof/>
                <w:webHidden/>
              </w:rPr>
              <w:instrText xml:space="preserve"> PAGEREF _Toc531264982 \h </w:instrText>
            </w:r>
            <w:r w:rsidR="005736C7">
              <w:rPr>
                <w:noProof/>
                <w:webHidden/>
              </w:rPr>
            </w:r>
            <w:r w:rsidR="005736C7">
              <w:rPr>
                <w:noProof/>
                <w:webHidden/>
              </w:rPr>
              <w:fldChar w:fldCharType="separate"/>
            </w:r>
            <w:r w:rsidR="005736C7">
              <w:rPr>
                <w:noProof/>
                <w:webHidden/>
              </w:rPr>
              <w:t>69</w:t>
            </w:r>
            <w:r w:rsidR="005736C7">
              <w:rPr>
                <w:noProof/>
                <w:webHidden/>
              </w:rPr>
              <w:fldChar w:fldCharType="end"/>
            </w:r>
          </w:hyperlink>
        </w:p>
        <w:p w14:paraId="02966BFE" w14:textId="53001F93" w:rsidR="005736C7" w:rsidRDefault="00C4148C">
          <w:pPr>
            <w:pStyle w:val="TOC1"/>
            <w:rPr>
              <w:rFonts w:eastAsiaTheme="minorEastAsia"/>
              <w:noProof/>
              <w:sz w:val="24"/>
              <w:szCs w:val="24"/>
              <w:lang w:val="en-US"/>
            </w:rPr>
          </w:pPr>
          <w:hyperlink w:anchor="_Toc531264983" w:history="1">
            <w:r w:rsidR="005736C7" w:rsidRPr="00827712">
              <w:rPr>
                <w:rStyle w:val="Hyperlink"/>
                <w:rFonts w:eastAsia="Times New Roman"/>
                <w:noProof/>
                <w:lang w:eastAsia="en-GB"/>
              </w:rPr>
              <w:t>Viet Nam</w:t>
            </w:r>
            <w:r w:rsidR="005736C7">
              <w:rPr>
                <w:noProof/>
                <w:webHidden/>
              </w:rPr>
              <w:tab/>
            </w:r>
            <w:r w:rsidR="005736C7">
              <w:rPr>
                <w:noProof/>
                <w:webHidden/>
              </w:rPr>
              <w:fldChar w:fldCharType="begin"/>
            </w:r>
            <w:r w:rsidR="005736C7">
              <w:rPr>
                <w:noProof/>
                <w:webHidden/>
              </w:rPr>
              <w:instrText xml:space="preserve"> PAGEREF _Toc531264983 \h </w:instrText>
            </w:r>
            <w:r w:rsidR="005736C7">
              <w:rPr>
                <w:noProof/>
                <w:webHidden/>
              </w:rPr>
            </w:r>
            <w:r w:rsidR="005736C7">
              <w:rPr>
                <w:noProof/>
                <w:webHidden/>
              </w:rPr>
              <w:fldChar w:fldCharType="separate"/>
            </w:r>
            <w:r w:rsidR="005736C7">
              <w:rPr>
                <w:noProof/>
                <w:webHidden/>
              </w:rPr>
              <w:t>70</w:t>
            </w:r>
            <w:r w:rsidR="005736C7">
              <w:rPr>
                <w:noProof/>
                <w:webHidden/>
              </w:rPr>
              <w:fldChar w:fldCharType="end"/>
            </w:r>
          </w:hyperlink>
        </w:p>
        <w:p w14:paraId="5FB99FC0" w14:textId="683D4480" w:rsidR="005736C7" w:rsidRDefault="00C4148C">
          <w:pPr>
            <w:pStyle w:val="TOC2"/>
            <w:tabs>
              <w:tab w:val="right" w:leader="dot" w:pos="9736"/>
            </w:tabs>
            <w:rPr>
              <w:rFonts w:eastAsiaTheme="minorEastAsia"/>
              <w:noProof/>
              <w:sz w:val="24"/>
              <w:szCs w:val="24"/>
              <w:lang w:val="en-US"/>
            </w:rPr>
          </w:pPr>
          <w:hyperlink w:anchor="_Toc531264984" w:history="1">
            <w:r w:rsidR="005736C7" w:rsidRPr="00827712">
              <w:rPr>
                <w:rStyle w:val="Hyperlink"/>
                <w:noProof/>
              </w:rPr>
              <w:t>Review of policies related to SDG 4</w:t>
            </w:r>
            <w:r w:rsidR="005736C7">
              <w:rPr>
                <w:noProof/>
                <w:webHidden/>
              </w:rPr>
              <w:tab/>
            </w:r>
            <w:r w:rsidR="005736C7">
              <w:rPr>
                <w:noProof/>
                <w:webHidden/>
              </w:rPr>
              <w:fldChar w:fldCharType="begin"/>
            </w:r>
            <w:r w:rsidR="005736C7">
              <w:rPr>
                <w:noProof/>
                <w:webHidden/>
              </w:rPr>
              <w:instrText xml:space="preserve"> PAGEREF _Toc531264984 \h </w:instrText>
            </w:r>
            <w:r w:rsidR="005736C7">
              <w:rPr>
                <w:noProof/>
                <w:webHidden/>
              </w:rPr>
            </w:r>
            <w:r w:rsidR="005736C7">
              <w:rPr>
                <w:noProof/>
                <w:webHidden/>
              </w:rPr>
              <w:fldChar w:fldCharType="separate"/>
            </w:r>
            <w:r w:rsidR="005736C7">
              <w:rPr>
                <w:noProof/>
                <w:webHidden/>
              </w:rPr>
              <w:t>72</w:t>
            </w:r>
            <w:r w:rsidR="005736C7">
              <w:rPr>
                <w:noProof/>
                <w:webHidden/>
              </w:rPr>
              <w:fldChar w:fldCharType="end"/>
            </w:r>
          </w:hyperlink>
        </w:p>
        <w:p w14:paraId="6F327698" w14:textId="359E02C5" w:rsidR="005736C7" w:rsidRDefault="00C4148C">
          <w:pPr>
            <w:pStyle w:val="TOC2"/>
            <w:tabs>
              <w:tab w:val="right" w:leader="dot" w:pos="9736"/>
            </w:tabs>
            <w:rPr>
              <w:rFonts w:eastAsiaTheme="minorEastAsia"/>
              <w:noProof/>
              <w:sz w:val="24"/>
              <w:szCs w:val="24"/>
              <w:lang w:val="en-US"/>
            </w:rPr>
          </w:pPr>
          <w:hyperlink w:anchor="_Toc531264985" w:history="1">
            <w:r w:rsidR="005736C7" w:rsidRPr="00827712">
              <w:rPr>
                <w:rStyle w:val="Hyperlink"/>
                <w:noProof/>
              </w:rPr>
              <w:t>Viet Nam’s efforts to support disadvantaged groups in society</w:t>
            </w:r>
            <w:r w:rsidR="005736C7">
              <w:rPr>
                <w:noProof/>
                <w:webHidden/>
              </w:rPr>
              <w:tab/>
            </w:r>
            <w:r w:rsidR="005736C7">
              <w:rPr>
                <w:noProof/>
                <w:webHidden/>
              </w:rPr>
              <w:fldChar w:fldCharType="begin"/>
            </w:r>
            <w:r w:rsidR="005736C7">
              <w:rPr>
                <w:noProof/>
                <w:webHidden/>
              </w:rPr>
              <w:instrText xml:space="preserve"> PAGEREF _Toc531264985 \h </w:instrText>
            </w:r>
            <w:r w:rsidR="005736C7">
              <w:rPr>
                <w:noProof/>
                <w:webHidden/>
              </w:rPr>
            </w:r>
            <w:r w:rsidR="005736C7">
              <w:rPr>
                <w:noProof/>
                <w:webHidden/>
              </w:rPr>
              <w:fldChar w:fldCharType="separate"/>
            </w:r>
            <w:r w:rsidR="005736C7">
              <w:rPr>
                <w:noProof/>
                <w:webHidden/>
              </w:rPr>
              <w:t>73</w:t>
            </w:r>
            <w:r w:rsidR="005736C7">
              <w:rPr>
                <w:noProof/>
                <w:webHidden/>
              </w:rPr>
              <w:fldChar w:fldCharType="end"/>
            </w:r>
          </w:hyperlink>
        </w:p>
        <w:p w14:paraId="7DFCA0FF" w14:textId="5BA0B2C0" w:rsidR="005736C7" w:rsidRDefault="00C4148C">
          <w:pPr>
            <w:pStyle w:val="TOC1"/>
            <w:rPr>
              <w:rFonts w:eastAsiaTheme="minorEastAsia"/>
              <w:noProof/>
              <w:sz w:val="24"/>
              <w:szCs w:val="24"/>
              <w:lang w:val="en-US"/>
            </w:rPr>
          </w:pPr>
          <w:hyperlink w:anchor="_Toc531264986" w:history="1">
            <w:r w:rsidR="005736C7" w:rsidRPr="00827712">
              <w:rPr>
                <w:rStyle w:val="Hyperlink"/>
                <w:noProof/>
              </w:rPr>
              <w:t>Annex 1 – Tally of references in country reports &amp; presentations</w:t>
            </w:r>
            <w:r w:rsidR="005736C7">
              <w:rPr>
                <w:noProof/>
                <w:webHidden/>
              </w:rPr>
              <w:tab/>
            </w:r>
            <w:r w:rsidR="005736C7">
              <w:rPr>
                <w:noProof/>
                <w:webHidden/>
              </w:rPr>
              <w:fldChar w:fldCharType="begin"/>
            </w:r>
            <w:r w:rsidR="005736C7">
              <w:rPr>
                <w:noProof/>
                <w:webHidden/>
              </w:rPr>
              <w:instrText xml:space="preserve"> PAGEREF _Toc531264986 \h </w:instrText>
            </w:r>
            <w:r w:rsidR="005736C7">
              <w:rPr>
                <w:noProof/>
                <w:webHidden/>
              </w:rPr>
            </w:r>
            <w:r w:rsidR="005736C7">
              <w:rPr>
                <w:noProof/>
                <w:webHidden/>
              </w:rPr>
              <w:fldChar w:fldCharType="separate"/>
            </w:r>
            <w:r w:rsidR="005736C7">
              <w:rPr>
                <w:noProof/>
                <w:webHidden/>
              </w:rPr>
              <w:t>74</w:t>
            </w:r>
            <w:r w:rsidR="005736C7">
              <w:rPr>
                <w:noProof/>
                <w:webHidden/>
              </w:rPr>
              <w:fldChar w:fldCharType="end"/>
            </w:r>
          </w:hyperlink>
        </w:p>
        <w:p w14:paraId="5FB95989" w14:textId="51E63101" w:rsidR="005736C7" w:rsidRDefault="00C4148C">
          <w:pPr>
            <w:pStyle w:val="TOC1"/>
            <w:rPr>
              <w:rFonts w:eastAsiaTheme="minorEastAsia"/>
              <w:noProof/>
              <w:sz w:val="24"/>
              <w:szCs w:val="24"/>
              <w:lang w:val="en-US"/>
            </w:rPr>
          </w:pPr>
          <w:hyperlink w:anchor="_Toc531264987" w:history="1">
            <w:r w:rsidR="005736C7" w:rsidRPr="00827712">
              <w:rPr>
                <w:rStyle w:val="Hyperlink"/>
                <w:noProof/>
              </w:rPr>
              <w:t>Annex 2 – Infographic illustrating HLPF2018 in Numbers</w:t>
            </w:r>
            <w:r w:rsidR="005736C7">
              <w:rPr>
                <w:noProof/>
                <w:webHidden/>
              </w:rPr>
              <w:tab/>
            </w:r>
            <w:r w:rsidR="005736C7">
              <w:rPr>
                <w:noProof/>
                <w:webHidden/>
              </w:rPr>
              <w:fldChar w:fldCharType="begin"/>
            </w:r>
            <w:r w:rsidR="005736C7">
              <w:rPr>
                <w:noProof/>
                <w:webHidden/>
              </w:rPr>
              <w:instrText xml:space="preserve"> PAGEREF _Toc531264987 \h </w:instrText>
            </w:r>
            <w:r w:rsidR="005736C7">
              <w:rPr>
                <w:noProof/>
                <w:webHidden/>
              </w:rPr>
            </w:r>
            <w:r w:rsidR="005736C7">
              <w:rPr>
                <w:noProof/>
                <w:webHidden/>
              </w:rPr>
              <w:fldChar w:fldCharType="separate"/>
            </w:r>
            <w:r w:rsidR="005736C7">
              <w:rPr>
                <w:noProof/>
                <w:webHidden/>
              </w:rPr>
              <w:t>77</w:t>
            </w:r>
            <w:r w:rsidR="005736C7">
              <w:rPr>
                <w:noProof/>
                <w:webHidden/>
              </w:rPr>
              <w:fldChar w:fldCharType="end"/>
            </w:r>
          </w:hyperlink>
        </w:p>
        <w:p w14:paraId="3A16ACCF" w14:textId="77777777" w:rsidR="0034274B" w:rsidRDefault="00B80C48">
          <w:r>
            <w:fldChar w:fldCharType="end"/>
          </w:r>
        </w:p>
      </w:sdtContent>
    </w:sdt>
    <w:p w14:paraId="12F05B6A" w14:textId="77777777" w:rsidR="000A506F" w:rsidRDefault="000A506F" w:rsidP="00D5090B">
      <w:pPr>
        <w:rPr>
          <w:rFonts w:ascii="Times New Roman" w:eastAsia="Calibri" w:hAnsi="Times New Roman" w:cs="Times New Roman"/>
          <w:b/>
          <w:sz w:val="24"/>
          <w:szCs w:val="24"/>
        </w:rPr>
      </w:pPr>
    </w:p>
    <w:p w14:paraId="29EFBFA9" w14:textId="77777777" w:rsidR="000A506F" w:rsidRDefault="000A506F" w:rsidP="00D5090B">
      <w:pPr>
        <w:rPr>
          <w:rFonts w:ascii="Times New Roman" w:eastAsia="Calibri" w:hAnsi="Times New Roman" w:cs="Times New Roman"/>
          <w:b/>
          <w:sz w:val="24"/>
          <w:szCs w:val="24"/>
        </w:rPr>
      </w:pPr>
    </w:p>
    <w:p w14:paraId="6D987B2D" w14:textId="77777777" w:rsidR="000A506F" w:rsidRDefault="000A506F" w:rsidP="00D5090B">
      <w:pPr>
        <w:rPr>
          <w:rFonts w:ascii="Times New Roman" w:eastAsia="Calibri" w:hAnsi="Times New Roman" w:cs="Times New Roman"/>
          <w:b/>
          <w:sz w:val="24"/>
          <w:szCs w:val="24"/>
        </w:rPr>
      </w:pPr>
    </w:p>
    <w:p w14:paraId="0DBA63D0" w14:textId="77777777" w:rsidR="000A506F" w:rsidRDefault="000A506F" w:rsidP="00D5090B">
      <w:pPr>
        <w:rPr>
          <w:rFonts w:ascii="Times New Roman" w:eastAsia="Calibri" w:hAnsi="Times New Roman" w:cs="Times New Roman"/>
          <w:b/>
          <w:sz w:val="24"/>
          <w:szCs w:val="24"/>
        </w:rPr>
      </w:pPr>
    </w:p>
    <w:p w14:paraId="4293DCC8" w14:textId="77777777" w:rsidR="000A506F" w:rsidRDefault="000A506F" w:rsidP="00D5090B">
      <w:pPr>
        <w:rPr>
          <w:rFonts w:ascii="Times New Roman" w:eastAsia="Calibri" w:hAnsi="Times New Roman" w:cs="Times New Roman"/>
          <w:b/>
          <w:sz w:val="24"/>
          <w:szCs w:val="24"/>
        </w:rPr>
      </w:pPr>
    </w:p>
    <w:p w14:paraId="3D89C3AA" w14:textId="77777777" w:rsidR="00876D20" w:rsidRDefault="00876D20" w:rsidP="00D5090B">
      <w:pPr>
        <w:rPr>
          <w:b/>
          <w:sz w:val="24"/>
          <w:szCs w:val="24"/>
        </w:rPr>
        <w:sectPr w:rsidR="00876D20" w:rsidSect="00876D20">
          <w:footerReference w:type="even" r:id="rId9"/>
          <w:footerReference w:type="default" r:id="rId10"/>
          <w:pgSz w:w="11906" w:h="16838"/>
          <w:pgMar w:top="1080" w:right="1080" w:bottom="1080" w:left="1080" w:header="706" w:footer="706" w:gutter="0"/>
          <w:cols w:space="708"/>
          <w:docGrid w:linePitch="360"/>
        </w:sectPr>
      </w:pPr>
    </w:p>
    <w:p w14:paraId="692436E2" w14:textId="555D86AB" w:rsidR="00711A5D" w:rsidRPr="000A506F" w:rsidRDefault="000E6353" w:rsidP="00FF73DA">
      <w:pPr>
        <w:pStyle w:val="Heading1"/>
        <w:rPr>
          <w:rFonts w:ascii="Times New Roman" w:eastAsia="Calibri" w:hAnsi="Times New Roman" w:cs="Times New Roman"/>
        </w:rPr>
      </w:pPr>
      <w:bookmarkStart w:id="2" w:name="_Toc531264857"/>
      <w:bookmarkEnd w:id="0"/>
      <w:r>
        <w:lastRenderedPageBreak/>
        <w:t>Commonly used abbreviations</w:t>
      </w:r>
      <w:bookmarkEnd w:id="2"/>
    </w:p>
    <w:tbl>
      <w:tblPr>
        <w:tblStyle w:val="TableGrid"/>
        <w:tblW w:w="0" w:type="auto"/>
        <w:tblLook w:val="04A0" w:firstRow="1" w:lastRow="0" w:firstColumn="1" w:lastColumn="0" w:noHBand="0" w:noVBand="1"/>
      </w:tblPr>
      <w:tblGrid>
        <w:gridCol w:w="1325"/>
        <w:gridCol w:w="7187"/>
      </w:tblGrid>
      <w:tr w:rsidR="000405CE" w:rsidRPr="00275F7B" w14:paraId="1E8EE61C" w14:textId="77777777" w:rsidTr="00FF73DA">
        <w:trPr>
          <w:trHeight w:val="70"/>
        </w:trPr>
        <w:tc>
          <w:tcPr>
            <w:tcW w:w="1325" w:type="dxa"/>
            <w:shd w:val="clear" w:color="auto" w:fill="auto"/>
          </w:tcPr>
          <w:p w14:paraId="6D8D57F5" w14:textId="77777777" w:rsidR="000405CE" w:rsidRDefault="000405CE" w:rsidP="00711A5D">
            <w:pPr>
              <w:rPr>
                <w:rFonts w:eastAsia="Calibri"/>
                <w:sz w:val="24"/>
                <w:szCs w:val="24"/>
              </w:rPr>
            </w:pPr>
            <w:r>
              <w:rPr>
                <w:rFonts w:eastAsia="Calibri"/>
                <w:sz w:val="24"/>
                <w:szCs w:val="24"/>
              </w:rPr>
              <w:t>ACDC</w:t>
            </w:r>
          </w:p>
        </w:tc>
        <w:tc>
          <w:tcPr>
            <w:tcW w:w="7187" w:type="dxa"/>
            <w:shd w:val="clear" w:color="auto" w:fill="auto"/>
          </w:tcPr>
          <w:p w14:paraId="62743129" w14:textId="77777777" w:rsidR="000405CE" w:rsidRDefault="000405CE" w:rsidP="00711A5D">
            <w:pPr>
              <w:rPr>
                <w:rFonts w:eastAsia="Calibri"/>
                <w:sz w:val="24"/>
                <w:szCs w:val="24"/>
              </w:rPr>
            </w:pPr>
            <w:r>
              <w:rPr>
                <w:rFonts w:eastAsia="Calibri"/>
                <w:sz w:val="24"/>
                <w:szCs w:val="24"/>
              </w:rPr>
              <w:t xml:space="preserve">Action to the Community Development </w:t>
            </w:r>
            <w:proofErr w:type="spellStart"/>
            <w:r>
              <w:rPr>
                <w:rFonts w:eastAsia="Calibri"/>
                <w:sz w:val="24"/>
                <w:szCs w:val="24"/>
              </w:rPr>
              <w:t>Center</w:t>
            </w:r>
            <w:proofErr w:type="spellEnd"/>
          </w:p>
        </w:tc>
      </w:tr>
      <w:tr w:rsidR="000405CE" w:rsidRPr="00275F7B" w14:paraId="43045DB9" w14:textId="77777777" w:rsidTr="00FF73DA">
        <w:trPr>
          <w:trHeight w:val="258"/>
        </w:trPr>
        <w:tc>
          <w:tcPr>
            <w:tcW w:w="1325" w:type="dxa"/>
            <w:shd w:val="clear" w:color="auto" w:fill="auto"/>
          </w:tcPr>
          <w:p w14:paraId="6B1E8F72" w14:textId="77777777" w:rsidR="000405CE" w:rsidRPr="00BD2CC5" w:rsidRDefault="000405CE" w:rsidP="00711A5D">
            <w:pPr>
              <w:rPr>
                <w:rFonts w:eastAsia="Calibri"/>
                <w:sz w:val="24"/>
                <w:szCs w:val="24"/>
              </w:rPr>
            </w:pPr>
            <w:r w:rsidRPr="00BD2CC5">
              <w:rPr>
                <w:rFonts w:eastAsia="Calibri"/>
                <w:sz w:val="24"/>
                <w:szCs w:val="24"/>
              </w:rPr>
              <w:t>ADF</w:t>
            </w:r>
          </w:p>
        </w:tc>
        <w:tc>
          <w:tcPr>
            <w:tcW w:w="7187" w:type="dxa"/>
            <w:shd w:val="clear" w:color="auto" w:fill="auto"/>
          </w:tcPr>
          <w:p w14:paraId="0E71E900" w14:textId="77777777" w:rsidR="000405CE" w:rsidRPr="00BD2CC5" w:rsidRDefault="000405CE" w:rsidP="00711A5D">
            <w:pPr>
              <w:rPr>
                <w:rFonts w:eastAsia="Calibri"/>
                <w:sz w:val="24"/>
                <w:szCs w:val="24"/>
              </w:rPr>
            </w:pPr>
            <w:r w:rsidRPr="00BD2CC5">
              <w:rPr>
                <w:rFonts w:eastAsia="Calibri"/>
                <w:sz w:val="24"/>
                <w:szCs w:val="24"/>
              </w:rPr>
              <w:t>African Disability Forum</w:t>
            </w:r>
          </w:p>
        </w:tc>
      </w:tr>
      <w:tr w:rsidR="000405CE" w:rsidRPr="00275F7B" w14:paraId="15CE342E" w14:textId="77777777" w:rsidTr="00BD2CC5">
        <w:trPr>
          <w:trHeight w:val="70"/>
        </w:trPr>
        <w:tc>
          <w:tcPr>
            <w:tcW w:w="1325" w:type="dxa"/>
            <w:shd w:val="clear" w:color="auto" w:fill="auto"/>
          </w:tcPr>
          <w:p w14:paraId="198C48F1" w14:textId="77777777" w:rsidR="000405CE" w:rsidRDefault="000405CE" w:rsidP="00711A5D">
            <w:pPr>
              <w:rPr>
                <w:rFonts w:eastAsia="Calibri"/>
                <w:sz w:val="24"/>
                <w:szCs w:val="24"/>
              </w:rPr>
            </w:pPr>
            <w:r>
              <w:rPr>
                <w:rFonts w:eastAsia="Calibri"/>
                <w:sz w:val="24"/>
                <w:szCs w:val="24"/>
              </w:rPr>
              <w:t>CEDAW</w:t>
            </w:r>
          </w:p>
        </w:tc>
        <w:tc>
          <w:tcPr>
            <w:tcW w:w="7187" w:type="dxa"/>
            <w:shd w:val="clear" w:color="auto" w:fill="auto"/>
          </w:tcPr>
          <w:p w14:paraId="35D70B03" w14:textId="6441D73D" w:rsidR="000405CE" w:rsidRDefault="000405CE" w:rsidP="00711A5D">
            <w:pPr>
              <w:rPr>
                <w:rFonts w:eastAsia="Calibri"/>
                <w:sz w:val="24"/>
                <w:szCs w:val="24"/>
              </w:rPr>
            </w:pPr>
            <w:r>
              <w:rPr>
                <w:rFonts w:eastAsia="Calibri"/>
                <w:sz w:val="24"/>
                <w:szCs w:val="24"/>
              </w:rPr>
              <w:t>Co</w:t>
            </w:r>
            <w:r w:rsidR="009B3898">
              <w:rPr>
                <w:rFonts w:eastAsia="Calibri"/>
                <w:sz w:val="24"/>
                <w:szCs w:val="24"/>
              </w:rPr>
              <w:t>mmittee</w:t>
            </w:r>
            <w:r>
              <w:rPr>
                <w:rFonts w:eastAsia="Calibri"/>
                <w:sz w:val="24"/>
                <w:szCs w:val="24"/>
              </w:rPr>
              <w:t xml:space="preserve"> on the Elimination </w:t>
            </w:r>
            <w:r w:rsidR="00200CBB">
              <w:rPr>
                <w:rFonts w:eastAsia="Calibri"/>
                <w:sz w:val="24"/>
                <w:szCs w:val="24"/>
              </w:rPr>
              <w:t xml:space="preserve">of </w:t>
            </w:r>
            <w:r>
              <w:rPr>
                <w:rFonts w:eastAsia="Calibri"/>
                <w:sz w:val="24"/>
                <w:szCs w:val="24"/>
              </w:rPr>
              <w:t xml:space="preserve">Discrimination </w:t>
            </w:r>
            <w:r w:rsidR="00200CBB">
              <w:rPr>
                <w:rFonts w:eastAsia="Calibri"/>
                <w:sz w:val="24"/>
                <w:szCs w:val="24"/>
              </w:rPr>
              <w:t>a</w:t>
            </w:r>
            <w:r>
              <w:rPr>
                <w:rFonts w:eastAsia="Calibri"/>
                <w:sz w:val="24"/>
                <w:szCs w:val="24"/>
              </w:rPr>
              <w:t>gainst Women</w:t>
            </w:r>
          </w:p>
        </w:tc>
      </w:tr>
      <w:tr w:rsidR="000405CE" w:rsidRPr="00275F7B" w14:paraId="163156F9" w14:textId="77777777" w:rsidTr="00FF73DA">
        <w:trPr>
          <w:trHeight w:val="258"/>
        </w:trPr>
        <w:tc>
          <w:tcPr>
            <w:tcW w:w="1325" w:type="dxa"/>
            <w:shd w:val="clear" w:color="auto" w:fill="auto"/>
          </w:tcPr>
          <w:p w14:paraId="22B48422" w14:textId="77777777" w:rsidR="000405CE" w:rsidRPr="00BD2CC5" w:rsidRDefault="000405CE" w:rsidP="00711A5D">
            <w:pPr>
              <w:rPr>
                <w:rFonts w:eastAsia="Calibri"/>
                <w:sz w:val="24"/>
                <w:szCs w:val="24"/>
              </w:rPr>
            </w:pPr>
            <w:r w:rsidRPr="00BD2CC5">
              <w:rPr>
                <w:rFonts w:eastAsia="Calibri"/>
                <w:sz w:val="24"/>
                <w:szCs w:val="24"/>
              </w:rPr>
              <w:t>CM</w:t>
            </w:r>
          </w:p>
        </w:tc>
        <w:tc>
          <w:tcPr>
            <w:tcW w:w="7187" w:type="dxa"/>
            <w:shd w:val="clear" w:color="auto" w:fill="auto"/>
          </w:tcPr>
          <w:p w14:paraId="023DC168" w14:textId="77777777" w:rsidR="000405CE" w:rsidRPr="00BD2CC5" w:rsidRDefault="000405CE" w:rsidP="00711A5D">
            <w:pPr>
              <w:rPr>
                <w:rFonts w:eastAsia="Calibri"/>
                <w:sz w:val="24"/>
                <w:szCs w:val="24"/>
              </w:rPr>
            </w:pPr>
            <w:r w:rsidRPr="00BD2CC5">
              <w:rPr>
                <w:rFonts w:eastAsia="Calibri"/>
                <w:sz w:val="24"/>
                <w:szCs w:val="24"/>
              </w:rPr>
              <w:t>Coordination Mechanism</w:t>
            </w:r>
          </w:p>
        </w:tc>
      </w:tr>
      <w:tr w:rsidR="000405CE" w:rsidRPr="00275F7B" w14:paraId="201059D3" w14:textId="77777777" w:rsidTr="00BD2CC5">
        <w:trPr>
          <w:trHeight w:val="70"/>
        </w:trPr>
        <w:tc>
          <w:tcPr>
            <w:tcW w:w="1325" w:type="dxa"/>
            <w:shd w:val="clear" w:color="auto" w:fill="auto"/>
          </w:tcPr>
          <w:p w14:paraId="7DE25E08" w14:textId="77777777" w:rsidR="000405CE" w:rsidRDefault="000405CE" w:rsidP="00711A5D">
            <w:pPr>
              <w:rPr>
                <w:rFonts w:eastAsia="Calibri"/>
                <w:sz w:val="24"/>
                <w:szCs w:val="24"/>
              </w:rPr>
            </w:pPr>
            <w:r>
              <w:rPr>
                <w:rFonts w:eastAsia="Calibri"/>
                <w:sz w:val="24"/>
                <w:szCs w:val="24"/>
              </w:rPr>
              <w:t>CSOs</w:t>
            </w:r>
          </w:p>
        </w:tc>
        <w:tc>
          <w:tcPr>
            <w:tcW w:w="7187" w:type="dxa"/>
            <w:shd w:val="clear" w:color="auto" w:fill="auto"/>
          </w:tcPr>
          <w:p w14:paraId="703E4600" w14:textId="77777777" w:rsidR="000405CE" w:rsidRDefault="000405CE" w:rsidP="00711A5D">
            <w:pPr>
              <w:rPr>
                <w:rFonts w:eastAsia="Calibri"/>
                <w:sz w:val="24"/>
                <w:szCs w:val="24"/>
              </w:rPr>
            </w:pPr>
            <w:r>
              <w:rPr>
                <w:rFonts w:eastAsia="Calibri"/>
                <w:sz w:val="24"/>
                <w:szCs w:val="24"/>
              </w:rPr>
              <w:t>Civil society organizations</w:t>
            </w:r>
          </w:p>
        </w:tc>
      </w:tr>
      <w:tr w:rsidR="000405CE" w:rsidRPr="00275F7B" w14:paraId="7EA5355A" w14:textId="77777777" w:rsidTr="00FF73DA">
        <w:trPr>
          <w:trHeight w:val="289"/>
        </w:trPr>
        <w:tc>
          <w:tcPr>
            <w:tcW w:w="1325" w:type="dxa"/>
            <w:shd w:val="clear" w:color="auto" w:fill="auto"/>
          </w:tcPr>
          <w:p w14:paraId="2E52B5D1" w14:textId="77777777" w:rsidR="000405CE" w:rsidRPr="00275F7B" w:rsidRDefault="000405CE" w:rsidP="00711A5D">
            <w:pPr>
              <w:rPr>
                <w:rFonts w:eastAsia="Calibri"/>
                <w:sz w:val="24"/>
                <w:szCs w:val="24"/>
              </w:rPr>
            </w:pPr>
            <w:r w:rsidRPr="00275F7B">
              <w:rPr>
                <w:rFonts w:eastAsia="Calibri"/>
                <w:sz w:val="24"/>
                <w:szCs w:val="24"/>
              </w:rPr>
              <w:t>DPOs</w:t>
            </w:r>
          </w:p>
        </w:tc>
        <w:tc>
          <w:tcPr>
            <w:tcW w:w="7187" w:type="dxa"/>
            <w:shd w:val="clear" w:color="auto" w:fill="auto"/>
          </w:tcPr>
          <w:p w14:paraId="3615D550" w14:textId="4A619B48" w:rsidR="000405CE" w:rsidRPr="00275F7B" w:rsidRDefault="000405CE" w:rsidP="00711A5D">
            <w:pPr>
              <w:rPr>
                <w:rFonts w:eastAsia="Calibri"/>
                <w:sz w:val="24"/>
                <w:szCs w:val="24"/>
              </w:rPr>
            </w:pPr>
            <w:r w:rsidRPr="00275F7B">
              <w:rPr>
                <w:rFonts w:eastAsia="Calibri"/>
                <w:sz w:val="24"/>
                <w:szCs w:val="24"/>
              </w:rPr>
              <w:t>Organizations</w:t>
            </w:r>
            <w:r>
              <w:rPr>
                <w:rFonts w:eastAsia="Calibri"/>
                <w:sz w:val="24"/>
                <w:szCs w:val="24"/>
              </w:rPr>
              <w:t xml:space="preserve"> of </w:t>
            </w:r>
            <w:r w:rsidR="00CB49DB">
              <w:rPr>
                <w:rFonts w:eastAsia="Calibri"/>
                <w:sz w:val="24"/>
                <w:szCs w:val="24"/>
              </w:rPr>
              <w:t>p</w:t>
            </w:r>
            <w:r>
              <w:rPr>
                <w:rFonts w:eastAsia="Calibri"/>
                <w:sz w:val="24"/>
                <w:szCs w:val="24"/>
              </w:rPr>
              <w:t xml:space="preserve">ersons with </w:t>
            </w:r>
            <w:r w:rsidR="00CB49DB">
              <w:rPr>
                <w:rFonts w:eastAsia="Calibri"/>
                <w:sz w:val="24"/>
                <w:szCs w:val="24"/>
              </w:rPr>
              <w:t>d</w:t>
            </w:r>
            <w:r>
              <w:rPr>
                <w:rFonts w:eastAsia="Calibri"/>
                <w:sz w:val="24"/>
                <w:szCs w:val="24"/>
              </w:rPr>
              <w:t>isabilities</w:t>
            </w:r>
          </w:p>
        </w:tc>
      </w:tr>
      <w:tr w:rsidR="000405CE" w:rsidRPr="00275F7B" w14:paraId="5A562437" w14:textId="77777777" w:rsidTr="00FF73DA">
        <w:trPr>
          <w:trHeight w:val="370"/>
        </w:trPr>
        <w:tc>
          <w:tcPr>
            <w:tcW w:w="1325" w:type="dxa"/>
            <w:shd w:val="clear" w:color="auto" w:fill="auto"/>
          </w:tcPr>
          <w:p w14:paraId="22FCAEFD" w14:textId="77777777" w:rsidR="000405CE" w:rsidRPr="00275F7B" w:rsidRDefault="000405CE" w:rsidP="00711A5D">
            <w:pPr>
              <w:rPr>
                <w:sz w:val="24"/>
                <w:szCs w:val="24"/>
              </w:rPr>
            </w:pPr>
            <w:r w:rsidRPr="00275F7B">
              <w:rPr>
                <w:rFonts w:eastAsia="Calibri"/>
                <w:sz w:val="24"/>
                <w:szCs w:val="24"/>
              </w:rPr>
              <w:t>ECOSOC</w:t>
            </w:r>
          </w:p>
        </w:tc>
        <w:tc>
          <w:tcPr>
            <w:tcW w:w="7187" w:type="dxa"/>
            <w:shd w:val="clear" w:color="auto" w:fill="auto"/>
          </w:tcPr>
          <w:p w14:paraId="52D1EBF6" w14:textId="77777777" w:rsidR="000405CE" w:rsidRPr="00275F7B" w:rsidRDefault="000405CE" w:rsidP="00711A5D">
            <w:pPr>
              <w:rPr>
                <w:sz w:val="24"/>
                <w:szCs w:val="24"/>
              </w:rPr>
            </w:pPr>
            <w:r w:rsidRPr="00275F7B">
              <w:rPr>
                <w:rFonts w:eastAsia="Calibri"/>
                <w:bCs/>
                <w:color w:val="000000" w:themeColor="text1"/>
                <w:sz w:val="24"/>
                <w:szCs w:val="24"/>
              </w:rPr>
              <w:t>United</w:t>
            </w:r>
            <w:r>
              <w:rPr>
                <w:rFonts w:eastAsia="Calibri"/>
                <w:bCs/>
                <w:color w:val="000000" w:themeColor="text1"/>
                <w:sz w:val="24"/>
                <w:szCs w:val="24"/>
              </w:rPr>
              <w:t xml:space="preserve"> </w:t>
            </w:r>
            <w:r w:rsidRPr="00275F7B">
              <w:rPr>
                <w:rFonts w:eastAsia="Calibri"/>
                <w:bCs/>
                <w:color w:val="000000" w:themeColor="text1"/>
                <w:sz w:val="24"/>
                <w:szCs w:val="24"/>
              </w:rPr>
              <w:t>Nations</w:t>
            </w:r>
            <w:r>
              <w:rPr>
                <w:rFonts w:eastAsia="Calibri"/>
                <w:bCs/>
                <w:color w:val="000000" w:themeColor="text1"/>
                <w:sz w:val="24"/>
                <w:szCs w:val="24"/>
              </w:rPr>
              <w:t xml:space="preserve"> </w:t>
            </w:r>
            <w:r w:rsidRPr="00275F7B">
              <w:rPr>
                <w:rFonts w:eastAsia="Calibri"/>
                <w:bCs/>
                <w:color w:val="000000" w:themeColor="text1"/>
                <w:sz w:val="24"/>
                <w:szCs w:val="24"/>
              </w:rPr>
              <w:t>Economic</w:t>
            </w:r>
            <w:r>
              <w:rPr>
                <w:rFonts w:eastAsia="Calibri"/>
                <w:bCs/>
                <w:color w:val="000000" w:themeColor="text1"/>
                <w:sz w:val="24"/>
                <w:szCs w:val="24"/>
              </w:rPr>
              <w:t xml:space="preserve"> </w:t>
            </w:r>
            <w:r w:rsidRPr="00275F7B">
              <w:rPr>
                <w:rFonts w:eastAsia="Calibri"/>
                <w:bCs/>
                <w:color w:val="000000" w:themeColor="text1"/>
                <w:sz w:val="24"/>
                <w:szCs w:val="24"/>
              </w:rPr>
              <w:t>and</w:t>
            </w:r>
            <w:r>
              <w:rPr>
                <w:rFonts w:eastAsia="Calibri"/>
                <w:bCs/>
                <w:color w:val="000000" w:themeColor="text1"/>
                <w:sz w:val="24"/>
                <w:szCs w:val="24"/>
              </w:rPr>
              <w:t xml:space="preserve"> </w:t>
            </w:r>
            <w:r w:rsidRPr="00275F7B">
              <w:rPr>
                <w:rFonts w:eastAsia="Calibri"/>
                <w:bCs/>
                <w:color w:val="000000" w:themeColor="text1"/>
                <w:sz w:val="24"/>
                <w:szCs w:val="24"/>
              </w:rPr>
              <w:t>Social</w:t>
            </w:r>
            <w:r>
              <w:rPr>
                <w:rFonts w:eastAsia="Calibri"/>
                <w:bCs/>
                <w:color w:val="000000" w:themeColor="text1"/>
                <w:sz w:val="24"/>
                <w:szCs w:val="24"/>
              </w:rPr>
              <w:t xml:space="preserve"> </w:t>
            </w:r>
            <w:r w:rsidRPr="00275F7B">
              <w:rPr>
                <w:rFonts w:eastAsia="Calibri"/>
                <w:bCs/>
                <w:color w:val="000000" w:themeColor="text1"/>
                <w:sz w:val="24"/>
                <w:szCs w:val="24"/>
              </w:rPr>
              <w:t>Council</w:t>
            </w:r>
          </w:p>
        </w:tc>
      </w:tr>
      <w:tr w:rsidR="000405CE" w:rsidRPr="00275F7B" w14:paraId="0DA2A88E" w14:textId="77777777" w:rsidTr="00BD2CC5">
        <w:trPr>
          <w:trHeight w:val="70"/>
        </w:trPr>
        <w:tc>
          <w:tcPr>
            <w:tcW w:w="1325" w:type="dxa"/>
            <w:shd w:val="clear" w:color="auto" w:fill="auto"/>
          </w:tcPr>
          <w:p w14:paraId="35B848BE" w14:textId="77777777" w:rsidR="000405CE" w:rsidRDefault="000405CE" w:rsidP="00711A5D">
            <w:pPr>
              <w:rPr>
                <w:rFonts w:eastAsia="Calibri"/>
                <w:sz w:val="24"/>
                <w:szCs w:val="24"/>
              </w:rPr>
            </w:pPr>
            <w:r>
              <w:rPr>
                <w:rFonts w:eastAsia="Calibri"/>
                <w:sz w:val="24"/>
                <w:szCs w:val="24"/>
              </w:rPr>
              <w:t>EU</w:t>
            </w:r>
          </w:p>
        </w:tc>
        <w:tc>
          <w:tcPr>
            <w:tcW w:w="7187" w:type="dxa"/>
            <w:shd w:val="clear" w:color="auto" w:fill="auto"/>
          </w:tcPr>
          <w:p w14:paraId="79CB770A" w14:textId="77777777" w:rsidR="000405CE" w:rsidRDefault="000405CE" w:rsidP="00711A5D">
            <w:pPr>
              <w:rPr>
                <w:rFonts w:eastAsia="Calibri"/>
                <w:sz w:val="24"/>
                <w:szCs w:val="24"/>
              </w:rPr>
            </w:pPr>
            <w:r>
              <w:rPr>
                <w:rFonts w:eastAsia="Calibri"/>
                <w:sz w:val="24"/>
                <w:szCs w:val="24"/>
              </w:rPr>
              <w:t>European Union</w:t>
            </w:r>
          </w:p>
        </w:tc>
      </w:tr>
      <w:tr w:rsidR="000405CE" w:rsidRPr="00275F7B" w14:paraId="4A52445D" w14:textId="77777777" w:rsidTr="00BD2CC5">
        <w:trPr>
          <w:trHeight w:val="70"/>
        </w:trPr>
        <w:tc>
          <w:tcPr>
            <w:tcW w:w="1325" w:type="dxa"/>
            <w:shd w:val="clear" w:color="auto" w:fill="auto"/>
          </w:tcPr>
          <w:p w14:paraId="4319FB94" w14:textId="77777777" w:rsidR="000405CE" w:rsidRDefault="000405CE" w:rsidP="00711A5D">
            <w:pPr>
              <w:rPr>
                <w:rFonts w:eastAsia="Calibri"/>
                <w:sz w:val="24"/>
                <w:szCs w:val="24"/>
              </w:rPr>
            </w:pPr>
            <w:r>
              <w:rPr>
                <w:rFonts w:eastAsia="Calibri"/>
                <w:sz w:val="24"/>
                <w:szCs w:val="24"/>
              </w:rPr>
              <w:t>GLAD</w:t>
            </w:r>
          </w:p>
        </w:tc>
        <w:tc>
          <w:tcPr>
            <w:tcW w:w="7187" w:type="dxa"/>
            <w:shd w:val="clear" w:color="auto" w:fill="auto"/>
          </w:tcPr>
          <w:p w14:paraId="56D52751" w14:textId="77777777" w:rsidR="000405CE" w:rsidRDefault="000405CE" w:rsidP="00711A5D">
            <w:pPr>
              <w:rPr>
                <w:rFonts w:eastAsia="Calibri"/>
                <w:sz w:val="24"/>
                <w:szCs w:val="24"/>
              </w:rPr>
            </w:pPr>
            <w:r>
              <w:rPr>
                <w:rFonts w:eastAsia="Calibri"/>
                <w:sz w:val="24"/>
                <w:szCs w:val="24"/>
              </w:rPr>
              <w:t>Global Action on Disability network</w:t>
            </w:r>
          </w:p>
        </w:tc>
      </w:tr>
      <w:tr w:rsidR="000405CE" w:rsidRPr="00275F7B" w14:paraId="2E12A0F8" w14:textId="77777777" w:rsidTr="00BD2CC5">
        <w:trPr>
          <w:trHeight w:val="70"/>
        </w:trPr>
        <w:tc>
          <w:tcPr>
            <w:tcW w:w="1325" w:type="dxa"/>
            <w:shd w:val="clear" w:color="auto" w:fill="auto"/>
          </w:tcPr>
          <w:p w14:paraId="511579E1" w14:textId="77777777" w:rsidR="000405CE" w:rsidRDefault="000405CE" w:rsidP="00711A5D">
            <w:pPr>
              <w:rPr>
                <w:rFonts w:eastAsia="Calibri"/>
                <w:sz w:val="24"/>
                <w:szCs w:val="24"/>
              </w:rPr>
            </w:pPr>
            <w:r>
              <w:rPr>
                <w:rFonts w:eastAsia="Calibri"/>
                <w:sz w:val="24"/>
                <w:szCs w:val="24"/>
              </w:rPr>
              <w:t>GNI</w:t>
            </w:r>
          </w:p>
        </w:tc>
        <w:tc>
          <w:tcPr>
            <w:tcW w:w="7187" w:type="dxa"/>
            <w:shd w:val="clear" w:color="auto" w:fill="auto"/>
          </w:tcPr>
          <w:p w14:paraId="3FF17B43" w14:textId="77777777" w:rsidR="000405CE" w:rsidRDefault="000405CE" w:rsidP="00711A5D">
            <w:pPr>
              <w:rPr>
                <w:rFonts w:eastAsia="Calibri"/>
                <w:sz w:val="24"/>
                <w:szCs w:val="24"/>
              </w:rPr>
            </w:pPr>
            <w:r>
              <w:rPr>
                <w:rFonts w:eastAsia="Calibri"/>
                <w:sz w:val="24"/>
                <w:szCs w:val="24"/>
              </w:rPr>
              <w:t>Gross national income</w:t>
            </w:r>
          </w:p>
        </w:tc>
      </w:tr>
      <w:tr w:rsidR="000405CE" w:rsidRPr="00275F7B" w14:paraId="1549B0CF" w14:textId="77777777" w:rsidTr="00BD2CC5">
        <w:trPr>
          <w:trHeight w:val="70"/>
        </w:trPr>
        <w:tc>
          <w:tcPr>
            <w:tcW w:w="1325" w:type="dxa"/>
            <w:shd w:val="clear" w:color="auto" w:fill="auto"/>
          </w:tcPr>
          <w:p w14:paraId="1BB60597" w14:textId="77777777" w:rsidR="000405CE" w:rsidRDefault="000405CE" w:rsidP="00711A5D">
            <w:pPr>
              <w:rPr>
                <w:rFonts w:eastAsia="Calibri"/>
                <w:sz w:val="24"/>
                <w:szCs w:val="24"/>
              </w:rPr>
            </w:pPr>
            <w:r>
              <w:rPr>
                <w:rFonts w:eastAsia="Calibri"/>
                <w:sz w:val="24"/>
                <w:szCs w:val="24"/>
              </w:rPr>
              <w:t>H.E.</w:t>
            </w:r>
          </w:p>
        </w:tc>
        <w:tc>
          <w:tcPr>
            <w:tcW w:w="7187" w:type="dxa"/>
            <w:shd w:val="clear" w:color="auto" w:fill="auto"/>
          </w:tcPr>
          <w:p w14:paraId="31012DE0" w14:textId="77777777" w:rsidR="000405CE" w:rsidRDefault="000405CE" w:rsidP="00711A5D">
            <w:pPr>
              <w:rPr>
                <w:rFonts w:eastAsia="Calibri"/>
                <w:sz w:val="24"/>
                <w:szCs w:val="24"/>
              </w:rPr>
            </w:pPr>
            <w:r>
              <w:rPr>
                <w:rFonts w:eastAsia="Calibri"/>
                <w:sz w:val="24"/>
                <w:szCs w:val="24"/>
              </w:rPr>
              <w:t>His/ Her Excellency</w:t>
            </w:r>
          </w:p>
        </w:tc>
      </w:tr>
      <w:tr w:rsidR="000405CE" w:rsidRPr="00275F7B" w14:paraId="5908E428" w14:textId="77777777" w:rsidTr="00FF73DA">
        <w:trPr>
          <w:trHeight w:val="289"/>
        </w:trPr>
        <w:tc>
          <w:tcPr>
            <w:tcW w:w="1325" w:type="dxa"/>
            <w:shd w:val="clear" w:color="auto" w:fill="auto"/>
          </w:tcPr>
          <w:p w14:paraId="4710C526" w14:textId="77777777" w:rsidR="000405CE" w:rsidRPr="00275F7B" w:rsidRDefault="000405CE" w:rsidP="00711A5D">
            <w:pPr>
              <w:rPr>
                <w:rFonts w:eastAsia="Calibri"/>
                <w:sz w:val="24"/>
                <w:szCs w:val="24"/>
              </w:rPr>
            </w:pPr>
            <w:r w:rsidRPr="00275F7B">
              <w:rPr>
                <w:rFonts w:eastAsia="Calibri"/>
                <w:sz w:val="24"/>
                <w:szCs w:val="24"/>
              </w:rPr>
              <w:t>HLPF</w:t>
            </w:r>
          </w:p>
        </w:tc>
        <w:tc>
          <w:tcPr>
            <w:tcW w:w="7187" w:type="dxa"/>
            <w:shd w:val="clear" w:color="auto" w:fill="auto"/>
          </w:tcPr>
          <w:p w14:paraId="69681560" w14:textId="77777777" w:rsidR="000405CE" w:rsidRPr="00275F7B" w:rsidRDefault="000405CE" w:rsidP="00711A5D">
            <w:pPr>
              <w:rPr>
                <w:rFonts w:eastAsia="Calibri"/>
                <w:sz w:val="24"/>
                <w:szCs w:val="24"/>
              </w:rPr>
            </w:pPr>
            <w:r w:rsidRPr="00275F7B">
              <w:rPr>
                <w:rFonts w:eastAsia="Calibri"/>
                <w:sz w:val="24"/>
                <w:szCs w:val="24"/>
              </w:rPr>
              <w:t>High</w:t>
            </w:r>
            <w:r w:rsidRPr="00275F7B">
              <w:rPr>
                <w:sz w:val="24"/>
                <w:szCs w:val="24"/>
              </w:rPr>
              <w:t>-</w:t>
            </w:r>
            <w:r w:rsidRPr="00275F7B">
              <w:rPr>
                <w:rFonts w:eastAsia="Calibri"/>
                <w:sz w:val="24"/>
                <w:szCs w:val="24"/>
              </w:rPr>
              <w:t>level</w:t>
            </w:r>
            <w:r>
              <w:rPr>
                <w:rFonts w:eastAsia="Calibri"/>
                <w:sz w:val="24"/>
                <w:szCs w:val="24"/>
              </w:rPr>
              <w:t xml:space="preserve"> </w:t>
            </w:r>
            <w:r w:rsidRPr="00275F7B">
              <w:rPr>
                <w:rFonts w:eastAsia="Calibri"/>
                <w:sz w:val="24"/>
                <w:szCs w:val="24"/>
              </w:rPr>
              <w:t>Political</w:t>
            </w:r>
            <w:r>
              <w:rPr>
                <w:rFonts w:eastAsia="Calibri"/>
                <w:sz w:val="24"/>
                <w:szCs w:val="24"/>
              </w:rPr>
              <w:t xml:space="preserve"> </w:t>
            </w:r>
            <w:r w:rsidRPr="00275F7B">
              <w:rPr>
                <w:rFonts w:eastAsia="Calibri"/>
                <w:sz w:val="24"/>
                <w:szCs w:val="24"/>
              </w:rPr>
              <w:t>Forum</w:t>
            </w:r>
          </w:p>
        </w:tc>
      </w:tr>
      <w:tr w:rsidR="000405CE" w:rsidRPr="00275F7B" w14:paraId="6E08799C" w14:textId="77777777" w:rsidTr="00FF73DA">
        <w:trPr>
          <w:trHeight w:val="277"/>
        </w:trPr>
        <w:tc>
          <w:tcPr>
            <w:tcW w:w="1325" w:type="dxa"/>
            <w:shd w:val="clear" w:color="auto" w:fill="auto"/>
          </w:tcPr>
          <w:p w14:paraId="4525BC08" w14:textId="77777777" w:rsidR="000405CE" w:rsidRPr="00275F7B" w:rsidRDefault="000405CE" w:rsidP="00711A5D">
            <w:pPr>
              <w:rPr>
                <w:rFonts w:eastAsia="Calibri"/>
                <w:sz w:val="24"/>
                <w:szCs w:val="24"/>
              </w:rPr>
            </w:pPr>
            <w:r w:rsidRPr="00275F7B">
              <w:rPr>
                <w:rFonts w:eastAsia="Calibri"/>
                <w:sz w:val="24"/>
                <w:szCs w:val="24"/>
              </w:rPr>
              <w:t>IDA</w:t>
            </w:r>
          </w:p>
        </w:tc>
        <w:tc>
          <w:tcPr>
            <w:tcW w:w="7187" w:type="dxa"/>
            <w:shd w:val="clear" w:color="auto" w:fill="auto"/>
          </w:tcPr>
          <w:p w14:paraId="53AB4F27" w14:textId="77777777" w:rsidR="000405CE" w:rsidRPr="00275F7B" w:rsidRDefault="000405CE" w:rsidP="00711A5D">
            <w:pPr>
              <w:rPr>
                <w:rFonts w:eastAsia="Calibri"/>
                <w:sz w:val="24"/>
                <w:szCs w:val="24"/>
              </w:rPr>
            </w:pPr>
            <w:r w:rsidRPr="00275F7B">
              <w:rPr>
                <w:rFonts w:eastAsia="Calibri"/>
                <w:sz w:val="24"/>
                <w:szCs w:val="24"/>
              </w:rPr>
              <w:t>International</w:t>
            </w:r>
            <w:r>
              <w:rPr>
                <w:rFonts w:eastAsia="Calibri"/>
                <w:sz w:val="24"/>
                <w:szCs w:val="24"/>
              </w:rPr>
              <w:t xml:space="preserve"> </w:t>
            </w:r>
            <w:r w:rsidRPr="00275F7B">
              <w:rPr>
                <w:rFonts w:eastAsia="Calibri"/>
                <w:sz w:val="24"/>
                <w:szCs w:val="24"/>
              </w:rPr>
              <w:t>Disability</w:t>
            </w:r>
            <w:r>
              <w:rPr>
                <w:rFonts w:eastAsia="Calibri"/>
                <w:sz w:val="24"/>
                <w:szCs w:val="24"/>
              </w:rPr>
              <w:t xml:space="preserve"> </w:t>
            </w:r>
            <w:r w:rsidRPr="00275F7B">
              <w:rPr>
                <w:rFonts w:eastAsia="Calibri"/>
                <w:sz w:val="24"/>
                <w:szCs w:val="24"/>
              </w:rPr>
              <w:t>Alliance</w:t>
            </w:r>
          </w:p>
        </w:tc>
      </w:tr>
      <w:tr w:rsidR="000405CE" w:rsidRPr="00275F7B" w14:paraId="6EE3CC45" w14:textId="77777777" w:rsidTr="00FF73DA">
        <w:trPr>
          <w:trHeight w:val="308"/>
        </w:trPr>
        <w:tc>
          <w:tcPr>
            <w:tcW w:w="1325" w:type="dxa"/>
            <w:shd w:val="clear" w:color="auto" w:fill="auto"/>
          </w:tcPr>
          <w:p w14:paraId="562E4BD5" w14:textId="77777777" w:rsidR="000405CE" w:rsidRPr="00275F7B" w:rsidRDefault="000405CE" w:rsidP="00711A5D">
            <w:pPr>
              <w:rPr>
                <w:rFonts w:eastAsia="Calibri"/>
                <w:sz w:val="24"/>
                <w:szCs w:val="24"/>
              </w:rPr>
            </w:pPr>
            <w:r w:rsidRPr="00275F7B">
              <w:rPr>
                <w:rFonts w:eastAsia="Calibri"/>
                <w:sz w:val="24"/>
                <w:szCs w:val="24"/>
              </w:rPr>
              <w:t>IDDC</w:t>
            </w:r>
          </w:p>
        </w:tc>
        <w:tc>
          <w:tcPr>
            <w:tcW w:w="7187" w:type="dxa"/>
            <w:shd w:val="clear" w:color="auto" w:fill="auto"/>
          </w:tcPr>
          <w:p w14:paraId="49201574" w14:textId="77777777" w:rsidR="000405CE" w:rsidRPr="00275F7B" w:rsidRDefault="000405CE" w:rsidP="00711A5D">
            <w:pPr>
              <w:rPr>
                <w:rFonts w:eastAsia="Calibri"/>
                <w:sz w:val="24"/>
                <w:szCs w:val="24"/>
              </w:rPr>
            </w:pPr>
            <w:r w:rsidRPr="00275F7B">
              <w:rPr>
                <w:rFonts w:eastAsia="Calibri"/>
                <w:sz w:val="24"/>
                <w:szCs w:val="24"/>
              </w:rPr>
              <w:t>International</w:t>
            </w:r>
            <w:r>
              <w:rPr>
                <w:rFonts w:eastAsia="Calibri"/>
                <w:sz w:val="24"/>
                <w:szCs w:val="24"/>
              </w:rPr>
              <w:t xml:space="preserve"> </w:t>
            </w:r>
            <w:r w:rsidRPr="00275F7B">
              <w:rPr>
                <w:rFonts w:eastAsia="Calibri"/>
                <w:sz w:val="24"/>
                <w:szCs w:val="24"/>
              </w:rPr>
              <w:t>Disability</w:t>
            </w:r>
            <w:r>
              <w:rPr>
                <w:rFonts w:eastAsia="Calibri"/>
                <w:sz w:val="24"/>
                <w:szCs w:val="24"/>
              </w:rPr>
              <w:t xml:space="preserve"> </w:t>
            </w:r>
            <w:r w:rsidRPr="00275F7B">
              <w:rPr>
                <w:rFonts w:eastAsia="Calibri"/>
                <w:sz w:val="24"/>
                <w:szCs w:val="24"/>
              </w:rPr>
              <w:t>and</w:t>
            </w:r>
            <w:r>
              <w:rPr>
                <w:rFonts w:eastAsia="Calibri"/>
                <w:sz w:val="24"/>
                <w:szCs w:val="24"/>
              </w:rPr>
              <w:t xml:space="preserve"> </w:t>
            </w:r>
            <w:r w:rsidRPr="00275F7B">
              <w:rPr>
                <w:rFonts w:eastAsia="Calibri"/>
                <w:sz w:val="24"/>
                <w:szCs w:val="24"/>
              </w:rPr>
              <w:t>Development</w:t>
            </w:r>
            <w:r>
              <w:rPr>
                <w:rFonts w:eastAsia="Calibri"/>
                <w:sz w:val="24"/>
                <w:szCs w:val="24"/>
              </w:rPr>
              <w:t xml:space="preserve"> </w:t>
            </w:r>
            <w:r w:rsidRPr="00275F7B">
              <w:rPr>
                <w:rFonts w:eastAsia="Calibri"/>
                <w:sz w:val="24"/>
                <w:szCs w:val="24"/>
              </w:rPr>
              <w:t>Consortium</w:t>
            </w:r>
          </w:p>
        </w:tc>
      </w:tr>
      <w:tr w:rsidR="000405CE" w:rsidRPr="00275F7B" w14:paraId="0CAEA729" w14:textId="77777777" w:rsidTr="00BD2CC5">
        <w:trPr>
          <w:trHeight w:val="70"/>
        </w:trPr>
        <w:tc>
          <w:tcPr>
            <w:tcW w:w="1325" w:type="dxa"/>
            <w:shd w:val="clear" w:color="auto" w:fill="auto"/>
          </w:tcPr>
          <w:p w14:paraId="342057B2" w14:textId="77777777" w:rsidR="000405CE" w:rsidRDefault="000405CE" w:rsidP="00711A5D">
            <w:pPr>
              <w:rPr>
                <w:rFonts w:eastAsia="Calibri"/>
                <w:sz w:val="24"/>
                <w:szCs w:val="24"/>
              </w:rPr>
            </w:pPr>
            <w:r>
              <w:rPr>
                <w:rFonts w:eastAsia="Calibri"/>
                <w:sz w:val="24"/>
                <w:szCs w:val="24"/>
              </w:rPr>
              <w:t>IPMG</w:t>
            </w:r>
          </w:p>
        </w:tc>
        <w:tc>
          <w:tcPr>
            <w:tcW w:w="7187" w:type="dxa"/>
            <w:shd w:val="clear" w:color="auto" w:fill="auto"/>
          </w:tcPr>
          <w:p w14:paraId="57D11F67" w14:textId="77777777" w:rsidR="000405CE" w:rsidRDefault="000405CE" w:rsidP="00711A5D">
            <w:pPr>
              <w:rPr>
                <w:rFonts w:eastAsia="Calibri"/>
                <w:sz w:val="24"/>
                <w:szCs w:val="24"/>
              </w:rPr>
            </w:pPr>
            <w:r>
              <w:rPr>
                <w:rFonts w:eastAsia="Calibri"/>
                <w:sz w:val="24"/>
                <w:szCs w:val="24"/>
              </w:rPr>
              <w:t>Indigenous Peoples’ Major Group</w:t>
            </w:r>
          </w:p>
        </w:tc>
      </w:tr>
      <w:tr w:rsidR="000405CE" w:rsidRPr="00275F7B" w14:paraId="459401AF" w14:textId="77777777" w:rsidTr="00FF73DA">
        <w:trPr>
          <w:trHeight w:val="258"/>
        </w:trPr>
        <w:tc>
          <w:tcPr>
            <w:tcW w:w="1325" w:type="dxa"/>
            <w:shd w:val="clear" w:color="auto" w:fill="auto"/>
          </w:tcPr>
          <w:p w14:paraId="234F8339" w14:textId="77777777" w:rsidR="000405CE" w:rsidRPr="00BD2CC5" w:rsidRDefault="000405CE" w:rsidP="00711A5D">
            <w:pPr>
              <w:rPr>
                <w:rFonts w:eastAsia="Calibri"/>
                <w:sz w:val="24"/>
                <w:szCs w:val="24"/>
              </w:rPr>
            </w:pPr>
            <w:r w:rsidRPr="00BD2CC5">
              <w:rPr>
                <w:rFonts w:eastAsia="Calibri"/>
                <w:sz w:val="24"/>
                <w:szCs w:val="24"/>
              </w:rPr>
              <w:t>LDCs</w:t>
            </w:r>
          </w:p>
        </w:tc>
        <w:tc>
          <w:tcPr>
            <w:tcW w:w="7187" w:type="dxa"/>
            <w:shd w:val="clear" w:color="auto" w:fill="auto"/>
          </w:tcPr>
          <w:p w14:paraId="3C69E571" w14:textId="77777777" w:rsidR="000405CE" w:rsidRPr="00BD2CC5" w:rsidRDefault="000405CE" w:rsidP="00711A5D">
            <w:pPr>
              <w:rPr>
                <w:rFonts w:eastAsia="Calibri"/>
                <w:sz w:val="24"/>
                <w:szCs w:val="24"/>
              </w:rPr>
            </w:pPr>
            <w:r w:rsidRPr="00BD2CC5">
              <w:rPr>
                <w:rFonts w:eastAsia="Calibri"/>
                <w:sz w:val="24"/>
                <w:szCs w:val="24"/>
              </w:rPr>
              <w:t>Least Developed Countries</w:t>
            </w:r>
          </w:p>
        </w:tc>
      </w:tr>
      <w:tr w:rsidR="000405CE" w:rsidRPr="00275F7B" w14:paraId="4B37D224" w14:textId="77777777" w:rsidTr="00BD2CC5">
        <w:trPr>
          <w:trHeight w:val="70"/>
        </w:trPr>
        <w:tc>
          <w:tcPr>
            <w:tcW w:w="1325" w:type="dxa"/>
            <w:shd w:val="clear" w:color="auto" w:fill="auto"/>
          </w:tcPr>
          <w:p w14:paraId="5A11640C" w14:textId="10E7FA2D" w:rsidR="000405CE" w:rsidRDefault="000405CE" w:rsidP="00711A5D">
            <w:pPr>
              <w:rPr>
                <w:rFonts w:eastAsia="Calibri"/>
                <w:sz w:val="24"/>
                <w:szCs w:val="24"/>
              </w:rPr>
            </w:pPr>
            <w:r>
              <w:rPr>
                <w:rFonts w:eastAsia="Calibri"/>
                <w:sz w:val="24"/>
                <w:szCs w:val="24"/>
              </w:rPr>
              <w:t>LGBT</w:t>
            </w:r>
            <w:r w:rsidR="008A0C9D">
              <w:rPr>
                <w:rFonts w:eastAsia="Calibri"/>
                <w:sz w:val="24"/>
                <w:szCs w:val="24"/>
              </w:rPr>
              <w:t>Q</w:t>
            </w:r>
            <w:r>
              <w:rPr>
                <w:rFonts w:eastAsia="Calibri"/>
                <w:sz w:val="24"/>
                <w:szCs w:val="24"/>
              </w:rPr>
              <w:t>I</w:t>
            </w:r>
          </w:p>
        </w:tc>
        <w:tc>
          <w:tcPr>
            <w:tcW w:w="7187" w:type="dxa"/>
            <w:shd w:val="clear" w:color="auto" w:fill="auto"/>
          </w:tcPr>
          <w:p w14:paraId="68381984" w14:textId="1B44131E" w:rsidR="000405CE" w:rsidRDefault="000405CE" w:rsidP="00711A5D">
            <w:pPr>
              <w:rPr>
                <w:rFonts w:eastAsia="Calibri"/>
                <w:sz w:val="24"/>
                <w:szCs w:val="24"/>
              </w:rPr>
            </w:pPr>
            <w:r>
              <w:rPr>
                <w:rFonts w:eastAsia="Calibri"/>
                <w:sz w:val="24"/>
                <w:szCs w:val="24"/>
              </w:rPr>
              <w:t xml:space="preserve">Lesbian, gay, bisexual, transgender, </w:t>
            </w:r>
            <w:r w:rsidR="008A0C9D">
              <w:rPr>
                <w:rFonts w:eastAsia="Calibri"/>
                <w:sz w:val="24"/>
                <w:szCs w:val="24"/>
              </w:rPr>
              <w:t xml:space="preserve">queer </w:t>
            </w:r>
            <w:r>
              <w:rPr>
                <w:rFonts w:eastAsia="Calibri"/>
                <w:sz w:val="24"/>
                <w:szCs w:val="24"/>
              </w:rPr>
              <w:t>and intersex</w:t>
            </w:r>
          </w:p>
        </w:tc>
      </w:tr>
      <w:tr w:rsidR="000405CE" w:rsidRPr="00275F7B" w14:paraId="3631BF93" w14:textId="77777777" w:rsidTr="00FF73DA">
        <w:trPr>
          <w:trHeight w:val="258"/>
        </w:trPr>
        <w:tc>
          <w:tcPr>
            <w:tcW w:w="1325" w:type="dxa"/>
            <w:shd w:val="clear" w:color="auto" w:fill="auto"/>
          </w:tcPr>
          <w:p w14:paraId="37858C37" w14:textId="77777777" w:rsidR="000405CE" w:rsidRPr="00BD2CC5" w:rsidRDefault="000405CE" w:rsidP="00711A5D">
            <w:pPr>
              <w:rPr>
                <w:rFonts w:eastAsia="Calibri"/>
                <w:sz w:val="24"/>
                <w:szCs w:val="24"/>
              </w:rPr>
            </w:pPr>
            <w:r w:rsidRPr="00BD2CC5">
              <w:rPr>
                <w:rFonts w:eastAsia="Calibri"/>
                <w:sz w:val="24"/>
                <w:szCs w:val="24"/>
              </w:rPr>
              <w:t>LLDCs</w:t>
            </w:r>
          </w:p>
        </w:tc>
        <w:tc>
          <w:tcPr>
            <w:tcW w:w="7187" w:type="dxa"/>
            <w:shd w:val="clear" w:color="auto" w:fill="auto"/>
          </w:tcPr>
          <w:p w14:paraId="1960EB5B" w14:textId="4D77B109" w:rsidR="000405CE" w:rsidRPr="00BD2CC5" w:rsidRDefault="000405CE" w:rsidP="00711A5D">
            <w:pPr>
              <w:rPr>
                <w:rFonts w:eastAsia="Calibri"/>
                <w:sz w:val="24"/>
                <w:szCs w:val="24"/>
              </w:rPr>
            </w:pPr>
            <w:r w:rsidRPr="00BD2CC5">
              <w:rPr>
                <w:rFonts w:eastAsia="Calibri"/>
                <w:sz w:val="24"/>
                <w:szCs w:val="24"/>
              </w:rPr>
              <w:t>Landlocked Developing Countries</w:t>
            </w:r>
          </w:p>
        </w:tc>
      </w:tr>
      <w:tr w:rsidR="000405CE" w:rsidRPr="00275F7B" w14:paraId="00D5CA73" w14:textId="77777777" w:rsidTr="00FF73DA">
        <w:trPr>
          <w:trHeight w:val="360"/>
        </w:trPr>
        <w:tc>
          <w:tcPr>
            <w:tcW w:w="1325" w:type="dxa"/>
            <w:shd w:val="clear" w:color="auto" w:fill="auto"/>
          </w:tcPr>
          <w:p w14:paraId="2D8F491D" w14:textId="77777777" w:rsidR="000405CE" w:rsidRPr="00275F7B" w:rsidRDefault="000405CE" w:rsidP="00711A5D">
            <w:pPr>
              <w:rPr>
                <w:rFonts w:eastAsia="Calibri"/>
                <w:sz w:val="24"/>
                <w:szCs w:val="24"/>
              </w:rPr>
            </w:pPr>
            <w:proofErr w:type="spellStart"/>
            <w:r w:rsidRPr="00275F7B">
              <w:rPr>
                <w:rFonts w:eastAsia="Calibri"/>
                <w:sz w:val="24"/>
                <w:szCs w:val="24"/>
              </w:rPr>
              <w:t>MGoS</w:t>
            </w:r>
            <w:proofErr w:type="spellEnd"/>
          </w:p>
        </w:tc>
        <w:tc>
          <w:tcPr>
            <w:tcW w:w="7187" w:type="dxa"/>
            <w:shd w:val="clear" w:color="auto" w:fill="auto"/>
          </w:tcPr>
          <w:p w14:paraId="6CF4A7C9" w14:textId="77777777" w:rsidR="000405CE" w:rsidRPr="00275F7B" w:rsidRDefault="000405CE" w:rsidP="00711A5D">
            <w:pPr>
              <w:rPr>
                <w:sz w:val="24"/>
                <w:szCs w:val="24"/>
              </w:rPr>
            </w:pPr>
            <w:r w:rsidRPr="00275F7B">
              <w:rPr>
                <w:rFonts w:eastAsia="Calibri"/>
                <w:sz w:val="24"/>
                <w:szCs w:val="24"/>
              </w:rPr>
              <w:t>Major</w:t>
            </w:r>
            <w:r>
              <w:rPr>
                <w:rFonts w:eastAsia="Calibri"/>
                <w:sz w:val="24"/>
                <w:szCs w:val="24"/>
              </w:rPr>
              <w:t xml:space="preserve"> </w:t>
            </w:r>
            <w:r w:rsidRPr="00275F7B">
              <w:rPr>
                <w:rFonts w:eastAsia="Calibri"/>
                <w:sz w:val="24"/>
                <w:szCs w:val="24"/>
              </w:rPr>
              <w:t>Groups</w:t>
            </w:r>
            <w:r>
              <w:rPr>
                <w:rFonts w:eastAsia="Calibri"/>
                <w:sz w:val="24"/>
                <w:szCs w:val="24"/>
              </w:rPr>
              <w:t xml:space="preserve"> </w:t>
            </w:r>
            <w:r w:rsidRPr="00275F7B">
              <w:rPr>
                <w:rFonts w:eastAsia="Calibri"/>
                <w:sz w:val="24"/>
                <w:szCs w:val="24"/>
              </w:rPr>
              <w:t>and</w:t>
            </w:r>
            <w:r>
              <w:rPr>
                <w:rFonts w:eastAsia="Calibri"/>
                <w:sz w:val="24"/>
                <w:szCs w:val="24"/>
              </w:rPr>
              <w:t xml:space="preserve"> </w:t>
            </w:r>
            <w:r w:rsidRPr="00275F7B">
              <w:rPr>
                <w:rFonts w:eastAsia="Calibri"/>
                <w:sz w:val="24"/>
                <w:szCs w:val="24"/>
              </w:rPr>
              <w:t>other</w:t>
            </w:r>
            <w:r>
              <w:rPr>
                <w:rFonts w:eastAsia="Calibri"/>
                <w:sz w:val="24"/>
                <w:szCs w:val="24"/>
              </w:rPr>
              <w:t xml:space="preserve"> </w:t>
            </w:r>
            <w:r w:rsidRPr="00275F7B">
              <w:rPr>
                <w:rFonts w:eastAsia="Calibri"/>
                <w:sz w:val="24"/>
                <w:szCs w:val="24"/>
              </w:rPr>
              <w:t>Stakeholders</w:t>
            </w:r>
          </w:p>
        </w:tc>
      </w:tr>
      <w:tr w:rsidR="000405CE" w:rsidRPr="00275F7B" w14:paraId="1FC3869B" w14:textId="77777777" w:rsidTr="00BD2CC5">
        <w:trPr>
          <w:trHeight w:val="70"/>
        </w:trPr>
        <w:tc>
          <w:tcPr>
            <w:tcW w:w="1325" w:type="dxa"/>
            <w:shd w:val="clear" w:color="auto" w:fill="auto"/>
          </w:tcPr>
          <w:p w14:paraId="24C45E25" w14:textId="77777777" w:rsidR="000405CE" w:rsidRDefault="000405CE" w:rsidP="00711A5D">
            <w:pPr>
              <w:rPr>
                <w:rFonts w:eastAsia="Calibri"/>
                <w:sz w:val="24"/>
                <w:szCs w:val="24"/>
              </w:rPr>
            </w:pPr>
            <w:r>
              <w:rPr>
                <w:rFonts w:eastAsia="Calibri"/>
                <w:sz w:val="24"/>
                <w:szCs w:val="24"/>
              </w:rPr>
              <w:t>MICs</w:t>
            </w:r>
          </w:p>
        </w:tc>
        <w:tc>
          <w:tcPr>
            <w:tcW w:w="7187" w:type="dxa"/>
            <w:shd w:val="clear" w:color="auto" w:fill="auto"/>
          </w:tcPr>
          <w:p w14:paraId="1C5C660B" w14:textId="77777777" w:rsidR="000405CE" w:rsidRDefault="000405CE" w:rsidP="00711A5D">
            <w:pPr>
              <w:rPr>
                <w:rFonts w:eastAsia="Calibri"/>
                <w:sz w:val="24"/>
                <w:szCs w:val="24"/>
              </w:rPr>
            </w:pPr>
            <w:r>
              <w:rPr>
                <w:rFonts w:eastAsia="Calibri"/>
                <w:sz w:val="24"/>
                <w:szCs w:val="24"/>
              </w:rPr>
              <w:t>Middle-income countries</w:t>
            </w:r>
          </w:p>
        </w:tc>
      </w:tr>
      <w:tr w:rsidR="000405CE" w:rsidRPr="00275F7B" w14:paraId="2CEBF537" w14:textId="77777777" w:rsidTr="00BD2CC5">
        <w:trPr>
          <w:trHeight w:val="70"/>
        </w:trPr>
        <w:tc>
          <w:tcPr>
            <w:tcW w:w="1325" w:type="dxa"/>
            <w:shd w:val="clear" w:color="auto" w:fill="auto"/>
          </w:tcPr>
          <w:p w14:paraId="2B0FB8E5" w14:textId="77777777" w:rsidR="000405CE" w:rsidRDefault="000405CE" w:rsidP="00711A5D">
            <w:pPr>
              <w:rPr>
                <w:rFonts w:eastAsia="Calibri"/>
                <w:sz w:val="24"/>
                <w:szCs w:val="24"/>
              </w:rPr>
            </w:pPr>
            <w:r>
              <w:rPr>
                <w:rFonts w:eastAsia="Calibri"/>
                <w:sz w:val="24"/>
                <w:szCs w:val="24"/>
              </w:rPr>
              <w:t>NGO</w:t>
            </w:r>
          </w:p>
        </w:tc>
        <w:tc>
          <w:tcPr>
            <w:tcW w:w="7187" w:type="dxa"/>
            <w:shd w:val="clear" w:color="auto" w:fill="auto"/>
          </w:tcPr>
          <w:p w14:paraId="1534FD74" w14:textId="77777777" w:rsidR="000405CE" w:rsidRDefault="000405CE" w:rsidP="00711A5D">
            <w:pPr>
              <w:rPr>
                <w:rFonts w:eastAsia="Calibri"/>
                <w:sz w:val="24"/>
                <w:szCs w:val="24"/>
              </w:rPr>
            </w:pPr>
            <w:r>
              <w:rPr>
                <w:rFonts w:eastAsia="Calibri"/>
                <w:sz w:val="24"/>
                <w:szCs w:val="24"/>
              </w:rPr>
              <w:t>Non-governmental organization</w:t>
            </w:r>
          </w:p>
        </w:tc>
      </w:tr>
      <w:tr w:rsidR="000405CE" w:rsidRPr="00275F7B" w14:paraId="7C055346" w14:textId="77777777" w:rsidTr="00BD2CC5">
        <w:trPr>
          <w:trHeight w:val="70"/>
        </w:trPr>
        <w:tc>
          <w:tcPr>
            <w:tcW w:w="1325" w:type="dxa"/>
            <w:shd w:val="clear" w:color="auto" w:fill="auto"/>
          </w:tcPr>
          <w:p w14:paraId="732B054C" w14:textId="77777777" w:rsidR="000405CE" w:rsidRDefault="000405CE" w:rsidP="00711A5D">
            <w:pPr>
              <w:rPr>
                <w:rFonts w:eastAsia="Calibri"/>
                <w:sz w:val="24"/>
                <w:szCs w:val="24"/>
              </w:rPr>
            </w:pPr>
            <w:r>
              <w:rPr>
                <w:rFonts w:eastAsia="Calibri"/>
                <w:sz w:val="24"/>
                <w:szCs w:val="24"/>
              </w:rPr>
              <w:t>ODA</w:t>
            </w:r>
          </w:p>
        </w:tc>
        <w:tc>
          <w:tcPr>
            <w:tcW w:w="7187" w:type="dxa"/>
            <w:shd w:val="clear" w:color="auto" w:fill="auto"/>
          </w:tcPr>
          <w:p w14:paraId="547733A6" w14:textId="77777777" w:rsidR="000405CE" w:rsidRDefault="000405CE" w:rsidP="00711A5D">
            <w:pPr>
              <w:rPr>
                <w:rFonts w:eastAsia="Calibri"/>
                <w:sz w:val="24"/>
                <w:szCs w:val="24"/>
              </w:rPr>
            </w:pPr>
            <w:r>
              <w:rPr>
                <w:rFonts w:eastAsia="Calibri"/>
                <w:sz w:val="24"/>
                <w:szCs w:val="24"/>
              </w:rPr>
              <w:t>Official Development Assistance</w:t>
            </w:r>
          </w:p>
        </w:tc>
      </w:tr>
      <w:tr w:rsidR="000405CE" w:rsidRPr="00275F7B" w14:paraId="3E676A84" w14:textId="77777777" w:rsidTr="00FF73DA">
        <w:trPr>
          <w:trHeight w:val="295"/>
        </w:trPr>
        <w:tc>
          <w:tcPr>
            <w:tcW w:w="1325" w:type="dxa"/>
            <w:shd w:val="clear" w:color="auto" w:fill="auto"/>
          </w:tcPr>
          <w:p w14:paraId="7102D812" w14:textId="77777777" w:rsidR="000405CE" w:rsidRPr="00275F7B" w:rsidRDefault="000405CE" w:rsidP="00711A5D">
            <w:pPr>
              <w:rPr>
                <w:sz w:val="24"/>
                <w:szCs w:val="24"/>
              </w:rPr>
            </w:pPr>
            <w:r w:rsidRPr="00275F7B">
              <w:rPr>
                <w:rFonts w:eastAsia="Calibri"/>
                <w:sz w:val="24"/>
                <w:szCs w:val="24"/>
              </w:rPr>
              <w:t>SDGs</w:t>
            </w:r>
          </w:p>
        </w:tc>
        <w:tc>
          <w:tcPr>
            <w:tcW w:w="7187" w:type="dxa"/>
            <w:shd w:val="clear" w:color="auto" w:fill="auto"/>
          </w:tcPr>
          <w:p w14:paraId="15281983" w14:textId="77777777" w:rsidR="000405CE" w:rsidRPr="00275F7B" w:rsidRDefault="000405CE" w:rsidP="00711A5D">
            <w:pPr>
              <w:rPr>
                <w:sz w:val="24"/>
                <w:szCs w:val="24"/>
              </w:rPr>
            </w:pPr>
            <w:r w:rsidRPr="00275F7B">
              <w:rPr>
                <w:rFonts w:eastAsia="Calibri"/>
                <w:sz w:val="24"/>
                <w:szCs w:val="24"/>
              </w:rPr>
              <w:t>Sustainable</w:t>
            </w:r>
            <w:r>
              <w:rPr>
                <w:rFonts w:eastAsia="Calibri"/>
                <w:sz w:val="24"/>
                <w:szCs w:val="24"/>
              </w:rPr>
              <w:t xml:space="preserve"> </w:t>
            </w:r>
            <w:r w:rsidRPr="00275F7B">
              <w:rPr>
                <w:rFonts w:eastAsia="Calibri"/>
                <w:sz w:val="24"/>
                <w:szCs w:val="24"/>
              </w:rPr>
              <w:t>Development</w:t>
            </w:r>
            <w:r>
              <w:rPr>
                <w:rFonts w:eastAsia="Calibri"/>
                <w:sz w:val="24"/>
                <w:szCs w:val="24"/>
              </w:rPr>
              <w:t xml:space="preserve"> </w:t>
            </w:r>
            <w:r w:rsidRPr="00275F7B">
              <w:rPr>
                <w:rFonts w:eastAsia="Calibri"/>
                <w:sz w:val="24"/>
                <w:szCs w:val="24"/>
              </w:rPr>
              <w:t>Goals</w:t>
            </w:r>
          </w:p>
        </w:tc>
      </w:tr>
      <w:tr w:rsidR="000405CE" w:rsidRPr="00275F7B" w14:paraId="24DC7727" w14:textId="77777777" w:rsidTr="00FF73DA">
        <w:trPr>
          <w:trHeight w:val="258"/>
        </w:trPr>
        <w:tc>
          <w:tcPr>
            <w:tcW w:w="1325" w:type="dxa"/>
            <w:shd w:val="clear" w:color="auto" w:fill="auto"/>
          </w:tcPr>
          <w:p w14:paraId="206E1F13" w14:textId="77777777" w:rsidR="000405CE" w:rsidRPr="00BD2CC5" w:rsidRDefault="000405CE" w:rsidP="00711A5D">
            <w:pPr>
              <w:rPr>
                <w:rFonts w:eastAsia="Calibri"/>
                <w:sz w:val="24"/>
                <w:szCs w:val="24"/>
              </w:rPr>
            </w:pPr>
            <w:proofErr w:type="spellStart"/>
            <w:r w:rsidRPr="00BD2CC5">
              <w:rPr>
                <w:rFonts w:eastAsia="Calibri"/>
                <w:sz w:val="24"/>
                <w:szCs w:val="24"/>
              </w:rPr>
              <w:t>SGPwD</w:t>
            </w:r>
            <w:proofErr w:type="spellEnd"/>
          </w:p>
        </w:tc>
        <w:tc>
          <w:tcPr>
            <w:tcW w:w="7187" w:type="dxa"/>
            <w:shd w:val="clear" w:color="auto" w:fill="auto"/>
          </w:tcPr>
          <w:p w14:paraId="3BAADC91" w14:textId="77777777" w:rsidR="000405CE" w:rsidRPr="00BD2CC5" w:rsidRDefault="000405CE" w:rsidP="00711A5D">
            <w:pPr>
              <w:rPr>
                <w:rFonts w:eastAsia="Calibri"/>
                <w:sz w:val="24"/>
                <w:szCs w:val="24"/>
              </w:rPr>
            </w:pPr>
            <w:r w:rsidRPr="00BD2CC5">
              <w:rPr>
                <w:rFonts w:eastAsia="Calibri"/>
                <w:sz w:val="24"/>
                <w:szCs w:val="24"/>
              </w:rPr>
              <w:t>Stakeholder Group of Persons with Disabilities</w:t>
            </w:r>
          </w:p>
        </w:tc>
      </w:tr>
      <w:tr w:rsidR="000405CE" w:rsidRPr="00275F7B" w14:paraId="536BB4D5" w14:textId="77777777" w:rsidTr="00FF73DA">
        <w:trPr>
          <w:trHeight w:val="258"/>
        </w:trPr>
        <w:tc>
          <w:tcPr>
            <w:tcW w:w="1325" w:type="dxa"/>
            <w:shd w:val="clear" w:color="auto" w:fill="auto"/>
          </w:tcPr>
          <w:p w14:paraId="38D3C9CB" w14:textId="1EC043E8" w:rsidR="000405CE" w:rsidRPr="00BD2CC5" w:rsidRDefault="000405CE" w:rsidP="00711A5D">
            <w:pPr>
              <w:rPr>
                <w:rFonts w:eastAsia="Calibri"/>
                <w:sz w:val="24"/>
                <w:szCs w:val="24"/>
              </w:rPr>
            </w:pPr>
            <w:r w:rsidRPr="00BD2CC5">
              <w:rPr>
                <w:rFonts w:eastAsia="Calibri"/>
                <w:sz w:val="24"/>
                <w:szCs w:val="24"/>
              </w:rPr>
              <w:t>SID</w:t>
            </w:r>
            <w:r w:rsidR="001A09BD">
              <w:rPr>
                <w:rFonts w:eastAsia="Calibri"/>
                <w:sz w:val="24"/>
                <w:szCs w:val="24"/>
              </w:rPr>
              <w:t>S</w:t>
            </w:r>
          </w:p>
        </w:tc>
        <w:tc>
          <w:tcPr>
            <w:tcW w:w="7187" w:type="dxa"/>
            <w:shd w:val="clear" w:color="auto" w:fill="auto"/>
          </w:tcPr>
          <w:p w14:paraId="2FF1342F" w14:textId="33467D5E" w:rsidR="000405CE" w:rsidRPr="00BD2CC5" w:rsidRDefault="000405CE" w:rsidP="00711A5D">
            <w:pPr>
              <w:rPr>
                <w:rFonts w:eastAsia="Calibri"/>
                <w:sz w:val="24"/>
                <w:szCs w:val="24"/>
              </w:rPr>
            </w:pPr>
            <w:r w:rsidRPr="00BD2CC5">
              <w:rPr>
                <w:rFonts w:eastAsia="Calibri"/>
                <w:sz w:val="24"/>
                <w:szCs w:val="24"/>
              </w:rPr>
              <w:t xml:space="preserve">Small Island Developing </w:t>
            </w:r>
            <w:r w:rsidR="001A09BD">
              <w:rPr>
                <w:rFonts w:eastAsia="Calibri"/>
                <w:sz w:val="24"/>
                <w:szCs w:val="24"/>
              </w:rPr>
              <w:t>States</w:t>
            </w:r>
          </w:p>
        </w:tc>
      </w:tr>
      <w:tr w:rsidR="000405CE" w:rsidRPr="00275F7B" w14:paraId="493901D4" w14:textId="77777777" w:rsidTr="00FF73DA">
        <w:trPr>
          <w:trHeight w:val="258"/>
        </w:trPr>
        <w:tc>
          <w:tcPr>
            <w:tcW w:w="1325" w:type="dxa"/>
            <w:shd w:val="clear" w:color="auto" w:fill="auto"/>
          </w:tcPr>
          <w:p w14:paraId="66052D56" w14:textId="77777777" w:rsidR="000405CE" w:rsidRPr="00BD2CC5" w:rsidRDefault="000405CE" w:rsidP="00711A5D">
            <w:pPr>
              <w:rPr>
                <w:rFonts w:eastAsia="Calibri"/>
                <w:sz w:val="24"/>
                <w:szCs w:val="24"/>
              </w:rPr>
            </w:pPr>
            <w:r w:rsidRPr="00BD2CC5">
              <w:rPr>
                <w:rFonts w:eastAsia="Calibri"/>
                <w:sz w:val="24"/>
                <w:szCs w:val="24"/>
              </w:rPr>
              <w:t>STI</w:t>
            </w:r>
          </w:p>
        </w:tc>
        <w:tc>
          <w:tcPr>
            <w:tcW w:w="7187" w:type="dxa"/>
            <w:shd w:val="clear" w:color="auto" w:fill="auto"/>
          </w:tcPr>
          <w:p w14:paraId="6FA933E6" w14:textId="77777777" w:rsidR="000405CE" w:rsidRPr="00BD2CC5" w:rsidRDefault="000405CE" w:rsidP="00711A5D">
            <w:pPr>
              <w:rPr>
                <w:rFonts w:eastAsia="Calibri"/>
                <w:sz w:val="24"/>
                <w:szCs w:val="24"/>
              </w:rPr>
            </w:pPr>
            <w:r w:rsidRPr="00BD2CC5">
              <w:rPr>
                <w:rFonts w:eastAsia="Calibri"/>
                <w:sz w:val="24"/>
                <w:szCs w:val="24"/>
              </w:rPr>
              <w:t>Science, technology and innovation</w:t>
            </w:r>
          </w:p>
        </w:tc>
      </w:tr>
      <w:tr w:rsidR="000405CE" w:rsidRPr="00275F7B" w14:paraId="64709DB3" w14:textId="77777777" w:rsidTr="00BD2CC5">
        <w:trPr>
          <w:trHeight w:val="70"/>
        </w:trPr>
        <w:tc>
          <w:tcPr>
            <w:tcW w:w="1325" w:type="dxa"/>
            <w:shd w:val="clear" w:color="auto" w:fill="auto"/>
          </w:tcPr>
          <w:p w14:paraId="2B0804D9" w14:textId="77777777" w:rsidR="000405CE" w:rsidRDefault="000405CE" w:rsidP="00711A5D">
            <w:pPr>
              <w:rPr>
                <w:rFonts w:eastAsia="Calibri"/>
                <w:sz w:val="24"/>
                <w:szCs w:val="24"/>
              </w:rPr>
            </w:pPr>
            <w:r>
              <w:rPr>
                <w:rFonts w:eastAsia="Calibri"/>
                <w:sz w:val="24"/>
                <w:szCs w:val="24"/>
              </w:rPr>
              <w:t>UAE</w:t>
            </w:r>
          </w:p>
        </w:tc>
        <w:tc>
          <w:tcPr>
            <w:tcW w:w="7187" w:type="dxa"/>
            <w:shd w:val="clear" w:color="auto" w:fill="auto"/>
          </w:tcPr>
          <w:p w14:paraId="6DAEC2B5" w14:textId="77777777" w:rsidR="000405CE" w:rsidRDefault="000405CE" w:rsidP="00711A5D">
            <w:pPr>
              <w:rPr>
                <w:rFonts w:eastAsia="Calibri"/>
                <w:sz w:val="24"/>
                <w:szCs w:val="24"/>
              </w:rPr>
            </w:pPr>
            <w:r>
              <w:rPr>
                <w:rFonts w:eastAsia="Calibri"/>
                <w:sz w:val="24"/>
                <w:szCs w:val="24"/>
              </w:rPr>
              <w:t>United Arab Emirates</w:t>
            </w:r>
          </w:p>
        </w:tc>
      </w:tr>
      <w:tr w:rsidR="000405CE" w:rsidRPr="00275F7B" w14:paraId="38C4B96A" w14:textId="77777777" w:rsidTr="00FF73DA">
        <w:trPr>
          <w:trHeight w:val="258"/>
        </w:trPr>
        <w:tc>
          <w:tcPr>
            <w:tcW w:w="1325" w:type="dxa"/>
            <w:shd w:val="clear" w:color="auto" w:fill="auto"/>
          </w:tcPr>
          <w:p w14:paraId="4F5ED749" w14:textId="77777777" w:rsidR="000405CE" w:rsidRPr="00BD2CC5" w:rsidRDefault="000405CE" w:rsidP="00711A5D">
            <w:pPr>
              <w:rPr>
                <w:rFonts w:eastAsia="Calibri"/>
                <w:sz w:val="24"/>
                <w:szCs w:val="24"/>
              </w:rPr>
            </w:pPr>
            <w:r w:rsidRPr="00BD2CC5">
              <w:rPr>
                <w:rFonts w:eastAsia="Calibri"/>
                <w:sz w:val="24"/>
                <w:szCs w:val="24"/>
              </w:rPr>
              <w:t>UN</w:t>
            </w:r>
          </w:p>
        </w:tc>
        <w:tc>
          <w:tcPr>
            <w:tcW w:w="7187" w:type="dxa"/>
            <w:shd w:val="clear" w:color="auto" w:fill="auto"/>
          </w:tcPr>
          <w:p w14:paraId="0475DDA5" w14:textId="77777777" w:rsidR="000405CE" w:rsidRPr="00BD2CC5" w:rsidRDefault="000405CE" w:rsidP="00711A5D">
            <w:pPr>
              <w:rPr>
                <w:rFonts w:eastAsia="Calibri"/>
                <w:sz w:val="24"/>
                <w:szCs w:val="24"/>
              </w:rPr>
            </w:pPr>
            <w:r w:rsidRPr="00BD2CC5">
              <w:rPr>
                <w:rFonts w:eastAsia="Calibri"/>
                <w:sz w:val="24"/>
                <w:szCs w:val="24"/>
              </w:rPr>
              <w:t>United Nations</w:t>
            </w:r>
          </w:p>
        </w:tc>
      </w:tr>
      <w:tr w:rsidR="000405CE" w:rsidRPr="00275F7B" w14:paraId="02A5EBE1" w14:textId="77777777" w:rsidTr="00FF73DA">
        <w:trPr>
          <w:trHeight w:val="289"/>
        </w:trPr>
        <w:tc>
          <w:tcPr>
            <w:tcW w:w="1325" w:type="dxa"/>
            <w:shd w:val="clear" w:color="auto" w:fill="auto"/>
          </w:tcPr>
          <w:p w14:paraId="6E09F35E" w14:textId="77777777" w:rsidR="000405CE" w:rsidRPr="00275F7B" w:rsidRDefault="000405CE" w:rsidP="00711A5D">
            <w:pPr>
              <w:rPr>
                <w:rFonts w:eastAsia="Calibri"/>
                <w:sz w:val="24"/>
                <w:szCs w:val="24"/>
              </w:rPr>
            </w:pPr>
            <w:r w:rsidRPr="00275F7B">
              <w:rPr>
                <w:rFonts w:eastAsia="Calibri"/>
                <w:sz w:val="24"/>
                <w:szCs w:val="24"/>
              </w:rPr>
              <w:t>UNCRPD</w:t>
            </w:r>
          </w:p>
        </w:tc>
        <w:tc>
          <w:tcPr>
            <w:tcW w:w="7187" w:type="dxa"/>
            <w:shd w:val="clear" w:color="auto" w:fill="auto"/>
          </w:tcPr>
          <w:p w14:paraId="0ECA5184" w14:textId="77777777" w:rsidR="000405CE" w:rsidRPr="00275F7B" w:rsidRDefault="000405CE" w:rsidP="00711A5D">
            <w:pPr>
              <w:rPr>
                <w:rFonts w:eastAsia="Calibri"/>
                <w:sz w:val="24"/>
                <w:szCs w:val="24"/>
              </w:rPr>
            </w:pPr>
            <w:r w:rsidRPr="00275F7B">
              <w:rPr>
                <w:rFonts w:eastAsia="Calibri"/>
                <w:sz w:val="24"/>
                <w:szCs w:val="24"/>
              </w:rPr>
              <w:t>United</w:t>
            </w:r>
            <w:r>
              <w:rPr>
                <w:rFonts w:eastAsia="Calibri"/>
                <w:sz w:val="24"/>
                <w:szCs w:val="24"/>
              </w:rPr>
              <w:t xml:space="preserve"> </w:t>
            </w:r>
            <w:r w:rsidRPr="00275F7B">
              <w:rPr>
                <w:rFonts w:eastAsia="Calibri"/>
                <w:sz w:val="24"/>
                <w:szCs w:val="24"/>
              </w:rPr>
              <w:t>Nations</w:t>
            </w:r>
            <w:r>
              <w:rPr>
                <w:rFonts w:eastAsia="Calibri"/>
                <w:sz w:val="24"/>
                <w:szCs w:val="24"/>
              </w:rPr>
              <w:t xml:space="preserve"> </w:t>
            </w:r>
            <w:r w:rsidRPr="00275F7B">
              <w:rPr>
                <w:rFonts w:eastAsia="Calibri"/>
                <w:sz w:val="24"/>
                <w:szCs w:val="24"/>
              </w:rPr>
              <w:t>Convention</w:t>
            </w:r>
            <w:r>
              <w:rPr>
                <w:rFonts w:eastAsia="Calibri"/>
                <w:sz w:val="24"/>
                <w:szCs w:val="24"/>
              </w:rPr>
              <w:t xml:space="preserve"> </w:t>
            </w:r>
            <w:r w:rsidRPr="00275F7B">
              <w:rPr>
                <w:rFonts w:eastAsia="Calibri"/>
                <w:sz w:val="24"/>
                <w:szCs w:val="24"/>
              </w:rPr>
              <w:t>on</w:t>
            </w:r>
            <w:r>
              <w:rPr>
                <w:rFonts w:eastAsia="Calibri"/>
                <w:sz w:val="24"/>
                <w:szCs w:val="24"/>
              </w:rPr>
              <w:t xml:space="preserve"> </w:t>
            </w:r>
            <w:r w:rsidRPr="00275F7B">
              <w:rPr>
                <w:rFonts w:eastAsia="Calibri"/>
                <w:sz w:val="24"/>
                <w:szCs w:val="24"/>
              </w:rPr>
              <w:t>the</w:t>
            </w:r>
            <w:r>
              <w:rPr>
                <w:rFonts w:eastAsia="Calibri"/>
                <w:sz w:val="24"/>
                <w:szCs w:val="24"/>
              </w:rPr>
              <w:t xml:space="preserve"> </w:t>
            </w:r>
            <w:r w:rsidRPr="00275F7B">
              <w:rPr>
                <w:rFonts w:eastAsia="Calibri"/>
                <w:sz w:val="24"/>
                <w:szCs w:val="24"/>
              </w:rPr>
              <w:t>Rights</w:t>
            </w:r>
            <w:r>
              <w:rPr>
                <w:rFonts w:eastAsia="Calibri"/>
                <w:sz w:val="24"/>
                <w:szCs w:val="24"/>
              </w:rPr>
              <w:t xml:space="preserve"> </w:t>
            </w:r>
            <w:r w:rsidRPr="00275F7B">
              <w:rPr>
                <w:rFonts w:eastAsia="Calibri"/>
                <w:sz w:val="24"/>
                <w:szCs w:val="24"/>
              </w:rPr>
              <w:t>of</w:t>
            </w:r>
            <w:r>
              <w:rPr>
                <w:rFonts w:eastAsia="Calibri"/>
                <w:sz w:val="24"/>
                <w:szCs w:val="24"/>
              </w:rPr>
              <w:t xml:space="preserve"> </w:t>
            </w:r>
            <w:r w:rsidRPr="00275F7B">
              <w:rPr>
                <w:rFonts w:eastAsia="Calibri"/>
                <w:sz w:val="24"/>
                <w:szCs w:val="24"/>
              </w:rPr>
              <w:t>Persons</w:t>
            </w:r>
            <w:r>
              <w:rPr>
                <w:rFonts w:eastAsia="Calibri"/>
                <w:sz w:val="24"/>
                <w:szCs w:val="24"/>
              </w:rPr>
              <w:t xml:space="preserve"> </w:t>
            </w:r>
            <w:r w:rsidRPr="00275F7B">
              <w:rPr>
                <w:rFonts w:eastAsia="Calibri"/>
                <w:sz w:val="24"/>
                <w:szCs w:val="24"/>
              </w:rPr>
              <w:t>with</w:t>
            </w:r>
            <w:r>
              <w:rPr>
                <w:rFonts w:eastAsia="Calibri"/>
                <w:sz w:val="24"/>
                <w:szCs w:val="24"/>
              </w:rPr>
              <w:t xml:space="preserve"> </w:t>
            </w:r>
            <w:r w:rsidRPr="00275F7B">
              <w:rPr>
                <w:rFonts w:eastAsia="Calibri"/>
                <w:sz w:val="24"/>
                <w:szCs w:val="24"/>
              </w:rPr>
              <w:t>Disabilities</w:t>
            </w:r>
          </w:p>
        </w:tc>
      </w:tr>
      <w:tr w:rsidR="000405CE" w:rsidRPr="00275F7B" w14:paraId="53613614" w14:textId="77777777" w:rsidTr="00FF73DA">
        <w:trPr>
          <w:trHeight w:val="258"/>
        </w:trPr>
        <w:tc>
          <w:tcPr>
            <w:tcW w:w="1325" w:type="dxa"/>
            <w:shd w:val="clear" w:color="auto" w:fill="auto"/>
          </w:tcPr>
          <w:p w14:paraId="3256CFAF" w14:textId="6DE86D10" w:rsidR="000405CE" w:rsidRPr="00BD2CC5" w:rsidRDefault="000405CE" w:rsidP="00711A5D">
            <w:pPr>
              <w:rPr>
                <w:rFonts w:eastAsia="Calibri"/>
                <w:sz w:val="24"/>
                <w:szCs w:val="24"/>
              </w:rPr>
            </w:pPr>
            <w:r w:rsidRPr="00BD2CC5">
              <w:rPr>
                <w:rFonts w:eastAsia="Calibri"/>
                <w:sz w:val="24"/>
                <w:szCs w:val="24"/>
              </w:rPr>
              <w:t>UNDESA</w:t>
            </w:r>
            <w:r w:rsidR="003405C0">
              <w:rPr>
                <w:rFonts w:eastAsia="Calibri"/>
                <w:sz w:val="24"/>
                <w:szCs w:val="24"/>
              </w:rPr>
              <w:t>/ OISC</w:t>
            </w:r>
          </w:p>
        </w:tc>
        <w:tc>
          <w:tcPr>
            <w:tcW w:w="7187" w:type="dxa"/>
            <w:shd w:val="clear" w:color="auto" w:fill="auto"/>
          </w:tcPr>
          <w:p w14:paraId="476A4837" w14:textId="6E2220D2" w:rsidR="000405CE" w:rsidRPr="00BD2CC5" w:rsidRDefault="000405CE" w:rsidP="00711A5D">
            <w:pPr>
              <w:rPr>
                <w:rFonts w:eastAsia="Calibri"/>
                <w:sz w:val="24"/>
                <w:szCs w:val="24"/>
              </w:rPr>
            </w:pPr>
            <w:r w:rsidRPr="00BD2CC5">
              <w:rPr>
                <w:rFonts w:eastAsia="Calibri"/>
                <w:sz w:val="24"/>
                <w:szCs w:val="24"/>
              </w:rPr>
              <w:t>United Nations Department of Economic and Social Affairs</w:t>
            </w:r>
            <w:r w:rsidR="003405C0">
              <w:rPr>
                <w:rFonts w:eastAsia="Calibri"/>
                <w:sz w:val="24"/>
                <w:szCs w:val="24"/>
              </w:rPr>
              <w:t xml:space="preserve"> </w:t>
            </w:r>
            <w:r w:rsidR="003405C0" w:rsidRPr="00BD2CC5">
              <w:rPr>
                <w:rFonts w:eastAsia="Calibri"/>
                <w:sz w:val="24"/>
                <w:szCs w:val="24"/>
              </w:rPr>
              <w:t>Office of Intergovernmental Support and Coordination for Sustainable Development</w:t>
            </w:r>
          </w:p>
        </w:tc>
      </w:tr>
      <w:tr w:rsidR="000405CE" w:rsidRPr="00275F7B" w14:paraId="3644D058" w14:textId="77777777" w:rsidTr="00FF73DA">
        <w:trPr>
          <w:trHeight w:val="314"/>
        </w:trPr>
        <w:tc>
          <w:tcPr>
            <w:tcW w:w="1325" w:type="dxa"/>
            <w:shd w:val="clear" w:color="auto" w:fill="auto"/>
          </w:tcPr>
          <w:p w14:paraId="53647DC6" w14:textId="77777777" w:rsidR="000405CE" w:rsidRPr="00275F7B" w:rsidRDefault="000405CE" w:rsidP="00711A5D">
            <w:pPr>
              <w:rPr>
                <w:rFonts w:eastAsia="Calibri"/>
                <w:sz w:val="24"/>
                <w:szCs w:val="24"/>
              </w:rPr>
            </w:pPr>
            <w:r w:rsidRPr="00275F7B">
              <w:rPr>
                <w:rFonts w:eastAsia="Calibri"/>
                <w:sz w:val="24"/>
                <w:szCs w:val="24"/>
              </w:rPr>
              <w:t>UNDSD</w:t>
            </w:r>
          </w:p>
        </w:tc>
        <w:tc>
          <w:tcPr>
            <w:tcW w:w="7187" w:type="dxa"/>
            <w:shd w:val="clear" w:color="auto" w:fill="auto"/>
          </w:tcPr>
          <w:p w14:paraId="5139ECF8" w14:textId="77777777" w:rsidR="000405CE" w:rsidRPr="00275F7B" w:rsidRDefault="000405CE" w:rsidP="00711A5D">
            <w:pPr>
              <w:rPr>
                <w:sz w:val="24"/>
                <w:szCs w:val="24"/>
              </w:rPr>
            </w:pPr>
            <w:r w:rsidRPr="00275F7B">
              <w:rPr>
                <w:rFonts w:eastAsia="Calibri"/>
                <w:sz w:val="24"/>
                <w:szCs w:val="24"/>
              </w:rPr>
              <w:t>United</w:t>
            </w:r>
            <w:r>
              <w:rPr>
                <w:rFonts w:eastAsia="Calibri"/>
                <w:sz w:val="24"/>
                <w:szCs w:val="24"/>
              </w:rPr>
              <w:t xml:space="preserve"> </w:t>
            </w:r>
            <w:r w:rsidRPr="00275F7B">
              <w:rPr>
                <w:rFonts w:eastAsia="Calibri"/>
                <w:sz w:val="24"/>
                <w:szCs w:val="24"/>
              </w:rPr>
              <w:t>Nations</w:t>
            </w:r>
            <w:r>
              <w:rPr>
                <w:rFonts w:eastAsia="Calibri"/>
                <w:sz w:val="24"/>
                <w:szCs w:val="24"/>
              </w:rPr>
              <w:t xml:space="preserve"> </w:t>
            </w:r>
            <w:r w:rsidRPr="00275F7B">
              <w:rPr>
                <w:rFonts w:eastAsia="Calibri"/>
                <w:sz w:val="24"/>
                <w:szCs w:val="24"/>
              </w:rPr>
              <w:t>Division</w:t>
            </w:r>
            <w:r>
              <w:rPr>
                <w:rFonts w:eastAsia="Calibri"/>
                <w:sz w:val="24"/>
                <w:szCs w:val="24"/>
              </w:rPr>
              <w:t xml:space="preserve"> </w:t>
            </w:r>
            <w:r w:rsidRPr="00275F7B">
              <w:rPr>
                <w:rFonts w:eastAsia="Calibri"/>
                <w:sz w:val="24"/>
                <w:szCs w:val="24"/>
              </w:rPr>
              <w:t>for</w:t>
            </w:r>
            <w:r>
              <w:rPr>
                <w:rFonts w:eastAsia="Calibri"/>
                <w:sz w:val="24"/>
                <w:szCs w:val="24"/>
              </w:rPr>
              <w:t xml:space="preserve"> </w:t>
            </w:r>
            <w:r w:rsidRPr="00275F7B">
              <w:rPr>
                <w:rFonts w:eastAsia="Calibri"/>
                <w:sz w:val="24"/>
                <w:szCs w:val="24"/>
              </w:rPr>
              <w:t>Sustainable</w:t>
            </w:r>
            <w:r>
              <w:rPr>
                <w:rFonts w:eastAsia="Calibri"/>
                <w:sz w:val="24"/>
                <w:szCs w:val="24"/>
              </w:rPr>
              <w:t xml:space="preserve"> </w:t>
            </w:r>
            <w:r w:rsidRPr="00275F7B">
              <w:rPr>
                <w:rFonts w:eastAsia="Calibri"/>
                <w:sz w:val="24"/>
                <w:szCs w:val="24"/>
              </w:rPr>
              <w:t>Development</w:t>
            </w:r>
          </w:p>
        </w:tc>
      </w:tr>
      <w:tr w:rsidR="000405CE" w:rsidRPr="00275F7B" w14:paraId="53BD4FAC" w14:textId="77777777" w:rsidTr="00FF73DA">
        <w:trPr>
          <w:trHeight w:val="258"/>
        </w:trPr>
        <w:tc>
          <w:tcPr>
            <w:tcW w:w="1325" w:type="dxa"/>
            <w:shd w:val="clear" w:color="auto" w:fill="auto"/>
          </w:tcPr>
          <w:p w14:paraId="08F9892D" w14:textId="77777777" w:rsidR="000405CE" w:rsidRPr="00BD2CC5" w:rsidRDefault="000405CE" w:rsidP="00711A5D">
            <w:pPr>
              <w:rPr>
                <w:rFonts w:eastAsia="Calibri"/>
                <w:sz w:val="24"/>
                <w:szCs w:val="24"/>
              </w:rPr>
            </w:pPr>
            <w:r w:rsidRPr="00BD2CC5">
              <w:rPr>
                <w:rFonts w:eastAsia="Calibri"/>
                <w:sz w:val="24"/>
                <w:szCs w:val="24"/>
              </w:rPr>
              <w:t>UNFPA</w:t>
            </w:r>
          </w:p>
        </w:tc>
        <w:tc>
          <w:tcPr>
            <w:tcW w:w="7187" w:type="dxa"/>
            <w:shd w:val="clear" w:color="auto" w:fill="auto"/>
          </w:tcPr>
          <w:p w14:paraId="68104894" w14:textId="77777777" w:rsidR="000405CE" w:rsidRPr="00BD2CC5" w:rsidRDefault="000405CE" w:rsidP="00711A5D">
            <w:pPr>
              <w:rPr>
                <w:rFonts w:eastAsia="Calibri"/>
                <w:sz w:val="24"/>
                <w:szCs w:val="24"/>
              </w:rPr>
            </w:pPr>
            <w:r w:rsidRPr="00BD2CC5">
              <w:rPr>
                <w:rFonts w:eastAsia="Calibri"/>
                <w:sz w:val="24"/>
                <w:szCs w:val="24"/>
              </w:rPr>
              <w:t>United Nations Population Fund</w:t>
            </w:r>
          </w:p>
        </w:tc>
      </w:tr>
      <w:tr w:rsidR="000405CE" w:rsidRPr="00275F7B" w14:paraId="4A675869" w14:textId="77777777" w:rsidTr="00FF73DA">
        <w:trPr>
          <w:trHeight w:val="360"/>
        </w:trPr>
        <w:tc>
          <w:tcPr>
            <w:tcW w:w="1325" w:type="dxa"/>
            <w:shd w:val="clear" w:color="auto" w:fill="auto"/>
          </w:tcPr>
          <w:p w14:paraId="20A667A2" w14:textId="77777777" w:rsidR="000405CE" w:rsidRPr="00275F7B" w:rsidRDefault="000405CE" w:rsidP="00711A5D">
            <w:pPr>
              <w:rPr>
                <w:rFonts w:eastAsia="Calibri"/>
                <w:sz w:val="24"/>
                <w:szCs w:val="24"/>
              </w:rPr>
            </w:pPr>
            <w:r>
              <w:rPr>
                <w:rFonts w:eastAsia="Calibri"/>
                <w:sz w:val="24"/>
                <w:szCs w:val="24"/>
              </w:rPr>
              <w:t>UN</w:t>
            </w:r>
            <w:r w:rsidRPr="00275F7B">
              <w:rPr>
                <w:rFonts w:eastAsia="Calibri"/>
                <w:sz w:val="24"/>
                <w:szCs w:val="24"/>
              </w:rPr>
              <w:t>GA</w:t>
            </w:r>
          </w:p>
        </w:tc>
        <w:tc>
          <w:tcPr>
            <w:tcW w:w="7187" w:type="dxa"/>
            <w:shd w:val="clear" w:color="auto" w:fill="auto"/>
          </w:tcPr>
          <w:p w14:paraId="2AE265C7" w14:textId="77777777" w:rsidR="000405CE" w:rsidRPr="00275F7B" w:rsidRDefault="000405CE" w:rsidP="00711A5D">
            <w:pPr>
              <w:rPr>
                <w:sz w:val="24"/>
                <w:szCs w:val="24"/>
              </w:rPr>
            </w:pPr>
            <w:r>
              <w:rPr>
                <w:rFonts w:eastAsia="Calibri"/>
                <w:sz w:val="24"/>
                <w:szCs w:val="24"/>
              </w:rPr>
              <w:t xml:space="preserve">United Nations </w:t>
            </w:r>
            <w:r w:rsidRPr="00275F7B">
              <w:rPr>
                <w:rFonts w:eastAsia="Calibri"/>
                <w:sz w:val="24"/>
                <w:szCs w:val="24"/>
              </w:rPr>
              <w:t>General</w:t>
            </w:r>
            <w:r>
              <w:rPr>
                <w:rFonts w:eastAsia="Calibri"/>
                <w:sz w:val="24"/>
                <w:szCs w:val="24"/>
              </w:rPr>
              <w:t xml:space="preserve"> </w:t>
            </w:r>
            <w:r w:rsidRPr="00275F7B">
              <w:rPr>
                <w:rFonts w:eastAsia="Calibri"/>
                <w:sz w:val="24"/>
                <w:szCs w:val="24"/>
              </w:rPr>
              <w:t>Assembly</w:t>
            </w:r>
          </w:p>
        </w:tc>
      </w:tr>
      <w:tr w:rsidR="000405CE" w:rsidRPr="00275F7B" w14:paraId="1632E0A5" w14:textId="77777777" w:rsidTr="00BD2CC5">
        <w:trPr>
          <w:trHeight w:val="70"/>
        </w:trPr>
        <w:tc>
          <w:tcPr>
            <w:tcW w:w="1325" w:type="dxa"/>
            <w:shd w:val="clear" w:color="auto" w:fill="auto"/>
          </w:tcPr>
          <w:p w14:paraId="79B79B2B" w14:textId="77777777" w:rsidR="000405CE" w:rsidRDefault="000405CE" w:rsidP="00711A5D">
            <w:pPr>
              <w:rPr>
                <w:rFonts w:eastAsia="Calibri"/>
                <w:sz w:val="24"/>
                <w:szCs w:val="24"/>
              </w:rPr>
            </w:pPr>
            <w:r>
              <w:rPr>
                <w:rFonts w:eastAsia="Calibri"/>
                <w:sz w:val="24"/>
                <w:szCs w:val="24"/>
              </w:rPr>
              <w:t>UNICEF</w:t>
            </w:r>
          </w:p>
        </w:tc>
        <w:tc>
          <w:tcPr>
            <w:tcW w:w="7187" w:type="dxa"/>
            <w:shd w:val="clear" w:color="auto" w:fill="auto"/>
          </w:tcPr>
          <w:p w14:paraId="13C8B776" w14:textId="5FC420AA" w:rsidR="000405CE" w:rsidRDefault="000405CE" w:rsidP="00711A5D">
            <w:pPr>
              <w:rPr>
                <w:rFonts w:eastAsia="Calibri"/>
                <w:sz w:val="24"/>
                <w:szCs w:val="24"/>
              </w:rPr>
            </w:pPr>
            <w:r>
              <w:rPr>
                <w:rFonts w:eastAsia="Calibri"/>
                <w:sz w:val="24"/>
                <w:szCs w:val="24"/>
              </w:rPr>
              <w:t>United Nations International Children’s Emergency Fund</w:t>
            </w:r>
          </w:p>
        </w:tc>
      </w:tr>
      <w:tr w:rsidR="000405CE" w:rsidRPr="00275F7B" w14:paraId="22BE173E" w14:textId="77777777" w:rsidTr="00FF73DA">
        <w:trPr>
          <w:trHeight w:val="258"/>
        </w:trPr>
        <w:tc>
          <w:tcPr>
            <w:tcW w:w="1325" w:type="dxa"/>
            <w:shd w:val="clear" w:color="auto" w:fill="auto"/>
          </w:tcPr>
          <w:p w14:paraId="38E0C4F3" w14:textId="77777777" w:rsidR="000405CE" w:rsidRPr="00275F7B" w:rsidRDefault="000405CE" w:rsidP="00711A5D">
            <w:pPr>
              <w:rPr>
                <w:sz w:val="24"/>
                <w:szCs w:val="24"/>
              </w:rPr>
            </w:pPr>
            <w:r w:rsidRPr="00275F7B">
              <w:rPr>
                <w:rFonts w:eastAsia="Calibri"/>
                <w:sz w:val="24"/>
                <w:szCs w:val="24"/>
              </w:rPr>
              <w:t>VNR</w:t>
            </w:r>
          </w:p>
        </w:tc>
        <w:tc>
          <w:tcPr>
            <w:tcW w:w="7187" w:type="dxa"/>
            <w:shd w:val="clear" w:color="auto" w:fill="auto"/>
          </w:tcPr>
          <w:p w14:paraId="21F08229" w14:textId="6877AD3B" w:rsidR="000405CE" w:rsidRPr="00FF73DA" w:rsidRDefault="000405CE" w:rsidP="00711A5D">
            <w:pPr>
              <w:rPr>
                <w:rFonts w:eastAsia="Calibri"/>
                <w:sz w:val="24"/>
                <w:szCs w:val="24"/>
              </w:rPr>
            </w:pPr>
            <w:r w:rsidRPr="00275F7B">
              <w:rPr>
                <w:rFonts w:eastAsia="Calibri"/>
                <w:sz w:val="24"/>
                <w:szCs w:val="24"/>
              </w:rPr>
              <w:t>Voluntary</w:t>
            </w:r>
            <w:r>
              <w:rPr>
                <w:rFonts w:eastAsia="Calibri"/>
                <w:sz w:val="24"/>
                <w:szCs w:val="24"/>
              </w:rPr>
              <w:t xml:space="preserve"> </w:t>
            </w:r>
            <w:r w:rsidRPr="00275F7B">
              <w:rPr>
                <w:rFonts w:eastAsia="Calibri"/>
                <w:sz w:val="24"/>
                <w:szCs w:val="24"/>
              </w:rPr>
              <w:t>National</w:t>
            </w:r>
            <w:r>
              <w:rPr>
                <w:rFonts w:eastAsia="Calibri"/>
                <w:sz w:val="24"/>
                <w:szCs w:val="24"/>
              </w:rPr>
              <w:t xml:space="preserve"> </w:t>
            </w:r>
            <w:r w:rsidRPr="00275F7B">
              <w:rPr>
                <w:rFonts w:eastAsia="Calibri"/>
                <w:sz w:val="24"/>
                <w:szCs w:val="24"/>
              </w:rPr>
              <w:t>Review</w:t>
            </w:r>
          </w:p>
        </w:tc>
      </w:tr>
      <w:tr w:rsidR="000405CE" w:rsidRPr="00275F7B" w14:paraId="70EB2CC8" w14:textId="77777777" w:rsidTr="00FF73DA">
        <w:trPr>
          <w:trHeight w:val="258"/>
        </w:trPr>
        <w:tc>
          <w:tcPr>
            <w:tcW w:w="1325" w:type="dxa"/>
            <w:shd w:val="clear" w:color="auto" w:fill="auto"/>
          </w:tcPr>
          <w:p w14:paraId="718E6FC6" w14:textId="77777777" w:rsidR="000405CE" w:rsidRPr="00BD2CC5" w:rsidRDefault="000405CE" w:rsidP="00711A5D">
            <w:pPr>
              <w:rPr>
                <w:rFonts w:eastAsia="Calibri"/>
                <w:sz w:val="24"/>
                <w:szCs w:val="24"/>
              </w:rPr>
            </w:pPr>
            <w:r w:rsidRPr="00BD2CC5">
              <w:rPr>
                <w:rFonts w:eastAsia="Calibri"/>
                <w:sz w:val="24"/>
                <w:szCs w:val="24"/>
              </w:rPr>
              <w:t>WAFOD</w:t>
            </w:r>
          </w:p>
        </w:tc>
        <w:tc>
          <w:tcPr>
            <w:tcW w:w="7187" w:type="dxa"/>
            <w:shd w:val="clear" w:color="auto" w:fill="auto"/>
          </w:tcPr>
          <w:p w14:paraId="0062FF5C" w14:textId="77777777" w:rsidR="000405CE" w:rsidRPr="00BD2CC5" w:rsidRDefault="000405CE" w:rsidP="00711A5D">
            <w:pPr>
              <w:rPr>
                <w:rFonts w:eastAsia="Calibri"/>
                <w:sz w:val="24"/>
                <w:szCs w:val="24"/>
              </w:rPr>
            </w:pPr>
            <w:r w:rsidRPr="00BD2CC5">
              <w:rPr>
                <w:rFonts w:eastAsia="Calibri"/>
                <w:sz w:val="24"/>
                <w:szCs w:val="24"/>
              </w:rPr>
              <w:t>West African Federation of Persons with Disabilities</w:t>
            </w:r>
          </w:p>
        </w:tc>
      </w:tr>
    </w:tbl>
    <w:p w14:paraId="25035B12" w14:textId="77777777" w:rsidR="00143D58" w:rsidRDefault="00143D58" w:rsidP="00FF73DA">
      <w:pPr>
        <w:rPr>
          <w:b/>
          <w:sz w:val="28"/>
          <w:szCs w:val="28"/>
        </w:rPr>
      </w:pPr>
    </w:p>
    <w:p w14:paraId="0CC99AEF" w14:textId="77777777" w:rsidR="00143D58" w:rsidRDefault="00143D58" w:rsidP="000A506F">
      <w:pPr>
        <w:jc w:val="center"/>
        <w:rPr>
          <w:b/>
          <w:sz w:val="28"/>
          <w:szCs w:val="28"/>
        </w:rPr>
      </w:pPr>
    </w:p>
    <w:p w14:paraId="2D496AB0" w14:textId="6553BCF8" w:rsidR="00143D58" w:rsidRDefault="00143D58" w:rsidP="000A506F">
      <w:pPr>
        <w:jc w:val="center"/>
        <w:rPr>
          <w:b/>
          <w:sz w:val="28"/>
          <w:szCs w:val="28"/>
        </w:rPr>
      </w:pPr>
    </w:p>
    <w:p w14:paraId="588575B2" w14:textId="77777777" w:rsidR="00732570" w:rsidRDefault="00732570" w:rsidP="000A506F">
      <w:pPr>
        <w:jc w:val="center"/>
        <w:rPr>
          <w:b/>
          <w:sz w:val="28"/>
          <w:szCs w:val="28"/>
        </w:rPr>
      </w:pPr>
    </w:p>
    <w:p w14:paraId="748EADB0" w14:textId="073D3AEC" w:rsidR="00DC4336" w:rsidRDefault="005704A0" w:rsidP="00936FF7">
      <w:pPr>
        <w:jc w:val="center"/>
        <w:rPr>
          <w:b/>
          <w:sz w:val="36"/>
          <w:szCs w:val="36"/>
        </w:rPr>
      </w:pPr>
      <w:r w:rsidRPr="00143D58">
        <w:rPr>
          <w:b/>
          <w:sz w:val="36"/>
          <w:szCs w:val="36"/>
        </w:rPr>
        <w:lastRenderedPageBreak/>
        <w:t>The</w:t>
      </w:r>
      <w:r w:rsidR="00EB002E">
        <w:rPr>
          <w:b/>
          <w:sz w:val="36"/>
          <w:szCs w:val="36"/>
        </w:rPr>
        <w:t xml:space="preserve"> </w:t>
      </w:r>
      <w:r w:rsidRPr="00143D58">
        <w:rPr>
          <w:b/>
          <w:sz w:val="36"/>
          <w:szCs w:val="36"/>
        </w:rPr>
        <w:t>Stakeholder</w:t>
      </w:r>
      <w:r w:rsidR="00EB002E">
        <w:rPr>
          <w:b/>
          <w:sz w:val="36"/>
          <w:szCs w:val="36"/>
        </w:rPr>
        <w:t xml:space="preserve"> </w:t>
      </w:r>
      <w:r w:rsidRPr="00143D58">
        <w:rPr>
          <w:b/>
          <w:sz w:val="36"/>
          <w:szCs w:val="36"/>
        </w:rPr>
        <w:t>Group</w:t>
      </w:r>
      <w:r w:rsidR="00EB002E">
        <w:rPr>
          <w:b/>
          <w:sz w:val="36"/>
          <w:szCs w:val="36"/>
        </w:rPr>
        <w:t xml:space="preserve"> </w:t>
      </w:r>
      <w:r w:rsidRPr="00143D58">
        <w:rPr>
          <w:b/>
          <w:sz w:val="36"/>
          <w:szCs w:val="36"/>
        </w:rPr>
        <w:t>of</w:t>
      </w:r>
      <w:r w:rsidR="00EB002E">
        <w:rPr>
          <w:b/>
          <w:sz w:val="36"/>
          <w:szCs w:val="36"/>
        </w:rPr>
        <w:t xml:space="preserve"> </w:t>
      </w:r>
      <w:r w:rsidRPr="00143D58">
        <w:rPr>
          <w:b/>
          <w:sz w:val="36"/>
          <w:szCs w:val="36"/>
        </w:rPr>
        <w:t>Persons</w:t>
      </w:r>
      <w:r w:rsidR="00EB002E">
        <w:rPr>
          <w:b/>
          <w:sz w:val="36"/>
          <w:szCs w:val="36"/>
        </w:rPr>
        <w:t xml:space="preserve"> </w:t>
      </w:r>
      <w:r w:rsidRPr="00143D58">
        <w:rPr>
          <w:b/>
          <w:sz w:val="36"/>
          <w:szCs w:val="36"/>
        </w:rPr>
        <w:t>with</w:t>
      </w:r>
      <w:r w:rsidR="00EB002E">
        <w:rPr>
          <w:b/>
          <w:sz w:val="36"/>
          <w:szCs w:val="36"/>
        </w:rPr>
        <w:t xml:space="preserve"> </w:t>
      </w:r>
      <w:r w:rsidRPr="00143D58">
        <w:rPr>
          <w:b/>
          <w:sz w:val="36"/>
          <w:szCs w:val="36"/>
        </w:rPr>
        <w:t xml:space="preserve">Disabilities </w:t>
      </w:r>
    </w:p>
    <w:p w14:paraId="20AA2B48" w14:textId="4618613E" w:rsidR="002C7632" w:rsidRDefault="005704A0" w:rsidP="00DC4336">
      <w:pPr>
        <w:jc w:val="center"/>
        <w:rPr>
          <w:b/>
          <w:sz w:val="36"/>
          <w:szCs w:val="36"/>
        </w:rPr>
      </w:pPr>
      <w:r w:rsidRPr="00143D58">
        <w:rPr>
          <w:b/>
          <w:sz w:val="36"/>
          <w:szCs w:val="36"/>
        </w:rPr>
        <w:t>2018 HLPF Report</w:t>
      </w:r>
    </w:p>
    <w:p w14:paraId="305752FA" w14:textId="1CFDA8F7" w:rsidR="00BE6A49" w:rsidRDefault="00BE6A49" w:rsidP="00FF73DA">
      <w:pPr>
        <w:rPr>
          <w:b/>
          <w:sz w:val="36"/>
          <w:szCs w:val="36"/>
        </w:rPr>
      </w:pPr>
    </w:p>
    <w:p w14:paraId="4A47DCA7" w14:textId="4DA796DD" w:rsidR="00BE6A49" w:rsidRDefault="004B0FC6" w:rsidP="00FF73DA">
      <w:pPr>
        <w:pStyle w:val="Heading1"/>
      </w:pPr>
      <w:bookmarkStart w:id="3" w:name="_Toc531264858"/>
      <w:r>
        <w:t>Executive Summary</w:t>
      </w:r>
      <w:bookmarkEnd w:id="3"/>
    </w:p>
    <w:p w14:paraId="625FC854" w14:textId="0E86A405" w:rsidR="008C3533" w:rsidRDefault="008C3533" w:rsidP="008C3533">
      <w:pPr>
        <w:pStyle w:val="NormalWeb"/>
        <w:spacing w:before="0" w:beforeAutospacing="0" w:after="0" w:afterAutospacing="0" w:line="276" w:lineRule="auto"/>
        <w:jc w:val="both"/>
      </w:pPr>
      <w:r w:rsidRPr="003F6D00">
        <w:rPr>
          <w:rFonts w:asciiTheme="minorHAnsi" w:hAnsiTheme="minorHAnsi"/>
        </w:rPr>
        <w:t xml:space="preserve">The </w:t>
      </w:r>
      <w:r>
        <w:rPr>
          <w:rFonts w:asciiTheme="minorHAnsi" w:hAnsiTheme="minorHAnsi"/>
        </w:rPr>
        <w:t>High-level Political Forum (HLPF)</w:t>
      </w:r>
      <w:r w:rsidRPr="003F6D00">
        <w:rPr>
          <w:rFonts w:asciiTheme="minorHAnsi" w:hAnsiTheme="minorHAnsi"/>
        </w:rPr>
        <w:t xml:space="preserve"> is the main United Nations</w:t>
      </w:r>
      <w:r>
        <w:rPr>
          <w:rFonts w:asciiTheme="minorHAnsi" w:hAnsiTheme="minorHAnsi"/>
        </w:rPr>
        <w:t xml:space="preserve"> (UN)</w:t>
      </w:r>
      <w:r w:rsidRPr="003F6D00">
        <w:rPr>
          <w:rFonts w:asciiTheme="minorHAnsi" w:hAnsiTheme="minorHAnsi"/>
        </w:rPr>
        <w:t xml:space="preserve"> platform on sustainable development</w:t>
      </w:r>
      <w:r>
        <w:rPr>
          <w:rFonts w:asciiTheme="minorHAnsi" w:hAnsiTheme="minorHAnsi"/>
        </w:rPr>
        <w:t>,</w:t>
      </w:r>
      <w:r w:rsidRPr="003F6D00">
        <w:rPr>
          <w:rFonts w:asciiTheme="minorHAnsi" w:hAnsiTheme="minorHAnsi"/>
        </w:rPr>
        <w:t xml:space="preserve"> </w:t>
      </w:r>
      <w:r>
        <w:rPr>
          <w:rFonts w:asciiTheme="minorHAnsi" w:hAnsiTheme="minorHAnsi"/>
        </w:rPr>
        <w:t>playing</w:t>
      </w:r>
      <w:r w:rsidRPr="003F6D00">
        <w:rPr>
          <w:rFonts w:asciiTheme="minorHAnsi" w:hAnsiTheme="minorHAnsi"/>
        </w:rPr>
        <w:t xml:space="preserve"> a central role in the follow-up and review of the 2030 Agenda for Sustainable Development </w:t>
      </w:r>
      <w:r>
        <w:rPr>
          <w:rFonts w:asciiTheme="minorHAnsi" w:hAnsiTheme="minorHAnsi"/>
        </w:rPr>
        <w:t xml:space="preserve">and </w:t>
      </w:r>
      <w:r w:rsidRPr="003F6D00">
        <w:rPr>
          <w:rFonts w:asciiTheme="minorHAnsi" w:hAnsiTheme="minorHAnsi"/>
        </w:rPr>
        <w:t>the Sustainable Development Goals (SDGs) at the global level. As part of its follow</w:t>
      </w:r>
      <w:r w:rsidR="00082E53">
        <w:rPr>
          <w:rFonts w:asciiTheme="minorHAnsi" w:hAnsiTheme="minorHAnsi"/>
        </w:rPr>
        <w:t>-</w:t>
      </w:r>
      <w:r w:rsidRPr="003F6D00">
        <w:rPr>
          <w:rFonts w:asciiTheme="minorHAnsi" w:hAnsiTheme="minorHAnsi"/>
        </w:rPr>
        <w:t xml:space="preserve">up and review mechanisms, the 2030 Agenda encourages </w:t>
      </w:r>
      <w:r>
        <w:rPr>
          <w:rFonts w:asciiTheme="minorHAnsi" w:hAnsiTheme="minorHAnsi"/>
        </w:rPr>
        <w:t>M</w:t>
      </w:r>
      <w:r w:rsidRPr="003F6D00">
        <w:rPr>
          <w:rFonts w:asciiTheme="minorHAnsi" w:hAnsiTheme="minorHAnsi"/>
        </w:rPr>
        <w:t xml:space="preserve">ember </w:t>
      </w:r>
      <w:r>
        <w:rPr>
          <w:rFonts w:asciiTheme="minorHAnsi" w:hAnsiTheme="minorHAnsi"/>
        </w:rPr>
        <w:t>S</w:t>
      </w:r>
      <w:r w:rsidRPr="003F6D00">
        <w:rPr>
          <w:rFonts w:asciiTheme="minorHAnsi" w:hAnsiTheme="minorHAnsi"/>
        </w:rPr>
        <w:t xml:space="preserve">tates to “conduct regular and inclusive reviews of progress at the national and sub-national levels, which are country-led and country-driven.” These national reviews serve as a basis for the regular reviews by the HLPF. As stipulated in paragraph 84 of the 2030 Agenda, regular reviews by the HLPF are voluntary, state-led, undertaken by both developed and developing countries, and provide a platform for partnerships, including through the participation of </w:t>
      </w:r>
      <w:r>
        <w:rPr>
          <w:rFonts w:asciiTheme="minorHAnsi" w:hAnsiTheme="minorHAnsi"/>
        </w:rPr>
        <w:t>M</w:t>
      </w:r>
      <w:r w:rsidRPr="003F6D00">
        <w:rPr>
          <w:rFonts w:asciiTheme="minorHAnsi" w:hAnsiTheme="minorHAnsi"/>
        </w:rPr>
        <w:t xml:space="preserve">ajor </w:t>
      </w:r>
      <w:r>
        <w:rPr>
          <w:rFonts w:asciiTheme="minorHAnsi" w:hAnsiTheme="minorHAnsi"/>
        </w:rPr>
        <w:t>G</w:t>
      </w:r>
      <w:r w:rsidRPr="003F6D00">
        <w:rPr>
          <w:rFonts w:asciiTheme="minorHAnsi" w:hAnsiTheme="minorHAnsi"/>
        </w:rPr>
        <w:t xml:space="preserve">roups and other </w:t>
      </w:r>
      <w:r>
        <w:rPr>
          <w:rFonts w:asciiTheme="minorHAnsi" w:hAnsiTheme="minorHAnsi"/>
        </w:rPr>
        <w:t>S</w:t>
      </w:r>
      <w:r w:rsidRPr="003F6D00">
        <w:rPr>
          <w:rFonts w:asciiTheme="minorHAnsi" w:hAnsiTheme="minorHAnsi"/>
        </w:rPr>
        <w:t>takeholders</w:t>
      </w:r>
      <w:r>
        <w:rPr>
          <w:rFonts w:asciiTheme="minorHAnsi" w:hAnsiTheme="minorHAnsi"/>
        </w:rPr>
        <w:t xml:space="preserve"> (</w:t>
      </w:r>
      <w:proofErr w:type="spellStart"/>
      <w:r>
        <w:rPr>
          <w:rFonts w:asciiTheme="minorHAnsi" w:hAnsiTheme="minorHAnsi"/>
        </w:rPr>
        <w:t>MGoS</w:t>
      </w:r>
      <w:proofErr w:type="spellEnd"/>
      <w:r>
        <w:rPr>
          <w:rFonts w:asciiTheme="minorHAnsi" w:hAnsiTheme="minorHAnsi"/>
        </w:rPr>
        <w:t>)</w:t>
      </w:r>
      <w:r>
        <w:t>.</w:t>
      </w:r>
    </w:p>
    <w:p w14:paraId="0F9522D9" w14:textId="77777777" w:rsidR="008C3533" w:rsidRDefault="008C3533" w:rsidP="008C3533">
      <w:pPr>
        <w:pStyle w:val="NormalWeb"/>
        <w:spacing w:before="0" w:beforeAutospacing="0" w:after="0" w:afterAutospacing="0" w:line="276" w:lineRule="auto"/>
        <w:jc w:val="both"/>
      </w:pPr>
    </w:p>
    <w:p w14:paraId="67669A9F" w14:textId="77777777" w:rsidR="008C3533" w:rsidRPr="008A2790" w:rsidRDefault="008C3533" w:rsidP="008C3533">
      <w:pPr>
        <w:pStyle w:val="NormalWeb"/>
        <w:spacing w:before="0" w:beforeAutospacing="0" w:after="0" w:afterAutospacing="0" w:line="276" w:lineRule="auto"/>
        <w:jc w:val="both"/>
        <w:rPr>
          <w:rFonts w:asciiTheme="minorHAnsi" w:hAnsiTheme="minorHAnsi"/>
        </w:rPr>
      </w:pPr>
      <w:r w:rsidRPr="003F6D00">
        <w:rPr>
          <w:rFonts w:asciiTheme="minorHAnsi" w:hAnsiTheme="minorHAnsi"/>
          <w:iCs/>
        </w:rPr>
        <w:t xml:space="preserve">The </w:t>
      </w:r>
      <w:r w:rsidRPr="003F6D00">
        <w:rPr>
          <w:rFonts w:asciiTheme="minorHAnsi" w:hAnsiTheme="minorHAnsi"/>
          <w:bCs/>
        </w:rPr>
        <w:t>2018 HLPF</w:t>
      </w:r>
      <w:r>
        <w:rPr>
          <w:rFonts w:asciiTheme="minorHAnsi" w:hAnsiTheme="minorHAnsi"/>
          <w:bCs/>
        </w:rPr>
        <w:t xml:space="preserve"> </w:t>
      </w:r>
      <w:r w:rsidRPr="003F6D00">
        <w:rPr>
          <w:rFonts w:asciiTheme="minorHAnsi" w:hAnsiTheme="minorHAnsi"/>
          <w:iCs/>
        </w:rPr>
        <w:t>was held from Monday, 9 July, to Wednesday, 18 July 2018</w:t>
      </w:r>
      <w:r>
        <w:rPr>
          <w:rFonts w:asciiTheme="minorHAnsi" w:hAnsiTheme="minorHAnsi"/>
          <w:iCs/>
        </w:rPr>
        <w:t>,</w:t>
      </w:r>
      <w:r w:rsidRPr="003F6D00">
        <w:rPr>
          <w:rFonts w:asciiTheme="minorHAnsi" w:hAnsiTheme="minorHAnsi"/>
          <w:iCs/>
        </w:rPr>
        <w:t xml:space="preserve"> </w:t>
      </w:r>
      <w:r w:rsidRPr="003F6D00">
        <w:rPr>
          <w:rFonts w:asciiTheme="minorHAnsi" w:hAnsiTheme="minorHAnsi"/>
        </w:rPr>
        <w:t xml:space="preserve">including </w:t>
      </w:r>
      <w:r>
        <w:rPr>
          <w:rFonts w:asciiTheme="minorHAnsi" w:hAnsiTheme="minorHAnsi"/>
        </w:rPr>
        <w:t>a</w:t>
      </w:r>
      <w:r w:rsidRPr="003F6D00">
        <w:rPr>
          <w:rFonts w:asciiTheme="minorHAnsi" w:hAnsiTheme="minorHAnsi"/>
        </w:rPr>
        <w:t xml:space="preserve"> three-day ministerial meeting of the forum from </w:t>
      </w:r>
      <w:r w:rsidRPr="003F6D00">
        <w:rPr>
          <w:rFonts w:asciiTheme="minorHAnsi" w:hAnsiTheme="minorHAnsi"/>
          <w:bCs/>
        </w:rPr>
        <w:t>Monday, 16 July, to Wednesday, 18 July 2018</w:t>
      </w:r>
      <w:r w:rsidRPr="003F6D00">
        <w:rPr>
          <w:rFonts w:asciiTheme="minorHAnsi" w:hAnsiTheme="minorHAnsi"/>
          <w:iCs/>
        </w:rPr>
        <w:t xml:space="preserve"> in New York. The </w:t>
      </w:r>
      <w:r>
        <w:rPr>
          <w:rFonts w:asciiTheme="minorHAnsi" w:hAnsiTheme="minorHAnsi"/>
          <w:iCs/>
        </w:rPr>
        <w:t>theme of the forum was</w:t>
      </w:r>
      <w:r w:rsidRPr="003F6D00">
        <w:rPr>
          <w:rFonts w:asciiTheme="minorHAnsi" w:hAnsiTheme="minorHAnsi"/>
        </w:rPr>
        <w:t xml:space="preserve"> "Transformation towards sustainable and resilient societies". The set of </w:t>
      </w:r>
      <w:r>
        <w:rPr>
          <w:rFonts w:asciiTheme="minorHAnsi" w:hAnsiTheme="minorHAnsi"/>
        </w:rPr>
        <w:t>G</w:t>
      </w:r>
      <w:r w:rsidRPr="003F6D00">
        <w:rPr>
          <w:rFonts w:asciiTheme="minorHAnsi" w:hAnsiTheme="minorHAnsi"/>
        </w:rPr>
        <w:t xml:space="preserve">oals reviewed in depth included the following, </w:t>
      </w:r>
    </w:p>
    <w:p w14:paraId="6646C404" w14:textId="77777777" w:rsidR="008C3533" w:rsidRPr="008A2790" w:rsidRDefault="008C3533" w:rsidP="008C3533">
      <w:pPr>
        <w:numPr>
          <w:ilvl w:val="0"/>
          <w:numId w:val="17"/>
        </w:numPr>
        <w:spacing w:before="100" w:beforeAutospacing="1" w:after="100" w:afterAutospacing="1" w:line="276" w:lineRule="auto"/>
        <w:jc w:val="both"/>
        <w:rPr>
          <w:rFonts w:eastAsia="Times New Roman" w:cs="Times New Roman"/>
          <w:sz w:val="24"/>
          <w:szCs w:val="24"/>
          <w:lang w:eastAsia="en-GB"/>
        </w:rPr>
      </w:pPr>
      <w:r w:rsidRPr="008A2790">
        <w:rPr>
          <w:rFonts w:eastAsia="Times New Roman" w:cs="Times New Roman"/>
          <w:sz w:val="24"/>
          <w:szCs w:val="24"/>
          <w:lang w:eastAsia="en-GB"/>
        </w:rPr>
        <w:t>Goal 6. Ensure availability and sustainable management of water and sanitation for all</w:t>
      </w:r>
      <w:r>
        <w:rPr>
          <w:rFonts w:eastAsia="Times New Roman" w:cs="Times New Roman"/>
          <w:sz w:val="24"/>
          <w:szCs w:val="24"/>
          <w:lang w:eastAsia="en-GB"/>
        </w:rPr>
        <w:t>;</w:t>
      </w:r>
    </w:p>
    <w:p w14:paraId="43DAA9C4" w14:textId="77777777" w:rsidR="008C3533" w:rsidRPr="008A2790" w:rsidRDefault="008C3533" w:rsidP="008C3533">
      <w:pPr>
        <w:numPr>
          <w:ilvl w:val="0"/>
          <w:numId w:val="17"/>
        </w:numPr>
        <w:spacing w:before="100" w:beforeAutospacing="1" w:after="100" w:afterAutospacing="1" w:line="276" w:lineRule="auto"/>
        <w:jc w:val="both"/>
        <w:rPr>
          <w:rFonts w:eastAsia="Times New Roman" w:cs="Times New Roman"/>
          <w:sz w:val="24"/>
          <w:szCs w:val="24"/>
          <w:lang w:eastAsia="en-GB"/>
        </w:rPr>
      </w:pPr>
      <w:r w:rsidRPr="008A2790">
        <w:rPr>
          <w:rFonts w:eastAsia="Times New Roman" w:cs="Times New Roman"/>
          <w:sz w:val="24"/>
          <w:szCs w:val="24"/>
          <w:lang w:eastAsia="en-GB"/>
        </w:rPr>
        <w:t>Goal 7. Ensure access to affordable, reliable, sustainable and modern energy for all</w:t>
      </w:r>
      <w:r>
        <w:rPr>
          <w:rFonts w:eastAsia="Times New Roman" w:cs="Times New Roman"/>
          <w:sz w:val="24"/>
          <w:szCs w:val="24"/>
          <w:lang w:eastAsia="en-GB"/>
        </w:rPr>
        <w:t>;</w:t>
      </w:r>
    </w:p>
    <w:p w14:paraId="36AF95A7" w14:textId="77777777" w:rsidR="008C3533" w:rsidRPr="008A2790" w:rsidRDefault="008C3533" w:rsidP="008C3533">
      <w:pPr>
        <w:numPr>
          <w:ilvl w:val="0"/>
          <w:numId w:val="17"/>
        </w:numPr>
        <w:spacing w:before="100" w:beforeAutospacing="1" w:after="100" w:afterAutospacing="1" w:line="276" w:lineRule="auto"/>
        <w:jc w:val="both"/>
        <w:rPr>
          <w:rFonts w:eastAsia="Times New Roman" w:cs="Times New Roman"/>
          <w:sz w:val="24"/>
          <w:szCs w:val="24"/>
          <w:lang w:eastAsia="en-GB"/>
        </w:rPr>
      </w:pPr>
      <w:r w:rsidRPr="008A2790">
        <w:rPr>
          <w:rFonts w:eastAsia="Times New Roman" w:cs="Times New Roman"/>
          <w:sz w:val="24"/>
          <w:szCs w:val="24"/>
          <w:lang w:eastAsia="en-GB"/>
        </w:rPr>
        <w:t>Goal 11. Make cities and human settlements inclusive, safe, resilient and sustainable</w:t>
      </w:r>
      <w:r>
        <w:rPr>
          <w:rFonts w:eastAsia="Times New Roman" w:cs="Times New Roman"/>
          <w:sz w:val="24"/>
          <w:szCs w:val="24"/>
          <w:lang w:eastAsia="en-GB"/>
        </w:rPr>
        <w:t>;</w:t>
      </w:r>
    </w:p>
    <w:p w14:paraId="090CEC28" w14:textId="77777777" w:rsidR="008C3533" w:rsidRPr="008A2790" w:rsidRDefault="008C3533" w:rsidP="008C3533">
      <w:pPr>
        <w:numPr>
          <w:ilvl w:val="0"/>
          <w:numId w:val="17"/>
        </w:numPr>
        <w:spacing w:before="100" w:beforeAutospacing="1" w:after="100" w:afterAutospacing="1" w:line="276" w:lineRule="auto"/>
        <w:jc w:val="both"/>
        <w:rPr>
          <w:rFonts w:eastAsia="Times New Roman" w:cs="Times New Roman"/>
          <w:sz w:val="24"/>
          <w:szCs w:val="24"/>
          <w:lang w:eastAsia="en-GB"/>
        </w:rPr>
      </w:pPr>
      <w:r w:rsidRPr="008A2790">
        <w:rPr>
          <w:rFonts w:eastAsia="Times New Roman" w:cs="Times New Roman"/>
          <w:sz w:val="24"/>
          <w:szCs w:val="24"/>
          <w:lang w:eastAsia="en-GB"/>
        </w:rPr>
        <w:t>Goal 12. Ensure sustainable consumption and production patterns</w:t>
      </w:r>
      <w:r>
        <w:rPr>
          <w:rFonts w:eastAsia="Times New Roman" w:cs="Times New Roman"/>
          <w:sz w:val="24"/>
          <w:szCs w:val="24"/>
          <w:lang w:eastAsia="en-GB"/>
        </w:rPr>
        <w:t>;</w:t>
      </w:r>
    </w:p>
    <w:p w14:paraId="4FCC6EC1" w14:textId="77777777" w:rsidR="008C3533" w:rsidRPr="008A2790" w:rsidRDefault="008C3533" w:rsidP="008C3533">
      <w:pPr>
        <w:numPr>
          <w:ilvl w:val="0"/>
          <w:numId w:val="17"/>
        </w:numPr>
        <w:spacing w:before="100" w:beforeAutospacing="1" w:after="100" w:afterAutospacing="1" w:line="276" w:lineRule="auto"/>
        <w:jc w:val="both"/>
        <w:rPr>
          <w:rFonts w:eastAsia="Times New Roman" w:cs="Times New Roman"/>
          <w:sz w:val="24"/>
          <w:szCs w:val="24"/>
          <w:lang w:eastAsia="en-GB"/>
        </w:rPr>
      </w:pPr>
      <w:r w:rsidRPr="008A2790">
        <w:rPr>
          <w:rFonts w:eastAsia="Times New Roman" w:cs="Times New Roman"/>
          <w:sz w:val="24"/>
          <w:szCs w:val="24"/>
          <w:lang w:eastAsia="en-GB"/>
        </w:rPr>
        <w:t>Goal 15. Protect, restore and promote sustainable use of terrestrial ecosystems, sustainably manage forests, combat desertification, and halt and reverse land degradation and halt biodiversity loss;</w:t>
      </w:r>
      <w:r>
        <w:rPr>
          <w:rFonts w:eastAsia="Times New Roman" w:cs="Times New Roman"/>
          <w:sz w:val="24"/>
          <w:szCs w:val="24"/>
          <w:lang w:eastAsia="en-GB"/>
        </w:rPr>
        <w:t xml:space="preserve"> and</w:t>
      </w:r>
    </w:p>
    <w:p w14:paraId="70C1D31A" w14:textId="77777777" w:rsidR="008C3533" w:rsidRPr="00BF4567" w:rsidRDefault="008C3533" w:rsidP="008C3533">
      <w:pPr>
        <w:pStyle w:val="ListParagraph"/>
        <w:numPr>
          <w:ilvl w:val="0"/>
          <w:numId w:val="17"/>
        </w:numPr>
        <w:spacing w:before="100" w:beforeAutospacing="1" w:after="100" w:afterAutospacing="1" w:line="276" w:lineRule="auto"/>
        <w:jc w:val="both"/>
        <w:rPr>
          <w:rFonts w:eastAsia="Times New Roman" w:cs="Times New Roman"/>
          <w:sz w:val="24"/>
          <w:szCs w:val="24"/>
          <w:lang w:eastAsia="en-GB"/>
        </w:rPr>
      </w:pPr>
      <w:r w:rsidRPr="00BF4567">
        <w:rPr>
          <w:rFonts w:eastAsia="Times New Roman" w:cs="Times New Roman"/>
          <w:sz w:val="24"/>
          <w:szCs w:val="24"/>
          <w:lang w:eastAsia="en-GB"/>
        </w:rPr>
        <w:t>Goal 17. Strengthen the means of implementation and revitalize the Global Partnership for Sustainable Development, that is considered each year</w:t>
      </w:r>
      <w:r>
        <w:rPr>
          <w:rFonts w:eastAsia="Times New Roman" w:cs="Times New Roman"/>
          <w:sz w:val="24"/>
          <w:szCs w:val="24"/>
          <w:lang w:eastAsia="en-GB"/>
        </w:rPr>
        <w:t>.</w:t>
      </w:r>
    </w:p>
    <w:p w14:paraId="56CC895A" w14:textId="703971EC" w:rsidR="008C3533" w:rsidRDefault="008C3533" w:rsidP="008C3533">
      <w:pPr>
        <w:pStyle w:val="NormalWeb"/>
        <w:spacing w:before="0" w:beforeAutospacing="0" w:after="0" w:afterAutospacing="0"/>
        <w:jc w:val="both"/>
        <w:rPr>
          <w:rFonts w:asciiTheme="minorHAnsi" w:hAnsiTheme="minorHAnsi"/>
          <w:iCs/>
        </w:rPr>
      </w:pPr>
      <w:r w:rsidRPr="008A2790">
        <w:rPr>
          <w:rFonts w:asciiTheme="minorHAnsi" w:hAnsiTheme="minorHAnsi"/>
          <w:iCs/>
        </w:rPr>
        <w:t xml:space="preserve">In 2018, 48 countries volunteered to report on their progress achieved </w:t>
      </w:r>
      <w:r>
        <w:rPr>
          <w:rFonts w:asciiTheme="minorHAnsi" w:hAnsiTheme="minorHAnsi"/>
          <w:iCs/>
        </w:rPr>
        <w:t>i</w:t>
      </w:r>
      <w:r w:rsidRPr="008A2790">
        <w:rPr>
          <w:rFonts w:asciiTheme="minorHAnsi" w:hAnsiTheme="minorHAnsi"/>
          <w:iCs/>
        </w:rPr>
        <w:t>n implementing the SDGs. These countries include: Albania, Andorra, Armenia, Australia, Bahamas, Bahrain, Benin, Bhutan, Cabo Verde, Canada, Colombia, Dominican Republic, Ecuador, Egypt, Greece, Guinea, Hungary, Iceland, Ireland, Jamaica, Kiribati, Lao People’s Democratic Republic, Latvia, Lebanon, Lithuania, Mali, Malta, Mexico, Namibia, Niger, Paraguay, Poland, Qatar, Republic of the Congo, Romania, Saudi Arabia, Senegal, Singapore, Slovakia, Spain, Sri Lanka, State of Palestine, Sudan, Switzerland, Togo, United Ara</w:t>
      </w:r>
      <w:r>
        <w:rPr>
          <w:rFonts w:asciiTheme="minorHAnsi" w:hAnsiTheme="minorHAnsi"/>
          <w:iCs/>
        </w:rPr>
        <w:t>b Emirates, Uruguay and Vietnam.</w:t>
      </w:r>
    </w:p>
    <w:p w14:paraId="66D467B6" w14:textId="77777777" w:rsidR="008C3533" w:rsidRPr="00281D6C" w:rsidRDefault="008C3533" w:rsidP="008C3533">
      <w:pPr>
        <w:pStyle w:val="NormalWeb"/>
        <w:spacing w:before="0" w:beforeAutospacing="0" w:after="0" w:afterAutospacing="0"/>
        <w:jc w:val="both"/>
        <w:rPr>
          <w:rFonts w:asciiTheme="minorHAnsi" w:hAnsiTheme="minorHAnsi"/>
        </w:rPr>
      </w:pPr>
    </w:p>
    <w:p w14:paraId="3A9BA922" w14:textId="1E80A4D5" w:rsidR="0096169E" w:rsidRPr="00FF73DA" w:rsidRDefault="00B22164" w:rsidP="00FF73DA">
      <w:pPr>
        <w:rPr>
          <w:sz w:val="24"/>
          <w:szCs w:val="36"/>
        </w:rPr>
      </w:pPr>
      <w:r>
        <w:rPr>
          <w:sz w:val="24"/>
          <w:szCs w:val="36"/>
        </w:rPr>
        <w:t>Highlights from HLPF 2018</w:t>
      </w:r>
      <w:r w:rsidR="002E35F4">
        <w:rPr>
          <w:sz w:val="24"/>
          <w:szCs w:val="36"/>
        </w:rPr>
        <w:t xml:space="preserve"> for the Stakeholder Group of Persons with Disabilities</w:t>
      </w:r>
      <w:r w:rsidR="00FE6F99">
        <w:rPr>
          <w:sz w:val="24"/>
          <w:szCs w:val="36"/>
        </w:rPr>
        <w:t xml:space="preserve"> (</w:t>
      </w:r>
      <w:proofErr w:type="spellStart"/>
      <w:r w:rsidR="00FE6F99">
        <w:rPr>
          <w:sz w:val="24"/>
          <w:szCs w:val="36"/>
        </w:rPr>
        <w:t>SGPwD</w:t>
      </w:r>
      <w:proofErr w:type="spellEnd"/>
      <w:r w:rsidR="00FE6F99">
        <w:rPr>
          <w:sz w:val="24"/>
          <w:szCs w:val="36"/>
        </w:rPr>
        <w:t>)</w:t>
      </w:r>
      <w:r w:rsidR="002E35F4">
        <w:rPr>
          <w:sz w:val="24"/>
          <w:szCs w:val="36"/>
        </w:rPr>
        <w:t xml:space="preserve"> are as follows</w:t>
      </w:r>
      <w:r w:rsidR="0096169E">
        <w:rPr>
          <w:sz w:val="24"/>
          <w:szCs w:val="36"/>
        </w:rPr>
        <w:t>:</w:t>
      </w:r>
    </w:p>
    <w:p w14:paraId="2799BB73" w14:textId="0B856640" w:rsidR="00682019" w:rsidRPr="00FF73DA" w:rsidRDefault="00682019" w:rsidP="00FF73DA">
      <w:pPr>
        <w:pStyle w:val="ListParagraph"/>
        <w:numPr>
          <w:ilvl w:val="1"/>
          <w:numId w:val="25"/>
        </w:numPr>
        <w:spacing w:after="0" w:line="240" w:lineRule="auto"/>
        <w:ind w:left="360"/>
        <w:jc w:val="both"/>
        <w:rPr>
          <w:rFonts w:eastAsia="Times New Roman" w:cstheme="minorHAnsi"/>
          <w:sz w:val="24"/>
          <w:szCs w:val="24"/>
          <w:lang w:val="en-US"/>
        </w:rPr>
      </w:pPr>
      <w:proofErr w:type="gramStart"/>
      <w:r w:rsidRPr="00FF73DA">
        <w:rPr>
          <w:rFonts w:eastAsia="Times New Roman" w:cstheme="minorHAnsi"/>
          <w:sz w:val="24"/>
          <w:szCs w:val="24"/>
          <w:lang w:val="en-US"/>
        </w:rPr>
        <w:t xml:space="preserve">Maria Soledad, </w:t>
      </w:r>
      <w:r w:rsidR="00AC5972" w:rsidRPr="00FF73DA">
        <w:rPr>
          <w:rFonts w:eastAsia="Times New Roman" w:cstheme="minorHAnsi"/>
          <w:sz w:val="24"/>
          <w:szCs w:val="24"/>
          <w:lang w:val="en-US"/>
        </w:rPr>
        <w:t xml:space="preserve">the </w:t>
      </w:r>
      <w:r w:rsidRPr="00FF73DA">
        <w:rPr>
          <w:rFonts w:eastAsia="Times New Roman" w:cstheme="minorHAnsi"/>
          <w:sz w:val="24"/>
          <w:szCs w:val="24"/>
          <w:lang w:val="en-US"/>
        </w:rPr>
        <w:t>UN</w:t>
      </w:r>
      <w:r w:rsidR="00AC5972" w:rsidRPr="00FF73DA">
        <w:rPr>
          <w:rFonts w:eastAsia="Times New Roman" w:cstheme="minorHAnsi"/>
          <w:sz w:val="24"/>
          <w:szCs w:val="24"/>
          <w:lang w:val="en-US"/>
        </w:rPr>
        <w:t xml:space="preserve"> Secretary-General’s</w:t>
      </w:r>
      <w:r w:rsidRPr="00FF73DA">
        <w:rPr>
          <w:rFonts w:eastAsia="Times New Roman" w:cstheme="minorHAnsi"/>
          <w:sz w:val="24"/>
          <w:szCs w:val="24"/>
          <w:lang w:val="en-US"/>
        </w:rPr>
        <w:t xml:space="preserve"> Special Envoy on Disability and Accessibility,</w:t>
      </w:r>
      <w:proofErr w:type="gramEnd"/>
      <w:r w:rsidRPr="00FF73DA">
        <w:rPr>
          <w:rFonts w:eastAsia="Times New Roman" w:cstheme="minorHAnsi"/>
          <w:sz w:val="24"/>
          <w:szCs w:val="24"/>
          <w:lang w:val="en-US"/>
        </w:rPr>
        <w:t xml:space="preserve"> </w:t>
      </w:r>
      <w:r w:rsidR="00AC5972" w:rsidRPr="00FF73DA">
        <w:rPr>
          <w:rFonts w:eastAsia="Times New Roman" w:cstheme="minorHAnsi"/>
          <w:sz w:val="24"/>
          <w:szCs w:val="24"/>
          <w:lang w:val="en-US"/>
        </w:rPr>
        <w:t xml:space="preserve">was an </w:t>
      </w:r>
      <w:r w:rsidRPr="00FF73DA">
        <w:rPr>
          <w:rFonts w:eastAsia="Times New Roman" w:cstheme="minorHAnsi"/>
          <w:sz w:val="24"/>
          <w:szCs w:val="24"/>
          <w:lang w:val="en-US"/>
        </w:rPr>
        <w:t xml:space="preserve">opening </w:t>
      </w:r>
      <w:proofErr w:type="spellStart"/>
      <w:r w:rsidR="00AC5972" w:rsidRPr="00FF73DA">
        <w:rPr>
          <w:rFonts w:eastAsia="Times New Roman" w:cstheme="minorHAnsi"/>
          <w:sz w:val="24"/>
          <w:szCs w:val="24"/>
          <w:lang w:val="en-US"/>
        </w:rPr>
        <w:t>panellist</w:t>
      </w:r>
      <w:proofErr w:type="spellEnd"/>
      <w:r w:rsidRPr="00FF73DA">
        <w:rPr>
          <w:rFonts w:eastAsia="Times New Roman" w:cstheme="minorHAnsi"/>
          <w:sz w:val="24"/>
          <w:szCs w:val="24"/>
          <w:lang w:val="en-US"/>
        </w:rPr>
        <w:t xml:space="preserve"> at HLPF 2018.</w:t>
      </w:r>
    </w:p>
    <w:p w14:paraId="4FB8E140" w14:textId="489BE860" w:rsidR="00682019" w:rsidRPr="00FF73DA" w:rsidRDefault="00682019" w:rsidP="00FF73DA">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lastRenderedPageBreak/>
        <w:t xml:space="preserve">Mr. </w:t>
      </w:r>
      <w:proofErr w:type="spellStart"/>
      <w:r w:rsidRPr="00FF73DA">
        <w:rPr>
          <w:rFonts w:eastAsia="Times New Roman" w:cstheme="minorHAnsi"/>
          <w:sz w:val="24"/>
          <w:szCs w:val="24"/>
          <w:lang w:val="en-US"/>
        </w:rPr>
        <w:t>Idriss</w:t>
      </w:r>
      <w:proofErr w:type="spellEnd"/>
      <w:r w:rsidRPr="00FF73DA">
        <w:rPr>
          <w:rFonts w:eastAsia="Times New Roman" w:cstheme="minorHAnsi"/>
          <w:sz w:val="24"/>
          <w:szCs w:val="24"/>
          <w:lang w:val="en-US"/>
        </w:rPr>
        <w:t xml:space="preserve"> </w:t>
      </w:r>
      <w:proofErr w:type="spellStart"/>
      <w:r w:rsidRPr="00FF73DA">
        <w:rPr>
          <w:rFonts w:eastAsia="Times New Roman" w:cstheme="minorHAnsi"/>
          <w:sz w:val="24"/>
          <w:szCs w:val="24"/>
          <w:lang w:val="en-US"/>
        </w:rPr>
        <w:t>Alzouma</w:t>
      </w:r>
      <w:proofErr w:type="spellEnd"/>
      <w:r w:rsidRPr="00FF73DA">
        <w:rPr>
          <w:rFonts w:eastAsia="Times New Roman" w:cstheme="minorHAnsi"/>
          <w:sz w:val="24"/>
          <w:szCs w:val="24"/>
          <w:lang w:val="en-US"/>
        </w:rPr>
        <w:t xml:space="preserve"> </w:t>
      </w:r>
      <w:proofErr w:type="spellStart"/>
      <w:r w:rsidRPr="00FF73DA">
        <w:rPr>
          <w:rFonts w:eastAsia="Times New Roman" w:cstheme="minorHAnsi"/>
          <w:sz w:val="24"/>
          <w:szCs w:val="24"/>
          <w:lang w:val="en-US"/>
        </w:rPr>
        <w:t>Maiga</w:t>
      </w:r>
      <w:proofErr w:type="spellEnd"/>
      <w:r w:rsidRPr="00FF73DA">
        <w:rPr>
          <w:rFonts w:eastAsia="Times New Roman" w:cstheme="minorHAnsi"/>
          <w:sz w:val="24"/>
          <w:szCs w:val="24"/>
          <w:lang w:val="en-US"/>
        </w:rPr>
        <w:t>, President of A</w:t>
      </w:r>
      <w:r w:rsidR="006F5154">
        <w:rPr>
          <w:rFonts w:eastAsia="Times New Roman" w:cstheme="minorHAnsi"/>
          <w:sz w:val="24"/>
          <w:szCs w:val="24"/>
          <w:lang w:val="en-US"/>
        </w:rPr>
        <w:t xml:space="preserve">frican </w:t>
      </w:r>
      <w:r w:rsidRPr="00FF73DA">
        <w:rPr>
          <w:rFonts w:eastAsia="Times New Roman" w:cstheme="minorHAnsi"/>
          <w:sz w:val="24"/>
          <w:szCs w:val="24"/>
          <w:lang w:val="en-US"/>
        </w:rPr>
        <w:t>D</w:t>
      </w:r>
      <w:r w:rsidR="006F5154">
        <w:rPr>
          <w:rFonts w:eastAsia="Times New Roman" w:cstheme="minorHAnsi"/>
          <w:sz w:val="24"/>
          <w:szCs w:val="24"/>
          <w:lang w:val="en-US"/>
        </w:rPr>
        <w:t xml:space="preserve">isability </w:t>
      </w:r>
      <w:r w:rsidRPr="00FF73DA">
        <w:rPr>
          <w:rFonts w:eastAsia="Times New Roman" w:cstheme="minorHAnsi"/>
          <w:sz w:val="24"/>
          <w:szCs w:val="24"/>
          <w:lang w:val="en-US"/>
        </w:rPr>
        <w:t>F</w:t>
      </w:r>
      <w:r w:rsidR="006F5154">
        <w:rPr>
          <w:rFonts w:eastAsia="Times New Roman" w:cstheme="minorHAnsi"/>
          <w:sz w:val="24"/>
          <w:szCs w:val="24"/>
          <w:lang w:val="en-US"/>
        </w:rPr>
        <w:t>orum (ADF)</w:t>
      </w:r>
      <w:r w:rsidRPr="00FF73DA">
        <w:rPr>
          <w:rFonts w:eastAsia="Times New Roman" w:cstheme="minorHAnsi"/>
          <w:sz w:val="24"/>
          <w:szCs w:val="24"/>
          <w:lang w:val="en-US"/>
        </w:rPr>
        <w:t xml:space="preserve"> and </w:t>
      </w:r>
      <w:r w:rsidR="006F5154">
        <w:rPr>
          <w:rFonts w:eastAsia="Times New Roman" w:cstheme="minorHAnsi"/>
          <w:sz w:val="24"/>
          <w:szCs w:val="24"/>
          <w:lang w:val="en-US"/>
        </w:rPr>
        <w:t>West</w:t>
      </w:r>
      <w:r w:rsidR="002A6B49">
        <w:rPr>
          <w:rFonts w:eastAsia="Times New Roman" w:cstheme="minorHAnsi"/>
          <w:sz w:val="24"/>
          <w:szCs w:val="24"/>
          <w:lang w:val="en-US"/>
        </w:rPr>
        <w:t xml:space="preserve"> African Federation of Persons with Disabilities (</w:t>
      </w:r>
      <w:r w:rsidR="00BC4E07">
        <w:rPr>
          <w:rFonts w:eastAsia="Times New Roman" w:cstheme="minorHAnsi"/>
          <w:sz w:val="24"/>
          <w:szCs w:val="24"/>
          <w:lang w:val="en-US"/>
        </w:rPr>
        <w:t>WAFOD</w:t>
      </w:r>
      <w:r w:rsidR="002A6B49">
        <w:rPr>
          <w:rFonts w:eastAsia="Times New Roman" w:cstheme="minorHAnsi"/>
          <w:sz w:val="24"/>
          <w:szCs w:val="24"/>
          <w:lang w:val="en-US"/>
        </w:rPr>
        <w:t>)</w:t>
      </w:r>
      <w:r w:rsidRPr="00FF73DA">
        <w:rPr>
          <w:rFonts w:eastAsia="Times New Roman" w:cstheme="minorHAnsi"/>
          <w:sz w:val="24"/>
          <w:szCs w:val="24"/>
          <w:lang w:val="en-US"/>
        </w:rPr>
        <w:t>, lead discussant, called on Member States to fulfil</w:t>
      </w:r>
      <w:r w:rsidR="00AC5972" w:rsidRPr="00FF73DA">
        <w:rPr>
          <w:rFonts w:eastAsia="Times New Roman" w:cstheme="minorHAnsi"/>
          <w:sz w:val="24"/>
          <w:szCs w:val="24"/>
          <w:lang w:val="en-US"/>
        </w:rPr>
        <w:t>l</w:t>
      </w:r>
      <w:r w:rsidRPr="00FF73DA">
        <w:rPr>
          <w:rFonts w:eastAsia="Times New Roman" w:cstheme="minorHAnsi"/>
          <w:sz w:val="24"/>
          <w:szCs w:val="24"/>
          <w:lang w:val="en-US"/>
        </w:rPr>
        <w:t xml:space="preserve"> their commitments to the United Nations Convention on the Rights of Persons with Disabilities</w:t>
      </w:r>
      <w:r w:rsidR="00AE4146">
        <w:rPr>
          <w:rFonts w:eastAsia="Times New Roman" w:cstheme="minorHAnsi"/>
          <w:sz w:val="24"/>
          <w:szCs w:val="24"/>
          <w:lang w:val="en-US"/>
        </w:rPr>
        <w:t xml:space="preserve"> (UNCRPD)</w:t>
      </w:r>
      <w:r w:rsidRPr="00FF73DA">
        <w:rPr>
          <w:rFonts w:eastAsia="Times New Roman" w:cstheme="minorHAnsi"/>
          <w:sz w:val="24"/>
          <w:szCs w:val="24"/>
          <w:lang w:val="en-US"/>
        </w:rPr>
        <w:t xml:space="preserve"> as they implement the 2030 Agenda during the panel on Least Developed Countries</w:t>
      </w:r>
      <w:r w:rsidR="00BA459E">
        <w:rPr>
          <w:rFonts w:eastAsia="Times New Roman" w:cstheme="minorHAnsi"/>
          <w:sz w:val="24"/>
          <w:szCs w:val="24"/>
          <w:lang w:val="en-US"/>
        </w:rPr>
        <w:t xml:space="preserve"> (LDCs)</w:t>
      </w:r>
      <w:r w:rsidRPr="00FF73DA">
        <w:rPr>
          <w:rFonts w:eastAsia="Times New Roman" w:cstheme="minorHAnsi"/>
          <w:sz w:val="24"/>
          <w:szCs w:val="24"/>
          <w:lang w:val="en-US"/>
        </w:rPr>
        <w:t>, Landlocked Developing States</w:t>
      </w:r>
      <w:r w:rsidR="00BA459E">
        <w:rPr>
          <w:rFonts w:eastAsia="Times New Roman" w:cstheme="minorHAnsi"/>
          <w:sz w:val="24"/>
          <w:szCs w:val="24"/>
          <w:lang w:val="en-US"/>
        </w:rPr>
        <w:t xml:space="preserve"> (LLDCs)</w:t>
      </w:r>
      <w:r w:rsidRPr="00FF73DA">
        <w:rPr>
          <w:rFonts w:eastAsia="Times New Roman" w:cstheme="minorHAnsi"/>
          <w:sz w:val="24"/>
          <w:szCs w:val="24"/>
          <w:lang w:val="en-US"/>
        </w:rPr>
        <w:t xml:space="preserve"> and Middle-Income Countries</w:t>
      </w:r>
      <w:r w:rsidR="00BA459E">
        <w:rPr>
          <w:rFonts w:eastAsia="Times New Roman" w:cstheme="minorHAnsi"/>
          <w:sz w:val="24"/>
          <w:szCs w:val="24"/>
          <w:lang w:val="en-US"/>
        </w:rPr>
        <w:t xml:space="preserve"> (MICs)</w:t>
      </w:r>
      <w:r w:rsidRPr="00FF73DA">
        <w:rPr>
          <w:rFonts w:eastAsia="Times New Roman" w:cstheme="minorHAnsi"/>
          <w:sz w:val="24"/>
          <w:szCs w:val="24"/>
          <w:lang w:val="en-US"/>
        </w:rPr>
        <w:t>.</w:t>
      </w:r>
    </w:p>
    <w:p w14:paraId="02A6301E" w14:textId="202E8325" w:rsidR="00682019" w:rsidRPr="00FF73DA" w:rsidRDefault="00682019" w:rsidP="00FF73DA">
      <w:pPr>
        <w:spacing w:after="0" w:line="240" w:lineRule="auto"/>
        <w:ind w:firstLine="60"/>
        <w:jc w:val="both"/>
        <w:rPr>
          <w:rFonts w:eastAsia="Times New Roman" w:cstheme="minorHAnsi"/>
          <w:sz w:val="24"/>
          <w:szCs w:val="24"/>
          <w:lang w:val="en-US"/>
        </w:rPr>
      </w:pPr>
    </w:p>
    <w:p w14:paraId="3C909689" w14:textId="005736EC" w:rsidR="00682019" w:rsidRDefault="00682019">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The Stakeholder Group of Persons with Disabilities</w:t>
      </w:r>
      <w:r w:rsidR="00BB7020">
        <w:rPr>
          <w:rFonts w:eastAsia="Times New Roman" w:cstheme="minorHAnsi"/>
          <w:sz w:val="24"/>
          <w:szCs w:val="24"/>
          <w:lang w:val="en-US"/>
        </w:rPr>
        <w:t xml:space="preserve"> </w:t>
      </w:r>
      <w:r w:rsidRPr="00FF73DA">
        <w:rPr>
          <w:rFonts w:eastAsia="Times New Roman" w:cstheme="minorHAnsi"/>
          <w:sz w:val="24"/>
          <w:szCs w:val="24"/>
          <w:lang w:val="en-US"/>
        </w:rPr>
        <w:t xml:space="preserve">delivered </w:t>
      </w:r>
      <w:bookmarkStart w:id="4" w:name="m_5727378452039590002_m_-117619881267657"/>
      <w:bookmarkEnd w:id="4"/>
      <w:r w:rsidR="00AC5972" w:rsidRPr="00FF73DA">
        <w:rPr>
          <w:rFonts w:eastAsia="Times New Roman" w:cstheme="minorHAnsi"/>
          <w:sz w:val="24"/>
          <w:szCs w:val="24"/>
          <w:lang w:val="en-US"/>
        </w:rPr>
        <w:t>six</w:t>
      </w:r>
      <w:r w:rsidRPr="00FF73DA">
        <w:rPr>
          <w:rFonts w:eastAsia="Times New Roman" w:cstheme="minorHAnsi"/>
          <w:sz w:val="24"/>
          <w:szCs w:val="24"/>
          <w:lang w:val="en-US"/>
        </w:rPr>
        <w:t xml:space="preserve"> interventions during the first week of</w:t>
      </w:r>
      <w:r w:rsidR="00AC5972" w:rsidRPr="00FF73DA">
        <w:rPr>
          <w:rFonts w:eastAsia="Times New Roman" w:cstheme="minorHAnsi"/>
          <w:sz w:val="24"/>
          <w:szCs w:val="24"/>
          <w:lang w:val="en-US"/>
        </w:rPr>
        <w:t xml:space="preserve"> the</w:t>
      </w:r>
      <w:r w:rsidRPr="00FF73DA">
        <w:rPr>
          <w:rFonts w:eastAsia="Times New Roman" w:cstheme="minorHAnsi"/>
          <w:sz w:val="24"/>
          <w:szCs w:val="24"/>
          <w:lang w:val="en-US"/>
        </w:rPr>
        <w:t xml:space="preserve"> HLPF.</w:t>
      </w:r>
    </w:p>
    <w:p w14:paraId="3ADE61D0" w14:textId="77777777" w:rsidR="007521EB" w:rsidRPr="00FF73DA" w:rsidRDefault="007521EB" w:rsidP="00FF73DA">
      <w:pPr>
        <w:pStyle w:val="ListParagraph"/>
        <w:rPr>
          <w:rFonts w:eastAsia="Times New Roman" w:cstheme="minorHAnsi"/>
          <w:sz w:val="24"/>
          <w:szCs w:val="24"/>
          <w:lang w:val="en-US"/>
        </w:rPr>
      </w:pPr>
    </w:p>
    <w:p w14:paraId="2EB041F0" w14:textId="2A3331A1" w:rsidR="007521EB" w:rsidRPr="00FF73DA" w:rsidRDefault="007521EB" w:rsidP="00FF73DA">
      <w:pPr>
        <w:pStyle w:val="ListParagraph"/>
        <w:numPr>
          <w:ilvl w:val="1"/>
          <w:numId w:val="25"/>
        </w:numPr>
        <w:spacing w:after="0" w:line="240" w:lineRule="auto"/>
        <w:ind w:left="360"/>
        <w:jc w:val="both"/>
        <w:rPr>
          <w:rFonts w:eastAsia="Times New Roman" w:cstheme="minorHAnsi"/>
          <w:sz w:val="24"/>
          <w:szCs w:val="24"/>
          <w:lang w:val="en-US"/>
        </w:rPr>
      </w:pPr>
      <w:r>
        <w:rPr>
          <w:rFonts w:eastAsia="Times New Roman" w:cstheme="minorHAnsi"/>
          <w:sz w:val="24"/>
          <w:szCs w:val="24"/>
          <w:lang w:val="en-US"/>
        </w:rPr>
        <w:t xml:space="preserve">For the first time </w:t>
      </w:r>
      <w:r w:rsidR="00BC6919">
        <w:rPr>
          <w:rFonts w:eastAsia="Times New Roman" w:cstheme="minorHAnsi"/>
          <w:sz w:val="24"/>
          <w:szCs w:val="24"/>
          <w:lang w:val="en-US"/>
        </w:rPr>
        <w:t>during HLPF</w:t>
      </w:r>
      <w:r>
        <w:rPr>
          <w:rFonts w:eastAsia="Times New Roman" w:cstheme="minorHAnsi"/>
          <w:sz w:val="24"/>
          <w:szCs w:val="24"/>
          <w:lang w:val="en-US"/>
        </w:rPr>
        <w:t>, an intervention in International Sign language</w:t>
      </w:r>
      <w:r w:rsidR="00BE67D4">
        <w:rPr>
          <w:rFonts w:eastAsia="Times New Roman" w:cstheme="minorHAnsi"/>
          <w:sz w:val="24"/>
          <w:szCs w:val="24"/>
          <w:lang w:val="en-US"/>
        </w:rPr>
        <w:t xml:space="preserve"> was delivered</w:t>
      </w:r>
      <w:r>
        <w:rPr>
          <w:rFonts w:eastAsia="Times New Roman" w:cstheme="minorHAnsi"/>
          <w:sz w:val="24"/>
          <w:szCs w:val="24"/>
          <w:lang w:val="en-US"/>
        </w:rPr>
        <w:t>.</w:t>
      </w:r>
    </w:p>
    <w:p w14:paraId="11EBE2FC" w14:textId="2CE29E6D" w:rsidR="00682019" w:rsidRPr="00FF73DA" w:rsidRDefault="00682019" w:rsidP="00FF73DA">
      <w:pPr>
        <w:spacing w:after="0" w:line="240" w:lineRule="auto"/>
        <w:ind w:firstLine="60"/>
        <w:jc w:val="both"/>
        <w:rPr>
          <w:rFonts w:eastAsia="Times New Roman" w:cstheme="minorHAnsi"/>
          <w:sz w:val="24"/>
          <w:szCs w:val="24"/>
          <w:lang w:val="en-US"/>
        </w:rPr>
      </w:pPr>
    </w:p>
    <w:p w14:paraId="216FA687" w14:textId="38D86327" w:rsidR="00682019" w:rsidRDefault="00682019">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 xml:space="preserve">The Stakeholder Group of Persons with Disabilities delivered </w:t>
      </w:r>
      <w:r w:rsidR="00AC5972" w:rsidRPr="00FF73DA">
        <w:rPr>
          <w:rFonts w:eastAsia="Times New Roman" w:cstheme="minorHAnsi"/>
          <w:sz w:val="24"/>
          <w:szCs w:val="24"/>
          <w:lang w:val="en-US"/>
        </w:rPr>
        <w:t>five</w:t>
      </w:r>
      <w:r w:rsidRPr="00FF73DA">
        <w:rPr>
          <w:rFonts w:eastAsia="Times New Roman" w:cstheme="minorHAnsi"/>
          <w:sz w:val="24"/>
          <w:szCs w:val="24"/>
          <w:lang w:val="en-US"/>
        </w:rPr>
        <w:t xml:space="preserve"> statements on behalf of other </w:t>
      </w:r>
      <w:r w:rsidR="00AC5972" w:rsidRPr="00FF73DA">
        <w:rPr>
          <w:rFonts w:eastAsia="Times New Roman" w:cstheme="minorHAnsi"/>
          <w:sz w:val="24"/>
          <w:szCs w:val="24"/>
          <w:lang w:val="en-US"/>
        </w:rPr>
        <w:t>S</w:t>
      </w:r>
      <w:r w:rsidRPr="00FF73DA">
        <w:rPr>
          <w:rFonts w:eastAsia="Times New Roman" w:cstheme="minorHAnsi"/>
          <w:sz w:val="24"/>
          <w:szCs w:val="24"/>
          <w:lang w:val="en-US"/>
        </w:rPr>
        <w:t xml:space="preserve">takeholders during the </w:t>
      </w:r>
      <w:r w:rsidR="00AC5972" w:rsidRPr="00FF73DA">
        <w:rPr>
          <w:rFonts w:eastAsia="Times New Roman" w:cstheme="minorHAnsi"/>
          <w:sz w:val="24"/>
          <w:szCs w:val="24"/>
          <w:lang w:val="en-US"/>
        </w:rPr>
        <w:t>V</w:t>
      </w:r>
      <w:r w:rsidRPr="00FF73DA">
        <w:rPr>
          <w:rFonts w:eastAsia="Times New Roman" w:cstheme="minorHAnsi"/>
          <w:sz w:val="24"/>
          <w:szCs w:val="24"/>
          <w:lang w:val="en-US"/>
        </w:rPr>
        <w:t xml:space="preserve">oluntary </w:t>
      </w:r>
      <w:r w:rsidR="00AC5972" w:rsidRPr="00FF73DA">
        <w:rPr>
          <w:rFonts w:eastAsia="Times New Roman" w:cstheme="minorHAnsi"/>
          <w:sz w:val="24"/>
          <w:szCs w:val="24"/>
          <w:lang w:val="en-US"/>
        </w:rPr>
        <w:t>N</w:t>
      </w:r>
      <w:r w:rsidRPr="00FF73DA">
        <w:rPr>
          <w:rFonts w:eastAsia="Times New Roman" w:cstheme="minorHAnsi"/>
          <w:sz w:val="24"/>
          <w:szCs w:val="24"/>
          <w:lang w:val="en-US"/>
        </w:rPr>
        <w:t xml:space="preserve">ational </w:t>
      </w:r>
      <w:r w:rsidR="00AC5972" w:rsidRPr="00FF73DA">
        <w:rPr>
          <w:rFonts w:eastAsia="Times New Roman" w:cstheme="minorHAnsi"/>
          <w:sz w:val="24"/>
          <w:szCs w:val="24"/>
          <w:lang w:val="en-US"/>
        </w:rPr>
        <w:t>R</w:t>
      </w:r>
      <w:r w:rsidRPr="00FF73DA">
        <w:rPr>
          <w:rFonts w:eastAsia="Times New Roman" w:cstheme="minorHAnsi"/>
          <w:sz w:val="24"/>
          <w:szCs w:val="24"/>
          <w:lang w:val="en-US"/>
        </w:rPr>
        <w:t>eviews during the Ministerial week.</w:t>
      </w:r>
    </w:p>
    <w:p w14:paraId="53545FBC" w14:textId="60609167" w:rsidR="00682019" w:rsidRPr="00FF73DA" w:rsidRDefault="00682019" w:rsidP="00DA45BB">
      <w:pPr>
        <w:spacing w:after="0" w:line="240" w:lineRule="auto"/>
        <w:jc w:val="both"/>
        <w:rPr>
          <w:rFonts w:eastAsia="Times New Roman" w:cstheme="minorHAnsi"/>
          <w:sz w:val="24"/>
          <w:szCs w:val="24"/>
          <w:lang w:val="en-US"/>
        </w:rPr>
      </w:pPr>
    </w:p>
    <w:p w14:paraId="66E98F34" w14:textId="3B0A641C" w:rsidR="00682019" w:rsidRPr="00FF73DA" w:rsidRDefault="00AC5972" w:rsidP="00FF73DA">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In</w:t>
      </w:r>
      <w:r w:rsidR="00682019" w:rsidRPr="00FF73DA">
        <w:rPr>
          <w:rFonts w:eastAsia="Times New Roman" w:cstheme="minorHAnsi"/>
          <w:sz w:val="24"/>
          <w:szCs w:val="24"/>
          <w:lang w:val="en-US"/>
        </w:rPr>
        <w:t xml:space="preserve"> the 46 </w:t>
      </w:r>
      <w:r w:rsidR="00272D31">
        <w:rPr>
          <w:rFonts w:eastAsia="Times New Roman" w:cstheme="minorHAnsi"/>
          <w:sz w:val="24"/>
          <w:szCs w:val="24"/>
          <w:lang w:val="en-US"/>
        </w:rPr>
        <w:t>V</w:t>
      </w:r>
      <w:r w:rsidR="00682019" w:rsidRPr="00FF73DA">
        <w:rPr>
          <w:rFonts w:eastAsia="Times New Roman" w:cstheme="minorHAnsi"/>
          <w:sz w:val="24"/>
          <w:szCs w:val="24"/>
          <w:lang w:val="en-US"/>
        </w:rPr>
        <w:t xml:space="preserve">oluntary </w:t>
      </w:r>
      <w:r w:rsidR="00272D31">
        <w:rPr>
          <w:rFonts w:eastAsia="Times New Roman" w:cstheme="minorHAnsi"/>
          <w:sz w:val="24"/>
          <w:szCs w:val="24"/>
          <w:lang w:val="en-US"/>
        </w:rPr>
        <w:t>N</w:t>
      </w:r>
      <w:r w:rsidR="00682019" w:rsidRPr="00FF73DA">
        <w:rPr>
          <w:rFonts w:eastAsia="Times New Roman" w:cstheme="minorHAnsi"/>
          <w:sz w:val="24"/>
          <w:szCs w:val="24"/>
          <w:lang w:val="en-US"/>
        </w:rPr>
        <w:t xml:space="preserve">ational </w:t>
      </w:r>
      <w:r w:rsidR="00272D31">
        <w:rPr>
          <w:rFonts w:eastAsia="Times New Roman" w:cstheme="minorHAnsi"/>
          <w:sz w:val="24"/>
          <w:szCs w:val="24"/>
          <w:lang w:val="en-US"/>
        </w:rPr>
        <w:t>R</w:t>
      </w:r>
      <w:r w:rsidR="00682019" w:rsidRPr="00FF73DA">
        <w:rPr>
          <w:rFonts w:eastAsia="Times New Roman" w:cstheme="minorHAnsi"/>
          <w:sz w:val="24"/>
          <w:szCs w:val="24"/>
          <w:lang w:val="en-US"/>
        </w:rPr>
        <w:t>eviews</w:t>
      </w:r>
      <w:r w:rsidR="00E863F4">
        <w:rPr>
          <w:rFonts w:eastAsia="Times New Roman" w:cstheme="minorHAnsi"/>
          <w:sz w:val="24"/>
          <w:szCs w:val="24"/>
          <w:lang w:val="en-US"/>
        </w:rPr>
        <w:t xml:space="preserve"> (VNRs)</w:t>
      </w:r>
      <w:r w:rsidR="00682019" w:rsidRPr="00FF73DA">
        <w:rPr>
          <w:rFonts w:eastAsia="Times New Roman" w:cstheme="minorHAnsi"/>
          <w:sz w:val="24"/>
          <w:szCs w:val="24"/>
          <w:lang w:val="en-US"/>
        </w:rPr>
        <w:t>, 36 included references to persons with disabilities</w:t>
      </w:r>
      <w:r w:rsidRPr="00FF73DA">
        <w:rPr>
          <w:rFonts w:eastAsia="Times New Roman" w:cstheme="minorHAnsi"/>
          <w:sz w:val="24"/>
          <w:szCs w:val="24"/>
          <w:lang w:val="en-US"/>
        </w:rPr>
        <w:t>.</w:t>
      </w:r>
      <w:r w:rsidR="00682019" w:rsidRPr="00FF73DA">
        <w:rPr>
          <w:rFonts w:eastAsia="Times New Roman" w:cstheme="minorHAnsi"/>
          <w:sz w:val="24"/>
          <w:szCs w:val="24"/>
          <w:lang w:val="en-US"/>
        </w:rPr>
        <w:t xml:space="preserve"> </w:t>
      </w:r>
    </w:p>
    <w:p w14:paraId="2927AAEA" w14:textId="18AF5932" w:rsidR="00682019" w:rsidRPr="00FF73DA" w:rsidRDefault="00682019" w:rsidP="00FF73DA">
      <w:pPr>
        <w:spacing w:after="0" w:line="240" w:lineRule="auto"/>
        <w:ind w:firstLine="60"/>
        <w:jc w:val="both"/>
        <w:rPr>
          <w:rFonts w:eastAsia="Times New Roman" w:cstheme="minorHAnsi"/>
          <w:sz w:val="24"/>
          <w:szCs w:val="24"/>
          <w:lang w:val="en-US"/>
        </w:rPr>
      </w:pPr>
    </w:p>
    <w:p w14:paraId="71D4917F" w14:textId="2F9E822E" w:rsidR="00682019" w:rsidRPr="00FF73DA" w:rsidRDefault="00682019" w:rsidP="00FF73DA">
      <w:pPr>
        <w:pStyle w:val="ListParagraph"/>
        <w:numPr>
          <w:ilvl w:val="0"/>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 xml:space="preserve">The Ministerial Declaration was adopted with </w:t>
      </w:r>
      <w:r w:rsidR="008C702D" w:rsidRPr="00FF73DA">
        <w:rPr>
          <w:rFonts w:eastAsia="Times New Roman" w:cstheme="minorHAnsi"/>
          <w:sz w:val="24"/>
          <w:szCs w:val="24"/>
          <w:lang w:val="en-US"/>
        </w:rPr>
        <w:t>three</w:t>
      </w:r>
      <w:r w:rsidRPr="00FF73DA">
        <w:rPr>
          <w:rFonts w:eastAsia="Times New Roman" w:cstheme="minorHAnsi"/>
          <w:sz w:val="24"/>
          <w:szCs w:val="24"/>
          <w:lang w:val="en-US"/>
        </w:rPr>
        <w:t xml:space="preserve"> important references to persons with disabilities, including in WASH. </w:t>
      </w:r>
    </w:p>
    <w:p w14:paraId="02DEA1B6" w14:textId="6EF4F134" w:rsidR="00682019" w:rsidRPr="00FF73DA" w:rsidRDefault="00682019" w:rsidP="00FF73DA">
      <w:pPr>
        <w:spacing w:after="0" w:line="240" w:lineRule="auto"/>
        <w:ind w:firstLine="60"/>
        <w:jc w:val="both"/>
        <w:rPr>
          <w:rFonts w:eastAsia="Times New Roman" w:cstheme="minorHAnsi"/>
          <w:sz w:val="24"/>
          <w:szCs w:val="24"/>
          <w:lang w:val="en-US"/>
        </w:rPr>
      </w:pPr>
    </w:p>
    <w:p w14:paraId="31EE7E3D" w14:textId="4AEA434C" w:rsidR="00682019" w:rsidRPr="00FF73DA" w:rsidRDefault="00682019" w:rsidP="00FF73DA">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 xml:space="preserve">The </w:t>
      </w:r>
      <w:proofErr w:type="spellStart"/>
      <w:r w:rsidRPr="00FF73DA">
        <w:rPr>
          <w:rFonts w:eastAsia="Times New Roman" w:cstheme="minorHAnsi"/>
          <w:sz w:val="24"/>
          <w:szCs w:val="24"/>
          <w:lang w:val="en-US"/>
        </w:rPr>
        <w:t>SGPwD</w:t>
      </w:r>
      <w:proofErr w:type="spellEnd"/>
      <w:r w:rsidRPr="00FF73DA">
        <w:rPr>
          <w:rFonts w:eastAsia="Times New Roman" w:cstheme="minorHAnsi"/>
          <w:sz w:val="24"/>
          <w:szCs w:val="24"/>
          <w:lang w:val="en-US"/>
        </w:rPr>
        <w:t xml:space="preserve"> held an official side event on the inclusion of persons with disabilities in societies. The event addressed the implementation of Goal 11 for persons with disabilities by highlighting the importance of universal design, accessibility, accessible transportation, independent living and resilience. </w:t>
      </w:r>
    </w:p>
    <w:p w14:paraId="256DA9B4" w14:textId="18248A7C" w:rsidR="00682019" w:rsidRPr="00FF73DA" w:rsidRDefault="00682019" w:rsidP="00FF73DA">
      <w:pPr>
        <w:spacing w:after="0" w:line="240" w:lineRule="auto"/>
        <w:ind w:firstLine="60"/>
        <w:jc w:val="both"/>
        <w:rPr>
          <w:rFonts w:eastAsia="Times New Roman" w:cstheme="minorHAnsi"/>
          <w:sz w:val="24"/>
          <w:szCs w:val="24"/>
          <w:lang w:val="en-US"/>
        </w:rPr>
      </w:pPr>
    </w:p>
    <w:p w14:paraId="7B142A11" w14:textId="6B014EE0" w:rsidR="00682019" w:rsidRPr="00FF73DA" w:rsidRDefault="00682019" w:rsidP="00FF73DA">
      <w:pPr>
        <w:pStyle w:val="ListParagraph"/>
        <w:numPr>
          <w:ilvl w:val="1"/>
          <w:numId w:val="25"/>
        </w:numPr>
        <w:spacing w:after="0" w:line="240" w:lineRule="auto"/>
        <w:ind w:left="360"/>
        <w:jc w:val="both"/>
        <w:rPr>
          <w:rFonts w:eastAsia="Times New Roman" w:cstheme="minorHAnsi"/>
          <w:sz w:val="24"/>
          <w:szCs w:val="24"/>
          <w:lang w:val="en-US"/>
        </w:rPr>
      </w:pPr>
      <w:r w:rsidRPr="00FF73DA">
        <w:rPr>
          <w:rFonts w:eastAsia="Times New Roman" w:cstheme="minorHAnsi"/>
          <w:sz w:val="24"/>
          <w:szCs w:val="24"/>
          <w:lang w:val="en-US"/>
        </w:rPr>
        <w:t>The Stakeholder Group of Persons with Disabilities had 31 participants attend the HLPF.</w:t>
      </w:r>
    </w:p>
    <w:p w14:paraId="5E76C83B" w14:textId="77777777" w:rsidR="004B0FC6" w:rsidRPr="00DC4336" w:rsidRDefault="004B0FC6" w:rsidP="00FF73DA">
      <w:pPr>
        <w:rPr>
          <w:b/>
          <w:sz w:val="36"/>
          <w:szCs w:val="36"/>
        </w:rPr>
      </w:pPr>
    </w:p>
    <w:p w14:paraId="3B4B23D3" w14:textId="1336581E" w:rsidR="000A506F" w:rsidRPr="00143D58" w:rsidRDefault="00BB066B" w:rsidP="005D6978">
      <w:pPr>
        <w:pStyle w:val="Heading1"/>
        <w:rPr>
          <w:color w:val="2E74B5"/>
        </w:rPr>
      </w:pPr>
      <w:bookmarkStart w:id="5" w:name="_Toc531264859"/>
      <w:bookmarkEnd w:id="1"/>
      <w:r>
        <w:rPr>
          <w:color w:val="2E74B5"/>
        </w:rPr>
        <w:t>Development of position paper by the Stakeholder Group of Persons with Disabilities</w:t>
      </w:r>
      <w:bookmarkEnd w:id="5"/>
    </w:p>
    <w:p w14:paraId="4CAA381C" w14:textId="6DB29074" w:rsidR="00EB002E" w:rsidRPr="000A506F" w:rsidRDefault="00EB002E" w:rsidP="00EB002E">
      <w:pPr>
        <w:spacing w:line="276" w:lineRule="auto"/>
        <w:jc w:val="both"/>
        <w:rPr>
          <w:rFonts w:cs="Times New Roman"/>
          <w:color w:val="000000"/>
          <w:sz w:val="24"/>
          <w:szCs w:val="24"/>
        </w:rPr>
      </w:pPr>
      <w:r w:rsidRPr="000A506F">
        <w:rPr>
          <w:rFonts w:cs="Times New Roman"/>
          <w:sz w:val="24"/>
          <w:szCs w:val="24"/>
          <w:lang w:val="en-US"/>
        </w:rPr>
        <w:t xml:space="preserve">In response to </w:t>
      </w:r>
      <w:r w:rsidRPr="000A506F">
        <w:rPr>
          <w:rFonts w:eastAsia="Calibri" w:cs="Times New Roman"/>
          <w:color w:val="000000" w:themeColor="text1"/>
          <w:sz w:val="24"/>
          <w:szCs w:val="24"/>
        </w:rPr>
        <w:t>the UN Division on Sustainable Development</w:t>
      </w:r>
      <w:r w:rsidRPr="000A506F">
        <w:rPr>
          <w:rFonts w:eastAsia="Times New Roman" w:cs="Times New Roman"/>
          <w:color w:val="000000" w:themeColor="text1"/>
          <w:sz w:val="24"/>
          <w:szCs w:val="24"/>
        </w:rPr>
        <w:t xml:space="preserve"> (</w:t>
      </w:r>
      <w:r w:rsidRPr="000A506F">
        <w:rPr>
          <w:rFonts w:eastAsia="Calibri" w:cs="Times New Roman"/>
          <w:color w:val="000000" w:themeColor="text1"/>
          <w:sz w:val="24"/>
          <w:szCs w:val="24"/>
        </w:rPr>
        <w:t>UNDSD</w:t>
      </w:r>
      <w:r w:rsidRPr="000A506F">
        <w:rPr>
          <w:rFonts w:eastAsia="Times New Roman" w:cs="Times New Roman"/>
          <w:color w:val="000000" w:themeColor="text1"/>
          <w:sz w:val="24"/>
          <w:szCs w:val="24"/>
        </w:rPr>
        <w:t xml:space="preserve">) </w:t>
      </w:r>
      <w:r w:rsidRPr="000A506F">
        <w:rPr>
          <w:rFonts w:eastAsia="Calibri" w:cs="Times New Roman"/>
          <w:color w:val="000000" w:themeColor="text1"/>
          <w:sz w:val="24"/>
          <w:szCs w:val="24"/>
        </w:rPr>
        <w:t>Secretariat</w:t>
      </w:r>
      <w:r w:rsidRPr="000A506F">
        <w:rPr>
          <w:rFonts w:eastAsia="Times New Roman" w:cs="Times New Roman"/>
          <w:color w:val="000000" w:themeColor="text1"/>
          <w:sz w:val="24"/>
          <w:szCs w:val="24"/>
        </w:rPr>
        <w:t>’</w:t>
      </w:r>
      <w:r w:rsidRPr="000A506F">
        <w:rPr>
          <w:rFonts w:eastAsia="Calibri" w:cs="Times New Roman"/>
          <w:color w:val="000000" w:themeColor="text1"/>
          <w:sz w:val="24"/>
          <w:szCs w:val="24"/>
        </w:rPr>
        <w:t>s call</w:t>
      </w:r>
      <w:r w:rsidRPr="000A506F">
        <w:rPr>
          <w:rFonts w:eastAsia="Times New Roman" w:cs="Times New Roman"/>
          <w:color w:val="000000" w:themeColor="text1"/>
          <w:sz w:val="24"/>
          <w:szCs w:val="24"/>
        </w:rPr>
        <w:t>,</w:t>
      </w:r>
      <w:r w:rsidR="004B0FC6">
        <w:rPr>
          <w:rFonts w:eastAsia="Times New Roman" w:cs="Times New Roman"/>
          <w:color w:val="000000" w:themeColor="text1"/>
          <w:sz w:val="24"/>
          <w:szCs w:val="24"/>
        </w:rPr>
        <w:t xml:space="preserve"> </w:t>
      </w:r>
      <w:r w:rsidR="00782A69">
        <w:rPr>
          <w:rFonts w:eastAsia="Times New Roman" w:cs="Times New Roman"/>
          <w:color w:val="000000" w:themeColor="text1"/>
          <w:sz w:val="24"/>
          <w:szCs w:val="24"/>
        </w:rPr>
        <w:t xml:space="preserve">the </w:t>
      </w:r>
      <w:r w:rsidR="004B0FC6">
        <w:rPr>
          <w:rFonts w:eastAsia="Times New Roman" w:cs="Times New Roman"/>
          <w:color w:val="000000" w:themeColor="text1"/>
          <w:sz w:val="24"/>
          <w:szCs w:val="24"/>
        </w:rPr>
        <w:t>International Disability Alliance</w:t>
      </w:r>
      <w:r w:rsidRPr="000A506F">
        <w:rPr>
          <w:rFonts w:eastAsia="Calibri" w:cs="Times New Roman"/>
          <w:color w:val="000000" w:themeColor="text1"/>
          <w:sz w:val="24"/>
          <w:szCs w:val="24"/>
        </w:rPr>
        <w:t xml:space="preserve"> </w:t>
      </w:r>
      <w:r w:rsidR="004B0FC6">
        <w:rPr>
          <w:rFonts w:eastAsia="Calibri" w:cs="Times New Roman"/>
          <w:color w:val="000000" w:themeColor="text1"/>
          <w:sz w:val="24"/>
          <w:szCs w:val="24"/>
        </w:rPr>
        <w:t>(</w:t>
      </w:r>
      <w:r w:rsidRPr="000A506F">
        <w:rPr>
          <w:rFonts w:eastAsia="Calibri" w:cs="Times New Roman"/>
          <w:color w:val="000000" w:themeColor="text1"/>
          <w:sz w:val="24"/>
          <w:szCs w:val="24"/>
        </w:rPr>
        <w:t>IDA</w:t>
      </w:r>
      <w:r w:rsidR="004B0FC6">
        <w:rPr>
          <w:rFonts w:eastAsia="Calibri" w:cs="Times New Roman"/>
          <w:color w:val="000000" w:themeColor="text1"/>
          <w:sz w:val="24"/>
          <w:szCs w:val="24"/>
        </w:rPr>
        <w:t>)</w:t>
      </w:r>
      <w:r w:rsidRPr="000A506F">
        <w:rPr>
          <w:rFonts w:eastAsia="Calibri" w:cs="Times New Roman"/>
          <w:color w:val="000000" w:themeColor="text1"/>
          <w:sz w:val="24"/>
          <w:szCs w:val="24"/>
        </w:rPr>
        <w:t xml:space="preserve"> alongside</w:t>
      </w:r>
      <w:r w:rsidR="00767234">
        <w:rPr>
          <w:rFonts w:eastAsia="Calibri" w:cs="Times New Roman"/>
          <w:color w:val="000000" w:themeColor="text1"/>
          <w:sz w:val="24"/>
          <w:szCs w:val="24"/>
        </w:rPr>
        <w:t xml:space="preserve"> the</w:t>
      </w:r>
      <w:r w:rsidR="004B0FC6">
        <w:rPr>
          <w:rFonts w:eastAsia="Calibri" w:cs="Times New Roman"/>
          <w:color w:val="000000" w:themeColor="text1"/>
          <w:sz w:val="24"/>
          <w:szCs w:val="24"/>
        </w:rPr>
        <w:t xml:space="preserve"> International Disability and Development Consortium</w:t>
      </w:r>
      <w:r w:rsidRPr="000A506F">
        <w:rPr>
          <w:rFonts w:eastAsia="Calibri" w:cs="Times New Roman"/>
          <w:color w:val="000000" w:themeColor="text1"/>
          <w:sz w:val="24"/>
          <w:szCs w:val="24"/>
        </w:rPr>
        <w:t xml:space="preserve"> </w:t>
      </w:r>
      <w:r w:rsidR="004B0FC6">
        <w:rPr>
          <w:rFonts w:eastAsia="Calibri" w:cs="Times New Roman"/>
          <w:color w:val="000000" w:themeColor="text1"/>
          <w:sz w:val="24"/>
          <w:szCs w:val="24"/>
        </w:rPr>
        <w:t>(</w:t>
      </w:r>
      <w:r w:rsidRPr="000A506F">
        <w:rPr>
          <w:rFonts w:eastAsia="Calibri" w:cs="Times New Roman"/>
          <w:color w:val="000000" w:themeColor="text1"/>
          <w:sz w:val="24"/>
          <w:szCs w:val="24"/>
        </w:rPr>
        <w:t>IDDC</w:t>
      </w:r>
      <w:r w:rsidR="004B0FC6">
        <w:rPr>
          <w:rFonts w:eastAsia="Calibri" w:cs="Times New Roman"/>
          <w:color w:val="000000" w:themeColor="text1"/>
          <w:sz w:val="24"/>
          <w:szCs w:val="24"/>
        </w:rPr>
        <w:t>)</w:t>
      </w:r>
      <w:r w:rsidRPr="000A506F">
        <w:rPr>
          <w:rFonts w:eastAsia="Calibri" w:cs="Times New Roman"/>
          <w:color w:val="000000" w:themeColor="text1"/>
          <w:sz w:val="24"/>
          <w:szCs w:val="24"/>
        </w:rPr>
        <w:t xml:space="preserve"> initiated the preparatory process to draft a position paper on behalf of persons with disabilities for the </w:t>
      </w:r>
      <w:r w:rsidR="003F5D9D">
        <w:rPr>
          <w:rFonts w:eastAsia="Calibri" w:cs="Times New Roman"/>
          <w:color w:val="000000" w:themeColor="text1"/>
          <w:sz w:val="24"/>
          <w:szCs w:val="24"/>
        </w:rPr>
        <w:t>High-level Political Forum</w:t>
      </w:r>
      <w:r w:rsidR="0022342D">
        <w:rPr>
          <w:rFonts w:eastAsia="Calibri" w:cs="Times New Roman"/>
          <w:color w:val="000000" w:themeColor="text1"/>
          <w:sz w:val="24"/>
          <w:szCs w:val="24"/>
        </w:rPr>
        <w:t xml:space="preserve"> </w:t>
      </w:r>
      <w:r w:rsidRPr="000A506F">
        <w:rPr>
          <w:rFonts w:eastAsia="Calibri" w:cs="Times New Roman"/>
          <w:color w:val="000000" w:themeColor="text1"/>
          <w:sz w:val="24"/>
          <w:szCs w:val="24"/>
        </w:rPr>
        <w:t>2018. Through a call widely distributed on the IDA and IDDC online databases</w:t>
      </w:r>
      <w:r w:rsidRPr="000A506F">
        <w:rPr>
          <w:rFonts w:eastAsia="Times New Roman" w:cs="Times New Roman"/>
          <w:color w:val="000000" w:themeColor="text1"/>
          <w:sz w:val="24"/>
          <w:szCs w:val="24"/>
        </w:rPr>
        <w:t xml:space="preserve">, </w:t>
      </w:r>
      <w:r w:rsidRPr="000A506F">
        <w:rPr>
          <w:rFonts w:eastAsia="Calibri" w:cs="Times New Roman"/>
          <w:color w:val="000000" w:themeColor="text1"/>
          <w:sz w:val="24"/>
          <w:szCs w:val="24"/>
        </w:rPr>
        <w:t xml:space="preserve">individuals </w:t>
      </w:r>
      <w:r w:rsidRPr="000A506F">
        <w:rPr>
          <w:rFonts w:cs="Times New Roman"/>
          <w:color w:val="000000"/>
          <w:sz w:val="24"/>
          <w:szCs w:val="24"/>
        </w:rPr>
        <w:t>shared information/</w:t>
      </w:r>
      <w:r w:rsidR="0014539B">
        <w:rPr>
          <w:rFonts w:cs="Times New Roman"/>
          <w:color w:val="000000"/>
          <w:sz w:val="24"/>
          <w:szCs w:val="24"/>
        </w:rPr>
        <w:t xml:space="preserve"> </w:t>
      </w:r>
      <w:r w:rsidRPr="000A506F">
        <w:rPr>
          <w:rFonts w:cs="Times New Roman"/>
          <w:color w:val="000000"/>
          <w:sz w:val="24"/>
          <w:szCs w:val="24"/>
        </w:rPr>
        <w:t>research/</w:t>
      </w:r>
      <w:r w:rsidR="0014539B">
        <w:rPr>
          <w:rFonts w:cs="Times New Roman"/>
          <w:color w:val="000000"/>
          <w:sz w:val="24"/>
          <w:szCs w:val="24"/>
        </w:rPr>
        <w:t xml:space="preserve"> </w:t>
      </w:r>
      <w:r w:rsidRPr="000A506F">
        <w:rPr>
          <w:rFonts w:cs="Times New Roman"/>
          <w:color w:val="000000"/>
          <w:sz w:val="24"/>
          <w:szCs w:val="24"/>
        </w:rPr>
        <w:t xml:space="preserve">material work on the theme and Goals under review in 2018. </w:t>
      </w:r>
    </w:p>
    <w:p w14:paraId="39375793" w14:textId="50A57539" w:rsidR="00EB002E" w:rsidRPr="000A506F" w:rsidRDefault="00EB002E" w:rsidP="00EB002E">
      <w:pPr>
        <w:spacing w:line="276" w:lineRule="auto"/>
        <w:jc w:val="both"/>
        <w:rPr>
          <w:rFonts w:cs="Times New Roman"/>
          <w:sz w:val="24"/>
          <w:szCs w:val="24"/>
          <w:lang w:val="en-US"/>
        </w:rPr>
      </w:pPr>
      <w:r w:rsidRPr="000A506F">
        <w:rPr>
          <w:rFonts w:cs="Times New Roman"/>
          <w:color w:val="000000"/>
          <w:sz w:val="24"/>
          <w:szCs w:val="24"/>
        </w:rPr>
        <w:t xml:space="preserve">Under the leadership of </w:t>
      </w:r>
      <w:r w:rsidRPr="000A506F">
        <w:rPr>
          <w:rFonts w:eastAsia="Calibri" w:cs="Times New Roman"/>
          <w:color w:val="000000" w:themeColor="text1"/>
          <w:sz w:val="24"/>
          <w:szCs w:val="24"/>
        </w:rPr>
        <w:t xml:space="preserve">IDA and IDDC a draft position paper reflecting key messages was produced in accordance with the 6 </w:t>
      </w:r>
      <w:r w:rsidR="0014539B">
        <w:rPr>
          <w:rFonts w:eastAsia="Calibri" w:cs="Times New Roman"/>
          <w:color w:val="000000" w:themeColor="text1"/>
          <w:sz w:val="24"/>
          <w:szCs w:val="24"/>
        </w:rPr>
        <w:t>G</w:t>
      </w:r>
      <w:r w:rsidRPr="000A506F">
        <w:rPr>
          <w:rFonts w:eastAsia="Calibri" w:cs="Times New Roman"/>
          <w:color w:val="000000" w:themeColor="text1"/>
          <w:sz w:val="24"/>
          <w:szCs w:val="24"/>
        </w:rPr>
        <w:t>oals under review and the 2018 HLPF theme. The draft position paper was then submitted</w:t>
      </w:r>
      <w:r w:rsidR="00E40BA3" w:rsidRPr="00E40BA3">
        <w:rPr>
          <w:rFonts w:eastAsia="Calibri" w:cs="Times New Roman"/>
          <w:color w:val="000000" w:themeColor="text1"/>
          <w:sz w:val="24"/>
          <w:szCs w:val="24"/>
        </w:rPr>
        <w:t xml:space="preserve"> </w:t>
      </w:r>
      <w:r w:rsidR="00E40BA3" w:rsidRPr="000A506F">
        <w:rPr>
          <w:rFonts w:eastAsia="Calibri" w:cs="Times New Roman"/>
          <w:color w:val="000000" w:themeColor="text1"/>
          <w:sz w:val="24"/>
          <w:szCs w:val="24"/>
        </w:rPr>
        <w:t>to the IDA and IDDC online databases</w:t>
      </w:r>
      <w:r w:rsidRPr="000A506F">
        <w:rPr>
          <w:rFonts w:eastAsia="Calibri" w:cs="Times New Roman"/>
          <w:color w:val="000000" w:themeColor="text1"/>
          <w:sz w:val="24"/>
          <w:szCs w:val="24"/>
        </w:rPr>
        <w:t xml:space="preserve"> for review and comments. To guarantee the accessible and transparent participation of all </w:t>
      </w:r>
      <w:r w:rsidR="0014539B">
        <w:rPr>
          <w:rFonts w:eastAsia="Calibri" w:cs="Times New Roman"/>
          <w:color w:val="000000" w:themeColor="text1"/>
          <w:sz w:val="24"/>
          <w:szCs w:val="24"/>
        </w:rPr>
        <w:t>p</w:t>
      </w:r>
      <w:r w:rsidRPr="000A506F">
        <w:rPr>
          <w:rFonts w:eastAsia="Calibri" w:cs="Times New Roman"/>
          <w:color w:val="000000" w:themeColor="text1"/>
          <w:sz w:val="24"/>
          <w:szCs w:val="24"/>
        </w:rPr>
        <w:t>ersons with disabilities, everyone was encouraged to provide comments on the paper through the online document. Following numerous rounds of consultations, the final draft was sent out for final endorsement and signatures. On behalf of the Stakeholder Group of Persons with Disabilities, it was submitted to UNDSD Secretariat in April 2018.</w:t>
      </w:r>
    </w:p>
    <w:p w14:paraId="1B276E3B" w14:textId="768EFEA5" w:rsidR="00D45853" w:rsidRPr="00143D58" w:rsidRDefault="00234191" w:rsidP="00E41236">
      <w:pPr>
        <w:pStyle w:val="Heading2"/>
        <w:spacing w:after="0" w:afterAutospacing="0"/>
        <w:rPr>
          <w:color w:val="2E74B5"/>
        </w:rPr>
      </w:pPr>
      <w:bookmarkStart w:id="6" w:name="_Toc531264860"/>
      <w:r>
        <w:rPr>
          <w:color w:val="2E74B5"/>
        </w:rPr>
        <w:t>Content</w:t>
      </w:r>
      <w:bookmarkEnd w:id="6"/>
    </w:p>
    <w:p w14:paraId="1D5E82E5" w14:textId="1798F015" w:rsidR="00D45853" w:rsidRDefault="00046816" w:rsidP="00FF73DA">
      <w:pPr>
        <w:pStyle w:val="NormalWeb"/>
        <w:spacing w:before="0" w:beforeAutospacing="0" w:after="0" w:afterAutospacing="0" w:line="276" w:lineRule="auto"/>
        <w:jc w:val="both"/>
      </w:pPr>
      <w:r w:rsidRPr="000A506F">
        <w:rPr>
          <w:rFonts w:asciiTheme="minorHAnsi" w:hAnsiTheme="minorHAnsi"/>
          <w:lang w:val="en-US"/>
        </w:rPr>
        <w:lastRenderedPageBreak/>
        <w:t>The paper mainly focused on how to make cities and human settlement</w:t>
      </w:r>
      <w:r w:rsidR="00AF405C">
        <w:rPr>
          <w:rFonts w:asciiTheme="minorHAnsi" w:hAnsiTheme="minorHAnsi"/>
          <w:lang w:val="en-US"/>
        </w:rPr>
        <w:t>s</w:t>
      </w:r>
      <w:r w:rsidRPr="000A506F">
        <w:rPr>
          <w:rFonts w:asciiTheme="minorHAnsi" w:hAnsiTheme="minorHAnsi"/>
          <w:lang w:val="en-US"/>
        </w:rPr>
        <w:t xml:space="preserve"> inclusive, safe, resilient and sustainable for persons with disabilities. </w:t>
      </w:r>
      <w:r w:rsidRPr="00FF73DA">
        <w:rPr>
          <w:rFonts w:asciiTheme="minorHAnsi" w:hAnsiTheme="minorHAnsi" w:cstheme="minorHAnsi"/>
          <w:lang w:val="en-US"/>
        </w:rPr>
        <w:t xml:space="preserve">The paper emphasized that </w:t>
      </w:r>
      <w:r w:rsidR="00FD3E58">
        <w:rPr>
          <w:rFonts w:asciiTheme="minorHAnsi" w:hAnsiTheme="minorHAnsi" w:cstheme="minorHAnsi"/>
          <w:lang w:val="en-US"/>
        </w:rPr>
        <w:t>to make cities and human settlements inclusive, safe, resilient and sustainable,</w:t>
      </w:r>
      <w:r w:rsidRPr="00FF73DA">
        <w:rPr>
          <w:rFonts w:asciiTheme="minorHAnsi" w:hAnsiTheme="minorHAnsi" w:cstheme="minorHAnsi"/>
          <w:lang w:val="en-US"/>
        </w:rPr>
        <w:t xml:space="preserve"> all people</w:t>
      </w:r>
      <w:r w:rsidR="00FD3E58">
        <w:rPr>
          <w:rFonts w:asciiTheme="minorHAnsi" w:hAnsiTheme="minorHAnsi" w:cstheme="minorHAnsi"/>
          <w:lang w:val="en-US"/>
        </w:rPr>
        <w:t xml:space="preserve"> must be</w:t>
      </w:r>
      <w:r w:rsidRPr="00FF73DA">
        <w:rPr>
          <w:rFonts w:asciiTheme="minorHAnsi" w:hAnsiTheme="minorHAnsi" w:cstheme="minorHAnsi"/>
          <w:lang w:val="en-US"/>
        </w:rPr>
        <w:t xml:space="preserve"> included, diversity </w:t>
      </w:r>
      <w:r w:rsidR="00FD3E58">
        <w:rPr>
          <w:rFonts w:asciiTheme="minorHAnsi" w:hAnsiTheme="minorHAnsi" w:cstheme="minorHAnsi"/>
          <w:lang w:val="en-US"/>
        </w:rPr>
        <w:t>must be</w:t>
      </w:r>
      <w:r w:rsidRPr="00FF73DA">
        <w:rPr>
          <w:rFonts w:asciiTheme="minorHAnsi" w:hAnsiTheme="minorHAnsi" w:cstheme="minorHAnsi"/>
          <w:lang w:val="en-US"/>
        </w:rPr>
        <w:t xml:space="preserve"> celebrated, and all </w:t>
      </w:r>
      <w:r w:rsidR="00794A9C">
        <w:rPr>
          <w:rFonts w:asciiTheme="minorHAnsi" w:hAnsiTheme="minorHAnsi" w:cstheme="minorHAnsi"/>
          <w:lang w:val="en-US"/>
        </w:rPr>
        <w:t xml:space="preserve">must </w:t>
      </w:r>
      <w:r w:rsidRPr="00FF73DA">
        <w:rPr>
          <w:rFonts w:asciiTheme="minorHAnsi" w:hAnsiTheme="minorHAnsi" w:cstheme="minorHAnsi"/>
          <w:lang w:val="en-US"/>
        </w:rPr>
        <w:t>have support to live and be included in cities and human settlements.</w:t>
      </w:r>
      <w:r w:rsidRPr="000A506F">
        <w:rPr>
          <w:rFonts w:asciiTheme="minorHAnsi" w:hAnsiTheme="minorHAnsi"/>
          <w:lang w:val="en-US"/>
        </w:rPr>
        <w:t xml:space="preserve"> Since resilience is essential for achieving sustainable development, the furthest behind</w:t>
      </w:r>
      <w:r w:rsidR="00A966BA">
        <w:rPr>
          <w:rFonts w:asciiTheme="minorHAnsi" w:hAnsiTheme="minorHAnsi"/>
          <w:lang w:val="en-US"/>
        </w:rPr>
        <w:t>,</w:t>
      </w:r>
      <w:r w:rsidR="00E40BA3">
        <w:rPr>
          <w:rFonts w:asciiTheme="minorHAnsi" w:hAnsiTheme="minorHAnsi"/>
          <w:lang w:val="en-US"/>
        </w:rPr>
        <w:t xml:space="preserve"> </w:t>
      </w:r>
      <w:r w:rsidR="004C3EC3">
        <w:rPr>
          <w:rFonts w:asciiTheme="minorHAnsi" w:hAnsiTheme="minorHAnsi"/>
          <w:lang w:val="en-US"/>
        </w:rPr>
        <w:t>such as</w:t>
      </w:r>
      <w:r w:rsidR="00E40BA3">
        <w:rPr>
          <w:rFonts w:asciiTheme="minorHAnsi" w:hAnsiTheme="minorHAnsi"/>
          <w:lang w:val="en-US"/>
        </w:rPr>
        <w:t xml:space="preserve"> </w:t>
      </w:r>
      <w:r w:rsidR="004C3EC3">
        <w:rPr>
          <w:rFonts w:asciiTheme="minorHAnsi" w:hAnsiTheme="minorHAnsi"/>
          <w:lang w:val="en-US"/>
        </w:rPr>
        <w:t>persons with disabilities,</w:t>
      </w:r>
      <w:r w:rsidRPr="000A506F">
        <w:rPr>
          <w:rFonts w:asciiTheme="minorHAnsi" w:hAnsiTheme="minorHAnsi"/>
          <w:lang w:val="en-US"/>
        </w:rPr>
        <w:t xml:space="preserve"> must be meaningfully included.</w:t>
      </w:r>
      <w:r w:rsidR="009F78CD">
        <w:rPr>
          <w:rFonts w:asciiTheme="minorHAnsi" w:hAnsiTheme="minorHAnsi"/>
          <w:lang w:val="en-US"/>
        </w:rPr>
        <w:t xml:space="preserve"> T</w:t>
      </w:r>
      <w:r w:rsidRPr="000A506F">
        <w:rPr>
          <w:rFonts w:asciiTheme="minorHAnsi" w:hAnsiTheme="minorHAnsi"/>
          <w:lang w:val="en-US"/>
        </w:rPr>
        <w:t xml:space="preserve">he 2030 Agenda embodies a commitment to include those furthest behind and to reduce their risks to economic, social and environmental shocks. The Sustainable Development Goals can only be realized for persons with disabilities if the </w:t>
      </w:r>
      <w:r w:rsidR="00D418D6" w:rsidRPr="000A506F">
        <w:rPr>
          <w:rFonts w:asciiTheme="minorHAnsi" w:hAnsiTheme="minorHAnsi"/>
          <w:lang w:val="en-US"/>
        </w:rPr>
        <w:t xml:space="preserve">UN Convention </w:t>
      </w:r>
      <w:r w:rsidR="00231C7E">
        <w:rPr>
          <w:rFonts w:asciiTheme="minorHAnsi" w:hAnsiTheme="minorHAnsi"/>
          <w:lang w:val="en-US"/>
        </w:rPr>
        <w:t xml:space="preserve">on the Rights of Persons with Disabilities </w:t>
      </w:r>
      <w:r w:rsidR="00D418D6" w:rsidRPr="000A506F">
        <w:rPr>
          <w:rFonts w:asciiTheme="minorHAnsi" w:hAnsiTheme="minorHAnsi"/>
          <w:lang w:val="en-US"/>
        </w:rPr>
        <w:t>guides the implementation</w:t>
      </w:r>
      <w:r w:rsidR="00F82F7C">
        <w:rPr>
          <w:rFonts w:asciiTheme="minorHAnsi" w:hAnsiTheme="minorHAnsi"/>
          <w:lang w:val="en-US"/>
        </w:rPr>
        <w:t xml:space="preserve">. </w:t>
      </w:r>
      <w:r w:rsidR="00D45853" w:rsidRPr="000A506F">
        <w:rPr>
          <w:rFonts w:asciiTheme="minorHAnsi" w:hAnsiTheme="minorHAnsi"/>
        </w:rPr>
        <w:t>For details on the Stake</w:t>
      </w:r>
      <w:r w:rsidR="00301C20">
        <w:rPr>
          <w:rFonts w:asciiTheme="minorHAnsi" w:hAnsiTheme="minorHAnsi"/>
        </w:rPr>
        <w:t>h</w:t>
      </w:r>
      <w:r w:rsidR="00D45853" w:rsidRPr="000A506F">
        <w:rPr>
          <w:rFonts w:asciiTheme="minorHAnsi" w:hAnsiTheme="minorHAnsi"/>
        </w:rPr>
        <w:t xml:space="preserve">older Group of Persons with </w:t>
      </w:r>
      <w:r w:rsidR="00234191">
        <w:rPr>
          <w:rFonts w:asciiTheme="minorHAnsi" w:hAnsiTheme="minorHAnsi"/>
        </w:rPr>
        <w:t>D</w:t>
      </w:r>
      <w:r w:rsidR="00D45853" w:rsidRPr="000A506F">
        <w:rPr>
          <w:rFonts w:asciiTheme="minorHAnsi" w:hAnsiTheme="minorHAnsi"/>
        </w:rPr>
        <w:t xml:space="preserve">isabilities position paper </w:t>
      </w:r>
      <w:hyperlink r:id="rId11" w:history="1">
        <w:r w:rsidR="00D45853" w:rsidRPr="00611AD1">
          <w:rPr>
            <w:rStyle w:val="Hyperlink"/>
            <w:rFonts w:asciiTheme="minorHAnsi" w:hAnsiTheme="minorHAnsi"/>
          </w:rPr>
          <w:t>click here</w:t>
        </w:r>
      </w:hyperlink>
      <w:r w:rsidR="00611AD1">
        <w:rPr>
          <w:rFonts w:asciiTheme="minorHAnsi" w:hAnsiTheme="minorHAnsi"/>
        </w:rPr>
        <w:t>.</w:t>
      </w:r>
      <w:r w:rsidR="00611AD1" w:rsidDel="00611AD1">
        <w:t xml:space="preserve"> </w:t>
      </w:r>
    </w:p>
    <w:p w14:paraId="08577AE9" w14:textId="77777777" w:rsidR="00195124" w:rsidRDefault="00195124" w:rsidP="005D6978">
      <w:pPr>
        <w:pStyle w:val="Heading1"/>
      </w:pPr>
    </w:p>
    <w:p w14:paraId="1F12EC27" w14:textId="2CF70C7C" w:rsidR="00037CE5" w:rsidRPr="00D9667A" w:rsidRDefault="00D9667A" w:rsidP="00D03407">
      <w:pPr>
        <w:pStyle w:val="Heading1"/>
      </w:pPr>
      <w:bookmarkStart w:id="7" w:name="_Toc531264861"/>
      <w:r w:rsidRPr="00D9667A">
        <w:t>Pre-Meetings</w:t>
      </w:r>
      <w:bookmarkEnd w:id="7"/>
    </w:p>
    <w:p w14:paraId="14A05F10" w14:textId="041481C4" w:rsidR="00270B08" w:rsidRDefault="00270B08" w:rsidP="00FF73DA">
      <w:pPr>
        <w:pStyle w:val="Heading2"/>
      </w:pPr>
      <w:bookmarkStart w:id="8" w:name="_Toc531264862"/>
      <w:r>
        <w:t>M</w:t>
      </w:r>
      <w:r w:rsidR="00D9667A">
        <w:t>ajor Groups and other Stakeholders</w:t>
      </w:r>
      <w:bookmarkEnd w:id="8"/>
    </w:p>
    <w:p w14:paraId="2C10E0C9" w14:textId="54EC0853" w:rsidR="004278EC" w:rsidRDefault="00D45853" w:rsidP="00281D6C">
      <w:pPr>
        <w:spacing w:after="0" w:line="276" w:lineRule="auto"/>
        <w:jc w:val="both"/>
        <w:rPr>
          <w:rFonts w:cs="Times New Roman"/>
          <w:b/>
          <w:color w:val="4472C4" w:themeColor="accent1"/>
          <w:sz w:val="24"/>
          <w:szCs w:val="24"/>
        </w:rPr>
      </w:pPr>
      <w:r w:rsidRPr="009A7B9A">
        <w:rPr>
          <w:rFonts w:cs="Times New Roman"/>
          <w:sz w:val="24"/>
          <w:szCs w:val="24"/>
        </w:rPr>
        <w:t xml:space="preserve">Pursuant of </w:t>
      </w:r>
      <w:r w:rsidRPr="009A7B9A">
        <w:rPr>
          <w:rFonts w:eastAsia="Calibri" w:cs="Times New Roman"/>
          <w:color w:val="000000" w:themeColor="text1"/>
          <w:sz w:val="24"/>
          <w:szCs w:val="24"/>
        </w:rPr>
        <w:t>A</w:t>
      </w:r>
      <w:r w:rsidRPr="009A7B9A">
        <w:rPr>
          <w:rFonts w:cs="Times New Roman"/>
          <w:color w:val="000000" w:themeColor="text1"/>
          <w:sz w:val="24"/>
          <w:szCs w:val="24"/>
        </w:rPr>
        <w:t>/</w:t>
      </w:r>
      <w:r w:rsidRPr="009A7B9A">
        <w:rPr>
          <w:rFonts w:eastAsia="Calibri" w:cs="Times New Roman"/>
          <w:color w:val="000000" w:themeColor="text1"/>
          <w:sz w:val="24"/>
          <w:szCs w:val="24"/>
        </w:rPr>
        <w:t>RES</w:t>
      </w:r>
      <w:r w:rsidRPr="009A7B9A">
        <w:rPr>
          <w:rFonts w:cs="Times New Roman"/>
          <w:color w:val="000000" w:themeColor="text1"/>
          <w:sz w:val="24"/>
          <w:szCs w:val="24"/>
        </w:rPr>
        <w:t xml:space="preserve">/67/290, the Stakeholder </w:t>
      </w:r>
      <w:r w:rsidR="0060317A">
        <w:rPr>
          <w:rFonts w:cs="Times New Roman"/>
          <w:color w:val="000000" w:themeColor="text1"/>
          <w:sz w:val="24"/>
          <w:szCs w:val="24"/>
        </w:rPr>
        <w:t>G</w:t>
      </w:r>
      <w:r w:rsidRPr="009A7B9A">
        <w:rPr>
          <w:rFonts w:cs="Times New Roman"/>
          <w:color w:val="000000" w:themeColor="text1"/>
          <w:sz w:val="24"/>
          <w:szCs w:val="24"/>
        </w:rPr>
        <w:t xml:space="preserve">roup of Persons with Disabilities actively participated at the 2018 HLPF. They actively participated in the HLPF pre-meeting organised by the Major Group and </w:t>
      </w:r>
      <w:r w:rsidR="00270B08">
        <w:rPr>
          <w:rFonts w:cs="Times New Roman"/>
          <w:color w:val="000000" w:themeColor="text1"/>
          <w:sz w:val="24"/>
          <w:szCs w:val="24"/>
        </w:rPr>
        <w:t>o</w:t>
      </w:r>
      <w:r w:rsidRPr="009A7B9A">
        <w:rPr>
          <w:rFonts w:cs="Times New Roman"/>
          <w:color w:val="000000" w:themeColor="text1"/>
          <w:sz w:val="24"/>
          <w:szCs w:val="24"/>
        </w:rPr>
        <w:t xml:space="preserve">ther Stakeholders HLPF Coordination Mechanism (CM) in partnership with </w:t>
      </w:r>
      <w:r w:rsidRPr="00CC6479">
        <w:rPr>
          <w:rFonts w:cs="Times New Roman"/>
          <w:color w:val="000000" w:themeColor="text1"/>
          <w:sz w:val="24"/>
          <w:szCs w:val="24"/>
        </w:rPr>
        <w:t>UNDESA/OISC</w:t>
      </w:r>
      <w:r w:rsidRPr="009A7B9A">
        <w:rPr>
          <w:rFonts w:cs="Times New Roman"/>
          <w:color w:val="000000" w:themeColor="text1"/>
          <w:sz w:val="24"/>
          <w:szCs w:val="24"/>
        </w:rPr>
        <w:t xml:space="preserve"> on Sunday</w:t>
      </w:r>
      <w:r w:rsidR="005F42BA">
        <w:rPr>
          <w:rFonts w:cs="Times New Roman"/>
          <w:color w:val="000000" w:themeColor="text1"/>
          <w:sz w:val="24"/>
          <w:szCs w:val="24"/>
        </w:rPr>
        <w:t>,</w:t>
      </w:r>
      <w:r w:rsidRPr="009A7B9A">
        <w:rPr>
          <w:rFonts w:cs="Times New Roman"/>
          <w:color w:val="000000" w:themeColor="text1"/>
          <w:sz w:val="24"/>
          <w:szCs w:val="24"/>
        </w:rPr>
        <w:t xml:space="preserve"> 9</w:t>
      </w:r>
      <w:r w:rsidRPr="009A7B9A">
        <w:rPr>
          <w:rFonts w:cs="Times New Roman"/>
          <w:color w:val="000000" w:themeColor="text1"/>
          <w:sz w:val="24"/>
          <w:szCs w:val="24"/>
          <w:vertAlign w:val="superscript"/>
        </w:rPr>
        <w:t>th</w:t>
      </w:r>
      <w:r w:rsidRPr="009A7B9A">
        <w:rPr>
          <w:rFonts w:cs="Times New Roman"/>
          <w:color w:val="000000" w:themeColor="text1"/>
          <w:sz w:val="24"/>
          <w:szCs w:val="24"/>
        </w:rPr>
        <w:t xml:space="preserve"> July</w:t>
      </w:r>
      <w:r w:rsidR="009319EF">
        <w:rPr>
          <w:rFonts w:cs="Times New Roman"/>
          <w:color w:val="000000" w:themeColor="text1"/>
          <w:sz w:val="24"/>
          <w:szCs w:val="24"/>
        </w:rPr>
        <w:t xml:space="preserve"> 2018</w:t>
      </w:r>
      <w:r w:rsidRPr="009A7B9A">
        <w:rPr>
          <w:rFonts w:cs="Times New Roman"/>
          <w:color w:val="000000" w:themeColor="text1"/>
          <w:sz w:val="24"/>
          <w:szCs w:val="24"/>
        </w:rPr>
        <w:t xml:space="preserve"> at the Church Centre in New York. This was a preparatory meeting for participants to prepare and coordinate their engagements in the HLPF meetings and sessions. The </w:t>
      </w:r>
      <w:r w:rsidR="000124B2">
        <w:rPr>
          <w:rFonts w:cs="Times New Roman"/>
          <w:color w:val="000000" w:themeColor="text1"/>
          <w:sz w:val="24"/>
          <w:szCs w:val="24"/>
        </w:rPr>
        <w:t>V</w:t>
      </w:r>
      <w:r w:rsidRPr="009A7B9A">
        <w:rPr>
          <w:rFonts w:cs="Times New Roman"/>
          <w:color w:val="000000" w:themeColor="text1"/>
          <w:sz w:val="24"/>
          <w:szCs w:val="24"/>
        </w:rPr>
        <w:t xml:space="preserve">oluntary </w:t>
      </w:r>
      <w:r w:rsidR="000124B2">
        <w:rPr>
          <w:rFonts w:cs="Times New Roman"/>
          <w:color w:val="000000" w:themeColor="text1"/>
          <w:sz w:val="24"/>
          <w:szCs w:val="24"/>
        </w:rPr>
        <w:t>N</w:t>
      </w:r>
      <w:r w:rsidRPr="009A7B9A">
        <w:rPr>
          <w:rFonts w:cs="Times New Roman"/>
          <w:color w:val="000000" w:themeColor="text1"/>
          <w:sz w:val="24"/>
          <w:szCs w:val="24"/>
        </w:rPr>
        <w:t xml:space="preserve">ational </w:t>
      </w:r>
      <w:r w:rsidR="000124B2">
        <w:rPr>
          <w:rFonts w:cs="Times New Roman"/>
          <w:color w:val="000000" w:themeColor="text1"/>
          <w:sz w:val="24"/>
          <w:szCs w:val="24"/>
        </w:rPr>
        <w:t>R</w:t>
      </w:r>
      <w:r w:rsidRPr="009A7B9A">
        <w:rPr>
          <w:rFonts w:cs="Times New Roman"/>
          <w:color w:val="000000" w:themeColor="text1"/>
          <w:sz w:val="24"/>
          <w:szCs w:val="24"/>
        </w:rPr>
        <w:t xml:space="preserve">eviews were led by </w:t>
      </w:r>
      <w:r w:rsidR="000124B2">
        <w:rPr>
          <w:rFonts w:cs="Times New Roman"/>
          <w:color w:val="000000" w:themeColor="text1"/>
          <w:sz w:val="24"/>
          <w:szCs w:val="24"/>
        </w:rPr>
        <w:t xml:space="preserve">the </w:t>
      </w:r>
      <w:proofErr w:type="spellStart"/>
      <w:r w:rsidRPr="009A7B9A">
        <w:rPr>
          <w:rFonts w:cs="Times New Roman"/>
          <w:color w:val="000000" w:themeColor="text1"/>
          <w:sz w:val="24"/>
          <w:szCs w:val="24"/>
        </w:rPr>
        <w:t>SGPwD</w:t>
      </w:r>
      <w:proofErr w:type="spellEnd"/>
      <w:r w:rsidRPr="009A7B9A">
        <w:rPr>
          <w:rFonts w:cs="Times New Roman"/>
          <w:color w:val="000000" w:themeColor="text1"/>
          <w:sz w:val="24"/>
          <w:szCs w:val="24"/>
        </w:rPr>
        <w:t xml:space="preserve"> and they delivered numerous presentations during the pre-meeting attended by over 150 representatives of </w:t>
      </w:r>
      <w:proofErr w:type="spellStart"/>
      <w:r w:rsidRPr="009A7B9A">
        <w:rPr>
          <w:rFonts w:cs="Times New Roman"/>
          <w:color w:val="000000" w:themeColor="text1"/>
          <w:sz w:val="24"/>
          <w:szCs w:val="24"/>
        </w:rPr>
        <w:t>MGoS</w:t>
      </w:r>
      <w:proofErr w:type="spellEnd"/>
      <w:r w:rsidRPr="009A7B9A">
        <w:rPr>
          <w:rFonts w:cs="Times New Roman"/>
          <w:color w:val="000000" w:themeColor="text1"/>
          <w:sz w:val="24"/>
          <w:szCs w:val="24"/>
        </w:rPr>
        <w:t>.</w:t>
      </w:r>
    </w:p>
    <w:p w14:paraId="7B1070A5" w14:textId="25FE6AB9" w:rsidR="007F729B" w:rsidRPr="00FF73DA" w:rsidRDefault="007F729B" w:rsidP="00FF73DA">
      <w:pPr>
        <w:pStyle w:val="Heading2"/>
        <w:rPr>
          <w:b w:val="0"/>
        </w:rPr>
      </w:pPr>
      <w:bookmarkStart w:id="9" w:name="_Toc531264863"/>
      <w:r>
        <w:t>Stakeholder Group of Persons with Disabilities</w:t>
      </w:r>
      <w:bookmarkEnd w:id="9"/>
    </w:p>
    <w:p w14:paraId="24870C03" w14:textId="15CD9CBA" w:rsidR="00281D6C" w:rsidRDefault="00D45853" w:rsidP="00281D6C">
      <w:pPr>
        <w:spacing w:after="0" w:line="276" w:lineRule="auto"/>
        <w:jc w:val="both"/>
        <w:rPr>
          <w:rFonts w:cs="Times New Roman"/>
          <w:sz w:val="24"/>
          <w:szCs w:val="24"/>
        </w:rPr>
      </w:pPr>
      <w:r w:rsidRPr="009A7B9A">
        <w:rPr>
          <w:rFonts w:cs="Times New Roman"/>
          <w:sz w:val="24"/>
          <w:szCs w:val="24"/>
        </w:rPr>
        <w:t xml:space="preserve">After the </w:t>
      </w:r>
      <w:r w:rsidR="00BA37B6">
        <w:rPr>
          <w:rFonts w:cs="Times New Roman"/>
          <w:sz w:val="24"/>
          <w:szCs w:val="24"/>
        </w:rPr>
        <w:t xml:space="preserve">HLPF </w:t>
      </w:r>
      <w:r w:rsidRPr="009A7B9A">
        <w:rPr>
          <w:rFonts w:cs="Times New Roman"/>
          <w:sz w:val="24"/>
          <w:szCs w:val="24"/>
        </w:rPr>
        <w:t xml:space="preserve">pre-meeting, the </w:t>
      </w:r>
      <w:proofErr w:type="spellStart"/>
      <w:r w:rsidRPr="009A7B9A">
        <w:rPr>
          <w:rFonts w:cs="Times New Roman"/>
          <w:sz w:val="24"/>
          <w:szCs w:val="24"/>
        </w:rPr>
        <w:t>SGPwD</w:t>
      </w:r>
      <w:proofErr w:type="spellEnd"/>
      <w:r w:rsidRPr="009A7B9A">
        <w:rPr>
          <w:rFonts w:cs="Times New Roman"/>
          <w:sz w:val="24"/>
          <w:szCs w:val="24"/>
        </w:rPr>
        <w:t xml:space="preserve"> delegation convened a work dinner to discuss the HLPF programme. During this meeting</w:t>
      </w:r>
      <w:r w:rsidR="000124B2">
        <w:rPr>
          <w:rFonts w:cs="Times New Roman"/>
          <w:sz w:val="24"/>
          <w:szCs w:val="24"/>
        </w:rPr>
        <w:t>,</w:t>
      </w:r>
      <w:r w:rsidRPr="009A7B9A">
        <w:rPr>
          <w:rFonts w:cs="Times New Roman"/>
          <w:sz w:val="24"/>
          <w:szCs w:val="24"/>
        </w:rPr>
        <w:t xml:space="preserve"> attended by 18 </w:t>
      </w:r>
      <w:r w:rsidR="000124B2">
        <w:rPr>
          <w:rFonts w:cs="Times New Roman"/>
          <w:sz w:val="24"/>
          <w:szCs w:val="24"/>
        </w:rPr>
        <w:t>p</w:t>
      </w:r>
      <w:r w:rsidRPr="009A7B9A">
        <w:rPr>
          <w:rFonts w:cs="Times New Roman"/>
          <w:sz w:val="24"/>
          <w:szCs w:val="24"/>
        </w:rPr>
        <w:t xml:space="preserve">ersons with </w:t>
      </w:r>
      <w:r w:rsidR="000124B2">
        <w:rPr>
          <w:rFonts w:cs="Times New Roman"/>
          <w:sz w:val="24"/>
          <w:szCs w:val="24"/>
        </w:rPr>
        <w:t>d</w:t>
      </w:r>
      <w:r w:rsidRPr="009A7B9A">
        <w:rPr>
          <w:rFonts w:cs="Times New Roman"/>
          <w:sz w:val="24"/>
          <w:szCs w:val="24"/>
        </w:rPr>
        <w:t xml:space="preserve">isabilities and advocates, </w:t>
      </w:r>
      <w:proofErr w:type="spellStart"/>
      <w:r w:rsidRPr="009A7B9A">
        <w:rPr>
          <w:rFonts w:cs="Times New Roman"/>
          <w:sz w:val="24"/>
          <w:szCs w:val="24"/>
        </w:rPr>
        <w:t>Idriss</w:t>
      </w:r>
      <w:proofErr w:type="spellEnd"/>
      <w:r w:rsidR="00634BF4">
        <w:rPr>
          <w:rFonts w:cs="Times New Roman"/>
          <w:sz w:val="24"/>
          <w:szCs w:val="24"/>
        </w:rPr>
        <w:t xml:space="preserve"> </w:t>
      </w:r>
      <w:proofErr w:type="spellStart"/>
      <w:r w:rsidRPr="009A7B9A">
        <w:rPr>
          <w:rFonts w:cs="Times New Roman"/>
          <w:sz w:val="24"/>
          <w:szCs w:val="24"/>
        </w:rPr>
        <w:t>Alzouma</w:t>
      </w:r>
      <w:proofErr w:type="spellEnd"/>
      <w:r w:rsidR="00634BF4">
        <w:rPr>
          <w:rFonts w:cs="Times New Roman"/>
          <w:sz w:val="24"/>
          <w:szCs w:val="24"/>
        </w:rPr>
        <w:t xml:space="preserve"> </w:t>
      </w:r>
      <w:proofErr w:type="spellStart"/>
      <w:r w:rsidRPr="009A7B9A">
        <w:rPr>
          <w:rFonts w:cs="Times New Roman"/>
          <w:sz w:val="24"/>
          <w:szCs w:val="24"/>
        </w:rPr>
        <w:t>Maiga</w:t>
      </w:r>
      <w:proofErr w:type="spellEnd"/>
      <w:r w:rsidRPr="009A7B9A">
        <w:rPr>
          <w:rFonts w:cs="Times New Roman"/>
          <w:sz w:val="24"/>
          <w:szCs w:val="24"/>
        </w:rPr>
        <w:t xml:space="preserve">, </w:t>
      </w:r>
      <w:r w:rsidR="000124B2">
        <w:rPr>
          <w:rFonts w:cs="Times New Roman"/>
          <w:sz w:val="24"/>
          <w:szCs w:val="24"/>
        </w:rPr>
        <w:t>P</w:t>
      </w:r>
      <w:r w:rsidRPr="009A7B9A">
        <w:rPr>
          <w:rFonts w:cs="Times New Roman"/>
          <w:sz w:val="24"/>
          <w:szCs w:val="24"/>
        </w:rPr>
        <w:t xml:space="preserve">resident </w:t>
      </w:r>
      <w:proofErr w:type="gramStart"/>
      <w:r w:rsidRPr="009A7B9A">
        <w:rPr>
          <w:rFonts w:cs="Times New Roman"/>
          <w:sz w:val="24"/>
          <w:szCs w:val="24"/>
        </w:rPr>
        <w:t xml:space="preserve">of </w:t>
      </w:r>
      <w:r w:rsidR="00EC6E35">
        <w:rPr>
          <w:rFonts w:cs="Times New Roman"/>
          <w:sz w:val="24"/>
          <w:szCs w:val="24"/>
        </w:rPr>
        <w:t xml:space="preserve"> </w:t>
      </w:r>
      <w:r w:rsidRPr="009A7B9A">
        <w:rPr>
          <w:rFonts w:cs="Times New Roman"/>
          <w:sz w:val="24"/>
          <w:szCs w:val="24"/>
        </w:rPr>
        <w:t>ADF</w:t>
      </w:r>
      <w:proofErr w:type="gramEnd"/>
      <w:r w:rsidRPr="009A7B9A">
        <w:rPr>
          <w:rFonts w:cs="Times New Roman"/>
          <w:sz w:val="24"/>
          <w:szCs w:val="24"/>
        </w:rPr>
        <w:t xml:space="preserve"> and </w:t>
      </w:r>
      <w:r w:rsidRPr="00CC6479">
        <w:rPr>
          <w:rFonts w:cs="Times New Roman"/>
          <w:sz w:val="24"/>
          <w:szCs w:val="24"/>
        </w:rPr>
        <w:t>WAFOD</w:t>
      </w:r>
      <w:r w:rsidR="00DA6248">
        <w:rPr>
          <w:rFonts w:cs="Times New Roman"/>
          <w:sz w:val="24"/>
          <w:szCs w:val="24"/>
        </w:rPr>
        <w:t>,</w:t>
      </w:r>
      <w:r w:rsidRPr="009A7B9A">
        <w:rPr>
          <w:rFonts w:cs="Times New Roman"/>
          <w:sz w:val="24"/>
          <w:szCs w:val="24"/>
        </w:rPr>
        <w:t xml:space="preserve"> welcomed the participants and delivered the opening remarks.</w:t>
      </w:r>
    </w:p>
    <w:p w14:paraId="6BE48975" w14:textId="77777777" w:rsidR="00DC0132" w:rsidRPr="009A7B9A" w:rsidRDefault="00DC0132" w:rsidP="00281D6C">
      <w:pPr>
        <w:spacing w:after="0" w:line="276" w:lineRule="auto"/>
        <w:jc w:val="both"/>
        <w:rPr>
          <w:rFonts w:cs="Times New Roman"/>
          <w:sz w:val="24"/>
          <w:szCs w:val="24"/>
        </w:rPr>
      </w:pPr>
    </w:p>
    <w:p w14:paraId="397A3A73" w14:textId="0C02542E" w:rsidR="00281D6C" w:rsidRPr="00281D6C" w:rsidRDefault="000124B2" w:rsidP="005D6978">
      <w:pPr>
        <w:pStyle w:val="Heading1"/>
      </w:pPr>
      <w:bookmarkStart w:id="10" w:name="_Toc531264864"/>
      <w:r>
        <w:t>Monday, 9</w:t>
      </w:r>
      <w:r w:rsidRPr="00FF73DA">
        <w:rPr>
          <w:vertAlign w:val="superscript"/>
        </w:rPr>
        <w:t>th</w:t>
      </w:r>
      <w:r>
        <w:t xml:space="preserve"> July 2018</w:t>
      </w:r>
      <w:bookmarkEnd w:id="10"/>
    </w:p>
    <w:p w14:paraId="21212BD1" w14:textId="77777777" w:rsidR="00D45853" w:rsidRPr="000E1BC1" w:rsidRDefault="00143D58" w:rsidP="002F5D2C">
      <w:pPr>
        <w:pStyle w:val="Heading2"/>
        <w:spacing w:after="0" w:afterAutospacing="0"/>
      </w:pPr>
      <w:bookmarkStart w:id="11" w:name="_Toc531264865"/>
      <w:r w:rsidRPr="00D45853">
        <w:t>Opening</w:t>
      </w:r>
      <w:r w:rsidR="00D45853" w:rsidRPr="00D45853">
        <w:t>: How far have we come on the SDGs?</w:t>
      </w:r>
      <w:bookmarkEnd w:id="11"/>
    </w:p>
    <w:p w14:paraId="109AA2D5" w14:textId="43395E60" w:rsidR="007D084E" w:rsidRDefault="007D084E" w:rsidP="002F5D2C">
      <w:pPr>
        <w:spacing w:after="0" w:line="276" w:lineRule="auto"/>
        <w:jc w:val="both"/>
        <w:rPr>
          <w:rFonts w:cs="Times New Roman"/>
          <w:sz w:val="24"/>
          <w:szCs w:val="24"/>
        </w:rPr>
      </w:pPr>
      <w:r w:rsidRPr="000E1BC1">
        <w:rPr>
          <w:rFonts w:cs="Times New Roman"/>
          <w:sz w:val="24"/>
          <w:szCs w:val="24"/>
        </w:rPr>
        <w:t xml:space="preserve">ECOSOC President Marie </w:t>
      </w:r>
      <w:proofErr w:type="spellStart"/>
      <w:r w:rsidRPr="000E1BC1">
        <w:rPr>
          <w:rFonts w:cs="Times New Roman"/>
          <w:sz w:val="24"/>
          <w:szCs w:val="24"/>
        </w:rPr>
        <w:t>Chatardová</w:t>
      </w:r>
      <w:proofErr w:type="spellEnd"/>
      <w:r w:rsidRPr="000E1BC1">
        <w:rPr>
          <w:rFonts w:cs="Times New Roman"/>
          <w:sz w:val="24"/>
          <w:szCs w:val="24"/>
        </w:rPr>
        <w:t xml:space="preserve"> opened HLPF 2018 on Monday, 9 July, and invited Member States to adopt the provisional agenda (E/HLPF/2018/1). </w:t>
      </w:r>
    </w:p>
    <w:p w14:paraId="6435E38C" w14:textId="77777777" w:rsidR="00141242" w:rsidRPr="000E1BC1" w:rsidRDefault="00141242" w:rsidP="002F5D2C">
      <w:pPr>
        <w:spacing w:after="0" w:line="276" w:lineRule="auto"/>
        <w:jc w:val="both"/>
        <w:rPr>
          <w:rFonts w:cs="Times New Roman"/>
          <w:sz w:val="24"/>
          <w:szCs w:val="24"/>
        </w:rPr>
      </w:pPr>
    </w:p>
    <w:p w14:paraId="176577CF" w14:textId="72F3499D" w:rsidR="007D084E" w:rsidRPr="00B21F4D" w:rsidRDefault="007D084E" w:rsidP="000E1BC1">
      <w:pPr>
        <w:spacing w:line="276" w:lineRule="auto"/>
        <w:jc w:val="both"/>
        <w:rPr>
          <w:rFonts w:ascii="Times New Roman" w:hAnsi="Times New Roman" w:cs="Times New Roman"/>
          <w:sz w:val="24"/>
          <w:szCs w:val="24"/>
        </w:rPr>
      </w:pPr>
      <w:r w:rsidRPr="000E1BC1">
        <w:rPr>
          <w:rFonts w:cs="Times New Roman"/>
          <w:sz w:val="24"/>
          <w:szCs w:val="24"/>
        </w:rPr>
        <w:t xml:space="preserve">Liu </w:t>
      </w:r>
      <w:proofErr w:type="spellStart"/>
      <w:r w:rsidRPr="000E1BC1">
        <w:rPr>
          <w:rFonts w:cs="Times New Roman"/>
          <w:sz w:val="24"/>
          <w:szCs w:val="24"/>
        </w:rPr>
        <w:t>Zhenmin</w:t>
      </w:r>
      <w:proofErr w:type="spellEnd"/>
      <w:r w:rsidRPr="000E1BC1">
        <w:rPr>
          <w:rFonts w:cs="Times New Roman"/>
          <w:sz w:val="24"/>
          <w:szCs w:val="24"/>
        </w:rPr>
        <w:t>, U</w:t>
      </w:r>
      <w:r w:rsidR="00A01CC5">
        <w:rPr>
          <w:rFonts w:cs="Times New Roman"/>
          <w:sz w:val="24"/>
          <w:szCs w:val="24"/>
        </w:rPr>
        <w:t>N</w:t>
      </w:r>
      <w:r w:rsidRPr="000E1BC1">
        <w:rPr>
          <w:rFonts w:cs="Times New Roman"/>
          <w:sz w:val="24"/>
          <w:szCs w:val="24"/>
        </w:rPr>
        <w:t xml:space="preserve"> Under-Secretary-General for Economic and Social Affairs, presented the UN Secretary-General’s SDG </w:t>
      </w:r>
      <w:r w:rsidR="003427CC">
        <w:rPr>
          <w:rFonts w:cs="Times New Roman"/>
          <w:sz w:val="24"/>
          <w:szCs w:val="24"/>
        </w:rPr>
        <w:t>P</w:t>
      </w:r>
      <w:r w:rsidRPr="000E1BC1">
        <w:rPr>
          <w:rFonts w:cs="Times New Roman"/>
          <w:sz w:val="24"/>
          <w:szCs w:val="24"/>
        </w:rPr>
        <w:t xml:space="preserve">rogress </w:t>
      </w:r>
      <w:r w:rsidR="003427CC">
        <w:rPr>
          <w:rFonts w:cs="Times New Roman"/>
          <w:sz w:val="24"/>
          <w:szCs w:val="24"/>
        </w:rPr>
        <w:t>R</w:t>
      </w:r>
      <w:r w:rsidRPr="000E1BC1">
        <w:rPr>
          <w:rFonts w:cs="Times New Roman"/>
          <w:sz w:val="24"/>
          <w:szCs w:val="24"/>
        </w:rPr>
        <w:t>eport (E/2018/64). In his remarks</w:t>
      </w:r>
      <w:r w:rsidR="0018684D" w:rsidRPr="000E1BC1">
        <w:rPr>
          <w:rFonts w:cs="Times New Roman"/>
          <w:sz w:val="24"/>
          <w:szCs w:val="24"/>
        </w:rPr>
        <w:t>,</w:t>
      </w:r>
      <w:r w:rsidRPr="000E1BC1">
        <w:rPr>
          <w:rFonts w:cs="Times New Roman"/>
          <w:sz w:val="24"/>
          <w:szCs w:val="24"/>
        </w:rPr>
        <w:t xml:space="preserve"> he noted that although social protection is key to poverty alleviation, close to 4 billion people were still left without social protection in 2016. This is accompanied by a global deficit of social protection for </w:t>
      </w:r>
      <w:r w:rsidR="00BC4A93">
        <w:rPr>
          <w:rFonts w:cs="Times New Roman"/>
          <w:sz w:val="24"/>
          <w:szCs w:val="24"/>
        </w:rPr>
        <w:t>marginalized</w:t>
      </w:r>
      <w:r w:rsidR="00BC4A93" w:rsidRPr="000E1BC1">
        <w:rPr>
          <w:rFonts w:cs="Times New Roman"/>
          <w:sz w:val="24"/>
          <w:szCs w:val="24"/>
        </w:rPr>
        <w:t xml:space="preserve"> </w:t>
      </w:r>
      <w:r w:rsidRPr="000E1BC1">
        <w:rPr>
          <w:rFonts w:cs="Times New Roman"/>
          <w:sz w:val="24"/>
          <w:szCs w:val="24"/>
        </w:rPr>
        <w:t xml:space="preserve">groups </w:t>
      </w:r>
      <w:r w:rsidRPr="000E1BC1">
        <w:rPr>
          <w:rFonts w:cs="Times New Roman"/>
          <w:sz w:val="24"/>
          <w:szCs w:val="24"/>
        </w:rPr>
        <w:lastRenderedPageBreak/>
        <w:t>such as older persons, mothers with new-born babies, children, people with severe disabilities and the unemployed, leaving many without the means to make ends meet</w:t>
      </w:r>
      <w:r w:rsidRPr="00B21F4D">
        <w:rPr>
          <w:rFonts w:ascii="Times New Roman" w:hAnsi="Times New Roman" w:cs="Times New Roman"/>
          <w:sz w:val="24"/>
          <w:szCs w:val="24"/>
        </w:rPr>
        <w:t>.</w:t>
      </w:r>
      <w:r w:rsidRPr="00B21F4D">
        <w:rPr>
          <w:rStyle w:val="FootnoteReference"/>
          <w:rFonts w:ascii="Times New Roman" w:hAnsi="Times New Roman" w:cs="Times New Roman"/>
          <w:sz w:val="24"/>
          <w:szCs w:val="24"/>
        </w:rPr>
        <w:footnoteReference w:id="1"/>
      </w:r>
    </w:p>
    <w:p w14:paraId="2AB1FD0B" w14:textId="5EC71719" w:rsidR="007D084E" w:rsidRPr="003B44F6" w:rsidRDefault="00505127" w:rsidP="003B44F6">
      <w:pPr>
        <w:spacing w:line="276" w:lineRule="auto"/>
        <w:jc w:val="both"/>
        <w:rPr>
          <w:rFonts w:cs="Times New Roman"/>
          <w:sz w:val="24"/>
          <w:szCs w:val="24"/>
        </w:rPr>
      </w:pPr>
      <w:r>
        <w:rPr>
          <w:rFonts w:cs="Times New Roman"/>
          <w:sz w:val="24"/>
          <w:szCs w:val="24"/>
        </w:rPr>
        <w:t xml:space="preserve">The </w:t>
      </w:r>
      <w:r w:rsidR="007D084E" w:rsidRPr="003B44F6">
        <w:rPr>
          <w:rFonts w:cs="Times New Roman"/>
          <w:sz w:val="24"/>
          <w:szCs w:val="24"/>
        </w:rPr>
        <w:t>forum generally agreed that there has been</w:t>
      </w:r>
      <w:r w:rsidR="005E1441" w:rsidRPr="003B44F6">
        <w:rPr>
          <w:rFonts w:cs="Times New Roman"/>
          <w:sz w:val="24"/>
          <w:szCs w:val="24"/>
        </w:rPr>
        <w:t xml:space="preserve"> </w:t>
      </w:r>
      <w:r w:rsidR="007D084E" w:rsidRPr="003B44F6">
        <w:rPr>
          <w:rFonts w:cs="Times New Roman"/>
          <w:sz w:val="24"/>
          <w:szCs w:val="24"/>
        </w:rPr>
        <w:t xml:space="preserve">progress in many areas of the </w:t>
      </w:r>
      <w:r>
        <w:rPr>
          <w:rFonts w:cs="Times New Roman"/>
          <w:sz w:val="24"/>
          <w:szCs w:val="24"/>
        </w:rPr>
        <w:t>G</w:t>
      </w:r>
      <w:r w:rsidR="007D084E" w:rsidRPr="003B44F6">
        <w:rPr>
          <w:rFonts w:cs="Times New Roman"/>
          <w:sz w:val="24"/>
          <w:szCs w:val="24"/>
        </w:rPr>
        <w:t xml:space="preserve">oals and targets. For instance, </w:t>
      </w:r>
      <w:r>
        <w:rPr>
          <w:rFonts w:cs="Times New Roman"/>
          <w:sz w:val="24"/>
          <w:szCs w:val="24"/>
        </w:rPr>
        <w:t xml:space="preserve">there has been </w:t>
      </w:r>
      <w:r w:rsidR="007D084E" w:rsidRPr="003B44F6">
        <w:rPr>
          <w:rFonts w:cs="Times New Roman"/>
          <w:sz w:val="24"/>
          <w:szCs w:val="24"/>
        </w:rPr>
        <w:t xml:space="preserve">a widespread adoption of the SDGs into national development plans and strategies and the creation of approaches and structures to promote, coordinate and integrate implementation efforts. The forum also maintained the </w:t>
      </w:r>
      <w:r w:rsidR="004758CB" w:rsidRPr="003B44F6">
        <w:rPr>
          <w:rFonts w:cs="Times New Roman"/>
          <w:sz w:val="24"/>
          <w:szCs w:val="24"/>
        </w:rPr>
        <w:t xml:space="preserve">key message </w:t>
      </w:r>
      <w:r w:rsidR="004758CB">
        <w:rPr>
          <w:rFonts w:cs="Times New Roman"/>
          <w:sz w:val="24"/>
          <w:szCs w:val="24"/>
        </w:rPr>
        <w:t>of the report of the Secretary-General entitled “Progress towards the Sustainable Development Goals”</w:t>
      </w:r>
      <w:r w:rsidR="00F43DB3">
        <w:rPr>
          <w:rFonts w:cs="Times New Roman"/>
          <w:sz w:val="24"/>
          <w:szCs w:val="24"/>
        </w:rPr>
        <w:t>. The report</w:t>
      </w:r>
      <w:r w:rsidR="004758CB">
        <w:rPr>
          <w:rFonts w:cs="Times New Roman"/>
          <w:sz w:val="24"/>
          <w:szCs w:val="24"/>
        </w:rPr>
        <w:t xml:space="preserve"> </w:t>
      </w:r>
      <w:r w:rsidR="00F43DB3">
        <w:rPr>
          <w:rFonts w:cs="Times New Roman"/>
          <w:sz w:val="24"/>
          <w:szCs w:val="24"/>
        </w:rPr>
        <w:t xml:space="preserve">states </w:t>
      </w:r>
      <w:r w:rsidR="007D084E" w:rsidRPr="003B44F6">
        <w:rPr>
          <w:rFonts w:cs="Times New Roman"/>
          <w:sz w:val="24"/>
          <w:szCs w:val="24"/>
        </w:rPr>
        <w:t>that despite positive trends, there is still a long way to go to reach the Goals. Major disparities in achievements exist, both within and between countries. M</w:t>
      </w:r>
      <w:r>
        <w:rPr>
          <w:rFonts w:cs="Times New Roman"/>
          <w:sz w:val="24"/>
          <w:szCs w:val="24"/>
        </w:rPr>
        <w:t>ainly,</w:t>
      </w:r>
      <w:r w:rsidR="007D084E" w:rsidRPr="003B44F6">
        <w:rPr>
          <w:rFonts w:cs="Times New Roman"/>
          <w:sz w:val="24"/>
          <w:szCs w:val="24"/>
        </w:rPr>
        <w:t xml:space="preserve"> the forum expressed concern that the </w:t>
      </w:r>
      <w:r w:rsidR="007D084E" w:rsidRPr="00B37276">
        <w:rPr>
          <w:rFonts w:cs="Times New Roman"/>
          <w:sz w:val="24"/>
          <w:szCs w:val="24"/>
        </w:rPr>
        <w:t xml:space="preserve">LDCs, LLDCs and </w:t>
      </w:r>
      <w:r w:rsidR="003B525A">
        <w:rPr>
          <w:rFonts w:cs="Times New Roman"/>
          <w:sz w:val="24"/>
          <w:szCs w:val="24"/>
        </w:rPr>
        <w:t>S</w:t>
      </w:r>
      <w:r w:rsidR="0056669B">
        <w:rPr>
          <w:rFonts w:cs="Times New Roman"/>
          <w:sz w:val="24"/>
          <w:szCs w:val="24"/>
        </w:rPr>
        <w:t xml:space="preserve">mall </w:t>
      </w:r>
      <w:r w:rsidR="003B525A">
        <w:rPr>
          <w:rFonts w:cs="Times New Roman"/>
          <w:sz w:val="24"/>
          <w:szCs w:val="24"/>
        </w:rPr>
        <w:t>I</w:t>
      </w:r>
      <w:r w:rsidR="0056669B">
        <w:rPr>
          <w:rFonts w:cs="Times New Roman"/>
          <w:sz w:val="24"/>
          <w:szCs w:val="24"/>
        </w:rPr>
        <w:t xml:space="preserve">sland </w:t>
      </w:r>
      <w:r w:rsidR="003B525A">
        <w:rPr>
          <w:rFonts w:cs="Times New Roman"/>
          <w:sz w:val="24"/>
          <w:szCs w:val="24"/>
        </w:rPr>
        <w:t>D</w:t>
      </w:r>
      <w:r w:rsidR="0056669B">
        <w:rPr>
          <w:rFonts w:cs="Times New Roman"/>
          <w:sz w:val="24"/>
          <w:szCs w:val="24"/>
        </w:rPr>
        <w:t xml:space="preserve">eveloping </w:t>
      </w:r>
      <w:r w:rsidR="003B525A">
        <w:rPr>
          <w:rFonts w:cs="Times New Roman"/>
          <w:sz w:val="24"/>
          <w:szCs w:val="24"/>
        </w:rPr>
        <w:t>S</w:t>
      </w:r>
      <w:r w:rsidR="0056669B">
        <w:rPr>
          <w:rFonts w:cs="Times New Roman"/>
          <w:sz w:val="24"/>
          <w:szCs w:val="24"/>
        </w:rPr>
        <w:t xml:space="preserve">tates (SIDS) </w:t>
      </w:r>
      <w:r w:rsidR="007D084E" w:rsidRPr="003B44F6">
        <w:rPr>
          <w:rFonts w:cs="Times New Roman"/>
          <w:sz w:val="24"/>
          <w:szCs w:val="24"/>
        </w:rPr>
        <w:t>continue to lag behind on almost all targets</w:t>
      </w:r>
      <w:r>
        <w:rPr>
          <w:rFonts w:cs="Times New Roman"/>
          <w:sz w:val="24"/>
          <w:szCs w:val="24"/>
        </w:rPr>
        <w:t>,</w:t>
      </w:r>
      <w:r w:rsidR="007D084E" w:rsidRPr="003B44F6">
        <w:rPr>
          <w:rFonts w:cs="Times New Roman"/>
          <w:sz w:val="24"/>
          <w:szCs w:val="24"/>
        </w:rPr>
        <w:t xml:space="preserve"> </w:t>
      </w:r>
      <w:r w:rsidR="00B46E46">
        <w:rPr>
          <w:rFonts w:cs="Times New Roman"/>
          <w:sz w:val="24"/>
          <w:szCs w:val="24"/>
        </w:rPr>
        <w:t>putting them at a higher risk of being left behind</w:t>
      </w:r>
      <w:r w:rsidR="007D084E" w:rsidRPr="003B44F6">
        <w:rPr>
          <w:rFonts w:cs="Times New Roman"/>
          <w:sz w:val="24"/>
          <w:szCs w:val="24"/>
        </w:rPr>
        <w:t>.</w:t>
      </w:r>
    </w:p>
    <w:p w14:paraId="0945555C" w14:textId="15C287BF" w:rsidR="006D0F99" w:rsidRPr="00B21F4D" w:rsidRDefault="007D084E" w:rsidP="003B44F6">
      <w:pPr>
        <w:spacing w:line="276" w:lineRule="auto"/>
        <w:jc w:val="both"/>
        <w:rPr>
          <w:rFonts w:ascii="Times New Roman" w:hAnsi="Times New Roman" w:cs="Times New Roman"/>
          <w:sz w:val="24"/>
          <w:szCs w:val="24"/>
        </w:rPr>
      </w:pPr>
      <w:proofErr w:type="gramStart"/>
      <w:r w:rsidRPr="003B44F6">
        <w:rPr>
          <w:rFonts w:cs="Times New Roman"/>
          <w:sz w:val="24"/>
          <w:szCs w:val="24"/>
        </w:rPr>
        <w:t>Keynote speaker</w:t>
      </w:r>
      <w:r w:rsidR="0099224D">
        <w:rPr>
          <w:rFonts w:cs="Times New Roman"/>
          <w:sz w:val="24"/>
          <w:szCs w:val="24"/>
        </w:rPr>
        <w:t xml:space="preserve">, </w:t>
      </w:r>
      <w:r w:rsidRPr="003B44F6">
        <w:rPr>
          <w:rFonts w:cs="Times New Roman"/>
          <w:sz w:val="24"/>
          <w:szCs w:val="24"/>
        </w:rPr>
        <w:t xml:space="preserve">María Soledad </w:t>
      </w:r>
      <w:proofErr w:type="spellStart"/>
      <w:r w:rsidRPr="003B44F6">
        <w:rPr>
          <w:rFonts w:cs="Times New Roman"/>
          <w:sz w:val="24"/>
          <w:szCs w:val="24"/>
        </w:rPr>
        <w:t>Cisternas</w:t>
      </w:r>
      <w:proofErr w:type="spellEnd"/>
      <w:r w:rsidRPr="003B44F6">
        <w:rPr>
          <w:rFonts w:cs="Times New Roman"/>
          <w:sz w:val="24"/>
          <w:szCs w:val="24"/>
        </w:rPr>
        <w:t xml:space="preserve"> Reyes, the UN Secretary-General’s Special Envoy </w:t>
      </w:r>
      <w:r w:rsidR="00C76AF9" w:rsidRPr="003B44F6">
        <w:rPr>
          <w:rFonts w:cs="Times New Roman"/>
          <w:sz w:val="24"/>
          <w:szCs w:val="24"/>
        </w:rPr>
        <w:t>on Disability and Accessibility</w:t>
      </w:r>
      <w:r w:rsidR="00505127">
        <w:rPr>
          <w:rFonts w:cs="Times New Roman"/>
          <w:sz w:val="24"/>
          <w:szCs w:val="24"/>
        </w:rPr>
        <w:t>,</w:t>
      </w:r>
      <w:proofErr w:type="gramEnd"/>
      <w:r w:rsidR="00C76AF9" w:rsidRPr="003B44F6">
        <w:rPr>
          <w:rFonts w:cs="Times New Roman"/>
          <w:sz w:val="24"/>
          <w:szCs w:val="24"/>
        </w:rPr>
        <w:t xml:space="preserve"> highlighted that for the implementation of the SDGs at the national level, there are several civil society groups that wish to have more space for participation to contribute to the necessary transformations proposed by the 2030 Agenda. Historically marginalized sectors still do not know about the SDGs</w:t>
      </w:r>
      <w:r w:rsidR="00505127">
        <w:rPr>
          <w:rFonts w:cs="Times New Roman"/>
          <w:sz w:val="24"/>
          <w:szCs w:val="24"/>
        </w:rPr>
        <w:t>,</w:t>
      </w:r>
      <w:r w:rsidR="00C76AF9" w:rsidRPr="003B44F6">
        <w:rPr>
          <w:rFonts w:cs="Times New Roman"/>
          <w:sz w:val="24"/>
          <w:szCs w:val="24"/>
        </w:rPr>
        <w:t xml:space="preserve"> nor do they have the necessary support for their full and effective participation in society, as is the case of many persons with disabilities and older persons, among others. </w:t>
      </w:r>
      <w:r w:rsidR="00044977">
        <w:rPr>
          <w:rFonts w:cs="Times New Roman"/>
          <w:sz w:val="24"/>
          <w:szCs w:val="24"/>
        </w:rPr>
        <w:t xml:space="preserve">She </w:t>
      </w:r>
      <w:r w:rsidR="00214155">
        <w:rPr>
          <w:rFonts w:cs="Times New Roman"/>
          <w:sz w:val="24"/>
          <w:szCs w:val="24"/>
        </w:rPr>
        <w:t>stated</w:t>
      </w:r>
      <w:r w:rsidR="00C76AF9" w:rsidRPr="003B44F6">
        <w:rPr>
          <w:rFonts w:cs="Times New Roman"/>
          <w:sz w:val="24"/>
          <w:szCs w:val="24"/>
        </w:rPr>
        <w:t xml:space="preserve"> that</w:t>
      </w:r>
      <w:r w:rsidR="008C5AB6">
        <w:rPr>
          <w:rFonts w:cs="Times New Roman"/>
          <w:sz w:val="24"/>
          <w:szCs w:val="24"/>
        </w:rPr>
        <w:t>,</w:t>
      </w:r>
      <w:r w:rsidR="00C76AF9" w:rsidRPr="003B44F6">
        <w:rPr>
          <w:rFonts w:cs="Times New Roman"/>
          <w:sz w:val="24"/>
          <w:szCs w:val="24"/>
        </w:rPr>
        <w:t xml:space="preserve"> currently</w:t>
      </w:r>
      <w:r w:rsidR="008C5AB6">
        <w:rPr>
          <w:rFonts w:cs="Times New Roman"/>
          <w:sz w:val="24"/>
          <w:szCs w:val="24"/>
        </w:rPr>
        <w:t>,</w:t>
      </w:r>
      <w:r w:rsidR="00C76AF9" w:rsidRPr="003B44F6">
        <w:rPr>
          <w:rFonts w:cs="Times New Roman"/>
          <w:sz w:val="24"/>
          <w:szCs w:val="24"/>
        </w:rPr>
        <w:t xml:space="preserve"> </w:t>
      </w:r>
      <w:r w:rsidR="002100F3">
        <w:rPr>
          <w:rFonts w:cs="Times New Roman"/>
          <w:sz w:val="24"/>
          <w:szCs w:val="24"/>
        </w:rPr>
        <w:t xml:space="preserve">there are </w:t>
      </w:r>
      <w:r w:rsidR="00C76AF9" w:rsidRPr="003B44F6">
        <w:rPr>
          <w:rFonts w:cs="Times New Roman"/>
          <w:sz w:val="24"/>
          <w:szCs w:val="24"/>
        </w:rPr>
        <w:t xml:space="preserve">more than one billion persons </w:t>
      </w:r>
      <w:r w:rsidR="00A6402D">
        <w:rPr>
          <w:rFonts w:cs="Times New Roman"/>
          <w:sz w:val="24"/>
          <w:szCs w:val="24"/>
        </w:rPr>
        <w:t>with</w:t>
      </w:r>
      <w:r w:rsidR="00C76AF9" w:rsidRPr="003B44F6">
        <w:rPr>
          <w:rFonts w:cs="Times New Roman"/>
          <w:sz w:val="24"/>
          <w:szCs w:val="24"/>
        </w:rPr>
        <w:t xml:space="preserve"> disabilities </w:t>
      </w:r>
      <w:r w:rsidR="00A6402D">
        <w:rPr>
          <w:rFonts w:cs="Times New Roman"/>
          <w:sz w:val="24"/>
          <w:szCs w:val="24"/>
        </w:rPr>
        <w:t>worldwide</w:t>
      </w:r>
      <w:r w:rsidR="009B6D1A">
        <w:rPr>
          <w:rFonts w:cs="Times New Roman"/>
          <w:sz w:val="24"/>
          <w:szCs w:val="24"/>
        </w:rPr>
        <w:t xml:space="preserve"> </w:t>
      </w:r>
      <w:r w:rsidR="00C76AF9" w:rsidRPr="003B44F6">
        <w:rPr>
          <w:rFonts w:cs="Times New Roman"/>
          <w:sz w:val="24"/>
          <w:szCs w:val="24"/>
        </w:rPr>
        <w:t>and almost 800 million are older persons</w:t>
      </w:r>
      <w:r w:rsidR="009B6D1A">
        <w:rPr>
          <w:rFonts w:cs="Times New Roman"/>
          <w:sz w:val="24"/>
          <w:szCs w:val="24"/>
        </w:rPr>
        <w:t xml:space="preserve">. </w:t>
      </w:r>
      <w:r w:rsidR="008903E1">
        <w:rPr>
          <w:rFonts w:cs="Times New Roman"/>
          <w:sz w:val="24"/>
          <w:szCs w:val="24"/>
        </w:rPr>
        <w:t>She added that t</w:t>
      </w:r>
      <w:r w:rsidR="00A74508">
        <w:rPr>
          <w:rFonts w:cs="Times New Roman"/>
          <w:sz w:val="24"/>
          <w:szCs w:val="24"/>
        </w:rPr>
        <w:t>hese</w:t>
      </w:r>
      <w:r w:rsidR="00C76AF9" w:rsidRPr="003B44F6">
        <w:rPr>
          <w:rFonts w:cs="Times New Roman"/>
          <w:sz w:val="24"/>
          <w:szCs w:val="24"/>
        </w:rPr>
        <w:t xml:space="preserve"> figures are estimated to increase.</w:t>
      </w:r>
      <w:r w:rsidR="006D0F99" w:rsidRPr="003B44F6">
        <w:rPr>
          <w:rFonts w:cs="Times New Roman"/>
          <w:sz w:val="24"/>
          <w:szCs w:val="24"/>
        </w:rPr>
        <w:t xml:space="preserve"> She also </w:t>
      </w:r>
      <w:r w:rsidR="0081038A">
        <w:rPr>
          <w:rFonts w:cs="Times New Roman"/>
          <w:sz w:val="24"/>
          <w:szCs w:val="24"/>
        </w:rPr>
        <w:t>remarked</w:t>
      </w:r>
      <w:r w:rsidR="0081038A" w:rsidRPr="003B44F6">
        <w:rPr>
          <w:rFonts w:cs="Times New Roman"/>
          <w:sz w:val="24"/>
          <w:szCs w:val="24"/>
        </w:rPr>
        <w:t xml:space="preserve"> </w:t>
      </w:r>
      <w:r w:rsidR="006D0F99" w:rsidRPr="003B44F6">
        <w:rPr>
          <w:rFonts w:cs="Times New Roman"/>
          <w:sz w:val="24"/>
          <w:szCs w:val="24"/>
        </w:rPr>
        <w:t xml:space="preserve">that </w:t>
      </w:r>
      <w:r w:rsidR="00501829">
        <w:rPr>
          <w:rFonts w:cs="Times New Roman"/>
          <w:sz w:val="24"/>
          <w:szCs w:val="24"/>
        </w:rPr>
        <w:t xml:space="preserve">in building </w:t>
      </w:r>
      <w:r w:rsidR="006D0F99" w:rsidRPr="003B44F6">
        <w:rPr>
          <w:rFonts w:cs="Times New Roman"/>
          <w:sz w:val="24"/>
          <w:szCs w:val="24"/>
        </w:rPr>
        <w:t xml:space="preserve">human societies and human settlements which are inclusive, sustainable and resilient, </w:t>
      </w:r>
      <w:r w:rsidR="00F66B27">
        <w:rPr>
          <w:rFonts w:cs="Times New Roman"/>
          <w:sz w:val="24"/>
          <w:szCs w:val="24"/>
        </w:rPr>
        <w:t xml:space="preserve">this </w:t>
      </w:r>
      <w:r w:rsidR="00A66159">
        <w:rPr>
          <w:rFonts w:cs="Times New Roman"/>
          <w:sz w:val="24"/>
          <w:szCs w:val="24"/>
        </w:rPr>
        <w:t>include</w:t>
      </w:r>
      <w:r w:rsidR="00F66B27">
        <w:rPr>
          <w:rFonts w:cs="Times New Roman"/>
          <w:sz w:val="24"/>
          <w:szCs w:val="24"/>
        </w:rPr>
        <w:t xml:space="preserve">s moving </w:t>
      </w:r>
      <w:r w:rsidR="000E1BC1" w:rsidRPr="003B44F6">
        <w:rPr>
          <w:rFonts w:cs="Times New Roman"/>
          <w:sz w:val="24"/>
          <w:szCs w:val="24"/>
        </w:rPr>
        <w:t>to</w:t>
      </w:r>
      <w:r w:rsidR="00E731CE">
        <w:rPr>
          <w:rFonts w:cs="Times New Roman"/>
          <w:sz w:val="24"/>
          <w:szCs w:val="24"/>
        </w:rPr>
        <w:t>wards</w:t>
      </w:r>
      <w:r w:rsidR="000E1BC1" w:rsidRPr="003B44F6">
        <w:rPr>
          <w:rFonts w:cs="Times New Roman"/>
          <w:sz w:val="24"/>
          <w:szCs w:val="24"/>
        </w:rPr>
        <w:t xml:space="preserve"> intelligent cities. </w:t>
      </w:r>
      <w:r w:rsidR="007C2E00">
        <w:rPr>
          <w:rFonts w:cs="Times New Roman"/>
          <w:sz w:val="24"/>
          <w:szCs w:val="24"/>
        </w:rPr>
        <w:t xml:space="preserve">In her concluding remarks, she </w:t>
      </w:r>
      <w:r w:rsidR="00224217">
        <w:rPr>
          <w:rFonts w:cs="Times New Roman"/>
          <w:sz w:val="24"/>
          <w:szCs w:val="24"/>
        </w:rPr>
        <w:t>stated</w:t>
      </w:r>
      <w:r w:rsidR="006D0F99" w:rsidRPr="003B44F6">
        <w:rPr>
          <w:rFonts w:cs="Times New Roman"/>
          <w:sz w:val="24"/>
          <w:szCs w:val="24"/>
        </w:rPr>
        <w:t xml:space="preserve"> that if technology is not accessible, it will become one more barrier for millions of people throughout the world, </w:t>
      </w:r>
      <w:r w:rsidR="007C2E00">
        <w:rPr>
          <w:rFonts w:cs="Times New Roman"/>
          <w:sz w:val="24"/>
          <w:szCs w:val="24"/>
        </w:rPr>
        <w:t>including</w:t>
      </w:r>
      <w:r w:rsidR="006D0F99" w:rsidRPr="003B44F6">
        <w:rPr>
          <w:rFonts w:cs="Times New Roman"/>
          <w:sz w:val="24"/>
          <w:szCs w:val="24"/>
        </w:rPr>
        <w:t xml:space="preserve"> pe</w:t>
      </w:r>
      <w:r w:rsidR="007C2E00">
        <w:rPr>
          <w:rFonts w:cs="Times New Roman"/>
          <w:sz w:val="24"/>
          <w:szCs w:val="24"/>
        </w:rPr>
        <w:t>rsons</w:t>
      </w:r>
      <w:r w:rsidR="006D0F99" w:rsidRPr="003B44F6">
        <w:rPr>
          <w:rFonts w:cs="Times New Roman"/>
          <w:sz w:val="24"/>
          <w:szCs w:val="24"/>
        </w:rPr>
        <w:t xml:space="preserve"> with disabilities, older pe</w:t>
      </w:r>
      <w:r w:rsidR="00237EE3">
        <w:rPr>
          <w:rFonts w:cs="Times New Roman"/>
          <w:sz w:val="24"/>
          <w:szCs w:val="24"/>
        </w:rPr>
        <w:t>rsons</w:t>
      </w:r>
      <w:r w:rsidR="006D0F99" w:rsidRPr="003B44F6">
        <w:rPr>
          <w:rFonts w:cs="Times New Roman"/>
          <w:sz w:val="24"/>
          <w:szCs w:val="24"/>
        </w:rPr>
        <w:t>, and other sectors</w:t>
      </w:r>
      <w:r w:rsidR="00224217">
        <w:rPr>
          <w:rFonts w:cs="Times New Roman"/>
          <w:sz w:val="24"/>
          <w:szCs w:val="24"/>
        </w:rPr>
        <w:t xml:space="preserve">. </w:t>
      </w:r>
      <w:hyperlink r:id="rId12" w:history="1">
        <w:r w:rsidR="00845AA4" w:rsidRPr="0067500C">
          <w:rPr>
            <w:rStyle w:val="Hyperlink"/>
            <w:rFonts w:cs="Times New Roman"/>
            <w:sz w:val="24"/>
            <w:szCs w:val="24"/>
          </w:rPr>
          <w:t>Click here to read her full statement.</w:t>
        </w:r>
      </w:hyperlink>
    </w:p>
    <w:p w14:paraId="43E84D0A" w14:textId="77777777" w:rsidR="00FA2A24" w:rsidRPr="00FA2A24" w:rsidRDefault="0075521A" w:rsidP="00E13010">
      <w:pPr>
        <w:pStyle w:val="Heading2"/>
        <w:spacing w:after="0" w:afterAutospacing="0"/>
        <w:rPr>
          <w:shd w:val="clear" w:color="auto" w:fill="FFFFFF"/>
        </w:rPr>
      </w:pPr>
      <w:bookmarkStart w:id="12" w:name="_Toc531264866"/>
      <w:r w:rsidRPr="000E1BC1">
        <w:rPr>
          <w:shd w:val="clear" w:color="auto" w:fill="FFFFFF"/>
        </w:rPr>
        <w:t>Implementing the 2030 Agenda for resilient societies</w:t>
      </w:r>
      <w:bookmarkEnd w:id="12"/>
    </w:p>
    <w:p w14:paraId="41E04F53" w14:textId="6D7B2B38" w:rsidR="004934C7" w:rsidRPr="000E1BC1" w:rsidRDefault="0075521A" w:rsidP="00E13010">
      <w:pPr>
        <w:spacing w:after="0" w:line="276" w:lineRule="auto"/>
        <w:jc w:val="both"/>
        <w:rPr>
          <w:rFonts w:cs="Times New Roman"/>
          <w:sz w:val="24"/>
          <w:szCs w:val="24"/>
          <w:shd w:val="clear" w:color="auto" w:fill="FFFFFF"/>
        </w:rPr>
      </w:pPr>
      <w:r w:rsidRPr="000E1BC1">
        <w:rPr>
          <w:rFonts w:cs="Times New Roman"/>
          <w:sz w:val="24"/>
          <w:szCs w:val="24"/>
        </w:rPr>
        <w:t>This session was organized in</w:t>
      </w:r>
      <w:r w:rsidR="002F542B">
        <w:rPr>
          <w:rFonts w:cs="Times New Roman"/>
          <w:sz w:val="24"/>
          <w:szCs w:val="24"/>
        </w:rPr>
        <w:t>to</w:t>
      </w:r>
      <w:r w:rsidRPr="000E1BC1">
        <w:rPr>
          <w:rFonts w:cs="Times New Roman"/>
          <w:sz w:val="24"/>
          <w:szCs w:val="24"/>
        </w:rPr>
        <w:t xml:space="preserve"> two sub-sections chaired by ECOSOC President</w:t>
      </w:r>
      <w:r w:rsidR="000C23CE">
        <w:rPr>
          <w:rFonts w:cs="Times New Roman"/>
          <w:sz w:val="24"/>
          <w:szCs w:val="24"/>
        </w:rPr>
        <w:t xml:space="preserve"> Marie</w:t>
      </w:r>
      <w:r w:rsidRPr="000E1BC1">
        <w:rPr>
          <w:rFonts w:cs="Times New Roman"/>
          <w:sz w:val="24"/>
          <w:szCs w:val="24"/>
        </w:rPr>
        <w:t xml:space="preserve"> </w:t>
      </w:r>
      <w:proofErr w:type="spellStart"/>
      <w:r w:rsidRPr="000E1BC1">
        <w:rPr>
          <w:rFonts w:cs="Times New Roman"/>
          <w:sz w:val="24"/>
          <w:szCs w:val="24"/>
        </w:rPr>
        <w:t>Chatardová</w:t>
      </w:r>
      <w:proofErr w:type="spellEnd"/>
      <w:r w:rsidRPr="000E1BC1">
        <w:rPr>
          <w:rFonts w:cs="Times New Roman"/>
          <w:sz w:val="24"/>
          <w:szCs w:val="24"/>
        </w:rPr>
        <w:t xml:space="preserve">. </w:t>
      </w:r>
      <w:r w:rsidRPr="000E1BC1">
        <w:rPr>
          <w:rFonts w:cs="Times New Roman"/>
          <w:sz w:val="24"/>
          <w:szCs w:val="24"/>
          <w:shd w:val="clear" w:color="auto" w:fill="FFFFFF"/>
        </w:rPr>
        <w:t xml:space="preserve">The first sub-session on “Reviewing progress in achieving the SDGs” highlighted the global snapshot of progress made towards the 17 Goals and remaining gaps ahead. </w:t>
      </w:r>
      <w:r w:rsidR="0074151D">
        <w:rPr>
          <w:rFonts w:cs="Times New Roman"/>
          <w:sz w:val="24"/>
          <w:szCs w:val="24"/>
          <w:shd w:val="clear" w:color="auto" w:fill="FFFFFF"/>
        </w:rPr>
        <w:t>The sub-session</w:t>
      </w:r>
      <w:r w:rsidRPr="000E1BC1">
        <w:rPr>
          <w:rFonts w:cs="Times New Roman"/>
          <w:sz w:val="24"/>
          <w:szCs w:val="24"/>
          <w:shd w:val="clear" w:color="auto" w:fill="FFFFFF"/>
        </w:rPr>
        <w:t xml:space="preserve"> intended to identify areas where policies and actions need to be </w:t>
      </w:r>
      <w:r w:rsidR="000E66FE">
        <w:rPr>
          <w:rFonts w:cs="Times New Roman"/>
          <w:sz w:val="24"/>
          <w:szCs w:val="24"/>
          <w:shd w:val="clear" w:color="auto" w:fill="FFFFFF"/>
        </w:rPr>
        <w:t>strengthened</w:t>
      </w:r>
      <w:r w:rsidRPr="000E1BC1">
        <w:rPr>
          <w:rFonts w:cs="Times New Roman"/>
          <w:sz w:val="24"/>
          <w:szCs w:val="24"/>
          <w:shd w:val="clear" w:color="auto" w:fill="FFFFFF"/>
        </w:rPr>
        <w:t xml:space="preserve"> to accelerate progress. This </w:t>
      </w:r>
      <w:r w:rsidR="0074151D">
        <w:rPr>
          <w:rFonts w:cs="Times New Roman"/>
          <w:sz w:val="24"/>
          <w:szCs w:val="24"/>
          <w:shd w:val="clear" w:color="auto" w:fill="FFFFFF"/>
        </w:rPr>
        <w:t>sub-</w:t>
      </w:r>
      <w:r w:rsidRPr="000E1BC1">
        <w:rPr>
          <w:rFonts w:cs="Times New Roman"/>
          <w:sz w:val="24"/>
          <w:szCs w:val="24"/>
          <w:shd w:val="clear" w:color="auto" w:fill="FFFFFF"/>
        </w:rPr>
        <w:t xml:space="preserve">session consisted </w:t>
      </w:r>
      <w:r w:rsidR="00A47F9B" w:rsidRPr="000E1BC1">
        <w:rPr>
          <w:rFonts w:cs="Times New Roman"/>
          <w:sz w:val="24"/>
          <w:szCs w:val="24"/>
          <w:shd w:val="clear" w:color="auto" w:fill="FFFFFF"/>
        </w:rPr>
        <w:t xml:space="preserve">of </w:t>
      </w:r>
      <w:r w:rsidRPr="000E1BC1">
        <w:rPr>
          <w:rFonts w:cs="Times New Roman"/>
          <w:sz w:val="24"/>
          <w:szCs w:val="24"/>
          <w:shd w:val="clear" w:color="auto" w:fill="FFFFFF"/>
        </w:rPr>
        <w:t>presentations on global trends, sector-specific trends, policies and principles of the 2030 Agenda.</w:t>
      </w:r>
    </w:p>
    <w:p w14:paraId="5550030F" w14:textId="725562E2" w:rsidR="00395E6C" w:rsidRPr="000E1BC1" w:rsidRDefault="00395E6C" w:rsidP="000E1BC1">
      <w:pPr>
        <w:spacing w:before="100" w:beforeAutospacing="1" w:after="100" w:afterAutospacing="1" w:line="276" w:lineRule="auto"/>
        <w:jc w:val="both"/>
        <w:rPr>
          <w:rFonts w:cs="Times New Roman"/>
          <w:sz w:val="24"/>
          <w:szCs w:val="24"/>
        </w:rPr>
      </w:pPr>
      <w:r w:rsidRPr="000E1BC1">
        <w:rPr>
          <w:rFonts w:cs="Times New Roman"/>
          <w:sz w:val="24"/>
          <w:szCs w:val="24"/>
          <w:shd w:val="clear" w:color="auto" w:fill="FFFFFF"/>
        </w:rPr>
        <w:t xml:space="preserve">During this </w:t>
      </w:r>
      <w:r w:rsidR="00B827AF">
        <w:rPr>
          <w:rFonts w:cs="Times New Roman"/>
          <w:sz w:val="24"/>
          <w:szCs w:val="24"/>
          <w:shd w:val="clear" w:color="auto" w:fill="FFFFFF"/>
        </w:rPr>
        <w:t>sub-</w:t>
      </w:r>
      <w:r w:rsidRPr="000E1BC1">
        <w:rPr>
          <w:rFonts w:cs="Times New Roman"/>
          <w:sz w:val="24"/>
          <w:szCs w:val="24"/>
          <w:shd w:val="clear" w:color="auto" w:fill="FFFFFF"/>
        </w:rPr>
        <w:t>session</w:t>
      </w:r>
      <w:r w:rsidR="003F6318" w:rsidRPr="000E1BC1">
        <w:rPr>
          <w:rFonts w:cs="Times New Roman"/>
          <w:sz w:val="24"/>
          <w:szCs w:val="24"/>
          <w:shd w:val="clear" w:color="auto" w:fill="FFFFFF"/>
        </w:rPr>
        <w:t xml:space="preserve"> the </w:t>
      </w:r>
      <w:r w:rsidR="003F6318" w:rsidRPr="000E1BC1">
        <w:rPr>
          <w:rFonts w:cs="Times New Roman"/>
          <w:sz w:val="24"/>
          <w:szCs w:val="24"/>
        </w:rPr>
        <w:t>moderator</w:t>
      </w:r>
      <w:r w:rsidR="00AF23E2">
        <w:rPr>
          <w:rFonts w:cs="Times New Roman"/>
          <w:sz w:val="24"/>
          <w:szCs w:val="24"/>
        </w:rPr>
        <w:t>,</w:t>
      </w:r>
      <w:r w:rsidR="00634BF4">
        <w:rPr>
          <w:rFonts w:cs="Times New Roman"/>
          <w:sz w:val="24"/>
          <w:szCs w:val="24"/>
        </w:rPr>
        <w:t xml:space="preserve"> </w:t>
      </w:r>
      <w:r w:rsidRPr="00BC4A05">
        <w:rPr>
          <w:rFonts w:eastAsia="Times New Roman" w:cs="Times New Roman"/>
          <w:bCs/>
          <w:sz w:val="24"/>
          <w:szCs w:val="24"/>
          <w:lang w:eastAsia="en-GB"/>
        </w:rPr>
        <w:t>Emily Pryor</w:t>
      </w:r>
      <w:r w:rsidRPr="00BC4A05">
        <w:rPr>
          <w:rFonts w:eastAsia="Times New Roman" w:cs="Times New Roman"/>
          <w:sz w:val="24"/>
          <w:szCs w:val="24"/>
          <w:lang w:eastAsia="en-GB"/>
        </w:rPr>
        <w:t>,</w:t>
      </w:r>
      <w:r w:rsidRPr="000E1BC1">
        <w:rPr>
          <w:rFonts w:eastAsia="Times New Roman" w:cs="Times New Roman"/>
          <w:sz w:val="24"/>
          <w:szCs w:val="24"/>
          <w:lang w:eastAsia="en-GB"/>
        </w:rPr>
        <w:t xml:space="preserve"> Executive Director of Data2X</w:t>
      </w:r>
      <w:r w:rsidR="0074151D">
        <w:rPr>
          <w:rFonts w:eastAsia="Times New Roman" w:cs="Times New Roman"/>
          <w:sz w:val="24"/>
          <w:szCs w:val="24"/>
          <w:lang w:eastAsia="en-GB"/>
        </w:rPr>
        <w:t>,</w:t>
      </w:r>
      <w:r w:rsidRPr="000E1BC1">
        <w:rPr>
          <w:rFonts w:eastAsia="Times New Roman" w:cs="Times New Roman"/>
          <w:sz w:val="24"/>
          <w:szCs w:val="24"/>
          <w:lang w:eastAsia="en-GB"/>
        </w:rPr>
        <w:t xml:space="preserve"> highlighted that </w:t>
      </w:r>
      <w:r w:rsidR="00451E89" w:rsidRPr="000E1BC1">
        <w:rPr>
          <w:rFonts w:eastAsia="Times New Roman" w:cs="Times New Roman"/>
          <w:sz w:val="24"/>
          <w:szCs w:val="24"/>
          <w:lang w:eastAsia="en-GB"/>
        </w:rPr>
        <w:t>a</w:t>
      </w:r>
      <w:r w:rsidR="00451E89" w:rsidRPr="000E1BC1">
        <w:rPr>
          <w:rFonts w:cs="Times New Roman"/>
          <w:sz w:val="24"/>
          <w:szCs w:val="24"/>
        </w:rPr>
        <w:t xml:space="preserve">s the Executive Director of Data2X, the gender data alliance housed at the UN Foundation, she is committed to increasing the collection and use of quality gender data to improve women's and girls' lives. She </w:t>
      </w:r>
      <w:r w:rsidR="00B56389">
        <w:rPr>
          <w:rFonts w:cs="Times New Roman"/>
          <w:sz w:val="24"/>
          <w:szCs w:val="24"/>
        </w:rPr>
        <w:t>was</w:t>
      </w:r>
      <w:r w:rsidR="00451E89" w:rsidRPr="000E1BC1">
        <w:rPr>
          <w:rFonts w:cs="Times New Roman"/>
          <w:sz w:val="24"/>
          <w:szCs w:val="24"/>
        </w:rPr>
        <w:t xml:space="preserve"> hopeful that similar stories of disaggregated data leading to change exist for rural populations, youth,</w:t>
      </w:r>
      <w:r w:rsidR="0074151D">
        <w:rPr>
          <w:rFonts w:cs="Times New Roman"/>
          <w:sz w:val="24"/>
          <w:szCs w:val="24"/>
        </w:rPr>
        <w:t xml:space="preserve"> older persons,</w:t>
      </w:r>
      <w:r w:rsidR="00451E89" w:rsidRPr="000E1BC1">
        <w:rPr>
          <w:rFonts w:cs="Times New Roman"/>
          <w:sz w:val="24"/>
          <w:szCs w:val="24"/>
        </w:rPr>
        <w:t xml:space="preserve"> pe</w:t>
      </w:r>
      <w:r w:rsidR="0074151D">
        <w:rPr>
          <w:rFonts w:cs="Times New Roman"/>
          <w:sz w:val="24"/>
          <w:szCs w:val="24"/>
        </w:rPr>
        <w:t>rsons</w:t>
      </w:r>
      <w:r w:rsidR="00451E89" w:rsidRPr="000E1BC1">
        <w:rPr>
          <w:rFonts w:cs="Times New Roman"/>
          <w:sz w:val="24"/>
          <w:szCs w:val="24"/>
        </w:rPr>
        <w:t xml:space="preserve"> with disabilities, and more.</w:t>
      </w:r>
    </w:p>
    <w:p w14:paraId="79924377" w14:textId="370791C4" w:rsidR="003F6318" w:rsidRPr="002B0540" w:rsidRDefault="003F6318" w:rsidP="000E1BC1">
      <w:pPr>
        <w:spacing w:before="100" w:beforeAutospacing="1" w:after="100" w:afterAutospacing="1" w:line="276" w:lineRule="auto"/>
        <w:jc w:val="both"/>
        <w:rPr>
          <w:rFonts w:cstheme="minorHAnsi"/>
          <w:b/>
          <w:sz w:val="24"/>
          <w:szCs w:val="24"/>
        </w:rPr>
      </w:pPr>
      <w:r w:rsidRPr="002B0540">
        <w:rPr>
          <w:rFonts w:cstheme="minorHAnsi"/>
          <w:sz w:val="24"/>
          <w:szCs w:val="24"/>
        </w:rPr>
        <w:lastRenderedPageBreak/>
        <w:t xml:space="preserve">On behalf of </w:t>
      </w:r>
      <w:r w:rsidR="00DF6F93" w:rsidRPr="002B0540">
        <w:rPr>
          <w:rFonts w:cstheme="minorHAnsi"/>
          <w:sz w:val="24"/>
          <w:szCs w:val="24"/>
        </w:rPr>
        <w:t xml:space="preserve">the </w:t>
      </w:r>
      <w:r w:rsidR="002B0540">
        <w:rPr>
          <w:rFonts w:cstheme="minorHAnsi"/>
          <w:sz w:val="24"/>
          <w:szCs w:val="24"/>
        </w:rPr>
        <w:t>Stakeholder Group of Persons with Disabilities</w:t>
      </w:r>
      <w:r w:rsidRPr="002B0540">
        <w:rPr>
          <w:rFonts w:cstheme="minorHAnsi"/>
          <w:sz w:val="24"/>
          <w:szCs w:val="24"/>
        </w:rPr>
        <w:t xml:space="preserve">, </w:t>
      </w:r>
      <w:proofErr w:type="spellStart"/>
      <w:r w:rsidR="00A74046" w:rsidRPr="002B0540">
        <w:rPr>
          <w:rFonts w:cstheme="minorHAnsi"/>
          <w:sz w:val="24"/>
          <w:szCs w:val="24"/>
        </w:rPr>
        <w:t>Idriss</w:t>
      </w:r>
      <w:proofErr w:type="spellEnd"/>
      <w:r w:rsidR="00634BF4" w:rsidRPr="002B0540">
        <w:rPr>
          <w:rFonts w:cstheme="minorHAnsi"/>
          <w:sz w:val="24"/>
          <w:szCs w:val="24"/>
        </w:rPr>
        <w:t xml:space="preserve"> </w:t>
      </w:r>
      <w:proofErr w:type="spellStart"/>
      <w:r w:rsidR="00A74046" w:rsidRPr="002B0540">
        <w:rPr>
          <w:rFonts w:cstheme="minorHAnsi"/>
          <w:sz w:val="24"/>
          <w:szCs w:val="24"/>
        </w:rPr>
        <w:t>Alzouma</w:t>
      </w:r>
      <w:proofErr w:type="spellEnd"/>
      <w:r w:rsidR="00634BF4" w:rsidRPr="002B0540">
        <w:rPr>
          <w:rFonts w:cstheme="minorHAnsi"/>
          <w:sz w:val="24"/>
          <w:szCs w:val="24"/>
        </w:rPr>
        <w:t xml:space="preserve"> </w:t>
      </w:r>
      <w:proofErr w:type="spellStart"/>
      <w:r w:rsidR="00A74046" w:rsidRPr="002B0540">
        <w:rPr>
          <w:rFonts w:cstheme="minorHAnsi"/>
          <w:sz w:val="24"/>
          <w:szCs w:val="24"/>
        </w:rPr>
        <w:t>Maiga</w:t>
      </w:r>
      <w:proofErr w:type="spellEnd"/>
      <w:r w:rsidR="00DA6248">
        <w:rPr>
          <w:rFonts w:cstheme="minorHAnsi"/>
          <w:sz w:val="24"/>
          <w:szCs w:val="24"/>
        </w:rPr>
        <w:t>,</w:t>
      </w:r>
      <w:r w:rsidR="00DA6248" w:rsidRPr="00DA6248">
        <w:rPr>
          <w:rFonts w:cs="Times New Roman"/>
          <w:sz w:val="24"/>
          <w:szCs w:val="24"/>
        </w:rPr>
        <w:t xml:space="preserve"> </w:t>
      </w:r>
      <w:r w:rsidR="00DA6248">
        <w:rPr>
          <w:rFonts w:cs="Times New Roman"/>
          <w:sz w:val="24"/>
          <w:szCs w:val="24"/>
        </w:rPr>
        <w:t>P</w:t>
      </w:r>
      <w:r w:rsidR="00DA6248" w:rsidRPr="009A7B9A">
        <w:rPr>
          <w:rFonts w:cs="Times New Roman"/>
          <w:sz w:val="24"/>
          <w:szCs w:val="24"/>
        </w:rPr>
        <w:t xml:space="preserve">resident </w:t>
      </w:r>
      <w:proofErr w:type="gramStart"/>
      <w:r w:rsidR="00DA6248" w:rsidRPr="009A7B9A">
        <w:rPr>
          <w:rFonts w:cs="Times New Roman"/>
          <w:sz w:val="24"/>
          <w:szCs w:val="24"/>
        </w:rPr>
        <w:t xml:space="preserve">of </w:t>
      </w:r>
      <w:r w:rsidR="00DA6248">
        <w:rPr>
          <w:rFonts w:cs="Times New Roman"/>
          <w:sz w:val="24"/>
          <w:szCs w:val="24"/>
        </w:rPr>
        <w:t xml:space="preserve"> </w:t>
      </w:r>
      <w:r w:rsidR="00DA6248" w:rsidRPr="009A7B9A">
        <w:rPr>
          <w:rFonts w:cs="Times New Roman"/>
          <w:sz w:val="24"/>
          <w:szCs w:val="24"/>
        </w:rPr>
        <w:t>ADF</w:t>
      </w:r>
      <w:proofErr w:type="gramEnd"/>
      <w:r w:rsidR="00DA6248" w:rsidRPr="009A7B9A">
        <w:rPr>
          <w:rFonts w:cs="Times New Roman"/>
          <w:sz w:val="24"/>
          <w:szCs w:val="24"/>
        </w:rPr>
        <w:t xml:space="preserve"> and </w:t>
      </w:r>
      <w:r w:rsidR="00DA6248" w:rsidRPr="00CC6479">
        <w:rPr>
          <w:rFonts w:cs="Times New Roman"/>
          <w:sz w:val="24"/>
          <w:szCs w:val="24"/>
        </w:rPr>
        <w:t>WAFOD</w:t>
      </w:r>
      <w:r w:rsidR="00DA6248">
        <w:rPr>
          <w:rFonts w:cs="Times New Roman"/>
          <w:sz w:val="24"/>
          <w:szCs w:val="24"/>
        </w:rPr>
        <w:t>,</w:t>
      </w:r>
      <w:r w:rsidR="00A74046" w:rsidRPr="002B0540">
        <w:rPr>
          <w:rFonts w:cstheme="minorHAnsi"/>
          <w:sz w:val="24"/>
          <w:szCs w:val="24"/>
        </w:rPr>
        <w:t xml:space="preserve"> stressed the need </w:t>
      </w:r>
      <w:r w:rsidR="00826C29">
        <w:rPr>
          <w:rFonts w:cstheme="minorHAnsi"/>
          <w:sz w:val="24"/>
          <w:szCs w:val="24"/>
        </w:rPr>
        <w:t>for</w:t>
      </w:r>
      <w:r w:rsidR="00130BAD" w:rsidRPr="002B0540">
        <w:rPr>
          <w:rFonts w:cstheme="minorHAnsi"/>
          <w:sz w:val="24"/>
          <w:szCs w:val="24"/>
        </w:rPr>
        <w:t xml:space="preserve"> </w:t>
      </w:r>
      <w:r w:rsidR="003C5FD6">
        <w:rPr>
          <w:rFonts w:cstheme="minorHAnsi"/>
          <w:sz w:val="24"/>
          <w:szCs w:val="24"/>
        </w:rPr>
        <w:t>data disaggregation by disability</w:t>
      </w:r>
      <w:r w:rsidR="00130BAD" w:rsidRPr="002B0540">
        <w:rPr>
          <w:rFonts w:cstheme="minorHAnsi"/>
          <w:sz w:val="24"/>
          <w:szCs w:val="24"/>
        </w:rPr>
        <w:t>.</w:t>
      </w:r>
      <w:r w:rsidR="00DA6248">
        <w:rPr>
          <w:rFonts w:cstheme="minorHAnsi"/>
          <w:sz w:val="24"/>
          <w:szCs w:val="24"/>
        </w:rPr>
        <w:t xml:space="preserve"> He stated that if persons with disabilities are not counted, then they do not count</w:t>
      </w:r>
      <w:r w:rsidR="00810CFF">
        <w:rPr>
          <w:rFonts w:cstheme="minorHAnsi"/>
          <w:sz w:val="24"/>
          <w:szCs w:val="24"/>
        </w:rPr>
        <w:t xml:space="preserve"> and will be left behind</w:t>
      </w:r>
      <w:r w:rsidR="00DA6248">
        <w:rPr>
          <w:rFonts w:cstheme="minorHAnsi"/>
          <w:sz w:val="24"/>
          <w:szCs w:val="24"/>
        </w:rPr>
        <w:t>.</w:t>
      </w:r>
      <w:r w:rsidR="00130BAD" w:rsidRPr="002B0540">
        <w:rPr>
          <w:rFonts w:cstheme="minorHAnsi"/>
          <w:sz w:val="24"/>
          <w:szCs w:val="24"/>
        </w:rPr>
        <w:t xml:space="preserve"> </w:t>
      </w:r>
      <w:r w:rsidR="00810CFF">
        <w:rPr>
          <w:rFonts w:cstheme="minorHAnsi"/>
          <w:sz w:val="24"/>
          <w:szCs w:val="24"/>
        </w:rPr>
        <w:t xml:space="preserve">He also expressed concern that there were only two references to persons with disabilities in the 2018 Secretary-General’s Progress Report on SDG implementation. He </w:t>
      </w:r>
      <w:r w:rsidR="002E61C9">
        <w:rPr>
          <w:rFonts w:cstheme="minorHAnsi"/>
          <w:sz w:val="24"/>
          <w:szCs w:val="24"/>
        </w:rPr>
        <w:t>recommended</w:t>
      </w:r>
      <w:r w:rsidR="00A01440">
        <w:rPr>
          <w:rFonts w:cstheme="minorHAnsi"/>
          <w:sz w:val="24"/>
          <w:szCs w:val="24"/>
        </w:rPr>
        <w:t xml:space="preserve"> that Member States invest in high quality, timely, reliable and disaggregated data for reporting on the SDGs</w:t>
      </w:r>
      <w:r w:rsidR="00E925B9">
        <w:rPr>
          <w:rFonts w:cstheme="minorHAnsi"/>
          <w:sz w:val="24"/>
          <w:szCs w:val="24"/>
        </w:rPr>
        <w:t>, and to foster global partnerships on data to ensure evidence-based policy making.</w:t>
      </w:r>
      <w:r w:rsidR="00A01440">
        <w:rPr>
          <w:rFonts w:cstheme="minorHAnsi"/>
          <w:sz w:val="24"/>
          <w:szCs w:val="24"/>
        </w:rPr>
        <w:t xml:space="preserve"> </w:t>
      </w:r>
      <w:r w:rsidR="00D55B71" w:rsidRPr="00FF73DA">
        <w:rPr>
          <w:rFonts w:cstheme="minorHAnsi"/>
          <w:color w:val="000000"/>
          <w:sz w:val="24"/>
          <w:szCs w:val="24"/>
        </w:rPr>
        <w:t> </w:t>
      </w:r>
      <w:hyperlink r:id="rId13" w:history="1">
        <w:r w:rsidR="00D55B71" w:rsidRPr="00FF73DA">
          <w:rPr>
            <w:rStyle w:val="Hyperlink"/>
            <w:rFonts w:cstheme="minorHAnsi"/>
            <w:b/>
            <w:bCs/>
            <w:color w:val="3354A0"/>
            <w:sz w:val="24"/>
            <w:szCs w:val="24"/>
          </w:rPr>
          <w:t>Click here to read his full statement.</w:t>
        </w:r>
      </w:hyperlink>
      <w:r w:rsidR="00BB383C" w:rsidRPr="00FF73DA">
        <w:rPr>
          <w:rStyle w:val="Hyperlink"/>
          <w:rFonts w:cstheme="minorHAnsi"/>
          <w:b/>
          <w:bCs/>
          <w:color w:val="3354A0"/>
          <w:sz w:val="24"/>
          <w:szCs w:val="24"/>
        </w:rPr>
        <w:t xml:space="preserve"> </w:t>
      </w:r>
    </w:p>
    <w:p w14:paraId="7B333772" w14:textId="7AD2307F" w:rsidR="00A74046" w:rsidRPr="000E1BC1" w:rsidRDefault="00A74046" w:rsidP="000E1BC1">
      <w:pPr>
        <w:spacing w:before="100" w:beforeAutospacing="1" w:after="100" w:afterAutospacing="1" w:line="276" w:lineRule="auto"/>
        <w:jc w:val="both"/>
        <w:rPr>
          <w:rFonts w:cs="Times New Roman"/>
          <w:sz w:val="24"/>
          <w:szCs w:val="24"/>
        </w:rPr>
      </w:pPr>
      <w:r w:rsidRPr="000E1BC1">
        <w:rPr>
          <w:rFonts w:eastAsia="Times New Roman" w:cs="Times New Roman"/>
          <w:sz w:val="24"/>
          <w:szCs w:val="24"/>
          <w:lang w:eastAsia="en-GB"/>
        </w:rPr>
        <w:t xml:space="preserve">Responding to comments from the interactive discussion with delegates, </w:t>
      </w:r>
      <w:r w:rsidR="00C0173F" w:rsidRPr="000E1BC1">
        <w:rPr>
          <w:rFonts w:cs="Times New Roman"/>
          <w:sz w:val="24"/>
          <w:szCs w:val="24"/>
        </w:rPr>
        <w:t xml:space="preserve">Panellist Grace </w:t>
      </w:r>
      <w:proofErr w:type="spellStart"/>
      <w:r w:rsidR="00C0173F" w:rsidRPr="000E1BC1">
        <w:rPr>
          <w:rFonts w:cs="Times New Roman"/>
          <w:sz w:val="24"/>
          <w:szCs w:val="24"/>
        </w:rPr>
        <w:t>Bediako</w:t>
      </w:r>
      <w:proofErr w:type="spellEnd"/>
      <w:r w:rsidR="00C0173F" w:rsidRPr="000E1BC1">
        <w:rPr>
          <w:rFonts w:cs="Times New Roman"/>
          <w:sz w:val="24"/>
          <w:szCs w:val="24"/>
        </w:rPr>
        <w:t>, National Development Planning Commission</w:t>
      </w:r>
      <w:r w:rsidR="00566818">
        <w:rPr>
          <w:rFonts w:cs="Times New Roman"/>
          <w:sz w:val="24"/>
          <w:szCs w:val="24"/>
        </w:rPr>
        <w:t>,</w:t>
      </w:r>
      <w:r w:rsidR="00C0173F" w:rsidRPr="000E1BC1">
        <w:rPr>
          <w:rFonts w:cs="Times New Roman"/>
          <w:sz w:val="24"/>
          <w:szCs w:val="24"/>
        </w:rPr>
        <w:t xml:space="preserve"> Ghana</w:t>
      </w:r>
      <w:r w:rsidR="00263AE5">
        <w:rPr>
          <w:rFonts w:cs="Times New Roman"/>
          <w:sz w:val="24"/>
          <w:szCs w:val="24"/>
        </w:rPr>
        <w:t>,</w:t>
      </w:r>
      <w:r w:rsidR="00C0173F" w:rsidRPr="000E1BC1">
        <w:rPr>
          <w:rFonts w:cs="Times New Roman"/>
          <w:sz w:val="24"/>
          <w:szCs w:val="24"/>
        </w:rPr>
        <w:t xml:space="preserve"> </w:t>
      </w:r>
      <w:r w:rsidR="00AF23E2">
        <w:rPr>
          <w:rFonts w:cs="Times New Roman"/>
          <w:sz w:val="24"/>
          <w:szCs w:val="24"/>
        </w:rPr>
        <w:t>remarked</w:t>
      </w:r>
      <w:r w:rsidR="00AF23E2" w:rsidRPr="000E1BC1">
        <w:rPr>
          <w:rFonts w:cs="Times New Roman"/>
          <w:sz w:val="24"/>
          <w:szCs w:val="24"/>
        </w:rPr>
        <w:t xml:space="preserve"> </w:t>
      </w:r>
      <w:r w:rsidR="00C0173F" w:rsidRPr="000E1BC1">
        <w:rPr>
          <w:rFonts w:cs="Times New Roman"/>
          <w:sz w:val="24"/>
          <w:szCs w:val="24"/>
        </w:rPr>
        <w:t>that they always disaggregate</w:t>
      </w:r>
      <w:r w:rsidR="00530E92">
        <w:rPr>
          <w:rFonts w:cs="Times New Roman"/>
          <w:sz w:val="24"/>
          <w:szCs w:val="24"/>
        </w:rPr>
        <w:t xml:space="preserve"> the</w:t>
      </w:r>
      <w:r w:rsidR="00C0173F" w:rsidRPr="000E1BC1">
        <w:rPr>
          <w:rFonts w:cs="Times New Roman"/>
          <w:sz w:val="24"/>
          <w:szCs w:val="24"/>
        </w:rPr>
        <w:t xml:space="preserve"> data they collect by age, gender, and disability</w:t>
      </w:r>
      <w:r w:rsidR="00566818">
        <w:rPr>
          <w:rFonts w:cs="Times New Roman"/>
          <w:sz w:val="24"/>
          <w:szCs w:val="24"/>
        </w:rPr>
        <w:t>. H</w:t>
      </w:r>
      <w:r w:rsidR="00C0173F" w:rsidRPr="000E1BC1">
        <w:rPr>
          <w:rFonts w:cs="Times New Roman"/>
          <w:sz w:val="24"/>
          <w:szCs w:val="24"/>
        </w:rPr>
        <w:t>owever, increasingly</w:t>
      </w:r>
      <w:r w:rsidR="009541A0">
        <w:rPr>
          <w:rFonts w:cs="Times New Roman"/>
          <w:sz w:val="24"/>
          <w:szCs w:val="24"/>
        </w:rPr>
        <w:t>,</w:t>
      </w:r>
      <w:r w:rsidR="00C0173F" w:rsidRPr="000E1BC1">
        <w:rPr>
          <w:rFonts w:cs="Times New Roman"/>
          <w:sz w:val="24"/>
          <w:szCs w:val="24"/>
        </w:rPr>
        <w:t xml:space="preserve"> national statistical institutions are using data </w:t>
      </w:r>
      <w:r w:rsidR="00DA6CBF">
        <w:rPr>
          <w:rFonts w:cs="Times New Roman"/>
          <w:sz w:val="24"/>
          <w:szCs w:val="24"/>
        </w:rPr>
        <w:t xml:space="preserve">from other </w:t>
      </w:r>
      <w:r w:rsidR="00C0173F" w:rsidRPr="000E1BC1">
        <w:rPr>
          <w:rFonts w:cs="Times New Roman"/>
          <w:sz w:val="24"/>
          <w:szCs w:val="24"/>
        </w:rPr>
        <w:t>sources that they haven't collected themselves</w:t>
      </w:r>
      <w:r w:rsidR="00B827AF">
        <w:rPr>
          <w:rFonts w:cs="Times New Roman"/>
          <w:sz w:val="24"/>
          <w:szCs w:val="24"/>
        </w:rPr>
        <w:t>.</w:t>
      </w:r>
      <w:r w:rsidR="00C0173F" w:rsidRPr="000E1BC1">
        <w:rPr>
          <w:rFonts w:cs="Times New Roman"/>
          <w:sz w:val="24"/>
          <w:szCs w:val="24"/>
        </w:rPr>
        <w:t xml:space="preserve"> </w:t>
      </w:r>
      <w:r w:rsidR="00B827AF">
        <w:rPr>
          <w:rFonts w:cs="Times New Roman"/>
          <w:sz w:val="24"/>
          <w:szCs w:val="24"/>
        </w:rPr>
        <w:t>F</w:t>
      </w:r>
      <w:r w:rsidR="00C0173F" w:rsidRPr="000E1BC1">
        <w:rPr>
          <w:rFonts w:cs="Times New Roman"/>
          <w:sz w:val="24"/>
          <w:szCs w:val="24"/>
        </w:rPr>
        <w:t xml:space="preserve">or example, </w:t>
      </w:r>
      <w:r w:rsidR="00B827AF">
        <w:rPr>
          <w:rFonts w:cs="Times New Roman"/>
          <w:sz w:val="24"/>
          <w:szCs w:val="24"/>
        </w:rPr>
        <w:t xml:space="preserve">national statistical institutions are using </w:t>
      </w:r>
      <w:r w:rsidR="00C0173F" w:rsidRPr="000E1BC1">
        <w:rPr>
          <w:rFonts w:cs="Times New Roman"/>
          <w:sz w:val="24"/>
          <w:szCs w:val="24"/>
        </w:rPr>
        <w:t>administ</w:t>
      </w:r>
      <w:r w:rsidR="00A36CD6">
        <w:rPr>
          <w:rFonts w:cs="Times New Roman"/>
          <w:sz w:val="24"/>
          <w:szCs w:val="24"/>
        </w:rPr>
        <w:t>rative</w:t>
      </w:r>
      <w:r w:rsidR="00C0173F" w:rsidRPr="000E1BC1">
        <w:rPr>
          <w:rFonts w:cs="Times New Roman"/>
          <w:sz w:val="24"/>
          <w:szCs w:val="24"/>
        </w:rPr>
        <w:t xml:space="preserve"> data sources, which are sources held by other government</w:t>
      </w:r>
      <w:r w:rsidR="00DA6CBF">
        <w:rPr>
          <w:rFonts w:cs="Times New Roman"/>
          <w:sz w:val="24"/>
          <w:szCs w:val="24"/>
        </w:rPr>
        <w:t>al</w:t>
      </w:r>
      <w:r w:rsidR="00C0173F" w:rsidRPr="000E1BC1">
        <w:rPr>
          <w:rFonts w:cs="Times New Roman"/>
          <w:sz w:val="24"/>
          <w:szCs w:val="24"/>
        </w:rPr>
        <w:t xml:space="preserve"> bodies. Therefore, to influence the sources of data, it is crucial to involve the national planning authority in all data collection process</w:t>
      </w:r>
      <w:r w:rsidR="00A838F9">
        <w:rPr>
          <w:rFonts w:cs="Times New Roman"/>
          <w:sz w:val="24"/>
          <w:szCs w:val="24"/>
        </w:rPr>
        <w:t>es</w:t>
      </w:r>
      <w:r w:rsidR="00C0173F" w:rsidRPr="000E1BC1">
        <w:rPr>
          <w:rFonts w:cs="Times New Roman"/>
          <w:sz w:val="24"/>
          <w:szCs w:val="24"/>
        </w:rPr>
        <w:t xml:space="preserve"> as early as possible.</w:t>
      </w:r>
    </w:p>
    <w:p w14:paraId="76E2FD22" w14:textId="115A5C85" w:rsidR="0075521A" w:rsidRPr="000E1BC1" w:rsidRDefault="008A29E3" w:rsidP="000E1BC1">
      <w:pPr>
        <w:spacing w:line="276" w:lineRule="auto"/>
        <w:jc w:val="both"/>
        <w:rPr>
          <w:rFonts w:cs="Times New Roman"/>
          <w:sz w:val="24"/>
          <w:szCs w:val="24"/>
          <w:shd w:val="clear" w:color="auto" w:fill="FFFFFF"/>
        </w:rPr>
      </w:pPr>
      <w:r w:rsidRPr="000E1BC1">
        <w:rPr>
          <w:rFonts w:cs="Times New Roman"/>
          <w:sz w:val="24"/>
          <w:szCs w:val="24"/>
          <w:shd w:val="clear" w:color="auto" w:fill="FFFFFF"/>
        </w:rPr>
        <w:t xml:space="preserve">The second sub-session on “Better data for sustainable development” focused on data as a key enabler for achieving the SDGs. </w:t>
      </w:r>
      <w:r w:rsidR="007C1245">
        <w:rPr>
          <w:rFonts w:cs="Times New Roman"/>
          <w:sz w:val="24"/>
          <w:szCs w:val="24"/>
          <w:shd w:val="clear" w:color="auto" w:fill="FFFFFF"/>
        </w:rPr>
        <w:t>It was noted that there is</w:t>
      </w:r>
      <w:r w:rsidRPr="000E1BC1">
        <w:rPr>
          <w:rFonts w:cs="Times New Roman"/>
          <w:sz w:val="24"/>
          <w:szCs w:val="24"/>
          <w:shd w:val="clear" w:color="auto" w:fill="FFFFFF"/>
        </w:rPr>
        <w:t xml:space="preserve"> a great demand for quality, accurate, open, timely</w:t>
      </w:r>
      <w:r w:rsidR="002020FB">
        <w:rPr>
          <w:rFonts w:cs="Times New Roman"/>
          <w:sz w:val="24"/>
          <w:szCs w:val="24"/>
          <w:shd w:val="clear" w:color="auto" w:fill="FFFFFF"/>
        </w:rPr>
        <w:t xml:space="preserve"> and</w:t>
      </w:r>
      <w:r w:rsidRPr="000E1BC1">
        <w:rPr>
          <w:rFonts w:cs="Times New Roman"/>
          <w:sz w:val="24"/>
          <w:szCs w:val="24"/>
          <w:shd w:val="clear" w:color="auto" w:fill="FFFFFF"/>
        </w:rPr>
        <w:t xml:space="preserve"> sufficiently disaggregated data and statistics for countries to implement the necessary policies and measures to achieve SDGs and fulfil the ambition of reaching those that are the furthest behind. To meet this demand, significant efforts are needed to strengthen countries’ capacity to collect, integrate, analyse, communicate and use data from multiple sources. </w:t>
      </w:r>
      <w:r w:rsidR="005004D6">
        <w:rPr>
          <w:rFonts w:cs="Times New Roman"/>
          <w:sz w:val="24"/>
          <w:szCs w:val="24"/>
          <w:shd w:val="clear" w:color="auto" w:fill="FFFFFF"/>
        </w:rPr>
        <w:t>To do so, this</w:t>
      </w:r>
      <w:r w:rsidRPr="000E1BC1">
        <w:rPr>
          <w:rFonts w:cs="Times New Roman"/>
          <w:sz w:val="24"/>
          <w:szCs w:val="24"/>
          <w:shd w:val="clear" w:color="auto" w:fill="FFFFFF"/>
        </w:rPr>
        <w:t xml:space="preserve"> requires strong political commitment and increased resources to support global and national efforts to strengthen statistical systems and leverage technology and synergies across the data ecosystems through partnerships among multiple stakeholders within national statistical systems and beyond. This sub-session brought together statisticians and other data and policy experts to review ways to increase country capacity and resources for data and statistics for the 2030 </w:t>
      </w:r>
      <w:r w:rsidR="004B7F09">
        <w:rPr>
          <w:rFonts w:cs="Times New Roman"/>
          <w:sz w:val="24"/>
          <w:szCs w:val="24"/>
          <w:shd w:val="clear" w:color="auto" w:fill="FFFFFF"/>
        </w:rPr>
        <w:t>A</w:t>
      </w:r>
      <w:r w:rsidRPr="000E1BC1">
        <w:rPr>
          <w:rFonts w:cs="Times New Roman"/>
          <w:sz w:val="24"/>
          <w:szCs w:val="24"/>
          <w:shd w:val="clear" w:color="auto" w:fill="FFFFFF"/>
        </w:rPr>
        <w:t>genda.</w:t>
      </w:r>
    </w:p>
    <w:p w14:paraId="7D15F0C4" w14:textId="12B967B2" w:rsidR="002B4134" w:rsidRPr="0034274B" w:rsidRDefault="001B6E06" w:rsidP="0034274B">
      <w:pPr>
        <w:jc w:val="both"/>
        <w:rPr>
          <w:rFonts w:cs="Times New Roman"/>
          <w:sz w:val="24"/>
          <w:szCs w:val="24"/>
          <w:shd w:val="clear" w:color="auto" w:fill="FFFFFF"/>
        </w:rPr>
      </w:pPr>
      <w:bookmarkStart w:id="13" w:name="_Toc531264867"/>
      <w:r w:rsidRPr="00C105E7">
        <w:rPr>
          <w:rStyle w:val="Heading2Char"/>
        </w:rPr>
        <w:t>Panellis</w:t>
      </w:r>
      <w:r w:rsidR="007969E3">
        <w:rPr>
          <w:rStyle w:val="Heading2Char"/>
        </w:rPr>
        <w:t>t</w:t>
      </w:r>
      <w:r w:rsidRPr="00C105E7">
        <w:rPr>
          <w:rStyle w:val="Heading2Char"/>
        </w:rPr>
        <w:t xml:space="preserve"> Mr. Zachary </w:t>
      </w:r>
      <w:r w:rsidR="00D46C3B">
        <w:rPr>
          <w:rStyle w:val="Heading2Char"/>
        </w:rPr>
        <w:t xml:space="preserve">Mwangi </w:t>
      </w:r>
      <w:proofErr w:type="spellStart"/>
      <w:r w:rsidRPr="00C105E7">
        <w:rPr>
          <w:rStyle w:val="Heading2Char"/>
        </w:rPr>
        <w:t>Chege</w:t>
      </w:r>
      <w:bookmarkEnd w:id="13"/>
      <w:proofErr w:type="spellEnd"/>
      <w:r w:rsidRPr="00C105E7">
        <w:t>,</w:t>
      </w:r>
      <w:r w:rsidRPr="0034274B">
        <w:rPr>
          <w:rFonts w:cs="Times New Roman"/>
          <w:sz w:val="24"/>
          <w:szCs w:val="24"/>
          <w:shd w:val="clear" w:color="auto" w:fill="FFFFFF"/>
        </w:rPr>
        <w:t xml:space="preserve"> Chair of the UN Statistical Commission, Chief Statistician of Kenya National Bureau of Statistics</w:t>
      </w:r>
      <w:r w:rsidR="00DB59E8">
        <w:rPr>
          <w:rFonts w:cs="Times New Roman"/>
          <w:sz w:val="24"/>
          <w:szCs w:val="24"/>
          <w:shd w:val="clear" w:color="auto" w:fill="FFFFFF"/>
        </w:rPr>
        <w:t>,</w:t>
      </w:r>
      <w:r w:rsidRPr="0034274B">
        <w:rPr>
          <w:rFonts w:cs="Times New Roman"/>
          <w:sz w:val="24"/>
          <w:szCs w:val="24"/>
          <w:shd w:val="clear" w:color="auto" w:fill="FFFFFF"/>
        </w:rPr>
        <w:t xml:space="preserve"> highlighted in his presentation that disaggregation of data by disability was among </w:t>
      </w:r>
      <w:r w:rsidR="001C3106" w:rsidRPr="0034274B">
        <w:rPr>
          <w:rFonts w:cs="Times New Roman"/>
          <w:sz w:val="24"/>
          <w:szCs w:val="24"/>
          <w:shd w:val="clear" w:color="auto" w:fill="FFFFFF"/>
        </w:rPr>
        <w:t xml:space="preserve">the statistical areas which requires </w:t>
      </w:r>
      <w:r w:rsidRPr="0034274B">
        <w:rPr>
          <w:rFonts w:cs="Times New Roman"/>
          <w:sz w:val="24"/>
          <w:szCs w:val="24"/>
          <w:shd w:val="clear" w:color="auto" w:fill="FFFFFF"/>
        </w:rPr>
        <w:t>immediate capacity building</w:t>
      </w:r>
      <w:r w:rsidR="001C3106" w:rsidRPr="0034274B">
        <w:rPr>
          <w:rFonts w:cs="Times New Roman"/>
          <w:sz w:val="24"/>
          <w:szCs w:val="24"/>
          <w:shd w:val="clear" w:color="auto" w:fill="FFFFFF"/>
        </w:rPr>
        <w:t xml:space="preserve"> in Kenya.</w:t>
      </w:r>
    </w:p>
    <w:p w14:paraId="4DC2934D" w14:textId="6DCBD9C0" w:rsidR="001C3106" w:rsidRPr="002B4134" w:rsidRDefault="00143D58" w:rsidP="00FF73DA">
      <w:pPr>
        <w:pStyle w:val="Heading2"/>
        <w:rPr>
          <w:sz w:val="24"/>
          <w:szCs w:val="24"/>
        </w:rPr>
      </w:pPr>
      <w:bookmarkStart w:id="14" w:name="_Toc531264868"/>
      <w:r w:rsidRPr="00B21F4D">
        <w:t>R</w:t>
      </w:r>
      <w:r w:rsidR="008F4CB3">
        <w:t xml:space="preserve">eview of SDG 6 </w:t>
      </w:r>
      <w:r w:rsidR="00A068AC">
        <w:t>i</w:t>
      </w:r>
      <w:r w:rsidR="008F4CB3">
        <w:t>mplementation</w:t>
      </w:r>
      <w:bookmarkEnd w:id="14"/>
    </w:p>
    <w:p w14:paraId="73DBBA51" w14:textId="53AC4AB6" w:rsidR="007969E3" w:rsidRDefault="001C3106" w:rsidP="007969E3">
      <w:pPr>
        <w:pStyle w:val="ContinCol"/>
        <w:spacing w:line="276" w:lineRule="auto"/>
        <w:ind w:left="0" w:right="26" w:firstLine="0"/>
        <w:jc w:val="both"/>
        <w:rPr>
          <w:rFonts w:asciiTheme="minorHAnsi" w:hAnsiTheme="minorHAnsi" w:cs="Times New Roman"/>
        </w:rPr>
      </w:pPr>
      <w:r w:rsidRPr="00C105E7">
        <w:rPr>
          <w:rFonts w:asciiTheme="minorHAnsi" w:hAnsiTheme="minorHAnsi" w:cs="Times New Roman"/>
        </w:rPr>
        <w:t>This session rev</w:t>
      </w:r>
      <w:r w:rsidR="00C105E7">
        <w:rPr>
          <w:rFonts w:asciiTheme="minorHAnsi" w:hAnsiTheme="minorHAnsi" w:cs="Times New Roman"/>
        </w:rPr>
        <w:t>iewed the implementation of SDG</w:t>
      </w:r>
      <w:r w:rsidR="002A4712">
        <w:rPr>
          <w:rFonts w:asciiTheme="minorHAnsi" w:hAnsiTheme="minorHAnsi" w:cs="Times New Roman"/>
        </w:rPr>
        <w:t xml:space="preserve"> </w:t>
      </w:r>
      <w:r w:rsidR="00C105E7">
        <w:rPr>
          <w:rFonts w:asciiTheme="minorHAnsi" w:hAnsiTheme="minorHAnsi" w:cs="Times New Roman"/>
        </w:rPr>
        <w:t xml:space="preserve">6. It </w:t>
      </w:r>
      <w:r w:rsidRPr="00C105E7">
        <w:rPr>
          <w:rFonts w:asciiTheme="minorHAnsi" w:hAnsiTheme="minorHAnsi" w:cs="Times New Roman"/>
        </w:rPr>
        <w:t xml:space="preserve">was chaired by </w:t>
      </w:r>
      <w:proofErr w:type="spellStart"/>
      <w:r w:rsidRPr="00C105E7">
        <w:rPr>
          <w:rFonts w:asciiTheme="minorHAnsi" w:hAnsiTheme="minorHAnsi" w:cs="Times New Roman"/>
        </w:rPr>
        <w:t>Mahmadamin</w:t>
      </w:r>
      <w:proofErr w:type="spellEnd"/>
      <w:r w:rsidR="00D35D4D">
        <w:rPr>
          <w:rFonts w:asciiTheme="minorHAnsi" w:hAnsiTheme="minorHAnsi" w:cs="Times New Roman"/>
        </w:rPr>
        <w:t xml:space="preserve"> </w:t>
      </w:r>
      <w:proofErr w:type="spellStart"/>
      <w:r w:rsidRPr="00C105E7">
        <w:rPr>
          <w:rFonts w:asciiTheme="minorHAnsi" w:hAnsiTheme="minorHAnsi" w:cs="Times New Roman"/>
        </w:rPr>
        <w:t>Mahmadaminov</w:t>
      </w:r>
      <w:proofErr w:type="spellEnd"/>
      <w:r w:rsidRPr="00C105E7">
        <w:rPr>
          <w:rFonts w:asciiTheme="minorHAnsi" w:hAnsiTheme="minorHAnsi" w:cs="Times New Roman"/>
        </w:rPr>
        <w:t xml:space="preserve">, Permanent Representative of Tajikistan and ECOSOC </w:t>
      </w:r>
      <w:r w:rsidR="00D35D4D" w:rsidRPr="00C105E7">
        <w:rPr>
          <w:rFonts w:asciiTheme="minorHAnsi" w:hAnsiTheme="minorHAnsi" w:cs="Times New Roman"/>
        </w:rPr>
        <w:t>Vice President</w:t>
      </w:r>
      <w:r w:rsidR="004B2373">
        <w:rPr>
          <w:rFonts w:asciiTheme="minorHAnsi" w:hAnsiTheme="minorHAnsi" w:cs="Times New Roman"/>
        </w:rPr>
        <w:t>.</w:t>
      </w:r>
      <w:r w:rsidRPr="00C105E7">
        <w:rPr>
          <w:rFonts w:asciiTheme="minorHAnsi" w:hAnsiTheme="minorHAnsi" w:cs="Times New Roman"/>
        </w:rPr>
        <w:t xml:space="preserve"> </w:t>
      </w:r>
    </w:p>
    <w:p w14:paraId="6B5005B8" w14:textId="77777777" w:rsidR="007969E3" w:rsidRPr="000E6353" w:rsidRDefault="007969E3" w:rsidP="00FF73DA"/>
    <w:p w14:paraId="745F4FB6" w14:textId="1A84023A" w:rsidR="001C3106" w:rsidRPr="00C105E7" w:rsidRDefault="001C3106" w:rsidP="00C105E7">
      <w:pPr>
        <w:spacing w:line="276" w:lineRule="auto"/>
        <w:jc w:val="both"/>
        <w:rPr>
          <w:rFonts w:cs="Times New Roman"/>
          <w:sz w:val="24"/>
          <w:szCs w:val="24"/>
          <w:lang w:eastAsia="en-GB"/>
        </w:rPr>
      </w:pPr>
      <w:r w:rsidRPr="00C105E7">
        <w:rPr>
          <w:rFonts w:cs="Times New Roman"/>
          <w:sz w:val="24"/>
          <w:szCs w:val="24"/>
          <w:lang w:eastAsia="en-GB"/>
        </w:rPr>
        <w:t>During this session</w:t>
      </w:r>
      <w:r w:rsidR="00FB5D62" w:rsidRPr="00C105E7">
        <w:rPr>
          <w:rFonts w:cs="Times New Roman"/>
          <w:sz w:val="24"/>
          <w:szCs w:val="24"/>
          <w:lang w:eastAsia="en-GB"/>
        </w:rPr>
        <w:t>,</w:t>
      </w:r>
      <w:r w:rsidRPr="00C105E7">
        <w:rPr>
          <w:rFonts w:cs="Times New Roman"/>
          <w:sz w:val="24"/>
          <w:szCs w:val="24"/>
          <w:lang w:eastAsia="en-GB"/>
        </w:rPr>
        <w:t xml:space="preserve"> </w:t>
      </w:r>
      <w:r w:rsidR="00D824DF">
        <w:rPr>
          <w:rFonts w:cs="Times New Roman"/>
          <w:sz w:val="24"/>
          <w:szCs w:val="24"/>
          <w:lang w:eastAsia="en-GB"/>
        </w:rPr>
        <w:t>a</w:t>
      </w:r>
      <w:r w:rsidR="00D824DF" w:rsidRPr="00C105E7">
        <w:rPr>
          <w:rFonts w:cs="Times New Roman"/>
          <w:sz w:val="24"/>
          <w:szCs w:val="24"/>
          <w:lang w:eastAsia="en-GB"/>
        </w:rPr>
        <w:t xml:space="preserve"> </w:t>
      </w:r>
      <w:r w:rsidRPr="00C105E7">
        <w:rPr>
          <w:rFonts w:cs="Times New Roman"/>
          <w:sz w:val="24"/>
          <w:szCs w:val="24"/>
          <w:lang w:eastAsia="en-GB"/>
        </w:rPr>
        <w:t>representative</w:t>
      </w:r>
      <w:r w:rsidR="00091E73">
        <w:rPr>
          <w:rFonts w:cs="Times New Roman"/>
          <w:sz w:val="24"/>
          <w:szCs w:val="24"/>
          <w:lang w:eastAsia="en-GB"/>
        </w:rPr>
        <w:t xml:space="preserve"> from</w:t>
      </w:r>
      <w:r w:rsidRPr="00C105E7">
        <w:rPr>
          <w:rFonts w:cs="Times New Roman"/>
          <w:sz w:val="24"/>
          <w:szCs w:val="24"/>
          <w:lang w:eastAsia="en-GB"/>
        </w:rPr>
        <w:t xml:space="preserve"> </w:t>
      </w:r>
      <w:r w:rsidR="00091E73">
        <w:rPr>
          <w:rFonts w:cs="Times New Roman"/>
          <w:sz w:val="24"/>
          <w:szCs w:val="24"/>
          <w:lang w:eastAsia="en-GB"/>
        </w:rPr>
        <w:t xml:space="preserve">the </w:t>
      </w:r>
      <w:r w:rsidR="007969E3">
        <w:rPr>
          <w:rFonts w:cs="Times New Roman"/>
          <w:sz w:val="24"/>
          <w:szCs w:val="24"/>
          <w:lang w:eastAsia="en-GB"/>
        </w:rPr>
        <w:t>W</w:t>
      </w:r>
      <w:r w:rsidRPr="00C105E7">
        <w:rPr>
          <w:rFonts w:cs="Times New Roman"/>
          <w:sz w:val="24"/>
          <w:szCs w:val="24"/>
          <w:lang w:eastAsia="en-GB"/>
        </w:rPr>
        <w:t xml:space="preserve">omen’s </w:t>
      </w:r>
      <w:r w:rsidR="007969E3">
        <w:rPr>
          <w:rFonts w:cs="Times New Roman"/>
          <w:sz w:val="24"/>
          <w:szCs w:val="24"/>
          <w:lang w:eastAsia="en-GB"/>
        </w:rPr>
        <w:t>M</w:t>
      </w:r>
      <w:r w:rsidRPr="00C105E7">
        <w:rPr>
          <w:rFonts w:cs="Times New Roman"/>
          <w:sz w:val="24"/>
          <w:szCs w:val="24"/>
          <w:lang w:eastAsia="en-GB"/>
        </w:rPr>
        <w:t xml:space="preserve">ajor </w:t>
      </w:r>
      <w:r w:rsidR="007969E3">
        <w:rPr>
          <w:rFonts w:cs="Times New Roman"/>
          <w:sz w:val="24"/>
          <w:szCs w:val="24"/>
          <w:lang w:eastAsia="en-GB"/>
        </w:rPr>
        <w:t>G</w:t>
      </w:r>
      <w:r w:rsidRPr="00C105E7">
        <w:rPr>
          <w:rFonts w:cs="Times New Roman"/>
          <w:sz w:val="24"/>
          <w:szCs w:val="24"/>
          <w:lang w:eastAsia="en-GB"/>
        </w:rPr>
        <w:t>roup highlight</w:t>
      </w:r>
      <w:r w:rsidR="00130BAD">
        <w:rPr>
          <w:rFonts w:cs="Times New Roman"/>
          <w:sz w:val="24"/>
          <w:szCs w:val="24"/>
          <w:lang w:eastAsia="en-GB"/>
        </w:rPr>
        <w:t>ed that</w:t>
      </w:r>
      <w:r w:rsidRPr="00C105E7">
        <w:rPr>
          <w:rFonts w:cs="Times New Roman"/>
          <w:sz w:val="24"/>
          <w:szCs w:val="24"/>
          <w:lang w:eastAsia="en-GB"/>
        </w:rPr>
        <w:t xml:space="preserve"> women</w:t>
      </w:r>
      <w:r w:rsidR="007969E3">
        <w:rPr>
          <w:rFonts w:cs="Times New Roman"/>
          <w:sz w:val="24"/>
          <w:szCs w:val="24"/>
        </w:rPr>
        <w:t>,</w:t>
      </w:r>
      <w:r w:rsidRPr="00C105E7">
        <w:rPr>
          <w:rFonts w:cs="Times New Roman"/>
          <w:sz w:val="24"/>
          <w:szCs w:val="24"/>
        </w:rPr>
        <w:t xml:space="preserve"> particularly women with disabilities, are </w:t>
      </w:r>
      <w:r w:rsidR="00897FD6">
        <w:rPr>
          <w:rFonts w:cs="Times New Roman"/>
          <w:sz w:val="24"/>
          <w:szCs w:val="24"/>
        </w:rPr>
        <w:t xml:space="preserve">among the most </w:t>
      </w:r>
      <w:r w:rsidRPr="00C105E7">
        <w:rPr>
          <w:rFonts w:cs="Times New Roman"/>
          <w:sz w:val="24"/>
          <w:szCs w:val="24"/>
        </w:rPr>
        <w:t xml:space="preserve">impacted when water and sanitation are not secure. </w:t>
      </w:r>
      <w:r w:rsidR="00163E7A">
        <w:rPr>
          <w:rFonts w:cs="Times New Roman"/>
          <w:sz w:val="24"/>
          <w:szCs w:val="24"/>
        </w:rPr>
        <w:t>Mainly, t</w:t>
      </w:r>
      <w:r w:rsidR="00FB5D62" w:rsidRPr="00C105E7">
        <w:rPr>
          <w:rFonts w:cs="Times New Roman"/>
          <w:sz w:val="24"/>
          <w:szCs w:val="24"/>
        </w:rPr>
        <w:t>he</w:t>
      </w:r>
      <w:r w:rsidR="00163E7A">
        <w:rPr>
          <w:rFonts w:cs="Times New Roman"/>
          <w:sz w:val="24"/>
          <w:szCs w:val="24"/>
        </w:rPr>
        <w:t xml:space="preserve">y </w:t>
      </w:r>
      <w:r w:rsidRPr="00C105E7">
        <w:rPr>
          <w:rFonts w:cs="Times New Roman"/>
          <w:sz w:val="24"/>
          <w:szCs w:val="24"/>
        </w:rPr>
        <w:t xml:space="preserve">face </w:t>
      </w:r>
      <w:r w:rsidR="00D30B2D">
        <w:rPr>
          <w:rFonts w:cs="Times New Roman"/>
          <w:sz w:val="24"/>
          <w:szCs w:val="24"/>
        </w:rPr>
        <w:t>a higher</w:t>
      </w:r>
      <w:r w:rsidRPr="00C105E7">
        <w:rPr>
          <w:rFonts w:cs="Times New Roman"/>
          <w:sz w:val="24"/>
          <w:szCs w:val="24"/>
        </w:rPr>
        <w:t xml:space="preserve"> risk of </w:t>
      </w:r>
      <w:r w:rsidR="00D35D4D" w:rsidRPr="00C105E7">
        <w:rPr>
          <w:rFonts w:cs="Times New Roman"/>
          <w:sz w:val="24"/>
          <w:szCs w:val="24"/>
        </w:rPr>
        <w:t>gender</w:t>
      </w:r>
      <w:r w:rsidR="00AD3B75">
        <w:rPr>
          <w:rFonts w:cs="Times New Roman"/>
          <w:sz w:val="24"/>
          <w:szCs w:val="24"/>
        </w:rPr>
        <w:t>-</w:t>
      </w:r>
      <w:r w:rsidR="00D35D4D" w:rsidRPr="00C105E7">
        <w:rPr>
          <w:rFonts w:cs="Times New Roman"/>
          <w:sz w:val="24"/>
          <w:szCs w:val="24"/>
        </w:rPr>
        <w:t>based</w:t>
      </w:r>
      <w:r w:rsidRPr="00C105E7">
        <w:rPr>
          <w:rFonts w:cs="Times New Roman"/>
          <w:sz w:val="24"/>
          <w:szCs w:val="24"/>
        </w:rPr>
        <w:t xml:space="preserve"> violence when </w:t>
      </w:r>
      <w:r w:rsidR="00D35D4D" w:rsidRPr="00C105E7">
        <w:rPr>
          <w:rFonts w:cs="Times New Roman"/>
          <w:sz w:val="24"/>
          <w:szCs w:val="24"/>
        </w:rPr>
        <w:t>travelling</w:t>
      </w:r>
      <w:r w:rsidRPr="00C105E7">
        <w:rPr>
          <w:rFonts w:cs="Times New Roman"/>
          <w:sz w:val="24"/>
          <w:szCs w:val="24"/>
        </w:rPr>
        <w:t xml:space="preserve"> to collect water and access sanitation</w:t>
      </w:r>
      <w:r w:rsidR="007E4C22">
        <w:rPr>
          <w:rFonts w:cs="Times New Roman"/>
          <w:sz w:val="24"/>
          <w:szCs w:val="24"/>
        </w:rPr>
        <w:t>.</w:t>
      </w:r>
      <w:r w:rsidRPr="00C105E7">
        <w:rPr>
          <w:rFonts w:cs="Times New Roman"/>
          <w:sz w:val="24"/>
          <w:szCs w:val="24"/>
        </w:rPr>
        <w:t xml:space="preserve"> </w:t>
      </w:r>
      <w:r w:rsidR="007E4C22">
        <w:rPr>
          <w:rFonts w:cs="Times New Roman"/>
          <w:sz w:val="24"/>
          <w:szCs w:val="24"/>
        </w:rPr>
        <w:t>In addition, they lose</w:t>
      </w:r>
      <w:r w:rsidRPr="00C105E7">
        <w:rPr>
          <w:rFonts w:cs="Times New Roman"/>
          <w:sz w:val="24"/>
          <w:szCs w:val="24"/>
        </w:rPr>
        <w:t xml:space="preserve"> work opportunities </w:t>
      </w:r>
      <w:r w:rsidR="007E4C22">
        <w:rPr>
          <w:rFonts w:cs="Times New Roman"/>
          <w:sz w:val="24"/>
          <w:szCs w:val="24"/>
        </w:rPr>
        <w:t>throughout</w:t>
      </w:r>
      <w:r w:rsidR="007E4C22" w:rsidRPr="00C105E7">
        <w:rPr>
          <w:rFonts w:cs="Times New Roman"/>
          <w:sz w:val="24"/>
          <w:szCs w:val="24"/>
        </w:rPr>
        <w:t xml:space="preserve"> </w:t>
      </w:r>
      <w:r w:rsidRPr="00C105E7">
        <w:rPr>
          <w:rFonts w:cs="Times New Roman"/>
          <w:sz w:val="24"/>
          <w:szCs w:val="24"/>
        </w:rPr>
        <w:t>their life</w:t>
      </w:r>
      <w:r w:rsidR="00102471">
        <w:rPr>
          <w:rFonts w:cs="Times New Roman"/>
          <w:sz w:val="24"/>
          <w:szCs w:val="24"/>
        </w:rPr>
        <w:t>time</w:t>
      </w:r>
      <w:r w:rsidRPr="00C105E7">
        <w:rPr>
          <w:rFonts w:cs="Times New Roman"/>
          <w:sz w:val="24"/>
          <w:szCs w:val="24"/>
        </w:rPr>
        <w:t xml:space="preserve"> due to </w:t>
      </w:r>
      <w:r w:rsidR="00102471">
        <w:rPr>
          <w:rFonts w:cs="Times New Roman"/>
          <w:sz w:val="24"/>
          <w:szCs w:val="24"/>
        </w:rPr>
        <w:t xml:space="preserve">the </w:t>
      </w:r>
      <w:r w:rsidRPr="00C105E7">
        <w:rPr>
          <w:rFonts w:cs="Times New Roman"/>
          <w:sz w:val="24"/>
          <w:szCs w:val="24"/>
        </w:rPr>
        <w:t xml:space="preserve">time burdens associated with their disproportionate responsibilities for unpaid work. </w:t>
      </w:r>
    </w:p>
    <w:p w14:paraId="5B97FCDC" w14:textId="70CC7224" w:rsidR="006F5AF9" w:rsidRPr="006847E7" w:rsidRDefault="00C85D8B" w:rsidP="006847E7">
      <w:pPr>
        <w:pStyle w:val="Heading1"/>
      </w:pPr>
      <w:bookmarkStart w:id="15" w:name="_Toc531264869"/>
      <w:r>
        <w:lastRenderedPageBreak/>
        <w:t>Tuesday, 10</w:t>
      </w:r>
      <w:r w:rsidRPr="00FF73DA">
        <w:rPr>
          <w:vertAlign w:val="superscript"/>
        </w:rPr>
        <w:t>th</w:t>
      </w:r>
      <w:r>
        <w:t xml:space="preserve"> July 2018</w:t>
      </w:r>
      <w:bookmarkEnd w:id="15"/>
    </w:p>
    <w:p w14:paraId="241860AA" w14:textId="56413252" w:rsidR="006F5AF9" w:rsidRPr="00FF73DA" w:rsidRDefault="006F5AF9" w:rsidP="00FF73DA">
      <w:pPr>
        <w:rPr>
          <w:sz w:val="24"/>
          <w:szCs w:val="24"/>
        </w:rPr>
      </w:pPr>
      <w:r w:rsidRPr="00FF73DA">
        <w:rPr>
          <w:sz w:val="24"/>
          <w:szCs w:val="24"/>
        </w:rPr>
        <w:t>On Tuesday, 10 July, the forum continued with thematic reviews on: transformation towards sustainable and resilient societies – building resilience; and advancing science, technology and innovation (STI) for the SDGs. In the afternoon, the review of SDG implementation continued, with a session on SDG 7.</w:t>
      </w:r>
    </w:p>
    <w:p w14:paraId="0781FD12" w14:textId="334BC1BA" w:rsidR="00281D6C" w:rsidRPr="00281D6C" w:rsidRDefault="00B252C0" w:rsidP="00FF73DA">
      <w:pPr>
        <w:pStyle w:val="Heading2"/>
        <w:rPr>
          <w:lang w:eastAsia="en-GB"/>
        </w:rPr>
      </w:pPr>
      <w:bookmarkStart w:id="16" w:name="_Toc531264870"/>
      <w:r>
        <w:t>Thematic review: Transformation towards sustainable and resilient societies – building resilience</w:t>
      </w:r>
      <w:bookmarkEnd w:id="16"/>
    </w:p>
    <w:p w14:paraId="20D64A12" w14:textId="5D6E722C" w:rsidR="001C3106" w:rsidRDefault="001C3106" w:rsidP="00525F22">
      <w:pPr>
        <w:spacing w:after="0" w:line="276" w:lineRule="auto"/>
        <w:jc w:val="both"/>
        <w:rPr>
          <w:rFonts w:cstheme="minorHAnsi"/>
          <w:sz w:val="24"/>
          <w:szCs w:val="24"/>
          <w:lang w:eastAsia="en-GB"/>
        </w:rPr>
      </w:pPr>
      <w:r w:rsidRPr="00D55B71">
        <w:rPr>
          <w:rFonts w:cstheme="minorHAnsi"/>
          <w:sz w:val="24"/>
          <w:szCs w:val="24"/>
        </w:rPr>
        <w:t>During</w:t>
      </w:r>
      <w:r w:rsidR="00FB5D62" w:rsidRPr="00D55B71">
        <w:rPr>
          <w:rFonts w:cstheme="minorHAnsi"/>
          <w:sz w:val="24"/>
          <w:szCs w:val="24"/>
        </w:rPr>
        <w:t xml:space="preserve"> the</w:t>
      </w:r>
      <w:r w:rsidRPr="00D55B71">
        <w:rPr>
          <w:rFonts w:cstheme="minorHAnsi"/>
          <w:sz w:val="24"/>
          <w:szCs w:val="24"/>
        </w:rPr>
        <w:t xml:space="preserve"> morning session, the forum reviewed transformation towards sustainable and resilient societies – building resilience. This session was chaired by Inga Rhonda King, ECOSOC Vice-President</w:t>
      </w:r>
      <w:r w:rsidR="005171EE">
        <w:rPr>
          <w:rFonts w:cstheme="minorHAnsi"/>
          <w:sz w:val="24"/>
          <w:szCs w:val="24"/>
        </w:rPr>
        <w:t>.</w:t>
      </w:r>
      <w:r w:rsidRPr="00D55B71">
        <w:rPr>
          <w:rFonts w:cstheme="minorHAnsi"/>
          <w:sz w:val="24"/>
          <w:szCs w:val="24"/>
        </w:rPr>
        <w:t xml:space="preserve"> During this session</w:t>
      </w:r>
      <w:r w:rsidR="009E2801" w:rsidRPr="00D55B71">
        <w:rPr>
          <w:rFonts w:cstheme="minorHAnsi"/>
          <w:sz w:val="24"/>
          <w:szCs w:val="24"/>
        </w:rPr>
        <w:t>,</w:t>
      </w:r>
      <w:r w:rsidR="00D35D4D">
        <w:rPr>
          <w:rFonts w:cstheme="minorHAnsi"/>
          <w:sz w:val="24"/>
          <w:szCs w:val="24"/>
        </w:rPr>
        <w:t xml:space="preserve"> </w:t>
      </w:r>
      <w:r w:rsidRPr="00D55B71">
        <w:rPr>
          <w:rFonts w:cstheme="minorHAnsi"/>
          <w:sz w:val="24"/>
          <w:szCs w:val="24"/>
          <w:lang w:eastAsia="en-GB"/>
        </w:rPr>
        <w:t>Mr.</w:t>
      </w:r>
      <w:r w:rsidR="005F458C">
        <w:rPr>
          <w:rFonts w:cstheme="minorHAnsi"/>
          <w:sz w:val="24"/>
          <w:szCs w:val="24"/>
          <w:lang w:eastAsia="en-GB"/>
        </w:rPr>
        <w:t xml:space="preserve"> </w:t>
      </w:r>
      <w:proofErr w:type="spellStart"/>
      <w:r w:rsidRPr="00D55B71">
        <w:rPr>
          <w:rFonts w:cstheme="minorHAnsi"/>
          <w:sz w:val="24"/>
          <w:szCs w:val="24"/>
          <w:lang w:eastAsia="en-GB"/>
        </w:rPr>
        <w:t>Defeje</w:t>
      </w:r>
      <w:proofErr w:type="spellEnd"/>
      <w:r w:rsidR="00D35D4D">
        <w:rPr>
          <w:rFonts w:cstheme="minorHAnsi"/>
          <w:sz w:val="24"/>
          <w:szCs w:val="24"/>
          <w:lang w:eastAsia="en-GB"/>
        </w:rPr>
        <w:t xml:space="preserve"> </w:t>
      </w:r>
      <w:proofErr w:type="spellStart"/>
      <w:r w:rsidRPr="00D55B71">
        <w:rPr>
          <w:rFonts w:cstheme="minorHAnsi"/>
          <w:sz w:val="24"/>
          <w:szCs w:val="24"/>
          <w:lang w:eastAsia="en-GB"/>
        </w:rPr>
        <w:t>Wordofa</w:t>
      </w:r>
      <w:proofErr w:type="spellEnd"/>
      <w:r w:rsidR="00527806">
        <w:rPr>
          <w:rFonts w:cstheme="minorHAnsi"/>
          <w:sz w:val="24"/>
          <w:szCs w:val="24"/>
          <w:lang w:eastAsia="en-GB"/>
        </w:rPr>
        <w:t>,</w:t>
      </w:r>
      <w:r w:rsidRPr="00D55B71">
        <w:rPr>
          <w:rFonts w:cstheme="minorHAnsi"/>
          <w:sz w:val="24"/>
          <w:szCs w:val="24"/>
          <w:lang w:eastAsia="en-GB"/>
        </w:rPr>
        <w:t xml:space="preserve"> UNFPA Deputy Executive Director</w:t>
      </w:r>
      <w:r w:rsidR="00527806">
        <w:rPr>
          <w:rFonts w:cstheme="minorHAnsi"/>
          <w:sz w:val="24"/>
          <w:szCs w:val="24"/>
          <w:lang w:eastAsia="en-GB"/>
        </w:rPr>
        <w:t xml:space="preserve">, </w:t>
      </w:r>
      <w:r w:rsidRPr="00D55B71">
        <w:rPr>
          <w:rFonts w:cstheme="minorHAnsi"/>
          <w:sz w:val="24"/>
          <w:szCs w:val="24"/>
          <w:lang w:eastAsia="en-GB"/>
        </w:rPr>
        <w:t>stated that to build resilienc</w:t>
      </w:r>
      <w:r w:rsidR="00796801">
        <w:rPr>
          <w:rFonts w:cstheme="minorHAnsi"/>
          <w:sz w:val="24"/>
          <w:szCs w:val="24"/>
          <w:lang w:eastAsia="en-GB"/>
        </w:rPr>
        <w:t>e</w:t>
      </w:r>
      <w:r w:rsidRPr="00D55B71">
        <w:rPr>
          <w:rFonts w:cstheme="minorHAnsi"/>
          <w:sz w:val="24"/>
          <w:szCs w:val="24"/>
          <w:lang w:eastAsia="en-GB"/>
        </w:rPr>
        <w:t xml:space="preserve"> people must be put at the </w:t>
      </w:r>
      <w:proofErr w:type="gramStart"/>
      <w:r w:rsidRPr="00D55B71">
        <w:rPr>
          <w:rFonts w:cstheme="minorHAnsi"/>
          <w:sz w:val="24"/>
          <w:szCs w:val="24"/>
          <w:lang w:eastAsia="en-GB"/>
        </w:rPr>
        <w:t>centre</w:t>
      </w:r>
      <w:r w:rsidR="0010642F">
        <w:rPr>
          <w:rFonts w:cstheme="minorHAnsi"/>
          <w:sz w:val="24"/>
          <w:szCs w:val="24"/>
          <w:lang w:eastAsia="en-GB"/>
        </w:rPr>
        <w:t xml:space="preserve">, </w:t>
      </w:r>
      <w:r w:rsidRPr="00D55B71">
        <w:rPr>
          <w:rFonts w:cstheme="minorHAnsi"/>
          <w:sz w:val="24"/>
          <w:szCs w:val="24"/>
          <w:lang w:eastAsia="en-GB"/>
        </w:rPr>
        <w:t xml:space="preserve"> especially</w:t>
      </w:r>
      <w:proofErr w:type="gramEnd"/>
      <w:r w:rsidRPr="00D55B71">
        <w:rPr>
          <w:rFonts w:cstheme="minorHAnsi"/>
          <w:sz w:val="24"/>
          <w:szCs w:val="24"/>
          <w:lang w:eastAsia="en-GB"/>
        </w:rPr>
        <w:t xml:space="preserve"> </w:t>
      </w:r>
      <w:r w:rsidR="0010642F">
        <w:rPr>
          <w:rFonts w:cstheme="minorHAnsi"/>
          <w:sz w:val="24"/>
          <w:szCs w:val="24"/>
          <w:lang w:eastAsia="en-GB"/>
        </w:rPr>
        <w:t>p</w:t>
      </w:r>
      <w:r w:rsidRPr="00D55B71">
        <w:rPr>
          <w:rFonts w:cstheme="minorHAnsi"/>
          <w:sz w:val="24"/>
          <w:szCs w:val="24"/>
          <w:lang w:eastAsia="en-GB"/>
        </w:rPr>
        <w:t xml:space="preserve">ersons with </w:t>
      </w:r>
      <w:r w:rsidR="0010642F">
        <w:rPr>
          <w:rFonts w:cstheme="minorHAnsi"/>
          <w:sz w:val="24"/>
          <w:szCs w:val="24"/>
          <w:lang w:eastAsia="en-GB"/>
        </w:rPr>
        <w:t>d</w:t>
      </w:r>
      <w:r w:rsidRPr="00D55B71">
        <w:rPr>
          <w:rFonts w:cstheme="minorHAnsi"/>
          <w:sz w:val="24"/>
          <w:szCs w:val="24"/>
          <w:lang w:eastAsia="en-GB"/>
        </w:rPr>
        <w:t xml:space="preserve">isabilities. </w:t>
      </w:r>
      <w:r w:rsidR="00735BD9">
        <w:rPr>
          <w:rFonts w:cstheme="minorHAnsi"/>
          <w:sz w:val="24"/>
          <w:szCs w:val="24"/>
          <w:lang w:eastAsia="en-GB"/>
        </w:rPr>
        <w:t>He emphasized that i</w:t>
      </w:r>
      <w:r w:rsidRPr="00D55B71">
        <w:rPr>
          <w:rFonts w:cstheme="minorHAnsi"/>
          <w:sz w:val="24"/>
          <w:szCs w:val="24"/>
          <w:lang w:eastAsia="en-GB"/>
        </w:rPr>
        <w:t>t is not just about addressing their needs but upholding their rights.</w:t>
      </w:r>
    </w:p>
    <w:p w14:paraId="01E848DA" w14:textId="77777777" w:rsidR="00F25D83" w:rsidRPr="00D55B71" w:rsidRDefault="00F25D83" w:rsidP="00525F22">
      <w:pPr>
        <w:spacing w:after="0" w:line="276" w:lineRule="auto"/>
        <w:jc w:val="both"/>
        <w:rPr>
          <w:rFonts w:cstheme="minorHAnsi"/>
          <w:sz w:val="24"/>
          <w:szCs w:val="24"/>
          <w:lang w:eastAsia="en-GB"/>
        </w:rPr>
      </w:pPr>
    </w:p>
    <w:p w14:paraId="57E466A9" w14:textId="2DFA97B4" w:rsidR="00D55B71" w:rsidRDefault="001C3106" w:rsidP="00525F22">
      <w:pPr>
        <w:spacing w:line="276" w:lineRule="auto"/>
        <w:jc w:val="both"/>
        <w:rPr>
          <w:rStyle w:val="Hyperlink"/>
          <w:rFonts w:cstheme="minorHAnsi"/>
          <w:b/>
          <w:bCs/>
          <w:color w:val="3354A0"/>
          <w:sz w:val="24"/>
          <w:szCs w:val="24"/>
        </w:rPr>
      </w:pPr>
      <w:r w:rsidRPr="00D55B71">
        <w:rPr>
          <w:rFonts w:cstheme="minorHAnsi"/>
          <w:color w:val="000000"/>
          <w:sz w:val="24"/>
          <w:szCs w:val="24"/>
        </w:rPr>
        <w:t>On behalf of the Stakeholder Group of Persons with Disabilities, Lan</w:t>
      </w:r>
      <w:r w:rsidR="00D35D4D">
        <w:rPr>
          <w:rFonts w:cstheme="minorHAnsi"/>
          <w:color w:val="000000"/>
          <w:sz w:val="24"/>
          <w:szCs w:val="24"/>
        </w:rPr>
        <w:t xml:space="preserve"> </w:t>
      </w:r>
      <w:r w:rsidRPr="00D55B71">
        <w:rPr>
          <w:rFonts w:cstheme="minorHAnsi"/>
          <w:color w:val="000000"/>
          <w:sz w:val="24"/>
          <w:szCs w:val="24"/>
        </w:rPr>
        <w:t xml:space="preserve">Anh Nguyen, from </w:t>
      </w:r>
      <w:r w:rsidR="00F25D83" w:rsidRPr="00FF73DA">
        <w:rPr>
          <w:rFonts w:ascii="Calibri" w:eastAsia="Times New Roman" w:hAnsi="Calibri" w:cs="Calibri"/>
          <w:bCs/>
          <w:color w:val="000000"/>
          <w:sz w:val="24"/>
          <w:szCs w:val="24"/>
          <w:bdr w:val="none" w:sz="0" w:space="0" w:color="auto" w:frame="1"/>
          <w:lang w:val="vi-VN"/>
        </w:rPr>
        <w:t xml:space="preserve">Action to the </w:t>
      </w:r>
      <w:r w:rsidR="00DB208E">
        <w:rPr>
          <w:rFonts w:ascii="Calibri" w:eastAsia="Times New Roman" w:hAnsi="Calibri" w:cs="Calibri"/>
          <w:bCs/>
          <w:color w:val="000000"/>
          <w:sz w:val="24"/>
          <w:szCs w:val="24"/>
          <w:bdr w:val="none" w:sz="0" w:space="0" w:color="auto" w:frame="1"/>
          <w:lang w:val="en-US"/>
        </w:rPr>
        <w:t>C</w:t>
      </w:r>
      <w:r w:rsidR="00F25D83" w:rsidRPr="00FF73DA">
        <w:rPr>
          <w:rFonts w:ascii="Calibri" w:eastAsia="Times New Roman" w:hAnsi="Calibri" w:cs="Calibri"/>
          <w:bCs/>
          <w:color w:val="000000"/>
          <w:sz w:val="24"/>
          <w:szCs w:val="24"/>
          <w:bdr w:val="none" w:sz="0" w:space="0" w:color="auto" w:frame="1"/>
          <w:lang w:val="vi-VN"/>
        </w:rPr>
        <w:t>ommunity Development Center (ACDC)</w:t>
      </w:r>
      <w:r w:rsidR="00F25D83" w:rsidRPr="00FF73DA">
        <w:rPr>
          <w:rFonts w:ascii="Calibri" w:eastAsia="Times New Roman" w:hAnsi="Calibri" w:cs="Calibri"/>
          <w:bCs/>
          <w:color w:val="000000"/>
          <w:sz w:val="24"/>
          <w:szCs w:val="24"/>
          <w:bdr w:val="none" w:sz="0" w:space="0" w:color="auto" w:frame="1"/>
          <w:lang w:val="en-US"/>
        </w:rPr>
        <w:t xml:space="preserve"> in Vietnam</w:t>
      </w:r>
      <w:r w:rsidRPr="00D55B71">
        <w:rPr>
          <w:rFonts w:cstheme="minorHAnsi"/>
          <w:color w:val="000000"/>
          <w:sz w:val="24"/>
          <w:szCs w:val="24"/>
        </w:rPr>
        <w:t xml:space="preserve">, </w:t>
      </w:r>
      <w:r w:rsidR="0064717C">
        <w:rPr>
          <w:rFonts w:cstheme="minorHAnsi"/>
          <w:color w:val="000000"/>
          <w:sz w:val="24"/>
          <w:szCs w:val="24"/>
        </w:rPr>
        <w:t>noted that national policies and strategies were still not fully inclusive and responsive to the rights of persons with disabilities</w:t>
      </w:r>
      <w:r w:rsidR="003B71AA">
        <w:rPr>
          <w:rFonts w:cstheme="minorHAnsi"/>
          <w:color w:val="000000"/>
          <w:sz w:val="24"/>
          <w:szCs w:val="24"/>
        </w:rPr>
        <w:t xml:space="preserve">, and that there was still a lack of evidence-based, reliable and </w:t>
      </w:r>
      <w:proofErr w:type="gramStart"/>
      <w:r w:rsidR="003B71AA">
        <w:rPr>
          <w:rFonts w:cstheme="minorHAnsi"/>
          <w:color w:val="000000"/>
          <w:sz w:val="24"/>
          <w:szCs w:val="24"/>
        </w:rPr>
        <w:t>high quality</w:t>
      </w:r>
      <w:proofErr w:type="gramEnd"/>
      <w:r w:rsidR="003B71AA">
        <w:rPr>
          <w:rFonts w:cstheme="minorHAnsi"/>
          <w:color w:val="000000"/>
          <w:sz w:val="24"/>
          <w:szCs w:val="24"/>
        </w:rPr>
        <w:t xml:space="preserve"> data on persons with disabilities.</w:t>
      </w:r>
      <w:r w:rsidR="00EB14A9">
        <w:rPr>
          <w:rFonts w:cstheme="minorHAnsi"/>
          <w:color w:val="000000"/>
          <w:sz w:val="24"/>
          <w:szCs w:val="24"/>
        </w:rPr>
        <w:t xml:space="preserve">  She</w:t>
      </w:r>
      <w:r w:rsidR="008D16BF">
        <w:rPr>
          <w:rFonts w:cstheme="minorHAnsi"/>
          <w:color w:val="000000"/>
          <w:sz w:val="24"/>
          <w:szCs w:val="24"/>
        </w:rPr>
        <w:t xml:space="preserve"> emphasised</w:t>
      </w:r>
      <w:r w:rsidRPr="00D55B71">
        <w:rPr>
          <w:rFonts w:cstheme="minorHAnsi"/>
          <w:color w:val="000000"/>
          <w:sz w:val="24"/>
          <w:szCs w:val="24"/>
        </w:rPr>
        <w:t xml:space="preserve"> that in order to achieve inclusive, resilient and sustainable development for all, especially in poverty reduction, education, employment, health and gender equality, resilience-building of communities should ensure </w:t>
      </w:r>
      <w:r w:rsidR="005E7A17">
        <w:rPr>
          <w:rFonts w:cstheme="minorHAnsi"/>
          <w:color w:val="000000"/>
          <w:sz w:val="24"/>
          <w:szCs w:val="24"/>
        </w:rPr>
        <w:t xml:space="preserve">equality </w:t>
      </w:r>
      <w:r w:rsidRPr="00D55B71">
        <w:rPr>
          <w:rFonts w:cstheme="minorHAnsi"/>
          <w:color w:val="000000"/>
          <w:sz w:val="24"/>
          <w:szCs w:val="24"/>
        </w:rPr>
        <w:t>of opportunities for full participation of persons with disabilities in all</w:t>
      </w:r>
      <w:r w:rsidR="00D55B71" w:rsidRPr="00D55B71">
        <w:rPr>
          <w:rFonts w:cstheme="minorHAnsi"/>
          <w:color w:val="000000"/>
          <w:sz w:val="24"/>
          <w:szCs w:val="24"/>
        </w:rPr>
        <w:t xml:space="preserve"> of their community activities</w:t>
      </w:r>
      <w:r w:rsidR="00A64A65">
        <w:rPr>
          <w:rFonts w:cstheme="minorHAnsi"/>
          <w:color w:val="000000"/>
          <w:sz w:val="24"/>
          <w:szCs w:val="24"/>
        </w:rPr>
        <w:t>.</w:t>
      </w:r>
      <w:r w:rsidR="00D55B71" w:rsidRPr="00D55B71">
        <w:rPr>
          <w:rFonts w:cstheme="minorHAnsi"/>
          <w:color w:val="000000"/>
          <w:sz w:val="24"/>
          <w:szCs w:val="24"/>
        </w:rPr>
        <w:t xml:space="preserve"> </w:t>
      </w:r>
      <w:hyperlink r:id="rId14" w:history="1">
        <w:r w:rsidR="00D55B71">
          <w:rPr>
            <w:rStyle w:val="Hyperlink"/>
            <w:rFonts w:cstheme="minorHAnsi"/>
            <w:b/>
            <w:bCs/>
            <w:color w:val="3354A0"/>
            <w:sz w:val="24"/>
            <w:szCs w:val="24"/>
          </w:rPr>
          <w:t xml:space="preserve">Click here to read </w:t>
        </w:r>
        <w:r w:rsidR="00D55B71" w:rsidRPr="00D55B71">
          <w:rPr>
            <w:rStyle w:val="Hyperlink"/>
            <w:rFonts w:cstheme="minorHAnsi"/>
            <w:b/>
            <w:bCs/>
            <w:color w:val="3354A0"/>
            <w:sz w:val="24"/>
            <w:szCs w:val="24"/>
          </w:rPr>
          <w:t>he</w:t>
        </w:r>
        <w:r w:rsidR="00D55B71">
          <w:rPr>
            <w:rStyle w:val="Hyperlink"/>
            <w:rFonts w:cstheme="minorHAnsi"/>
            <w:b/>
            <w:bCs/>
            <w:color w:val="3354A0"/>
            <w:sz w:val="24"/>
            <w:szCs w:val="24"/>
          </w:rPr>
          <w:t>r</w:t>
        </w:r>
        <w:r w:rsidR="00D55B71" w:rsidRPr="00D55B71">
          <w:rPr>
            <w:rStyle w:val="Hyperlink"/>
            <w:rFonts w:cstheme="minorHAnsi"/>
            <w:b/>
            <w:bCs/>
            <w:color w:val="3354A0"/>
            <w:sz w:val="24"/>
            <w:szCs w:val="24"/>
          </w:rPr>
          <w:t xml:space="preserve"> full statement.</w:t>
        </w:r>
      </w:hyperlink>
    </w:p>
    <w:p w14:paraId="367A0789" w14:textId="41341B68" w:rsidR="004F34C9" w:rsidRPr="00D55B71" w:rsidRDefault="004F34C9" w:rsidP="00FF73DA">
      <w:pPr>
        <w:pStyle w:val="Heading1"/>
      </w:pPr>
      <w:bookmarkStart w:id="17" w:name="_Toc531264871"/>
      <w:r>
        <w:t>Wednesday, 11</w:t>
      </w:r>
      <w:r w:rsidRPr="00FF73DA">
        <w:rPr>
          <w:vertAlign w:val="superscript"/>
        </w:rPr>
        <w:t>th</w:t>
      </w:r>
      <w:r>
        <w:t xml:space="preserve"> July 2018</w:t>
      </w:r>
      <w:bookmarkEnd w:id="17"/>
    </w:p>
    <w:p w14:paraId="70433E3A" w14:textId="44134859" w:rsidR="005D6978" w:rsidRPr="006847E7" w:rsidRDefault="0010642F" w:rsidP="00FF73DA">
      <w:pPr>
        <w:pStyle w:val="Heading2"/>
      </w:pPr>
      <w:bookmarkStart w:id="18" w:name="_Toc531264872"/>
      <w:r w:rsidRPr="00FF73DA">
        <w:rPr>
          <w:rStyle w:val="Hyperlink"/>
          <w:color w:val="00B0F0"/>
          <w:u w:val="none"/>
        </w:rPr>
        <w:t xml:space="preserve">Thematic review: Transformation towards sustainable and resilient societies – </w:t>
      </w:r>
      <w:r w:rsidR="00911079" w:rsidRPr="00FF73DA">
        <w:rPr>
          <w:rStyle w:val="Hyperlink"/>
          <w:color w:val="00B0F0"/>
          <w:u w:val="none"/>
        </w:rPr>
        <w:t>SIDS</w:t>
      </w:r>
      <w:r w:rsidRPr="00FF73DA">
        <w:rPr>
          <w:rStyle w:val="Hyperlink"/>
          <w:color w:val="00B0F0"/>
          <w:u w:val="none"/>
        </w:rPr>
        <w:t xml:space="preserve"> perspective</w:t>
      </w:r>
      <w:bookmarkEnd w:id="18"/>
    </w:p>
    <w:p w14:paraId="5EB7394B" w14:textId="41C53D0D" w:rsidR="001C3106" w:rsidRPr="005D6978" w:rsidRDefault="001C3106" w:rsidP="005D6978">
      <w:pPr>
        <w:spacing w:line="276" w:lineRule="auto"/>
        <w:jc w:val="both"/>
        <w:rPr>
          <w:rFonts w:cs="Times New Roman"/>
          <w:b/>
          <w:sz w:val="24"/>
          <w:szCs w:val="24"/>
        </w:rPr>
      </w:pPr>
      <w:r w:rsidRPr="00281D6C">
        <w:rPr>
          <w:rFonts w:cs="Times New Roman"/>
          <w:sz w:val="24"/>
          <w:szCs w:val="24"/>
          <w:shd w:val="clear" w:color="auto" w:fill="FFFFFF"/>
        </w:rPr>
        <w:t xml:space="preserve">HLPF </w:t>
      </w:r>
      <w:r w:rsidR="00084569">
        <w:rPr>
          <w:rFonts w:cs="Times New Roman"/>
          <w:sz w:val="24"/>
          <w:szCs w:val="24"/>
          <w:shd w:val="clear" w:color="auto" w:fill="FFFFFF"/>
        </w:rPr>
        <w:t>plays</w:t>
      </w:r>
      <w:r w:rsidR="00084569" w:rsidRPr="00281D6C">
        <w:rPr>
          <w:rFonts w:cs="Times New Roman"/>
          <w:sz w:val="24"/>
          <w:szCs w:val="24"/>
          <w:shd w:val="clear" w:color="auto" w:fill="FFFFFF"/>
        </w:rPr>
        <w:t xml:space="preserve"> </w:t>
      </w:r>
      <w:r w:rsidRPr="00281D6C">
        <w:rPr>
          <w:rFonts w:cs="Times New Roman"/>
          <w:sz w:val="24"/>
          <w:szCs w:val="24"/>
          <w:shd w:val="clear" w:color="auto" w:fill="FFFFFF"/>
        </w:rPr>
        <w:t xml:space="preserve">a special role </w:t>
      </w:r>
      <w:r w:rsidR="00084569">
        <w:rPr>
          <w:rFonts w:cs="Times New Roman"/>
          <w:sz w:val="24"/>
          <w:szCs w:val="24"/>
          <w:shd w:val="clear" w:color="auto" w:fill="FFFFFF"/>
        </w:rPr>
        <w:t>in addressing</w:t>
      </w:r>
      <w:r w:rsidRPr="00281D6C">
        <w:rPr>
          <w:rFonts w:cs="Times New Roman"/>
          <w:sz w:val="24"/>
          <w:szCs w:val="24"/>
          <w:shd w:val="clear" w:color="auto" w:fill="FFFFFF"/>
        </w:rPr>
        <w:t xml:space="preserve"> the sustainable development challenges facing </w:t>
      </w:r>
      <w:r w:rsidR="00DB208E">
        <w:rPr>
          <w:rFonts w:cs="Times New Roman"/>
          <w:sz w:val="24"/>
          <w:szCs w:val="24"/>
          <w:shd w:val="clear" w:color="auto" w:fill="FFFFFF"/>
        </w:rPr>
        <w:t>S</w:t>
      </w:r>
      <w:r w:rsidRPr="00281D6C">
        <w:rPr>
          <w:rFonts w:cs="Times New Roman"/>
          <w:sz w:val="24"/>
          <w:szCs w:val="24"/>
          <w:shd w:val="clear" w:color="auto" w:fill="FFFFFF"/>
        </w:rPr>
        <w:t xml:space="preserve">mall </w:t>
      </w:r>
      <w:r w:rsidR="00DB208E">
        <w:rPr>
          <w:rFonts w:cs="Times New Roman"/>
          <w:sz w:val="24"/>
          <w:szCs w:val="24"/>
          <w:shd w:val="clear" w:color="auto" w:fill="FFFFFF"/>
        </w:rPr>
        <w:t>I</w:t>
      </w:r>
      <w:r w:rsidRPr="00281D6C">
        <w:rPr>
          <w:rFonts w:cs="Times New Roman"/>
          <w:sz w:val="24"/>
          <w:szCs w:val="24"/>
          <w:shd w:val="clear" w:color="auto" w:fill="FFFFFF"/>
        </w:rPr>
        <w:t xml:space="preserve">sland </w:t>
      </w:r>
      <w:r w:rsidR="00DB208E">
        <w:rPr>
          <w:rFonts w:cs="Times New Roman"/>
          <w:sz w:val="24"/>
          <w:szCs w:val="24"/>
          <w:shd w:val="clear" w:color="auto" w:fill="FFFFFF"/>
        </w:rPr>
        <w:t>D</w:t>
      </w:r>
      <w:r w:rsidRPr="00281D6C">
        <w:rPr>
          <w:rFonts w:cs="Times New Roman"/>
          <w:sz w:val="24"/>
          <w:szCs w:val="24"/>
          <w:shd w:val="clear" w:color="auto" w:fill="FFFFFF"/>
        </w:rPr>
        <w:t>eveloping States (SIDS). This session examined the issues of building island and community resilience through the water and sustainable energy lens. Reducing poverty, triggering economic growth and building resilient societies requires harnessing the potential of ecosystems to satisfy the demands of water and energy, which are essential for life, health and wellbeing</w:t>
      </w:r>
      <w:r w:rsidR="0043471C">
        <w:rPr>
          <w:rFonts w:cs="Times New Roman"/>
          <w:sz w:val="24"/>
          <w:szCs w:val="24"/>
          <w:shd w:val="clear" w:color="auto" w:fill="FFFFFF"/>
        </w:rPr>
        <w:t>,</w:t>
      </w:r>
      <w:r w:rsidRPr="00281D6C">
        <w:rPr>
          <w:rFonts w:cs="Times New Roman"/>
          <w:sz w:val="24"/>
          <w:szCs w:val="24"/>
          <w:shd w:val="clear" w:color="auto" w:fill="FFFFFF"/>
        </w:rPr>
        <w:t xml:space="preserve"> and economic growth and development.</w:t>
      </w:r>
      <w:r w:rsidRPr="00281D6C">
        <w:rPr>
          <w:rFonts w:cs="Times New Roman"/>
          <w:sz w:val="24"/>
          <w:szCs w:val="24"/>
        </w:rPr>
        <w:t xml:space="preserve"> This session was chaired </w:t>
      </w:r>
      <w:r w:rsidR="00707DD6">
        <w:rPr>
          <w:rFonts w:cs="Times New Roman"/>
          <w:sz w:val="24"/>
          <w:szCs w:val="24"/>
        </w:rPr>
        <w:t xml:space="preserve">by </w:t>
      </w:r>
      <w:r w:rsidRPr="00281D6C">
        <w:rPr>
          <w:rFonts w:eastAsia="Times New Roman" w:cs="Times New Roman"/>
          <w:bCs/>
          <w:sz w:val="24"/>
          <w:szCs w:val="24"/>
          <w:lang w:eastAsia="en-GB"/>
        </w:rPr>
        <w:t xml:space="preserve">H.E. Mr. Marc </w:t>
      </w:r>
      <w:proofErr w:type="spellStart"/>
      <w:r w:rsidRPr="00281D6C">
        <w:rPr>
          <w:rFonts w:eastAsia="Times New Roman" w:cs="Times New Roman"/>
          <w:bCs/>
          <w:sz w:val="24"/>
          <w:szCs w:val="24"/>
          <w:lang w:eastAsia="en-GB"/>
        </w:rPr>
        <w:t>Pecsteen</w:t>
      </w:r>
      <w:proofErr w:type="spellEnd"/>
      <w:r w:rsidRPr="00281D6C">
        <w:rPr>
          <w:rFonts w:eastAsia="Times New Roman" w:cs="Times New Roman"/>
          <w:sz w:val="24"/>
          <w:szCs w:val="24"/>
          <w:lang w:eastAsia="en-GB"/>
        </w:rPr>
        <w:t>, Vice-President of ECOSOC</w:t>
      </w:r>
      <w:r w:rsidRPr="00281D6C">
        <w:rPr>
          <w:rFonts w:cs="Times New Roman"/>
          <w:sz w:val="24"/>
          <w:szCs w:val="24"/>
        </w:rPr>
        <w:t xml:space="preserve"> and </w:t>
      </w:r>
      <w:r w:rsidRPr="00281D6C">
        <w:rPr>
          <w:rFonts w:eastAsia="Times New Roman" w:cs="Times New Roman"/>
          <w:bCs/>
          <w:sz w:val="24"/>
          <w:szCs w:val="24"/>
          <w:lang w:eastAsia="en-GB"/>
        </w:rPr>
        <w:t>H.E. Ms. Henrietta Elizabeth Thompson</w:t>
      </w:r>
      <w:r w:rsidRPr="00281D6C">
        <w:rPr>
          <w:rFonts w:eastAsia="Times New Roman" w:cs="Times New Roman"/>
          <w:sz w:val="24"/>
          <w:szCs w:val="24"/>
          <w:lang w:eastAsia="en-GB"/>
        </w:rPr>
        <w:t xml:space="preserve">, Permanent Representative of Barbados to the UN and former Minister for Energy and Environment of Barbados. </w:t>
      </w:r>
    </w:p>
    <w:p w14:paraId="361DE6C3" w14:textId="1024B47A" w:rsidR="005D6978" w:rsidRPr="00FF73DA" w:rsidRDefault="001C3106" w:rsidP="00FF73DA">
      <w:pPr>
        <w:rPr>
          <w:rFonts w:ascii="Times New Roman" w:eastAsia="Times New Roman" w:hAnsi="Times New Roman" w:cs="Times New Roman"/>
          <w:sz w:val="24"/>
          <w:szCs w:val="24"/>
          <w:lang w:val="en-US"/>
        </w:rPr>
      </w:pPr>
      <w:r w:rsidRPr="00281D6C">
        <w:rPr>
          <w:rFonts w:cs="Times New Roman"/>
          <w:sz w:val="24"/>
          <w:szCs w:val="24"/>
        </w:rPr>
        <w:t xml:space="preserve">During this session, on behalf of </w:t>
      </w:r>
      <w:r w:rsidR="0013150F" w:rsidRPr="00281D6C">
        <w:rPr>
          <w:rFonts w:cs="Times New Roman"/>
          <w:sz w:val="24"/>
          <w:szCs w:val="24"/>
        </w:rPr>
        <w:t xml:space="preserve">the </w:t>
      </w:r>
      <w:r w:rsidR="00DB208E">
        <w:rPr>
          <w:rFonts w:cs="Times New Roman"/>
          <w:sz w:val="24"/>
          <w:szCs w:val="24"/>
        </w:rPr>
        <w:t>Stakeholder Group</w:t>
      </w:r>
      <w:r w:rsidRPr="00281D6C">
        <w:rPr>
          <w:rFonts w:cs="Times New Roman"/>
          <w:sz w:val="24"/>
          <w:szCs w:val="24"/>
        </w:rPr>
        <w:t xml:space="preserve"> </w:t>
      </w:r>
      <w:r w:rsidR="00DB208E">
        <w:rPr>
          <w:rFonts w:cs="Times New Roman"/>
          <w:sz w:val="24"/>
          <w:szCs w:val="24"/>
        </w:rPr>
        <w:t>of</w:t>
      </w:r>
      <w:r w:rsidRPr="00281D6C">
        <w:rPr>
          <w:rFonts w:cs="Times New Roman"/>
          <w:sz w:val="24"/>
          <w:szCs w:val="24"/>
        </w:rPr>
        <w:t xml:space="preserve"> </w:t>
      </w:r>
      <w:r w:rsidR="00DB208E">
        <w:rPr>
          <w:rFonts w:cs="Times New Roman"/>
          <w:sz w:val="24"/>
          <w:szCs w:val="24"/>
        </w:rPr>
        <w:t>P</w:t>
      </w:r>
      <w:r w:rsidRPr="00281D6C">
        <w:rPr>
          <w:rFonts w:cs="Times New Roman"/>
          <w:sz w:val="24"/>
          <w:szCs w:val="24"/>
        </w:rPr>
        <w:t xml:space="preserve">ersons with </w:t>
      </w:r>
      <w:r w:rsidR="00DB208E">
        <w:rPr>
          <w:rFonts w:cs="Times New Roman"/>
          <w:sz w:val="24"/>
          <w:szCs w:val="24"/>
        </w:rPr>
        <w:t>D</w:t>
      </w:r>
      <w:r w:rsidRPr="00281D6C">
        <w:rPr>
          <w:rFonts w:cs="Times New Roman"/>
          <w:sz w:val="24"/>
          <w:szCs w:val="24"/>
        </w:rPr>
        <w:t>isa</w:t>
      </w:r>
      <w:r w:rsidR="0013150F" w:rsidRPr="00281D6C">
        <w:rPr>
          <w:rFonts w:cs="Times New Roman"/>
          <w:sz w:val="24"/>
          <w:szCs w:val="24"/>
        </w:rPr>
        <w:t xml:space="preserve">bilities, </w:t>
      </w:r>
      <w:proofErr w:type="spellStart"/>
      <w:r w:rsidR="0013150F" w:rsidRPr="00281D6C">
        <w:rPr>
          <w:rFonts w:cs="Times New Roman"/>
          <w:sz w:val="24"/>
          <w:szCs w:val="24"/>
        </w:rPr>
        <w:t>Savina</w:t>
      </w:r>
      <w:proofErr w:type="spellEnd"/>
      <w:r w:rsidR="00301C8C">
        <w:rPr>
          <w:rFonts w:ascii="Times New Roman" w:eastAsia="Times New Roman" w:hAnsi="Times New Roman" w:cs="Times New Roman"/>
          <w:sz w:val="24"/>
          <w:szCs w:val="24"/>
          <w:lang w:val="en-US"/>
        </w:rPr>
        <w:t xml:space="preserve"> </w:t>
      </w:r>
      <w:proofErr w:type="spellStart"/>
      <w:r w:rsidR="00301C8C" w:rsidRPr="00FF73DA">
        <w:rPr>
          <w:rFonts w:ascii="Calibri" w:eastAsia="Times New Roman" w:hAnsi="Calibri" w:cs="Calibri"/>
          <w:sz w:val="24"/>
          <w:szCs w:val="24"/>
          <w:lang w:val="en-US"/>
        </w:rPr>
        <w:t>Nongebatu</w:t>
      </w:r>
      <w:proofErr w:type="spellEnd"/>
      <w:r w:rsidR="00301C8C" w:rsidRPr="00FF73DA">
        <w:rPr>
          <w:rFonts w:ascii="Calibri" w:eastAsia="Times New Roman" w:hAnsi="Calibri" w:cs="Calibri"/>
          <w:lang w:val="en-US"/>
        </w:rPr>
        <w:t xml:space="preserve"> </w:t>
      </w:r>
      <w:r w:rsidR="0013150F" w:rsidRPr="00281D6C">
        <w:rPr>
          <w:rFonts w:cs="Times New Roman"/>
          <w:sz w:val="24"/>
          <w:szCs w:val="24"/>
        </w:rPr>
        <w:t xml:space="preserve">stressed that </w:t>
      </w:r>
      <w:r w:rsidRPr="00281D6C">
        <w:rPr>
          <w:rFonts w:cs="Times New Roman"/>
          <w:sz w:val="24"/>
          <w:szCs w:val="24"/>
        </w:rPr>
        <w:t xml:space="preserve">SIDS should take steps to ensure </w:t>
      </w:r>
      <w:r w:rsidR="00813A0D">
        <w:rPr>
          <w:rFonts w:cs="Times New Roman"/>
          <w:sz w:val="24"/>
          <w:szCs w:val="24"/>
        </w:rPr>
        <w:t xml:space="preserve">the </w:t>
      </w:r>
      <w:r w:rsidRPr="00281D6C">
        <w:rPr>
          <w:rFonts w:cs="Times New Roman"/>
          <w:sz w:val="24"/>
          <w:szCs w:val="24"/>
        </w:rPr>
        <w:t xml:space="preserve">active participation of persons with disabilities in all disaster risk management planning and implementation. </w:t>
      </w:r>
      <w:r w:rsidR="00796AEC">
        <w:rPr>
          <w:rFonts w:cs="Times New Roman"/>
          <w:sz w:val="24"/>
          <w:szCs w:val="24"/>
        </w:rPr>
        <w:t xml:space="preserve">She urged </w:t>
      </w:r>
      <w:r w:rsidR="00657A50">
        <w:rPr>
          <w:rFonts w:cs="Times New Roman"/>
          <w:sz w:val="24"/>
          <w:szCs w:val="24"/>
        </w:rPr>
        <w:t>Member S</w:t>
      </w:r>
      <w:r w:rsidRPr="00281D6C">
        <w:rPr>
          <w:rFonts w:cs="Times New Roman"/>
          <w:sz w:val="24"/>
          <w:szCs w:val="24"/>
        </w:rPr>
        <w:t xml:space="preserve">tates </w:t>
      </w:r>
      <w:r w:rsidR="00796AEC">
        <w:rPr>
          <w:rFonts w:cs="Times New Roman"/>
          <w:sz w:val="24"/>
          <w:szCs w:val="24"/>
        </w:rPr>
        <w:t>to</w:t>
      </w:r>
      <w:r w:rsidR="00796AEC" w:rsidRPr="00281D6C">
        <w:rPr>
          <w:rFonts w:cs="Times New Roman"/>
          <w:sz w:val="24"/>
          <w:szCs w:val="24"/>
        </w:rPr>
        <w:t xml:space="preserve"> </w:t>
      </w:r>
      <w:r w:rsidRPr="00281D6C">
        <w:rPr>
          <w:rFonts w:cs="Times New Roman"/>
          <w:sz w:val="24"/>
          <w:szCs w:val="24"/>
        </w:rPr>
        <w:t xml:space="preserve">incorporate the Universal Design principle </w:t>
      </w:r>
      <w:r w:rsidR="000A16D1">
        <w:rPr>
          <w:rFonts w:cs="Times New Roman"/>
          <w:sz w:val="24"/>
          <w:szCs w:val="24"/>
        </w:rPr>
        <w:t>to</w:t>
      </w:r>
      <w:r w:rsidR="00DB208E">
        <w:rPr>
          <w:rFonts w:cs="Times New Roman"/>
          <w:sz w:val="24"/>
          <w:szCs w:val="24"/>
        </w:rPr>
        <w:t xml:space="preserve"> </w:t>
      </w:r>
      <w:r w:rsidRPr="00281D6C">
        <w:rPr>
          <w:rFonts w:cs="Times New Roman"/>
          <w:sz w:val="24"/>
          <w:szCs w:val="24"/>
        </w:rPr>
        <w:t>ensu</w:t>
      </w:r>
      <w:r w:rsidR="000A16D1">
        <w:rPr>
          <w:rFonts w:cs="Times New Roman"/>
          <w:sz w:val="24"/>
          <w:szCs w:val="24"/>
        </w:rPr>
        <w:t>re</w:t>
      </w:r>
      <w:r w:rsidRPr="00281D6C">
        <w:rPr>
          <w:rFonts w:cs="Times New Roman"/>
          <w:sz w:val="24"/>
          <w:szCs w:val="24"/>
        </w:rPr>
        <w:t xml:space="preserve"> that </w:t>
      </w:r>
      <w:r w:rsidRPr="00D55B71">
        <w:rPr>
          <w:rFonts w:cstheme="minorHAnsi"/>
          <w:sz w:val="24"/>
          <w:szCs w:val="24"/>
        </w:rPr>
        <w:t xml:space="preserve">information, buildings, products and environments are inherently accessible from the outset. </w:t>
      </w:r>
      <w:hyperlink r:id="rId15" w:history="1">
        <w:r w:rsidR="00D55B71" w:rsidRPr="00D55B71">
          <w:rPr>
            <w:rStyle w:val="Hyperlink"/>
            <w:rFonts w:cstheme="minorHAnsi"/>
            <w:b/>
            <w:bCs/>
            <w:color w:val="3354A0"/>
            <w:sz w:val="24"/>
            <w:szCs w:val="24"/>
          </w:rPr>
          <w:t>Click here to read he</w:t>
        </w:r>
        <w:r w:rsidR="0056011E">
          <w:rPr>
            <w:rStyle w:val="Hyperlink"/>
            <w:rFonts w:cstheme="minorHAnsi"/>
            <w:b/>
            <w:bCs/>
            <w:color w:val="3354A0"/>
            <w:sz w:val="24"/>
            <w:szCs w:val="24"/>
          </w:rPr>
          <w:t>r</w:t>
        </w:r>
        <w:r w:rsidR="00D55B71" w:rsidRPr="00D55B71">
          <w:rPr>
            <w:rStyle w:val="Hyperlink"/>
            <w:rFonts w:cstheme="minorHAnsi"/>
            <w:b/>
            <w:bCs/>
            <w:color w:val="3354A0"/>
            <w:sz w:val="24"/>
            <w:szCs w:val="24"/>
          </w:rPr>
          <w:t xml:space="preserve"> full statement.</w:t>
        </w:r>
      </w:hyperlink>
    </w:p>
    <w:p w14:paraId="342A8BA0" w14:textId="712FA257" w:rsidR="00004505" w:rsidRPr="00281D6C" w:rsidRDefault="000A16D1" w:rsidP="00FF73DA">
      <w:pPr>
        <w:pStyle w:val="Heading2"/>
      </w:pPr>
      <w:bookmarkStart w:id="19" w:name="_Toc531264873"/>
      <w:r w:rsidRPr="00281D6C">
        <w:lastRenderedPageBreak/>
        <w:t>T</w:t>
      </w:r>
      <w:r>
        <w:t>ransformation</w:t>
      </w:r>
      <w:r w:rsidRPr="00281D6C">
        <w:t xml:space="preserve"> </w:t>
      </w:r>
      <w:r>
        <w:t>towards</w:t>
      </w:r>
      <w:r w:rsidR="00143D58" w:rsidRPr="00281D6C">
        <w:t xml:space="preserve"> </w:t>
      </w:r>
      <w:r>
        <w:t>sustainable</w:t>
      </w:r>
      <w:r w:rsidR="00143D58" w:rsidRPr="00281D6C">
        <w:t xml:space="preserve"> </w:t>
      </w:r>
      <w:r>
        <w:t>and resilient societies</w:t>
      </w:r>
      <w:r w:rsidR="00143D58" w:rsidRPr="00281D6C">
        <w:t xml:space="preserve"> – LDC, LLDC, AND MIC</w:t>
      </w:r>
      <w:r>
        <w:t xml:space="preserve"> perspectives</w:t>
      </w:r>
      <w:bookmarkEnd w:id="19"/>
    </w:p>
    <w:p w14:paraId="5F3B4939" w14:textId="559DE873" w:rsidR="00D45853" w:rsidRPr="00281D6C" w:rsidRDefault="00D45853" w:rsidP="00281D6C">
      <w:pPr>
        <w:spacing w:after="0" w:line="276" w:lineRule="auto"/>
        <w:jc w:val="both"/>
        <w:rPr>
          <w:rFonts w:cs="Times New Roman"/>
          <w:sz w:val="24"/>
          <w:szCs w:val="24"/>
        </w:rPr>
      </w:pPr>
      <w:r w:rsidRPr="00281D6C">
        <w:rPr>
          <w:rFonts w:cs="Times New Roman"/>
          <w:sz w:val="24"/>
          <w:szCs w:val="24"/>
          <w:shd w:val="clear" w:color="auto" w:fill="FFFFFF"/>
        </w:rPr>
        <w:t xml:space="preserve">This thematic review session was organized to evaluate the progress and challenges in achieving transformation towards sustainable and resilient societies in the least developed countries (LDCs) and landlocked developing countries (LLDCs) </w:t>
      </w:r>
      <w:r w:rsidR="00F56C4E">
        <w:rPr>
          <w:rFonts w:cs="Times New Roman"/>
          <w:sz w:val="24"/>
          <w:szCs w:val="24"/>
          <w:shd w:val="clear" w:color="auto" w:fill="FFFFFF"/>
        </w:rPr>
        <w:t>which</w:t>
      </w:r>
      <w:r w:rsidR="00F56C4E" w:rsidRPr="00281D6C">
        <w:rPr>
          <w:rFonts w:cs="Times New Roman"/>
          <w:sz w:val="24"/>
          <w:szCs w:val="24"/>
          <w:shd w:val="clear" w:color="auto" w:fill="FFFFFF"/>
        </w:rPr>
        <w:t xml:space="preserve"> </w:t>
      </w:r>
      <w:r w:rsidRPr="00281D6C">
        <w:rPr>
          <w:rFonts w:cs="Times New Roman"/>
          <w:sz w:val="24"/>
          <w:szCs w:val="24"/>
          <w:shd w:val="clear" w:color="auto" w:fill="FFFFFF"/>
        </w:rPr>
        <w:t>face specific challenges</w:t>
      </w:r>
      <w:r w:rsidR="001C36C3">
        <w:rPr>
          <w:rFonts w:cs="Times New Roman"/>
          <w:sz w:val="24"/>
          <w:szCs w:val="24"/>
          <w:shd w:val="clear" w:color="auto" w:fill="FFFFFF"/>
        </w:rPr>
        <w:t>.</w:t>
      </w:r>
      <w:r w:rsidRPr="00281D6C">
        <w:rPr>
          <w:rFonts w:cs="Times New Roman"/>
          <w:sz w:val="24"/>
          <w:szCs w:val="24"/>
          <w:shd w:val="clear" w:color="auto" w:fill="FFFFFF"/>
        </w:rPr>
        <w:t xml:space="preserve"> </w:t>
      </w:r>
      <w:r w:rsidR="008C1854">
        <w:rPr>
          <w:rFonts w:cs="Times New Roman"/>
          <w:sz w:val="24"/>
          <w:szCs w:val="24"/>
          <w:shd w:val="clear" w:color="auto" w:fill="FFFFFF"/>
        </w:rPr>
        <w:t>It was noted that t</w:t>
      </w:r>
      <w:r w:rsidR="001C36C3">
        <w:rPr>
          <w:rFonts w:cs="Times New Roman"/>
          <w:sz w:val="24"/>
          <w:szCs w:val="24"/>
          <w:shd w:val="clear" w:color="auto" w:fill="FFFFFF"/>
        </w:rPr>
        <w:t>hese countries</w:t>
      </w:r>
      <w:r w:rsidR="002111F2">
        <w:rPr>
          <w:rFonts w:cs="Times New Roman"/>
          <w:sz w:val="24"/>
          <w:szCs w:val="24"/>
          <w:shd w:val="clear" w:color="auto" w:fill="FFFFFF"/>
        </w:rPr>
        <w:t xml:space="preserve"> must</w:t>
      </w:r>
      <w:r w:rsidRPr="00281D6C">
        <w:rPr>
          <w:rFonts w:cs="Times New Roman"/>
          <w:sz w:val="24"/>
          <w:szCs w:val="24"/>
          <w:shd w:val="clear" w:color="auto" w:fill="FFFFFF"/>
        </w:rPr>
        <w:t xml:space="preserve"> be prioritized</w:t>
      </w:r>
      <w:r w:rsidR="001E012F">
        <w:rPr>
          <w:rFonts w:cs="Times New Roman"/>
          <w:sz w:val="24"/>
          <w:szCs w:val="24"/>
          <w:shd w:val="clear" w:color="auto" w:fill="FFFFFF"/>
        </w:rPr>
        <w:t>,</w:t>
      </w:r>
      <w:r w:rsidRPr="00281D6C">
        <w:rPr>
          <w:rFonts w:cs="Times New Roman"/>
          <w:sz w:val="24"/>
          <w:szCs w:val="24"/>
          <w:shd w:val="clear" w:color="auto" w:fill="FFFFFF"/>
        </w:rPr>
        <w:t xml:space="preserve"> and </w:t>
      </w:r>
      <w:r w:rsidR="002A611A">
        <w:rPr>
          <w:rFonts w:cs="Times New Roman"/>
          <w:sz w:val="24"/>
          <w:szCs w:val="24"/>
          <w:shd w:val="clear" w:color="auto" w:fill="FFFFFF"/>
        </w:rPr>
        <w:t xml:space="preserve">the challenges must be </w:t>
      </w:r>
      <w:r w:rsidRPr="00281D6C">
        <w:rPr>
          <w:rFonts w:cs="Times New Roman"/>
          <w:sz w:val="24"/>
          <w:szCs w:val="24"/>
          <w:shd w:val="clear" w:color="auto" w:fill="FFFFFF"/>
        </w:rPr>
        <w:t xml:space="preserve">overcome if no one is to be left behind in </w:t>
      </w:r>
      <w:r w:rsidR="00BC7774">
        <w:rPr>
          <w:rFonts w:cs="Times New Roman"/>
          <w:sz w:val="24"/>
          <w:szCs w:val="24"/>
          <w:shd w:val="clear" w:color="auto" w:fill="FFFFFF"/>
        </w:rPr>
        <w:t>achieving</w:t>
      </w:r>
      <w:r w:rsidR="00BC7774" w:rsidRPr="00281D6C">
        <w:rPr>
          <w:rFonts w:cs="Times New Roman"/>
          <w:sz w:val="24"/>
          <w:szCs w:val="24"/>
          <w:shd w:val="clear" w:color="auto" w:fill="FFFFFF"/>
        </w:rPr>
        <w:t xml:space="preserve"> </w:t>
      </w:r>
      <w:r w:rsidRPr="00281D6C">
        <w:rPr>
          <w:rFonts w:cs="Times New Roman"/>
          <w:sz w:val="24"/>
          <w:szCs w:val="24"/>
          <w:shd w:val="clear" w:color="auto" w:fill="FFFFFF"/>
        </w:rPr>
        <w:t xml:space="preserve">the SDGs. </w:t>
      </w:r>
      <w:r w:rsidR="00232479">
        <w:rPr>
          <w:rFonts w:cs="Times New Roman"/>
          <w:sz w:val="24"/>
          <w:szCs w:val="24"/>
          <w:shd w:val="clear" w:color="auto" w:fill="FFFFFF"/>
        </w:rPr>
        <w:t xml:space="preserve">This session </w:t>
      </w:r>
      <w:r w:rsidRPr="00281D6C">
        <w:rPr>
          <w:rFonts w:cs="Times New Roman"/>
          <w:sz w:val="24"/>
          <w:szCs w:val="24"/>
          <w:shd w:val="clear" w:color="auto" w:fill="FFFFFF"/>
        </w:rPr>
        <w:t>also addressed the specific challenges faced by middle-income countries (MICs).</w:t>
      </w:r>
    </w:p>
    <w:p w14:paraId="0074F038" w14:textId="77777777" w:rsidR="00195124" w:rsidRDefault="00195124" w:rsidP="00281D6C">
      <w:pPr>
        <w:spacing w:after="0" w:line="276" w:lineRule="auto"/>
        <w:jc w:val="both"/>
        <w:rPr>
          <w:rFonts w:cs="Times New Roman"/>
          <w:sz w:val="24"/>
          <w:szCs w:val="24"/>
        </w:rPr>
      </w:pPr>
    </w:p>
    <w:p w14:paraId="21304606" w14:textId="3BD312F0" w:rsidR="001C3106" w:rsidRPr="00281D6C" w:rsidRDefault="001C3106" w:rsidP="00281D6C">
      <w:pPr>
        <w:spacing w:after="0" w:line="276" w:lineRule="auto"/>
        <w:jc w:val="both"/>
        <w:rPr>
          <w:rFonts w:cs="Times New Roman"/>
          <w:sz w:val="24"/>
          <w:szCs w:val="24"/>
        </w:rPr>
      </w:pPr>
      <w:r w:rsidRPr="00281D6C">
        <w:rPr>
          <w:rFonts w:cs="Times New Roman"/>
          <w:sz w:val="24"/>
          <w:szCs w:val="24"/>
        </w:rPr>
        <w:t>The lead discussant</w:t>
      </w:r>
      <w:r w:rsidR="00B91947">
        <w:rPr>
          <w:rFonts w:cs="Times New Roman"/>
          <w:sz w:val="24"/>
          <w:szCs w:val="24"/>
        </w:rPr>
        <w:t>,</w:t>
      </w:r>
      <w:r w:rsidRPr="00281D6C">
        <w:rPr>
          <w:rFonts w:cs="Times New Roman"/>
          <w:sz w:val="24"/>
          <w:szCs w:val="24"/>
        </w:rPr>
        <w:t xml:space="preserve"> </w:t>
      </w:r>
      <w:proofErr w:type="spellStart"/>
      <w:r w:rsidRPr="00281D6C">
        <w:rPr>
          <w:rFonts w:cs="Times New Roman"/>
          <w:sz w:val="24"/>
          <w:szCs w:val="24"/>
        </w:rPr>
        <w:t>Idriss</w:t>
      </w:r>
      <w:proofErr w:type="spellEnd"/>
      <w:r w:rsidR="00D35D4D">
        <w:rPr>
          <w:rFonts w:cs="Times New Roman"/>
          <w:sz w:val="24"/>
          <w:szCs w:val="24"/>
        </w:rPr>
        <w:t xml:space="preserve"> </w:t>
      </w:r>
      <w:proofErr w:type="spellStart"/>
      <w:r w:rsidRPr="00281D6C">
        <w:rPr>
          <w:rFonts w:cs="Times New Roman"/>
          <w:sz w:val="24"/>
          <w:szCs w:val="24"/>
        </w:rPr>
        <w:t>Alzouma</w:t>
      </w:r>
      <w:proofErr w:type="spellEnd"/>
      <w:r w:rsidR="00D35D4D">
        <w:rPr>
          <w:rFonts w:cs="Times New Roman"/>
          <w:sz w:val="24"/>
          <w:szCs w:val="24"/>
        </w:rPr>
        <w:t xml:space="preserve"> </w:t>
      </w:r>
      <w:proofErr w:type="spellStart"/>
      <w:r w:rsidRPr="00281D6C">
        <w:rPr>
          <w:rFonts w:cs="Times New Roman"/>
          <w:sz w:val="24"/>
          <w:szCs w:val="24"/>
        </w:rPr>
        <w:t>Maiga</w:t>
      </w:r>
      <w:proofErr w:type="spellEnd"/>
      <w:r w:rsidR="00B91947">
        <w:rPr>
          <w:rFonts w:cs="Times New Roman"/>
          <w:sz w:val="24"/>
          <w:szCs w:val="24"/>
        </w:rPr>
        <w:t>,</w:t>
      </w:r>
      <w:r w:rsidRPr="00281D6C">
        <w:rPr>
          <w:rFonts w:cs="Times New Roman"/>
          <w:sz w:val="24"/>
          <w:szCs w:val="24"/>
        </w:rPr>
        <w:t xml:space="preserve"> </w:t>
      </w:r>
      <w:r w:rsidR="00B91947">
        <w:rPr>
          <w:rFonts w:cs="Times New Roman"/>
          <w:sz w:val="24"/>
          <w:szCs w:val="24"/>
        </w:rPr>
        <w:t>P</w:t>
      </w:r>
      <w:r w:rsidRPr="00281D6C">
        <w:rPr>
          <w:rFonts w:cs="Times New Roman"/>
          <w:sz w:val="24"/>
          <w:szCs w:val="24"/>
        </w:rPr>
        <w:t xml:space="preserve">resident of </w:t>
      </w:r>
      <w:r w:rsidR="00DF0079">
        <w:rPr>
          <w:rFonts w:cs="Times New Roman"/>
          <w:sz w:val="24"/>
          <w:szCs w:val="24"/>
        </w:rPr>
        <w:t>ADF and WAFOD</w:t>
      </w:r>
      <w:r w:rsidR="00B91947">
        <w:rPr>
          <w:rFonts w:cs="Times New Roman"/>
          <w:sz w:val="24"/>
          <w:szCs w:val="24"/>
        </w:rPr>
        <w:t>,</w:t>
      </w:r>
      <w:r w:rsidRPr="00281D6C">
        <w:rPr>
          <w:rFonts w:cs="Times New Roman"/>
          <w:sz w:val="24"/>
          <w:szCs w:val="24"/>
        </w:rPr>
        <w:t xml:space="preserve"> </w:t>
      </w:r>
      <w:r w:rsidR="00042E1B" w:rsidRPr="00281D6C">
        <w:rPr>
          <w:rFonts w:cs="Times New Roman"/>
          <w:sz w:val="24"/>
          <w:szCs w:val="24"/>
        </w:rPr>
        <w:t>highlighted that climate change, debt sustainability, economic growth and sustainable livelihoods, access to markets and sustainable transport are some of the major challenges for the world. LDCs, LLDCs, MICs, and conflict and post-conflict countries</w:t>
      </w:r>
      <w:r w:rsidR="000C78C0">
        <w:rPr>
          <w:rFonts w:cs="Times New Roman"/>
          <w:sz w:val="24"/>
          <w:szCs w:val="24"/>
        </w:rPr>
        <w:t>,</w:t>
      </w:r>
      <w:r w:rsidR="00042E1B" w:rsidRPr="00281D6C">
        <w:rPr>
          <w:rFonts w:cs="Times New Roman"/>
          <w:sz w:val="24"/>
          <w:szCs w:val="24"/>
        </w:rPr>
        <w:t xml:space="preserve"> with their structural vulnerabilities</w:t>
      </w:r>
      <w:r w:rsidR="000C78C0">
        <w:rPr>
          <w:rFonts w:cs="Times New Roman"/>
          <w:sz w:val="24"/>
          <w:szCs w:val="24"/>
        </w:rPr>
        <w:t>,</w:t>
      </w:r>
      <w:r w:rsidR="00042E1B" w:rsidRPr="00281D6C">
        <w:rPr>
          <w:rFonts w:cs="Times New Roman"/>
          <w:sz w:val="24"/>
          <w:szCs w:val="24"/>
        </w:rPr>
        <w:t xml:space="preserve"> are affected </w:t>
      </w:r>
      <w:r w:rsidR="008E1857">
        <w:rPr>
          <w:rFonts w:cs="Times New Roman"/>
          <w:sz w:val="24"/>
          <w:szCs w:val="24"/>
        </w:rPr>
        <w:t xml:space="preserve">by these challenges </w:t>
      </w:r>
      <w:r w:rsidR="00042E1B" w:rsidRPr="00281D6C">
        <w:rPr>
          <w:rFonts w:cs="Times New Roman"/>
          <w:sz w:val="24"/>
          <w:szCs w:val="24"/>
        </w:rPr>
        <w:t xml:space="preserve">much more. The overall social crisis creates a </w:t>
      </w:r>
      <w:r w:rsidR="007B2F86">
        <w:rPr>
          <w:rFonts w:cs="Times New Roman"/>
          <w:sz w:val="24"/>
          <w:szCs w:val="24"/>
        </w:rPr>
        <w:t>substantial</w:t>
      </w:r>
      <w:r w:rsidR="00042E1B" w:rsidRPr="00281D6C">
        <w:rPr>
          <w:rFonts w:cs="Times New Roman"/>
          <w:sz w:val="24"/>
          <w:szCs w:val="24"/>
        </w:rPr>
        <w:t xml:space="preserve"> burden on persons with disabilities</w:t>
      </w:r>
      <w:r w:rsidR="002A3E5D">
        <w:rPr>
          <w:rFonts w:cs="Times New Roman"/>
          <w:sz w:val="24"/>
          <w:szCs w:val="24"/>
        </w:rPr>
        <w:t>,</w:t>
      </w:r>
      <w:r w:rsidR="00042E1B" w:rsidRPr="00281D6C">
        <w:rPr>
          <w:rFonts w:cs="Times New Roman"/>
          <w:sz w:val="24"/>
          <w:szCs w:val="24"/>
        </w:rPr>
        <w:t xml:space="preserve"> as one of the most marginalized groups in society.  He recommended </w:t>
      </w:r>
      <w:r w:rsidR="00D35D4D" w:rsidRPr="00281D6C">
        <w:rPr>
          <w:rFonts w:cs="Times New Roman"/>
          <w:sz w:val="24"/>
          <w:szCs w:val="24"/>
        </w:rPr>
        <w:t>that as</w:t>
      </w:r>
      <w:r w:rsidR="00E17BD7" w:rsidRPr="00281D6C">
        <w:rPr>
          <w:rFonts w:cs="Times New Roman"/>
          <w:sz w:val="24"/>
          <w:szCs w:val="24"/>
        </w:rPr>
        <w:t xml:space="preserve"> we approach the 2020 deadline of the Istanbul Program of Action for LDCs,</w:t>
      </w:r>
      <w:r w:rsidR="00042E1B" w:rsidRPr="00281D6C">
        <w:rPr>
          <w:rFonts w:cs="Times New Roman"/>
          <w:sz w:val="24"/>
          <w:szCs w:val="24"/>
        </w:rPr>
        <w:t xml:space="preserve"> additional steps should be </w:t>
      </w:r>
      <w:r w:rsidR="0062630F">
        <w:rPr>
          <w:rFonts w:cs="Times New Roman"/>
          <w:sz w:val="24"/>
          <w:szCs w:val="24"/>
        </w:rPr>
        <w:t xml:space="preserve">taken </w:t>
      </w:r>
      <w:r w:rsidR="00042E1B" w:rsidRPr="00281D6C">
        <w:rPr>
          <w:rFonts w:cs="Times New Roman"/>
          <w:sz w:val="24"/>
          <w:szCs w:val="24"/>
        </w:rPr>
        <w:t>to address the remaining</w:t>
      </w:r>
      <w:r w:rsidR="0056368B" w:rsidRPr="00281D6C">
        <w:rPr>
          <w:rFonts w:cs="Times New Roman"/>
          <w:sz w:val="24"/>
          <w:szCs w:val="24"/>
        </w:rPr>
        <w:t xml:space="preserve"> key challenges</w:t>
      </w:r>
      <w:r w:rsidR="00BB25C9">
        <w:rPr>
          <w:rFonts w:cs="Times New Roman"/>
          <w:sz w:val="24"/>
          <w:szCs w:val="24"/>
        </w:rPr>
        <w:t>.</w:t>
      </w:r>
      <w:r w:rsidR="0056368B" w:rsidRPr="00281D6C">
        <w:rPr>
          <w:rFonts w:cs="Times New Roman"/>
          <w:sz w:val="24"/>
          <w:szCs w:val="24"/>
        </w:rPr>
        <w:t xml:space="preserve"> </w:t>
      </w:r>
      <w:r w:rsidR="00BB25C9">
        <w:rPr>
          <w:rFonts w:cs="Times New Roman"/>
          <w:sz w:val="24"/>
          <w:szCs w:val="24"/>
        </w:rPr>
        <w:t>T</w:t>
      </w:r>
      <w:r w:rsidR="0056368B" w:rsidRPr="00281D6C">
        <w:rPr>
          <w:rFonts w:cs="Times New Roman"/>
          <w:sz w:val="24"/>
          <w:szCs w:val="24"/>
        </w:rPr>
        <w:t>hese steps include</w:t>
      </w:r>
      <w:r w:rsidR="007D1232">
        <w:rPr>
          <w:rFonts w:cs="Times New Roman"/>
          <w:sz w:val="24"/>
          <w:szCs w:val="24"/>
        </w:rPr>
        <w:t>:</w:t>
      </w:r>
    </w:p>
    <w:p w14:paraId="53FB1811" w14:textId="2B8A4C44" w:rsidR="0056368B" w:rsidRPr="00281D6C" w:rsidRDefault="0056368B" w:rsidP="00281D6C">
      <w:pPr>
        <w:pStyle w:val="ListParagraph"/>
        <w:numPr>
          <w:ilvl w:val="0"/>
          <w:numId w:val="5"/>
        </w:numPr>
        <w:spacing w:after="0" w:line="276" w:lineRule="auto"/>
        <w:jc w:val="both"/>
        <w:rPr>
          <w:rFonts w:cs="Times New Roman"/>
          <w:sz w:val="24"/>
          <w:szCs w:val="24"/>
        </w:rPr>
      </w:pPr>
      <w:r w:rsidRPr="00281D6C">
        <w:rPr>
          <w:rFonts w:cs="Times New Roman"/>
          <w:sz w:val="24"/>
          <w:szCs w:val="24"/>
        </w:rPr>
        <w:t xml:space="preserve">Improve productivity, invest and guarantee inclusive economic growth to overcome the marginalization of communities, including persons with disabilities; </w:t>
      </w:r>
    </w:p>
    <w:p w14:paraId="62D718E1" w14:textId="1809C2CB" w:rsidR="0056368B" w:rsidRPr="00281D6C" w:rsidRDefault="009357A0" w:rsidP="00281D6C">
      <w:pPr>
        <w:pStyle w:val="ListParagraph"/>
        <w:numPr>
          <w:ilvl w:val="0"/>
          <w:numId w:val="5"/>
        </w:numPr>
        <w:spacing w:after="0" w:line="276" w:lineRule="auto"/>
        <w:jc w:val="both"/>
        <w:rPr>
          <w:rFonts w:cs="Times New Roman"/>
          <w:sz w:val="24"/>
          <w:szCs w:val="24"/>
        </w:rPr>
      </w:pPr>
      <w:r w:rsidRPr="00281D6C">
        <w:rPr>
          <w:rFonts w:cs="Times New Roman"/>
          <w:sz w:val="24"/>
          <w:szCs w:val="24"/>
        </w:rPr>
        <w:t>Support investment</w:t>
      </w:r>
      <w:r w:rsidR="002F5099">
        <w:rPr>
          <w:rFonts w:cs="Times New Roman"/>
          <w:sz w:val="24"/>
          <w:szCs w:val="24"/>
        </w:rPr>
        <w:t>s in</w:t>
      </w:r>
      <w:r w:rsidR="00D64EC8">
        <w:rPr>
          <w:rFonts w:cs="Times New Roman"/>
          <w:sz w:val="24"/>
          <w:szCs w:val="24"/>
        </w:rPr>
        <w:t xml:space="preserve"> </w:t>
      </w:r>
      <w:r w:rsidR="0056368B" w:rsidRPr="00281D6C">
        <w:rPr>
          <w:rFonts w:cs="Times New Roman"/>
          <w:sz w:val="24"/>
          <w:szCs w:val="24"/>
        </w:rPr>
        <w:t>accessible infrastructure, transportation and to ensure access to modern affordable and sustainable energy sources without adding additional living costs due to disability, including essential extra fuel costs on household expenditures;</w:t>
      </w:r>
    </w:p>
    <w:p w14:paraId="70E26A05" w14:textId="77777777" w:rsidR="0056368B" w:rsidRPr="00281D6C" w:rsidRDefault="0056368B" w:rsidP="00281D6C">
      <w:pPr>
        <w:pStyle w:val="ListParagraph"/>
        <w:numPr>
          <w:ilvl w:val="0"/>
          <w:numId w:val="5"/>
        </w:numPr>
        <w:spacing w:after="0" w:line="276" w:lineRule="auto"/>
        <w:jc w:val="both"/>
        <w:rPr>
          <w:rFonts w:cs="Times New Roman"/>
          <w:sz w:val="24"/>
          <w:szCs w:val="24"/>
        </w:rPr>
      </w:pPr>
      <w:r w:rsidRPr="00281D6C">
        <w:rPr>
          <w:rFonts w:cs="Times New Roman"/>
          <w:sz w:val="24"/>
          <w:szCs w:val="24"/>
        </w:rPr>
        <w:t>Support the empowerment of persons with disabilities to publicly lead and promote universally accessible response, recovery, rehabilitation and reconstruction approaches to disaster risk reduction;</w:t>
      </w:r>
    </w:p>
    <w:p w14:paraId="390A2C71" w14:textId="4982B4B8" w:rsidR="0056368B" w:rsidRPr="00281D6C" w:rsidRDefault="0056368B" w:rsidP="00281D6C">
      <w:pPr>
        <w:pStyle w:val="ListParagraph"/>
        <w:numPr>
          <w:ilvl w:val="0"/>
          <w:numId w:val="5"/>
        </w:numPr>
        <w:spacing w:after="0" w:line="276" w:lineRule="auto"/>
        <w:jc w:val="both"/>
        <w:rPr>
          <w:rFonts w:cs="Times New Roman"/>
          <w:sz w:val="24"/>
          <w:szCs w:val="24"/>
        </w:rPr>
      </w:pPr>
      <w:r w:rsidRPr="00281D6C">
        <w:rPr>
          <w:rFonts w:cs="Times New Roman"/>
          <w:sz w:val="24"/>
          <w:szCs w:val="24"/>
        </w:rPr>
        <w:t>Scale up efforts towards the localization</w:t>
      </w:r>
      <w:r w:rsidR="00140E2F">
        <w:rPr>
          <w:rFonts w:cs="Times New Roman"/>
          <w:sz w:val="24"/>
          <w:szCs w:val="24"/>
        </w:rPr>
        <w:t xml:space="preserve"> and</w:t>
      </w:r>
      <w:r w:rsidRPr="00281D6C">
        <w:rPr>
          <w:rFonts w:cs="Times New Roman"/>
          <w:sz w:val="24"/>
          <w:szCs w:val="24"/>
        </w:rPr>
        <w:t xml:space="preserve"> domestication of the SDGs and</w:t>
      </w:r>
      <w:r w:rsidR="00140E2F">
        <w:rPr>
          <w:rFonts w:cs="Times New Roman"/>
          <w:sz w:val="24"/>
          <w:szCs w:val="24"/>
        </w:rPr>
        <w:t>,</w:t>
      </w:r>
      <w:r w:rsidRPr="00281D6C">
        <w:rPr>
          <w:rFonts w:cs="Times New Roman"/>
          <w:sz w:val="24"/>
          <w:szCs w:val="24"/>
        </w:rPr>
        <w:t xml:space="preserve"> at the same time</w:t>
      </w:r>
      <w:r w:rsidR="00140E2F">
        <w:rPr>
          <w:rFonts w:cs="Times New Roman"/>
          <w:sz w:val="24"/>
          <w:szCs w:val="24"/>
        </w:rPr>
        <w:t>,</w:t>
      </w:r>
      <w:r w:rsidRPr="00281D6C">
        <w:rPr>
          <w:rFonts w:cs="Times New Roman"/>
          <w:sz w:val="24"/>
          <w:szCs w:val="24"/>
        </w:rPr>
        <w:t xml:space="preserve"> ensure the mainstreaming of disability and gender equality in local policies and programs;</w:t>
      </w:r>
    </w:p>
    <w:p w14:paraId="5657B0CF" w14:textId="788D2CA7" w:rsidR="0056368B" w:rsidRPr="00281D6C" w:rsidRDefault="0056368B" w:rsidP="00281D6C">
      <w:pPr>
        <w:pStyle w:val="ListParagraph"/>
        <w:numPr>
          <w:ilvl w:val="0"/>
          <w:numId w:val="5"/>
        </w:numPr>
        <w:spacing w:after="0" w:line="276" w:lineRule="auto"/>
        <w:jc w:val="both"/>
        <w:rPr>
          <w:rFonts w:cs="Times New Roman"/>
          <w:sz w:val="24"/>
          <w:szCs w:val="24"/>
        </w:rPr>
      </w:pPr>
      <w:bookmarkStart w:id="20" w:name="_Hlk518418193"/>
      <w:r w:rsidRPr="00281D6C">
        <w:rPr>
          <w:rFonts w:cs="Times New Roman"/>
          <w:sz w:val="24"/>
          <w:szCs w:val="24"/>
        </w:rPr>
        <w:t xml:space="preserve">Invest in high quality, timely, reliable and disaggregated data for reporting on SDGs, and foster global partnerships on data such as </w:t>
      </w:r>
      <w:r w:rsidR="00140E2F">
        <w:rPr>
          <w:rFonts w:cs="Times New Roman"/>
          <w:sz w:val="24"/>
          <w:szCs w:val="24"/>
        </w:rPr>
        <w:t>‘</w:t>
      </w:r>
      <w:r w:rsidRPr="00281D6C">
        <w:rPr>
          <w:rFonts w:cs="Times New Roman"/>
          <w:sz w:val="24"/>
          <w:szCs w:val="24"/>
        </w:rPr>
        <w:t>Together we count to be counted</w:t>
      </w:r>
      <w:r w:rsidR="00140E2F">
        <w:rPr>
          <w:rFonts w:cs="Times New Roman"/>
          <w:sz w:val="24"/>
          <w:szCs w:val="24"/>
        </w:rPr>
        <w:t>’</w:t>
      </w:r>
      <w:r w:rsidRPr="00281D6C">
        <w:rPr>
          <w:rFonts w:cs="Times New Roman"/>
          <w:sz w:val="24"/>
          <w:szCs w:val="24"/>
        </w:rPr>
        <w:t xml:space="preserve">, to ensure evidence-based policy making; </w:t>
      </w:r>
    </w:p>
    <w:bookmarkEnd w:id="20"/>
    <w:p w14:paraId="7D26D328" w14:textId="1BB583D8" w:rsidR="0056368B" w:rsidRPr="00F24933" w:rsidRDefault="0056368B" w:rsidP="00281D6C">
      <w:pPr>
        <w:pStyle w:val="ListParagraph"/>
        <w:numPr>
          <w:ilvl w:val="0"/>
          <w:numId w:val="5"/>
        </w:numPr>
        <w:spacing w:after="0" w:line="276" w:lineRule="auto"/>
        <w:jc w:val="both"/>
        <w:rPr>
          <w:rFonts w:cstheme="minorHAnsi"/>
          <w:sz w:val="24"/>
          <w:szCs w:val="24"/>
        </w:rPr>
      </w:pPr>
      <w:r w:rsidRPr="00281D6C">
        <w:rPr>
          <w:rFonts w:cs="Times New Roman"/>
          <w:sz w:val="24"/>
          <w:szCs w:val="24"/>
        </w:rPr>
        <w:t xml:space="preserve">Encourage </w:t>
      </w:r>
      <w:r w:rsidR="00140E2F">
        <w:rPr>
          <w:rFonts w:cs="Times New Roman"/>
          <w:sz w:val="24"/>
          <w:szCs w:val="24"/>
        </w:rPr>
        <w:t xml:space="preserve">Member </w:t>
      </w:r>
      <w:r w:rsidRPr="00281D6C">
        <w:rPr>
          <w:rFonts w:cs="Times New Roman"/>
          <w:sz w:val="24"/>
          <w:szCs w:val="24"/>
        </w:rPr>
        <w:t xml:space="preserve">States to fulfil their commitments to the United Nations Convention on the </w:t>
      </w:r>
      <w:r w:rsidRPr="00F24933">
        <w:rPr>
          <w:rFonts w:cstheme="minorHAnsi"/>
          <w:sz w:val="24"/>
          <w:szCs w:val="24"/>
        </w:rPr>
        <w:t>Rights of Persons with Disabilities as they implement the 2030 Agenda.</w:t>
      </w:r>
    </w:p>
    <w:p w14:paraId="557F9D31" w14:textId="77777777" w:rsidR="00D55B71" w:rsidRPr="00F24933" w:rsidRDefault="00C4148C" w:rsidP="00D55B71">
      <w:pPr>
        <w:spacing w:after="0" w:line="276" w:lineRule="auto"/>
        <w:jc w:val="both"/>
        <w:rPr>
          <w:rFonts w:cstheme="minorHAnsi"/>
          <w:sz w:val="24"/>
          <w:szCs w:val="24"/>
        </w:rPr>
      </w:pPr>
      <w:hyperlink r:id="rId16" w:history="1">
        <w:r w:rsidR="00D55B71" w:rsidRPr="00F24933">
          <w:rPr>
            <w:rStyle w:val="Hyperlink"/>
            <w:rFonts w:cstheme="minorHAnsi"/>
            <w:b/>
            <w:bCs/>
            <w:color w:val="3354A0"/>
            <w:sz w:val="24"/>
            <w:szCs w:val="24"/>
          </w:rPr>
          <w:t>Click here to read his full statement.</w:t>
        </w:r>
      </w:hyperlink>
    </w:p>
    <w:p w14:paraId="1BBE3DCA" w14:textId="77777777" w:rsidR="00F24933" w:rsidRDefault="00F24933" w:rsidP="00281D6C">
      <w:pPr>
        <w:spacing w:after="0" w:line="276" w:lineRule="auto"/>
        <w:jc w:val="both"/>
        <w:rPr>
          <w:rFonts w:cs="Times New Roman"/>
          <w:b/>
          <w:sz w:val="24"/>
          <w:szCs w:val="24"/>
        </w:rPr>
      </w:pPr>
    </w:p>
    <w:p w14:paraId="6C5531D1" w14:textId="13D4E2DF" w:rsidR="001C3106" w:rsidRPr="00281D6C" w:rsidRDefault="00052389" w:rsidP="00281D6C">
      <w:pPr>
        <w:spacing w:after="0" w:line="276" w:lineRule="auto"/>
        <w:jc w:val="both"/>
        <w:rPr>
          <w:rFonts w:cs="Times New Roman"/>
          <w:sz w:val="24"/>
          <w:szCs w:val="24"/>
        </w:rPr>
      </w:pPr>
      <w:r w:rsidRPr="00281D6C">
        <w:rPr>
          <w:rFonts w:cs="Times New Roman"/>
          <w:sz w:val="24"/>
          <w:szCs w:val="24"/>
        </w:rPr>
        <w:t>During discussions</w:t>
      </w:r>
      <w:r w:rsidR="000C190D">
        <w:rPr>
          <w:rFonts w:cs="Times New Roman"/>
          <w:sz w:val="24"/>
          <w:szCs w:val="24"/>
        </w:rPr>
        <w:t>,</w:t>
      </w:r>
      <w:r w:rsidRPr="00281D6C">
        <w:rPr>
          <w:rFonts w:cs="Times New Roman"/>
          <w:sz w:val="24"/>
          <w:szCs w:val="24"/>
        </w:rPr>
        <w:t xml:space="preserve"> the NG</w:t>
      </w:r>
      <w:r w:rsidR="007D1232">
        <w:rPr>
          <w:rFonts w:cs="Times New Roman"/>
          <w:sz w:val="24"/>
          <w:szCs w:val="24"/>
        </w:rPr>
        <w:t>O</w:t>
      </w:r>
      <w:r w:rsidRPr="00281D6C">
        <w:rPr>
          <w:rFonts w:cs="Times New Roman"/>
          <w:sz w:val="24"/>
          <w:szCs w:val="24"/>
        </w:rPr>
        <w:t xml:space="preserve"> </w:t>
      </w:r>
      <w:r w:rsidR="007D1232">
        <w:rPr>
          <w:rFonts w:cs="Times New Roman"/>
          <w:sz w:val="24"/>
          <w:szCs w:val="24"/>
        </w:rPr>
        <w:t>M</w:t>
      </w:r>
      <w:r w:rsidRPr="00281D6C">
        <w:rPr>
          <w:rFonts w:cs="Times New Roman"/>
          <w:sz w:val="24"/>
          <w:szCs w:val="24"/>
        </w:rPr>
        <w:t xml:space="preserve">ajor </w:t>
      </w:r>
      <w:r w:rsidR="007D1232">
        <w:rPr>
          <w:rFonts w:cs="Times New Roman"/>
          <w:sz w:val="24"/>
          <w:szCs w:val="24"/>
        </w:rPr>
        <w:t>G</w:t>
      </w:r>
      <w:r w:rsidRPr="00281D6C">
        <w:rPr>
          <w:rFonts w:cs="Times New Roman"/>
          <w:sz w:val="24"/>
          <w:szCs w:val="24"/>
        </w:rPr>
        <w:t xml:space="preserve">roup stated that </w:t>
      </w:r>
      <w:r w:rsidR="003F79FD">
        <w:rPr>
          <w:rFonts w:cs="Times New Roman"/>
          <w:sz w:val="24"/>
          <w:szCs w:val="24"/>
        </w:rPr>
        <w:t xml:space="preserve">in order </w:t>
      </w:r>
      <w:r w:rsidRPr="00281D6C">
        <w:rPr>
          <w:rFonts w:cs="Times New Roman"/>
          <w:sz w:val="24"/>
          <w:szCs w:val="24"/>
        </w:rPr>
        <w:t>to leave no one behind, solutions should not only address the easy</w:t>
      </w:r>
      <w:r w:rsidRPr="00281D6C">
        <w:rPr>
          <w:rFonts w:cs="Times New Roman"/>
          <w:sz w:val="24"/>
          <w:szCs w:val="24"/>
        </w:rPr>
        <w:noBreakHyphen/>
        <w:t>to</w:t>
      </w:r>
      <w:r w:rsidRPr="00281D6C">
        <w:rPr>
          <w:rFonts w:cs="Times New Roman"/>
          <w:sz w:val="24"/>
          <w:szCs w:val="24"/>
        </w:rPr>
        <w:noBreakHyphen/>
        <w:t xml:space="preserve">reach </w:t>
      </w:r>
      <w:r w:rsidR="00813909">
        <w:rPr>
          <w:rFonts w:cs="Times New Roman"/>
          <w:sz w:val="24"/>
          <w:szCs w:val="24"/>
        </w:rPr>
        <w:t>and</w:t>
      </w:r>
      <w:r w:rsidRPr="00281D6C">
        <w:rPr>
          <w:rFonts w:cs="Times New Roman"/>
          <w:sz w:val="24"/>
          <w:szCs w:val="24"/>
        </w:rPr>
        <w:t xml:space="preserve"> the economically</w:t>
      </w:r>
      <w:r w:rsidR="003F79FD">
        <w:rPr>
          <w:rFonts w:cs="Times New Roman"/>
          <w:sz w:val="24"/>
          <w:szCs w:val="24"/>
        </w:rPr>
        <w:t>-</w:t>
      </w:r>
      <w:r w:rsidRPr="00281D6C">
        <w:rPr>
          <w:rFonts w:cs="Times New Roman"/>
          <w:sz w:val="24"/>
          <w:szCs w:val="24"/>
        </w:rPr>
        <w:t>developed areas</w:t>
      </w:r>
      <w:r w:rsidR="00813909">
        <w:rPr>
          <w:rFonts w:cs="Times New Roman"/>
          <w:sz w:val="24"/>
          <w:szCs w:val="24"/>
        </w:rPr>
        <w:t>.</w:t>
      </w:r>
      <w:r w:rsidRPr="00281D6C">
        <w:rPr>
          <w:rFonts w:cs="Times New Roman"/>
          <w:sz w:val="24"/>
          <w:szCs w:val="24"/>
        </w:rPr>
        <w:t xml:space="preserve"> </w:t>
      </w:r>
      <w:r w:rsidR="00813909">
        <w:rPr>
          <w:rFonts w:cs="Times New Roman"/>
          <w:sz w:val="24"/>
          <w:szCs w:val="24"/>
        </w:rPr>
        <w:t>T</w:t>
      </w:r>
      <w:r w:rsidRPr="00281D6C">
        <w:rPr>
          <w:rFonts w:cs="Times New Roman"/>
          <w:sz w:val="24"/>
          <w:szCs w:val="24"/>
        </w:rPr>
        <w:t xml:space="preserve">hey should also </w:t>
      </w:r>
      <w:r w:rsidR="00107622" w:rsidRPr="00281D6C">
        <w:rPr>
          <w:rFonts w:cs="Times New Roman"/>
          <w:sz w:val="24"/>
          <w:szCs w:val="24"/>
        </w:rPr>
        <w:t xml:space="preserve">specifically </w:t>
      </w:r>
      <w:r w:rsidRPr="00281D6C">
        <w:rPr>
          <w:rFonts w:cs="Times New Roman"/>
          <w:sz w:val="24"/>
          <w:szCs w:val="24"/>
        </w:rPr>
        <w:t>target the vulnerable, the rural and remote communities, and support the social and economic development of currently underserved citizens</w:t>
      </w:r>
      <w:r w:rsidR="00F104BF">
        <w:rPr>
          <w:rFonts w:cs="Times New Roman"/>
          <w:sz w:val="24"/>
          <w:szCs w:val="24"/>
        </w:rPr>
        <w:t>,</w:t>
      </w:r>
      <w:r w:rsidRPr="00281D6C">
        <w:rPr>
          <w:rFonts w:cs="Times New Roman"/>
          <w:sz w:val="24"/>
          <w:szCs w:val="24"/>
        </w:rPr>
        <w:t xml:space="preserve"> includ</w:t>
      </w:r>
      <w:r w:rsidR="00F104BF">
        <w:rPr>
          <w:rFonts w:cs="Times New Roman"/>
          <w:sz w:val="24"/>
          <w:szCs w:val="24"/>
        </w:rPr>
        <w:t>ing</w:t>
      </w:r>
      <w:r w:rsidRPr="00281D6C">
        <w:rPr>
          <w:rFonts w:cs="Times New Roman"/>
          <w:sz w:val="24"/>
          <w:szCs w:val="24"/>
        </w:rPr>
        <w:t xml:space="preserve"> women, refugees, youth, </w:t>
      </w:r>
      <w:r w:rsidR="007D1232">
        <w:rPr>
          <w:rFonts w:cs="Times New Roman"/>
          <w:sz w:val="24"/>
          <w:szCs w:val="24"/>
        </w:rPr>
        <w:t>p</w:t>
      </w:r>
      <w:r w:rsidRPr="00281D6C">
        <w:rPr>
          <w:rFonts w:cs="Times New Roman"/>
          <w:sz w:val="24"/>
          <w:szCs w:val="24"/>
        </w:rPr>
        <w:t xml:space="preserve">ersons with </w:t>
      </w:r>
      <w:r w:rsidR="007D1232">
        <w:rPr>
          <w:rFonts w:cs="Times New Roman"/>
          <w:sz w:val="24"/>
          <w:szCs w:val="24"/>
        </w:rPr>
        <w:t>d</w:t>
      </w:r>
      <w:r w:rsidRPr="00281D6C">
        <w:rPr>
          <w:rFonts w:cs="Times New Roman"/>
          <w:sz w:val="24"/>
          <w:szCs w:val="24"/>
        </w:rPr>
        <w:t xml:space="preserve">isabilities, and those living in poverty. For all stakeholders to advance and address </w:t>
      </w:r>
      <w:r w:rsidR="00C75D39" w:rsidRPr="00281D6C">
        <w:rPr>
          <w:rFonts w:cs="Times New Roman"/>
          <w:sz w:val="24"/>
          <w:szCs w:val="24"/>
        </w:rPr>
        <w:t xml:space="preserve">the </w:t>
      </w:r>
      <w:r w:rsidRPr="00281D6C">
        <w:rPr>
          <w:rFonts w:cs="Times New Roman"/>
          <w:sz w:val="24"/>
          <w:szCs w:val="24"/>
        </w:rPr>
        <w:t xml:space="preserve">specific needs of vulnerable communities is to act in </w:t>
      </w:r>
      <w:r w:rsidR="00F84274">
        <w:rPr>
          <w:rFonts w:cs="Times New Roman"/>
          <w:sz w:val="24"/>
          <w:szCs w:val="24"/>
        </w:rPr>
        <w:t>accordance with</w:t>
      </w:r>
      <w:r w:rsidRPr="00281D6C">
        <w:rPr>
          <w:rFonts w:cs="Times New Roman"/>
          <w:sz w:val="24"/>
          <w:szCs w:val="24"/>
        </w:rPr>
        <w:t xml:space="preserve"> our only goal, to leave no one behind in this transformation.  </w:t>
      </w:r>
    </w:p>
    <w:p w14:paraId="1B650B0D" w14:textId="77777777" w:rsidR="00281D6C" w:rsidRDefault="00281D6C" w:rsidP="00281D6C">
      <w:pPr>
        <w:spacing w:after="0" w:line="276" w:lineRule="auto"/>
        <w:jc w:val="both"/>
        <w:rPr>
          <w:rFonts w:cs="Times New Roman"/>
          <w:sz w:val="24"/>
          <w:szCs w:val="24"/>
        </w:rPr>
      </w:pPr>
    </w:p>
    <w:p w14:paraId="0E65A966" w14:textId="69104D64" w:rsidR="00946CA1" w:rsidRPr="00281D6C" w:rsidRDefault="00760AF6" w:rsidP="00FF73DA">
      <w:pPr>
        <w:pStyle w:val="Heading2"/>
      </w:pPr>
      <w:bookmarkStart w:id="21" w:name="_Toc531264874"/>
      <w:r>
        <w:rPr>
          <w:shd w:val="clear" w:color="auto" w:fill="FFFFFF"/>
        </w:rPr>
        <w:lastRenderedPageBreak/>
        <w:t>Review of SDGs implementation: SDG 11 – Make cities and human settlements inclusive, safe, resilient and sustainable</w:t>
      </w:r>
      <w:bookmarkEnd w:id="21"/>
    </w:p>
    <w:p w14:paraId="6D205FF4" w14:textId="29C7E2AD" w:rsidR="00BC2E23" w:rsidRPr="00281D6C" w:rsidRDefault="00946CA1" w:rsidP="00281D6C">
      <w:pPr>
        <w:spacing w:after="0" w:line="276" w:lineRule="auto"/>
        <w:jc w:val="both"/>
        <w:rPr>
          <w:rFonts w:cs="Times New Roman"/>
          <w:sz w:val="24"/>
          <w:szCs w:val="24"/>
        </w:rPr>
      </w:pPr>
      <w:r w:rsidRPr="00281D6C">
        <w:rPr>
          <w:rFonts w:cs="Times New Roman"/>
          <w:sz w:val="24"/>
          <w:szCs w:val="24"/>
          <w:shd w:val="clear" w:color="auto" w:fill="FFFFFF"/>
        </w:rPr>
        <w:t xml:space="preserve">This session was organized to explore the topic of building inclusive, safe, resilient and sustainable cities and human settlements through </w:t>
      </w:r>
      <w:r w:rsidR="00F45918" w:rsidRPr="00281D6C">
        <w:rPr>
          <w:rFonts w:cs="Times New Roman"/>
          <w:sz w:val="24"/>
          <w:szCs w:val="24"/>
          <w:shd w:val="clear" w:color="auto" w:fill="FFFFFF"/>
        </w:rPr>
        <w:t xml:space="preserve">the </w:t>
      </w:r>
      <w:r w:rsidRPr="00281D6C">
        <w:rPr>
          <w:rFonts w:cs="Times New Roman"/>
          <w:sz w:val="24"/>
          <w:szCs w:val="24"/>
          <w:shd w:val="clear" w:color="auto" w:fill="FFFFFF"/>
        </w:rPr>
        <w:t xml:space="preserve">implementation of Goal 11 and its </w:t>
      </w:r>
      <w:r w:rsidR="002E73C7" w:rsidRPr="00281D6C">
        <w:rPr>
          <w:rFonts w:cs="Times New Roman"/>
          <w:sz w:val="24"/>
          <w:szCs w:val="24"/>
          <w:shd w:val="clear" w:color="auto" w:fill="FFFFFF"/>
        </w:rPr>
        <w:t>interlinkages</w:t>
      </w:r>
      <w:r w:rsidRPr="00281D6C">
        <w:rPr>
          <w:rFonts w:cs="Times New Roman"/>
          <w:sz w:val="24"/>
          <w:szCs w:val="24"/>
          <w:shd w:val="clear" w:color="auto" w:fill="FFFFFF"/>
        </w:rPr>
        <w:t xml:space="preserve"> with the rest of the Sustainable Development Goals. Sustainable urbaniza</w:t>
      </w:r>
      <w:r w:rsidR="00F45918" w:rsidRPr="00281D6C">
        <w:rPr>
          <w:rFonts w:cs="Times New Roman"/>
          <w:sz w:val="24"/>
          <w:szCs w:val="24"/>
          <w:shd w:val="clear" w:color="auto" w:fill="FFFFFF"/>
        </w:rPr>
        <w:t>tion has a widespread impact on</w:t>
      </w:r>
      <w:r w:rsidRPr="00281D6C">
        <w:rPr>
          <w:rFonts w:cs="Times New Roman"/>
          <w:sz w:val="24"/>
          <w:szCs w:val="24"/>
          <w:shd w:val="clear" w:color="auto" w:fill="FFFFFF"/>
        </w:rPr>
        <w:t xml:space="preserve"> the majority of the global population currently living in urban areas, but also has important implications for those living in rural areas. It has clear impacts on a wide range of issues within the 2030 Agenda, such as sustainable consumption and production, affordable and clean energy, sustainable transportation, clean water and sanitation and life on land. This session explored the interconnected ecosystem of our cities and human settlements, and the multi-dimensional issues that must be addressed in order to achieve inclusive, safe, resilien</w:t>
      </w:r>
      <w:r w:rsidR="007A2EA8">
        <w:rPr>
          <w:rFonts w:cs="Times New Roman"/>
          <w:sz w:val="24"/>
          <w:szCs w:val="24"/>
          <w:shd w:val="clear" w:color="auto" w:fill="FFFFFF"/>
        </w:rPr>
        <w:t>t</w:t>
      </w:r>
      <w:r w:rsidRPr="00281D6C">
        <w:rPr>
          <w:rFonts w:cs="Times New Roman"/>
          <w:sz w:val="24"/>
          <w:szCs w:val="24"/>
          <w:shd w:val="clear" w:color="auto" w:fill="FFFFFF"/>
        </w:rPr>
        <w:t xml:space="preserve">, and sustainable cities and human settlements. </w:t>
      </w:r>
      <w:r w:rsidR="00A45129">
        <w:rPr>
          <w:rFonts w:cs="Times New Roman"/>
          <w:sz w:val="24"/>
          <w:szCs w:val="24"/>
          <w:shd w:val="clear" w:color="auto" w:fill="FFFFFF"/>
        </w:rPr>
        <w:t xml:space="preserve">This session </w:t>
      </w:r>
      <w:r w:rsidRPr="00281D6C">
        <w:rPr>
          <w:rFonts w:cs="Times New Roman"/>
          <w:sz w:val="24"/>
          <w:szCs w:val="24"/>
          <w:shd w:val="clear" w:color="auto" w:fill="FFFFFF"/>
        </w:rPr>
        <w:t>also examined the critical role that local and regional governments play in addressi</w:t>
      </w:r>
      <w:r w:rsidR="00DC0132">
        <w:rPr>
          <w:rFonts w:cs="Times New Roman"/>
          <w:sz w:val="24"/>
          <w:szCs w:val="24"/>
          <w:shd w:val="clear" w:color="auto" w:fill="FFFFFF"/>
        </w:rPr>
        <w:t xml:space="preserve">ng these collective challenges </w:t>
      </w:r>
      <w:r w:rsidRPr="00281D6C">
        <w:rPr>
          <w:rFonts w:cs="Times New Roman"/>
          <w:sz w:val="24"/>
          <w:szCs w:val="24"/>
          <w:shd w:val="clear" w:color="auto" w:fill="FFFFFF"/>
        </w:rPr>
        <w:t>and ensuring that the 2030 Agenda reaches diverse populations living in cities and those most often left behind.</w:t>
      </w:r>
    </w:p>
    <w:p w14:paraId="0E0E12CC" w14:textId="28FDF76D" w:rsidR="00BC2E23" w:rsidRPr="00281D6C" w:rsidRDefault="00BC2E23" w:rsidP="00281D6C">
      <w:pPr>
        <w:spacing w:before="100" w:beforeAutospacing="1" w:after="100" w:afterAutospacing="1" w:line="276" w:lineRule="auto"/>
        <w:jc w:val="both"/>
        <w:rPr>
          <w:rFonts w:cs="Times New Roman"/>
          <w:sz w:val="24"/>
          <w:szCs w:val="24"/>
        </w:rPr>
      </w:pPr>
      <w:bookmarkStart w:id="22" w:name="_Toc531264875"/>
      <w:r w:rsidRPr="00FF73DA">
        <w:rPr>
          <w:rStyle w:val="Heading3Char"/>
          <w:rFonts w:eastAsiaTheme="minorHAnsi"/>
        </w:rPr>
        <w:t xml:space="preserve">Panellist Mr. Jean </w:t>
      </w:r>
      <w:proofErr w:type="spellStart"/>
      <w:r w:rsidRPr="00FF73DA">
        <w:rPr>
          <w:rStyle w:val="Heading3Char"/>
          <w:rFonts w:eastAsiaTheme="minorHAnsi"/>
        </w:rPr>
        <w:t>Todt</w:t>
      </w:r>
      <w:proofErr w:type="spellEnd"/>
      <w:r w:rsidRPr="00FF73DA">
        <w:rPr>
          <w:rStyle w:val="Heading3Char"/>
          <w:rFonts w:eastAsiaTheme="minorHAnsi"/>
        </w:rPr>
        <w:t>,</w:t>
      </w:r>
      <w:bookmarkEnd w:id="22"/>
      <w:r w:rsidRPr="00281D6C">
        <w:rPr>
          <w:rFonts w:eastAsia="Times New Roman" w:cs="Times New Roman"/>
          <w:sz w:val="24"/>
          <w:szCs w:val="24"/>
          <w:lang w:eastAsia="en-GB"/>
        </w:rPr>
        <w:t xml:space="preserve"> </w:t>
      </w:r>
      <w:r w:rsidR="007D1232">
        <w:rPr>
          <w:rFonts w:eastAsia="Times New Roman" w:cs="Times New Roman"/>
          <w:sz w:val="24"/>
          <w:szCs w:val="24"/>
          <w:lang w:eastAsia="en-GB"/>
        </w:rPr>
        <w:t xml:space="preserve">The UN </w:t>
      </w:r>
      <w:r w:rsidRPr="00281D6C">
        <w:rPr>
          <w:rFonts w:eastAsia="Times New Roman" w:cs="Times New Roman"/>
          <w:sz w:val="24"/>
          <w:szCs w:val="24"/>
          <w:lang w:eastAsia="en-GB"/>
        </w:rPr>
        <w:t>Secretary-General’s Special Envoy for Road Safety</w:t>
      </w:r>
      <w:r w:rsidR="00E473DF">
        <w:rPr>
          <w:rFonts w:eastAsia="Times New Roman" w:cs="Times New Roman"/>
          <w:sz w:val="24"/>
          <w:szCs w:val="24"/>
          <w:lang w:eastAsia="en-GB"/>
        </w:rPr>
        <w:t>,</w:t>
      </w:r>
      <w:r w:rsidRPr="00281D6C">
        <w:rPr>
          <w:rFonts w:eastAsia="Times New Roman" w:cs="Times New Roman"/>
          <w:sz w:val="24"/>
          <w:szCs w:val="24"/>
          <w:lang w:eastAsia="en-GB"/>
        </w:rPr>
        <w:t xml:space="preserve"> concluded his remarks by </w:t>
      </w:r>
      <w:r w:rsidRPr="00281D6C">
        <w:rPr>
          <w:rFonts w:cs="Times New Roman"/>
          <w:sz w:val="24"/>
          <w:szCs w:val="24"/>
        </w:rPr>
        <w:t>re-stating SDG target 11.2, “</w:t>
      </w:r>
      <w:r w:rsidR="00D50B3A">
        <w:rPr>
          <w:rFonts w:cs="Times New Roman"/>
          <w:sz w:val="24"/>
          <w:szCs w:val="24"/>
        </w:rPr>
        <w:t>t</w:t>
      </w:r>
      <w:r w:rsidRPr="00281D6C">
        <w:rPr>
          <w:rFonts w:cs="Times New Roman"/>
          <w:sz w:val="24"/>
          <w:szCs w:val="24"/>
        </w:rPr>
        <w:t>o provide access to safe, affordable, accessible and sustainable transport systems for all, improving road safety, notably by expanding public transport, with special attention to the needs of those in vulnerable situations, women, children, persons with disabilities and older persons by 2030</w:t>
      </w:r>
      <w:r w:rsidR="00D50B3A">
        <w:rPr>
          <w:rFonts w:cs="Times New Roman"/>
          <w:sz w:val="24"/>
          <w:szCs w:val="24"/>
        </w:rPr>
        <w:t>.</w:t>
      </w:r>
      <w:r w:rsidRPr="00281D6C">
        <w:rPr>
          <w:rFonts w:cs="Times New Roman"/>
          <w:sz w:val="24"/>
          <w:szCs w:val="24"/>
        </w:rPr>
        <w:t xml:space="preserve">” </w:t>
      </w:r>
      <w:r w:rsidR="006550DE">
        <w:rPr>
          <w:rFonts w:cs="Times New Roman"/>
          <w:sz w:val="24"/>
          <w:szCs w:val="24"/>
        </w:rPr>
        <w:t>He stated that</w:t>
      </w:r>
      <w:r w:rsidRPr="00281D6C">
        <w:rPr>
          <w:rFonts w:cs="Times New Roman"/>
          <w:sz w:val="24"/>
          <w:szCs w:val="24"/>
        </w:rPr>
        <w:t xml:space="preserve"> achieving this target would</w:t>
      </w:r>
      <w:r w:rsidR="000F3F8F">
        <w:rPr>
          <w:rFonts w:cs="Times New Roman"/>
          <w:sz w:val="24"/>
          <w:szCs w:val="24"/>
        </w:rPr>
        <w:t xml:space="preserve"> </w:t>
      </w:r>
      <w:r w:rsidR="00AB3AE2">
        <w:rPr>
          <w:rFonts w:cs="Times New Roman"/>
          <w:sz w:val="24"/>
          <w:szCs w:val="24"/>
        </w:rPr>
        <w:t>create a beautiful reality</w:t>
      </w:r>
      <w:r w:rsidRPr="00281D6C">
        <w:rPr>
          <w:rFonts w:cs="Times New Roman"/>
          <w:sz w:val="24"/>
          <w:szCs w:val="24"/>
        </w:rPr>
        <w:t xml:space="preserve"> for sustainable mobility and transport. </w:t>
      </w:r>
      <w:r w:rsidR="00BA652B">
        <w:rPr>
          <w:rFonts w:cs="Times New Roman"/>
          <w:sz w:val="24"/>
          <w:szCs w:val="24"/>
        </w:rPr>
        <w:t xml:space="preserve">A reality </w:t>
      </w:r>
      <w:r w:rsidRPr="00281D6C">
        <w:rPr>
          <w:rFonts w:cs="Times New Roman"/>
          <w:sz w:val="24"/>
          <w:szCs w:val="24"/>
        </w:rPr>
        <w:t xml:space="preserve">that includes road safety as a key consideration in urban planning and infrastructure </w:t>
      </w:r>
      <w:r w:rsidR="00D35D4D" w:rsidRPr="00281D6C">
        <w:rPr>
          <w:rFonts w:cs="Times New Roman"/>
          <w:sz w:val="24"/>
          <w:szCs w:val="24"/>
        </w:rPr>
        <w:t xml:space="preserve">design. </w:t>
      </w:r>
      <w:r w:rsidR="001203C0">
        <w:rPr>
          <w:rFonts w:cs="Times New Roman"/>
          <w:sz w:val="24"/>
          <w:szCs w:val="24"/>
        </w:rPr>
        <w:t>A reality</w:t>
      </w:r>
      <w:r w:rsidR="001203C0" w:rsidRPr="00281D6C">
        <w:rPr>
          <w:rFonts w:cs="Times New Roman"/>
          <w:sz w:val="24"/>
          <w:szCs w:val="24"/>
        </w:rPr>
        <w:t xml:space="preserve"> </w:t>
      </w:r>
      <w:r w:rsidRPr="00281D6C">
        <w:rPr>
          <w:rFonts w:cs="Times New Roman"/>
          <w:sz w:val="24"/>
          <w:szCs w:val="24"/>
        </w:rPr>
        <w:t xml:space="preserve">that addresses vulnerable road users such as children, cyclists and pedestrians. </w:t>
      </w:r>
      <w:r w:rsidR="00182CC8">
        <w:rPr>
          <w:rFonts w:cs="Times New Roman"/>
          <w:sz w:val="24"/>
          <w:szCs w:val="24"/>
        </w:rPr>
        <w:t>A reality</w:t>
      </w:r>
      <w:r w:rsidR="00182CC8" w:rsidRPr="00281D6C">
        <w:rPr>
          <w:rFonts w:cs="Times New Roman"/>
          <w:sz w:val="24"/>
          <w:szCs w:val="24"/>
        </w:rPr>
        <w:t xml:space="preserve"> </w:t>
      </w:r>
      <w:r w:rsidRPr="00281D6C">
        <w:rPr>
          <w:rFonts w:cs="Times New Roman"/>
          <w:sz w:val="24"/>
          <w:szCs w:val="24"/>
        </w:rPr>
        <w:t>that provides a future where every child, regardless of where they live, can have a safe journey to and from school, whether it is by foot, public transport, or as passengers in motor vehicles.</w:t>
      </w:r>
    </w:p>
    <w:p w14:paraId="4CF3D907" w14:textId="6DF56638" w:rsidR="00BC2E23" w:rsidRPr="00281D6C" w:rsidRDefault="00975627" w:rsidP="00281D6C">
      <w:pPr>
        <w:spacing w:before="100" w:beforeAutospacing="1" w:after="100" w:afterAutospacing="1" w:line="276" w:lineRule="auto"/>
        <w:jc w:val="both"/>
        <w:rPr>
          <w:rFonts w:cs="Times New Roman"/>
          <w:sz w:val="24"/>
          <w:szCs w:val="24"/>
        </w:rPr>
      </w:pPr>
      <w:bookmarkStart w:id="23" w:name="_Toc531264876"/>
      <w:r w:rsidRPr="00FF73DA">
        <w:rPr>
          <w:rStyle w:val="Heading3Char"/>
          <w:rFonts w:eastAsiaTheme="minorHAnsi"/>
        </w:rPr>
        <w:t xml:space="preserve">Panellist </w:t>
      </w:r>
      <w:r w:rsidR="00BC2E23" w:rsidRPr="00FF73DA">
        <w:rPr>
          <w:rStyle w:val="Heading3Char"/>
          <w:rFonts w:eastAsiaTheme="minorHAnsi"/>
        </w:rPr>
        <w:t>Ms.</w:t>
      </w:r>
      <w:r w:rsidR="00F45506">
        <w:rPr>
          <w:rStyle w:val="Heading3Char"/>
          <w:rFonts w:eastAsiaTheme="minorHAnsi"/>
        </w:rPr>
        <w:t xml:space="preserve"> </w:t>
      </w:r>
      <w:r w:rsidR="00BC2E23" w:rsidRPr="00FF73DA">
        <w:rPr>
          <w:rStyle w:val="Heading3Char"/>
          <w:rFonts w:eastAsiaTheme="minorHAnsi"/>
        </w:rPr>
        <w:t>Leilani</w:t>
      </w:r>
      <w:r w:rsidR="00D35D4D" w:rsidRPr="00FF73DA">
        <w:rPr>
          <w:rStyle w:val="Heading3Char"/>
          <w:rFonts w:eastAsiaTheme="minorHAnsi"/>
        </w:rPr>
        <w:t xml:space="preserve"> </w:t>
      </w:r>
      <w:r w:rsidR="00BC2E23" w:rsidRPr="00FF73DA">
        <w:rPr>
          <w:rStyle w:val="Heading3Char"/>
          <w:rFonts w:eastAsiaTheme="minorHAnsi"/>
        </w:rPr>
        <w:t>Farha</w:t>
      </w:r>
      <w:bookmarkEnd w:id="23"/>
      <w:r w:rsidR="00BC2E23" w:rsidRPr="00281D6C">
        <w:rPr>
          <w:rFonts w:eastAsia="Times New Roman" w:cs="Times New Roman"/>
          <w:sz w:val="24"/>
          <w:szCs w:val="24"/>
          <w:lang w:eastAsia="en-GB"/>
        </w:rPr>
        <w:t xml:space="preserve">, </w:t>
      </w:r>
      <w:r w:rsidR="00D50B3A">
        <w:rPr>
          <w:rFonts w:eastAsia="Times New Roman" w:cs="Times New Roman"/>
          <w:sz w:val="24"/>
          <w:szCs w:val="24"/>
          <w:lang w:eastAsia="en-GB"/>
        </w:rPr>
        <w:t xml:space="preserve">The </w:t>
      </w:r>
      <w:r w:rsidR="00BC2E23" w:rsidRPr="00281D6C">
        <w:rPr>
          <w:rFonts w:eastAsia="Times New Roman" w:cs="Times New Roman"/>
          <w:sz w:val="24"/>
          <w:szCs w:val="24"/>
          <w:lang w:eastAsia="en-GB"/>
        </w:rPr>
        <w:t xml:space="preserve">UN Special Rapporteur on </w:t>
      </w:r>
      <w:r w:rsidR="002D5BD9">
        <w:rPr>
          <w:rFonts w:eastAsia="Times New Roman" w:cs="Times New Roman"/>
          <w:sz w:val="24"/>
          <w:szCs w:val="24"/>
          <w:lang w:eastAsia="en-GB"/>
        </w:rPr>
        <w:t>A</w:t>
      </w:r>
      <w:r w:rsidR="00BC2E23" w:rsidRPr="00281D6C">
        <w:rPr>
          <w:rFonts w:eastAsia="Times New Roman" w:cs="Times New Roman"/>
          <w:sz w:val="24"/>
          <w:szCs w:val="24"/>
          <w:lang w:eastAsia="en-GB"/>
        </w:rPr>
        <w:t xml:space="preserve">dequate </w:t>
      </w:r>
      <w:r w:rsidR="002D5BD9">
        <w:rPr>
          <w:rFonts w:eastAsia="Times New Roman" w:cs="Times New Roman"/>
          <w:sz w:val="24"/>
          <w:szCs w:val="24"/>
          <w:lang w:eastAsia="en-GB"/>
        </w:rPr>
        <w:t>H</w:t>
      </w:r>
      <w:r w:rsidR="00BC2E23" w:rsidRPr="00281D6C">
        <w:rPr>
          <w:rFonts w:eastAsia="Times New Roman" w:cs="Times New Roman"/>
          <w:sz w:val="24"/>
          <w:szCs w:val="24"/>
          <w:lang w:eastAsia="en-GB"/>
        </w:rPr>
        <w:t>ousing</w:t>
      </w:r>
      <w:r w:rsidR="002D5BD9">
        <w:rPr>
          <w:rFonts w:eastAsia="Times New Roman" w:cs="Times New Roman"/>
          <w:sz w:val="24"/>
          <w:szCs w:val="24"/>
          <w:lang w:eastAsia="en-GB"/>
        </w:rPr>
        <w:t>,</w:t>
      </w:r>
      <w:r w:rsidR="009472E6" w:rsidRPr="00281D6C">
        <w:rPr>
          <w:rFonts w:eastAsia="Times New Roman" w:cs="Times New Roman"/>
          <w:sz w:val="24"/>
          <w:szCs w:val="24"/>
          <w:lang w:eastAsia="en-GB"/>
        </w:rPr>
        <w:t xml:space="preserve"> also highlighted that </w:t>
      </w:r>
      <w:r w:rsidR="009472E6" w:rsidRPr="00281D6C">
        <w:rPr>
          <w:rFonts w:cs="Times New Roman"/>
          <w:sz w:val="24"/>
          <w:szCs w:val="24"/>
        </w:rPr>
        <w:t>a</w:t>
      </w:r>
      <w:r w:rsidR="00BC2E23" w:rsidRPr="00281D6C">
        <w:rPr>
          <w:rFonts w:cs="Times New Roman"/>
          <w:sz w:val="24"/>
          <w:szCs w:val="24"/>
        </w:rPr>
        <w:t>s it stands, housing conditions</w:t>
      </w:r>
      <w:r w:rsidR="00571EF8">
        <w:rPr>
          <w:rFonts w:cs="Times New Roman"/>
          <w:sz w:val="24"/>
          <w:szCs w:val="24"/>
        </w:rPr>
        <w:t xml:space="preserve"> globally</w:t>
      </w:r>
      <w:r w:rsidR="00BC2E23" w:rsidRPr="00281D6C">
        <w:rPr>
          <w:rFonts w:cs="Times New Roman"/>
          <w:sz w:val="24"/>
          <w:szCs w:val="24"/>
        </w:rPr>
        <w:t xml:space="preserve"> are fraught. </w:t>
      </w:r>
      <w:r w:rsidR="002962E6">
        <w:rPr>
          <w:rFonts w:cs="Times New Roman"/>
          <w:sz w:val="24"/>
          <w:szCs w:val="24"/>
        </w:rPr>
        <w:t>She noted that i</w:t>
      </w:r>
      <w:r w:rsidR="00BC2E23" w:rsidRPr="00281D6C">
        <w:rPr>
          <w:rFonts w:cs="Times New Roman"/>
          <w:sz w:val="24"/>
          <w:szCs w:val="24"/>
        </w:rPr>
        <w:t>t is estimated that 1.6 billion people are inadequately housed worldwide and that close to 900 million people are living in informal settlements and encampments in bo</w:t>
      </w:r>
      <w:r w:rsidR="009472E6" w:rsidRPr="00281D6C">
        <w:rPr>
          <w:rFonts w:cs="Times New Roman"/>
          <w:sz w:val="24"/>
          <w:szCs w:val="24"/>
        </w:rPr>
        <w:t xml:space="preserve">th the </w:t>
      </w:r>
      <w:r w:rsidR="00D50B3A">
        <w:rPr>
          <w:rFonts w:cs="Times New Roman"/>
          <w:sz w:val="24"/>
          <w:szCs w:val="24"/>
        </w:rPr>
        <w:t>G</w:t>
      </w:r>
      <w:r w:rsidR="009472E6" w:rsidRPr="00281D6C">
        <w:rPr>
          <w:rFonts w:cs="Times New Roman"/>
          <w:sz w:val="24"/>
          <w:szCs w:val="24"/>
        </w:rPr>
        <w:t>lobal North and South. She confessed</w:t>
      </w:r>
      <w:r w:rsidR="005453B2">
        <w:rPr>
          <w:rFonts w:cs="Times New Roman"/>
          <w:sz w:val="24"/>
          <w:szCs w:val="24"/>
        </w:rPr>
        <w:t xml:space="preserve"> to</w:t>
      </w:r>
      <w:r w:rsidR="009472E6" w:rsidRPr="00281D6C">
        <w:rPr>
          <w:rFonts w:cs="Times New Roman"/>
          <w:sz w:val="24"/>
          <w:szCs w:val="24"/>
        </w:rPr>
        <w:t xml:space="preserve"> </w:t>
      </w:r>
      <w:r w:rsidR="005453B2">
        <w:rPr>
          <w:rFonts w:cs="Times New Roman"/>
          <w:sz w:val="24"/>
          <w:szCs w:val="24"/>
        </w:rPr>
        <w:t>seeing</w:t>
      </w:r>
      <w:r w:rsidR="00BC2E23" w:rsidRPr="00281D6C">
        <w:rPr>
          <w:rFonts w:cs="Times New Roman"/>
          <w:sz w:val="24"/>
          <w:szCs w:val="24"/>
        </w:rPr>
        <w:t xml:space="preserve"> people liv</w:t>
      </w:r>
      <w:r w:rsidR="004A6D08">
        <w:rPr>
          <w:rFonts w:cs="Times New Roman"/>
          <w:sz w:val="24"/>
          <w:szCs w:val="24"/>
        </w:rPr>
        <w:t>e</w:t>
      </w:r>
      <w:r w:rsidR="00BC2E23" w:rsidRPr="00281D6C">
        <w:rPr>
          <w:rFonts w:cs="Times New Roman"/>
          <w:sz w:val="24"/>
          <w:szCs w:val="24"/>
        </w:rPr>
        <w:t xml:space="preserve"> on sidewalks in India and California, beside railway lines in Mexico and </w:t>
      </w:r>
      <w:r w:rsidR="00BF6946">
        <w:rPr>
          <w:rFonts w:cs="Times New Roman"/>
          <w:sz w:val="24"/>
          <w:szCs w:val="24"/>
        </w:rPr>
        <w:t xml:space="preserve">the </w:t>
      </w:r>
      <w:r w:rsidR="00BC2E23" w:rsidRPr="00281D6C">
        <w:rPr>
          <w:rFonts w:cs="Times New Roman"/>
          <w:sz w:val="24"/>
          <w:szCs w:val="24"/>
        </w:rPr>
        <w:t>Philippines</w:t>
      </w:r>
      <w:r w:rsidR="00321583">
        <w:rPr>
          <w:rFonts w:cs="Times New Roman"/>
          <w:sz w:val="24"/>
          <w:szCs w:val="24"/>
        </w:rPr>
        <w:t>,</w:t>
      </w:r>
      <w:r w:rsidR="00876126">
        <w:rPr>
          <w:rFonts w:cs="Times New Roman"/>
          <w:sz w:val="24"/>
          <w:szCs w:val="24"/>
        </w:rPr>
        <w:t xml:space="preserve"> and</w:t>
      </w:r>
      <w:r w:rsidR="00BC2E23" w:rsidRPr="00281D6C">
        <w:rPr>
          <w:rFonts w:cs="Times New Roman"/>
          <w:sz w:val="24"/>
          <w:szCs w:val="24"/>
        </w:rPr>
        <w:t xml:space="preserve"> without electricity in Cabo Verde and Serbia. </w:t>
      </w:r>
      <w:r w:rsidR="009472E6" w:rsidRPr="00281D6C">
        <w:rPr>
          <w:rFonts w:cs="Times New Roman"/>
          <w:sz w:val="24"/>
          <w:szCs w:val="24"/>
        </w:rPr>
        <w:t>She has also</w:t>
      </w:r>
      <w:r w:rsidR="00BC2E23" w:rsidRPr="00281D6C">
        <w:rPr>
          <w:rFonts w:cs="Times New Roman"/>
          <w:sz w:val="24"/>
          <w:szCs w:val="24"/>
        </w:rPr>
        <w:t xml:space="preserve"> seen children playing on garbage heaps in informal settlements like they are trampolines and persons with disabilities languishing in darkened rooms, cut off from society.</w:t>
      </w:r>
    </w:p>
    <w:p w14:paraId="41D9AEDF" w14:textId="093AC914" w:rsidR="009472E6" w:rsidRPr="00281D6C" w:rsidRDefault="009472E6" w:rsidP="00281D6C">
      <w:pPr>
        <w:spacing w:before="100" w:beforeAutospacing="1" w:after="100" w:afterAutospacing="1" w:line="276" w:lineRule="auto"/>
        <w:jc w:val="both"/>
        <w:rPr>
          <w:rFonts w:eastAsia="Times New Roman" w:cs="Times New Roman"/>
          <w:sz w:val="24"/>
          <w:szCs w:val="24"/>
          <w:lang w:eastAsia="en-GB"/>
        </w:rPr>
      </w:pPr>
      <w:bookmarkStart w:id="24" w:name="_Toc531264877"/>
      <w:r w:rsidRPr="00FF73DA">
        <w:rPr>
          <w:rStyle w:val="Heading3Char"/>
          <w:rFonts w:eastAsiaTheme="minorHAnsi"/>
        </w:rPr>
        <w:t>Panellist Ms.</w:t>
      </w:r>
      <w:r w:rsidR="007B46E8">
        <w:rPr>
          <w:rStyle w:val="Heading3Char"/>
          <w:rFonts w:eastAsiaTheme="minorHAnsi"/>
        </w:rPr>
        <w:t xml:space="preserve"> </w:t>
      </w:r>
      <w:proofErr w:type="spellStart"/>
      <w:r w:rsidRPr="00FF73DA">
        <w:rPr>
          <w:rStyle w:val="Heading3Char"/>
          <w:rFonts w:eastAsiaTheme="minorHAnsi"/>
        </w:rPr>
        <w:t>Maimunah</w:t>
      </w:r>
      <w:proofErr w:type="spellEnd"/>
      <w:r w:rsidR="00D35D4D" w:rsidRPr="00FF73DA">
        <w:rPr>
          <w:rStyle w:val="Heading3Char"/>
          <w:rFonts w:eastAsiaTheme="minorHAnsi"/>
        </w:rPr>
        <w:t xml:space="preserve"> </w:t>
      </w:r>
      <w:proofErr w:type="spellStart"/>
      <w:r w:rsidRPr="00FF73DA">
        <w:rPr>
          <w:rStyle w:val="Heading3Char"/>
          <w:rFonts w:eastAsiaTheme="minorHAnsi"/>
        </w:rPr>
        <w:t>Mohd</w:t>
      </w:r>
      <w:proofErr w:type="spellEnd"/>
      <w:r w:rsidRPr="00FF73DA">
        <w:rPr>
          <w:rStyle w:val="Heading3Char"/>
          <w:rFonts w:eastAsiaTheme="minorHAnsi"/>
        </w:rPr>
        <w:t xml:space="preserve"> Sharif</w:t>
      </w:r>
      <w:bookmarkEnd w:id="24"/>
      <w:r w:rsidRPr="00281D6C">
        <w:rPr>
          <w:rFonts w:eastAsia="Times New Roman" w:cs="Times New Roman"/>
          <w:sz w:val="24"/>
          <w:szCs w:val="24"/>
          <w:lang w:eastAsia="en-GB"/>
        </w:rPr>
        <w:t>, Executive Dire</w:t>
      </w:r>
      <w:r w:rsidR="00A9069D" w:rsidRPr="00281D6C">
        <w:rPr>
          <w:rFonts w:eastAsia="Times New Roman" w:cs="Times New Roman"/>
          <w:sz w:val="24"/>
          <w:szCs w:val="24"/>
          <w:lang w:eastAsia="en-GB"/>
        </w:rPr>
        <w:t>ctor of UN-H</w:t>
      </w:r>
      <w:r w:rsidR="00FB6ECC">
        <w:rPr>
          <w:rFonts w:eastAsia="Times New Roman" w:cs="Times New Roman"/>
          <w:sz w:val="24"/>
          <w:szCs w:val="24"/>
          <w:lang w:eastAsia="en-GB"/>
        </w:rPr>
        <w:t>abitat</w:t>
      </w:r>
      <w:r w:rsidR="00876126">
        <w:rPr>
          <w:rFonts w:eastAsia="Times New Roman" w:cs="Times New Roman"/>
          <w:sz w:val="24"/>
          <w:szCs w:val="24"/>
          <w:lang w:eastAsia="en-GB"/>
        </w:rPr>
        <w:t>,</w:t>
      </w:r>
      <w:r w:rsidR="00A9069D" w:rsidRPr="00281D6C">
        <w:rPr>
          <w:rFonts w:eastAsia="Times New Roman" w:cs="Times New Roman"/>
          <w:sz w:val="24"/>
          <w:szCs w:val="24"/>
          <w:lang w:eastAsia="en-GB"/>
        </w:rPr>
        <w:t xml:space="preserve"> stated that </w:t>
      </w:r>
      <w:r w:rsidRPr="00281D6C">
        <w:rPr>
          <w:rFonts w:eastAsia="Times New Roman" w:cs="Times New Roman"/>
          <w:sz w:val="24"/>
          <w:szCs w:val="24"/>
          <w:lang w:eastAsia="en-GB"/>
        </w:rPr>
        <w:t>g</w:t>
      </w:r>
      <w:r w:rsidRPr="00281D6C">
        <w:rPr>
          <w:rFonts w:cs="Times New Roman"/>
          <w:sz w:val="24"/>
          <w:szCs w:val="24"/>
        </w:rPr>
        <w:t xml:space="preserve">ood data needs to be disaggregated by income, gender, age, race, ethnicity, migratory status, disability and geographic location to </w:t>
      </w:r>
      <w:r w:rsidR="00C312B4">
        <w:rPr>
          <w:rFonts w:cs="Times New Roman"/>
          <w:sz w:val="24"/>
          <w:szCs w:val="24"/>
        </w:rPr>
        <w:t xml:space="preserve">better </w:t>
      </w:r>
      <w:r w:rsidRPr="00281D6C">
        <w:rPr>
          <w:rFonts w:cs="Times New Roman"/>
          <w:sz w:val="24"/>
          <w:szCs w:val="24"/>
        </w:rPr>
        <w:t>understand who is at risk of being left behind the most in</w:t>
      </w:r>
      <w:r w:rsidR="00A9069D" w:rsidRPr="00281D6C">
        <w:rPr>
          <w:rFonts w:cs="Times New Roman"/>
          <w:sz w:val="24"/>
          <w:szCs w:val="24"/>
        </w:rPr>
        <w:t xml:space="preserve"> the</w:t>
      </w:r>
      <w:r w:rsidRPr="00281D6C">
        <w:rPr>
          <w:rFonts w:cs="Times New Roman"/>
          <w:sz w:val="24"/>
          <w:szCs w:val="24"/>
        </w:rPr>
        <w:t xml:space="preserve"> implementation of SDG</w:t>
      </w:r>
      <w:r w:rsidR="00876126">
        <w:rPr>
          <w:rFonts w:cs="Times New Roman"/>
          <w:sz w:val="24"/>
          <w:szCs w:val="24"/>
        </w:rPr>
        <w:t xml:space="preserve"> </w:t>
      </w:r>
      <w:r w:rsidRPr="00281D6C">
        <w:rPr>
          <w:rFonts w:cs="Times New Roman"/>
          <w:sz w:val="24"/>
          <w:szCs w:val="24"/>
        </w:rPr>
        <w:t xml:space="preserve">11. </w:t>
      </w:r>
      <w:r w:rsidR="007B0CBD">
        <w:rPr>
          <w:rFonts w:cs="Times New Roman"/>
          <w:sz w:val="24"/>
          <w:szCs w:val="24"/>
        </w:rPr>
        <w:t xml:space="preserve">She noted </w:t>
      </w:r>
      <w:r w:rsidR="00A04095">
        <w:rPr>
          <w:rFonts w:cs="Times New Roman"/>
          <w:sz w:val="24"/>
          <w:szCs w:val="24"/>
        </w:rPr>
        <w:t xml:space="preserve">that </w:t>
      </w:r>
      <w:r w:rsidRPr="00281D6C">
        <w:rPr>
          <w:rFonts w:cs="Times New Roman"/>
          <w:sz w:val="24"/>
          <w:szCs w:val="24"/>
        </w:rPr>
        <w:t>UN Agencies and partners have advanced in principles, norms and standards and the identification of gaps</w:t>
      </w:r>
      <w:r w:rsidR="00327CFF">
        <w:rPr>
          <w:rFonts w:cs="Times New Roman"/>
          <w:sz w:val="24"/>
          <w:szCs w:val="24"/>
        </w:rPr>
        <w:t>,</w:t>
      </w:r>
      <w:r w:rsidRPr="00281D6C">
        <w:rPr>
          <w:rFonts w:cs="Times New Roman"/>
          <w:sz w:val="24"/>
          <w:szCs w:val="24"/>
        </w:rPr>
        <w:t xml:space="preserve"> but </w:t>
      </w:r>
      <w:r w:rsidR="00E102F1">
        <w:rPr>
          <w:rFonts w:cs="Times New Roman"/>
          <w:sz w:val="24"/>
          <w:szCs w:val="24"/>
        </w:rPr>
        <w:t>urged them to</w:t>
      </w:r>
      <w:r w:rsidR="00E102F1" w:rsidRPr="00281D6C">
        <w:rPr>
          <w:rFonts w:cs="Times New Roman"/>
          <w:sz w:val="24"/>
          <w:szCs w:val="24"/>
        </w:rPr>
        <w:t xml:space="preserve"> </w:t>
      </w:r>
      <w:r w:rsidRPr="00281D6C">
        <w:rPr>
          <w:rFonts w:cs="Times New Roman"/>
          <w:sz w:val="24"/>
          <w:szCs w:val="24"/>
        </w:rPr>
        <w:t>go further by preparing training modules for the collection, analysis and use of disaggregated data.</w:t>
      </w:r>
    </w:p>
    <w:p w14:paraId="571665DF" w14:textId="68DAF846" w:rsidR="00460D84" w:rsidRPr="00281D6C" w:rsidRDefault="00677EB3" w:rsidP="00281D6C">
      <w:pPr>
        <w:spacing w:after="0" w:line="276" w:lineRule="auto"/>
        <w:jc w:val="both"/>
        <w:rPr>
          <w:rFonts w:cs="Times New Roman"/>
          <w:sz w:val="24"/>
          <w:szCs w:val="24"/>
        </w:rPr>
      </w:pPr>
      <w:r w:rsidRPr="00281D6C">
        <w:rPr>
          <w:rFonts w:cs="Times New Roman"/>
          <w:sz w:val="24"/>
          <w:szCs w:val="24"/>
        </w:rPr>
        <w:lastRenderedPageBreak/>
        <w:t xml:space="preserve">During discussions, the </w:t>
      </w:r>
      <w:r w:rsidR="0054544A">
        <w:rPr>
          <w:rFonts w:cs="Times New Roman"/>
          <w:sz w:val="24"/>
          <w:szCs w:val="24"/>
        </w:rPr>
        <w:t xml:space="preserve">Stakeholder </w:t>
      </w:r>
      <w:r w:rsidR="00AA0EEB">
        <w:rPr>
          <w:rFonts w:cs="Times New Roman"/>
          <w:sz w:val="24"/>
          <w:szCs w:val="24"/>
        </w:rPr>
        <w:t xml:space="preserve">Group on Ageing </w:t>
      </w:r>
      <w:r w:rsidRPr="00281D6C">
        <w:rPr>
          <w:rFonts w:cs="Times New Roman"/>
          <w:sz w:val="24"/>
          <w:szCs w:val="24"/>
        </w:rPr>
        <w:t>stated that older pe</w:t>
      </w:r>
      <w:r w:rsidR="00DE42C6">
        <w:rPr>
          <w:rFonts w:cs="Times New Roman"/>
          <w:sz w:val="24"/>
          <w:szCs w:val="24"/>
        </w:rPr>
        <w:t>rsons</w:t>
      </w:r>
      <w:r w:rsidRPr="00281D6C">
        <w:rPr>
          <w:rFonts w:cs="Times New Roman"/>
          <w:sz w:val="24"/>
          <w:szCs w:val="24"/>
        </w:rPr>
        <w:t xml:space="preserve"> face discrimination in cities due to their disabilities. South Africa also highlighted that safety in cities means protection of the most </w:t>
      </w:r>
      <w:r w:rsidR="00192331">
        <w:rPr>
          <w:rFonts w:cs="Times New Roman"/>
          <w:sz w:val="24"/>
          <w:szCs w:val="24"/>
        </w:rPr>
        <w:t>marginalized groups</w:t>
      </w:r>
      <w:r w:rsidR="00DE4100">
        <w:rPr>
          <w:rFonts w:cs="Times New Roman"/>
          <w:sz w:val="24"/>
          <w:szCs w:val="24"/>
        </w:rPr>
        <w:t>,</w:t>
      </w:r>
      <w:r w:rsidRPr="00281D6C">
        <w:rPr>
          <w:rFonts w:cs="Times New Roman"/>
          <w:sz w:val="24"/>
          <w:szCs w:val="24"/>
        </w:rPr>
        <w:t xml:space="preserve"> especially </w:t>
      </w:r>
      <w:r w:rsidR="00D50B3A">
        <w:rPr>
          <w:rFonts w:cs="Times New Roman"/>
          <w:sz w:val="24"/>
          <w:szCs w:val="24"/>
        </w:rPr>
        <w:t>p</w:t>
      </w:r>
      <w:r w:rsidRPr="00281D6C">
        <w:rPr>
          <w:rFonts w:cs="Times New Roman"/>
          <w:sz w:val="24"/>
          <w:szCs w:val="24"/>
        </w:rPr>
        <w:t xml:space="preserve">ersons with </w:t>
      </w:r>
      <w:r w:rsidR="00D50B3A">
        <w:rPr>
          <w:rFonts w:cs="Times New Roman"/>
          <w:sz w:val="24"/>
          <w:szCs w:val="24"/>
        </w:rPr>
        <w:t>d</w:t>
      </w:r>
      <w:r w:rsidRPr="00281D6C">
        <w:rPr>
          <w:rFonts w:cs="Times New Roman"/>
          <w:sz w:val="24"/>
          <w:szCs w:val="24"/>
        </w:rPr>
        <w:t>isabilities</w:t>
      </w:r>
      <w:r w:rsidR="00AC592E">
        <w:rPr>
          <w:rFonts w:cs="Times New Roman"/>
          <w:sz w:val="24"/>
          <w:szCs w:val="24"/>
        </w:rPr>
        <w:t>,</w:t>
      </w:r>
      <w:r w:rsidR="00732F31" w:rsidRPr="00281D6C">
        <w:rPr>
          <w:rFonts w:cs="Times New Roman"/>
          <w:sz w:val="24"/>
          <w:szCs w:val="24"/>
        </w:rPr>
        <w:t xml:space="preserve"> through targeted interventions to ensure that safety in cities indeed means leaving no one behind</w:t>
      </w:r>
      <w:r w:rsidRPr="00281D6C">
        <w:rPr>
          <w:rFonts w:cs="Times New Roman"/>
          <w:sz w:val="24"/>
          <w:szCs w:val="24"/>
        </w:rPr>
        <w:t xml:space="preserve">. </w:t>
      </w:r>
      <w:r w:rsidR="000734B8" w:rsidRPr="00281D6C">
        <w:rPr>
          <w:rFonts w:cs="Times New Roman"/>
          <w:sz w:val="24"/>
          <w:szCs w:val="24"/>
        </w:rPr>
        <w:t xml:space="preserve">The </w:t>
      </w:r>
      <w:r w:rsidR="00D50B3A">
        <w:rPr>
          <w:rFonts w:cs="Times New Roman"/>
          <w:sz w:val="24"/>
          <w:szCs w:val="24"/>
        </w:rPr>
        <w:t>M</w:t>
      </w:r>
      <w:r w:rsidR="00460D84" w:rsidRPr="00281D6C">
        <w:rPr>
          <w:rFonts w:cs="Times New Roman"/>
          <w:sz w:val="24"/>
          <w:szCs w:val="24"/>
        </w:rPr>
        <w:t xml:space="preserve">ajor </w:t>
      </w:r>
      <w:r w:rsidR="00D50B3A">
        <w:rPr>
          <w:rFonts w:cs="Times New Roman"/>
          <w:sz w:val="24"/>
          <w:szCs w:val="24"/>
        </w:rPr>
        <w:t>G</w:t>
      </w:r>
      <w:r w:rsidR="00460D84" w:rsidRPr="00281D6C">
        <w:rPr>
          <w:rFonts w:cs="Times New Roman"/>
          <w:sz w:val="24"/>
          <w:szCs w:val="24"/>
        </w:rPr>
        <w:t xml:space="preserve">roup for </w:t>
      </w:r>
      <w:r w:rsidR="00D50B3A">
        <w:rPr>
          <w:rFonts w:cs="Times New Roman"/>
          <w:sz w:val="24"/>
          <w:szCs w:val="24"/>
        </w:rPr>
        <w:t>C</w:t>
      </w:r>
      <w:r w:rsidR="00460D84" w:rsidRPr="00281D6C">
        <w:rPr>
          <w:rFonts w:cs="Times New Roman"/>
          <w:sz w:val="24"/>
          <w:szCs w:val="24"/>
        </w:rPr>
        <w:t xml:space="preserve">hildren and </w:t>
      </w:r>
      <w:r w:rsidR="00D50B3A">
        <w:rPr>
          <w:rFonts w:cs="Times New Roman"/>
          <w:sz w:val="24"/>
          <w:szCs w:val="24"/>
        </w:rPr>
        <w:t>Y</w:t>
      </w:r>
      <w:r w:rsidR="00460D84" w:rsidRPr="00281D6C">
        <w:rPr>
          <w:rFonts w:cs="Times New Roman"/>
          <w:sz w:val="24"/>
          <w:szCs w:val="24"/>
        </w:rPr>
        <w:t>outh stated that budgeting and planning must be age, gender and disability responsive to prevent violence, discrimination and abuse. This calls for more effective measures to promote inclusive public spaces.</w:t>
      </w:r>
      <w:r w:rsidR="000F050E" w:rsidRPr="00281D6C">
        <w:rPr>
          <w:rFonts w:cs="Times New Roman"/>
          <w:sz w:val="24"/>
          <w:szCs w:val="24"/>
        </w:rPr>
        <w:t xml:space="preserve"> The </w:t>
      </w:r>
      <w:r w:rsidR="00D50B3A">
        <w:rPr>
          <w:rFonts w:cs="Times New Roman"/>
          <w:sz w:val="24"/>
          <w:szCs w:val="24"/>
        </w:rPr>
        <w:t>I</w:t>
      </w:r>
      <w:r w:rsidR="00D50B3A" w:rsidRPr="00281D6C">
        <w:rPr>
          <w:rFonts w:cs="Times New Roman"/>
          <w:sz w:val="24"/>
          <w:szCs w:val="24"/>
        </w:rPr>
        <w:t>ndigenous Peoples</w:t>
      </w:r>
      <w:r w:rsidR="00D50B3A">
        <w:rPr>
          <w:rFonts w:cs="Times New Roman"/>
          <w:sz w:val="24"/>
          <w:szCs w:val="24"/>
        </w:rPr>
        <w:t>’ Major Group</w:t>
      </w:r>
      <w:r w:rsidR="0035347A">
        <w:rPr>
          <w:rFonts w:cs="Times New Roman"/>
          <w:sz w:val="24"/>
          <w:szCs w:val="24"/>
        </w:rPr>
        <w:t xml:space="preserve"> (IPMG)</w:t>
      </w:r>
      <w:r w:rsidR="000F050E" w:rsidRPr="00281D6C">
        <w:rPr>
          <w:rFonts w:cs="Times New Roman"/>
          <w:sz w:val="24"/>
          <w:szCs w:val="24"/>
        </w:rPr>
        <w:t xml:space="preserve"> highlighted that States often abscond from their </w:t>
      </w:r>
      <w:r w:rsidR="003D4A89" w:rsidRPr="00281D6C">
        <w:rPr>
          <w:rFonts w:cs="Times New Roman"/>
          <w:sz w:val="24"/>
          <w:szCs w:val="24"/>
        </w:rPr>
        <w:t>responsibilities towards indigenous people</w:t>
      </w:r>
      <w:r w:rsidR="00A56962">
        <w:rPr>
          <w:rFonts w:cs="Times New Roman"/>
          <w:sz w:val="24"/>
          <w:szCs w:val="24"/>
        </w:rPr>
        <w:t>s</w:t>
      </w:r>
      <w:r w:rsidR="003D4A89" w:rsidRPr="00281D6C">
        <w:rPr>
          <w:rFonts w:cs="Times New Roman"/>
          <w:sz w:val="24"/>
          <w:szCs w:val="24"/>
        </w:rPr>
        <w:t xml:space="preserve"> as equal citizens</w:t>
      </w:r>
      <w:r w:rsidR="002B0A51">
        <w:rPr>
          <w:rFonts w:cs="Times New Roman"/>
          <w:sz w:val="24"/>
          <w:szCs w:val="24"/>
        </w:rPr>
        <w:t>,</w:t>
      </w:r>
      <w:r w:rsidR="003D4A89" w:rsidRPr="00281D6C">
        <w:rPr>
          <w:rFonts w:cs="Times New Roman"/>
          <w:sz w:val="24"/>
          <w:szCs w:val="24"/>
        </w:rPr>
        <w:t xml:space="preserve"> and indigenous </w:t>
      </w:r>
      <w:r w:rsidR="00D50B3A">
        <w:rPr>
          <w:rFonts w:cs="Times New Roman"/>
          <w:sz w:val="24"/>
          <w:szCs w:val="24"/>
        </w:rPr>
        <w:t>p</w:t>
      </w:r>
      <w:r w:rsidR="003D4A89" w:rsidRPr="00281D6C">
        <w:rPr>
          <w:rFonts w:cs="Times New Roman"/>
          <w:sz w:val="24"/>
          <w:szCs w:val="24"/>
        </w:rPr>
        <w:t xml:space="preserve">ersons with </w:t>
      </w:r>
      <w:r w:rsidR="00D50B3A">
        <w:rPr>
          <w:rFonts w:cs="Times New Roman"/>
          <w:sz w:val="24"/>
          <w:szCs w:val="24"/>
        </w:rPr>
        <w:t>d</w:t>
      </w:r>
      <w:r w:rsidR="003D4A89" w:rsidRPr="00281D6C">
        <w:rPr>
          <w:rFonts w:cs="Times New Roman"/>
          <w:sz w:val="24"/>
          <w:szCs w:val="24"/>
        </w:rPr>
        <w:t>isabilities are among the most affected.</w:t>
      </w:r>
    </w:p>
    <w:p w14:paraId="114EF315" w14:textId="77777777" w:rsidR="00485ED7" w:rsidRPr="00281D6C" w:rsidRDefault="00485ED7" w:rsidP="00281D6C">
      <w:pPr>
        <w:spacing w:after="0" w:line="276" w:lineRule="auto"/>
        <w:jc w:val="both"/>
        <w:rPr>
          <w:rFonts w:cs="Times New Roman"/>
          <w:sz w:val="24"/>
          <w:szCs w:val="24"/>
        </w:rPr>
      </w:pPr>
    </w:p>
    <w:p w14:paraId="77CE3915" w14:textId="44941120" w:rsidR="00F24933" w:rsidRPr="00F24933" w:rsidRDefault="00485ED7" w:rsidP="00281D6C">
      <w:pPr>
        <w:spacing w:line="276" w:lineRule="auto"/>
        <w:jc w:val="both"/>
        <w:rPr>
          <w:rFonts w:cstheme="minorHAnsi"/>
          <w:color w:val="000000" w:themeColor="text1"/>
          <w:sz w:val="24"/>
          <w:szCs w:val="24"/>
        </w:rPr>
      </w:pPr>
      <w:r w:rsidRPr="00281D6C">
        <w:rPr>
          <w:rFonts w:cs="Times New Roman"/>
          <w:sz w:val="24"/>
          <w:szCs w:val="24"/>
        </w:rPr>
        <w:t>On behalf of</w:t>
      </w:r>
      <w:r w:rsidR="0067754A" w:rsidRPr="00281D6C">
        <w:rPr>
          <w:rFonts w:cs="Times New Roman"/>
          <w:sz w:val="24"/>
          <w:szCs w:val="24"/>
        </w:rPr>
        <w:t xml:space="preserve"> the</w:t>
      </w:r>
      <w:r w:rsidRPr="00281D6C">
        <w:rPr>
          <w:rFonts w:cs="Times New Roman"/>
          <w:sz w:val="24"/>
          <w:szCs w:val="24"/>
        </w:rPr>
        <w:t xml:space="preserve"> </w:t>
      </w:r>
      <w:r w:rsidR="00D50B3A">
        <w:rPr>
          <w:rFonts w:cs="Times New Roman"/>
          <w:sz w:val="24"/>
          <w:szCs w:val="24"/>
        </w:rPr>
        <w:t>Stakeholder Group</w:t>
      </w:r>
      <w:r w:rsidRPr="00281D6C">
        <w:rPr>
          <w:rFonts w:cs="Times New Roman"/>
          <w:sz w:val="24"/>
          <w:szCs w:val="24"/>
        </w:rPr>
        <w:t xml:space="preserve"> </w:t>
      </w:r>
      <w:r w:rsidR="00D50B3A">
        <w:rPr>
          <w:rFonts w:cs="Times New Roman"/>
          <w:sz w:val="24"/>
          <w:szCs w:val="24"/>
        </w:rPr>
        <w:t>of</w:t>
      </w:r>
      <w:r w:rsidRPr="00281D6C">
        <w:rPr>
          <w:rFonts w:cs="Times New Roman"/>
          <w:sz w:val="24"/>
          <w:szCs w:val="24"/>
        </w:rPr>
        <w:t xml:space="preserve"> </w:t>
      </w:r>
      <w:r w:rsidR="00D50B3A">
        <w:rPr>
          <w:rFonts w:cs="Times New Roman"/>
          <w:sz w:val="24"/>
          <w:szCs w:val="24"/>
        </w:rPr>
        <w:t>P</w:t>
      </w:r>
      <w:r w:rsidRPr="00281D6C">
        <w:rPr>
          <w:rFonts w:cs="Times New Roman"/>
          <w:sz w:val="24"/>
          <w:szCs w:val="24"/>
        </w:rPr>
        <w:t xml:space="preserve">ersons with </w:t>
      </w:r>
      <w:r w:rsidR="00D50B3A">
        <w:rPr>
          <w:rFonts w:cs="Times New Roman"/>
          <w:sz w:val="24"/>
          <w:szCs w:val="24"/>
        </w:rPr>
        <w:t>D</w:t>
      </w:r>
      <w:r w:rsidRPr="00281D6C">
        <w:rPr>
          <w:rFonts w:cs="Times New Roman"/>
          <w:sz w:val="24"/>
          <w:szCs w:val="24"/>
        </w:rPr>
        <w:t xml:space="preserve">isabilities, </w:t>
      </w:r>
      <w:r w:rsidRPr="00C17C2E">
        <w:rPr>
          <w:rFonts w:cs="Times New Roman"/>
          <w:bCs/>
          <w:sz w:val="24"/>
          <w:szCs w:val="24"/>
        </w:rPr>
        <w:t xml:space="preserve">Ana </w:t>
      </w:r>
      <w:proofErr w:type="spellStart"/>
      <w:r w:rsidRPr="00C17C2E">
        <w:rPr>
          <w:rFonts w:cs="Times New Roman"/>
          <w:bCs/>
          <w:sz w:val="24"/>
          <w:szCs w:val="24"/>
        </w:rPr>
        <w:t>P</w:t>
      </w:r>
      <w:r w:rsidR="0008564D">
        <w:rPr>
          <w:rFonts w:cs="Times New Roman"/>
          <w:bCs/>
          <w:sz w:val="24"/>
          <w:szCs w:val="24"/>
        </w:rPr>
        <w:t>e</w:t>
      </w:r>
      <w:r w:rsidRPr="00C17C2E">
        <w:rPr>
          <w:rFonts w:cs="Times New Roman"/>
          <w:bCs/>
          <w:sz w:val="24"/>
          <w:szCs w:val="24"/>
        </w:rPr>
        <w:t>l</w:t>
      </w:r>
      <w:r w:rsidR="005B6E21" w:rsidRPr="00685A2A">
        <w:rPr>
          <w:rFonts w:cs="Times New Roman"/>
          <w:sz w:val="24"/>
          <w:szCs w:val="24"/>
        </w:rPr>
        <w:t>á</w:t>
      </w:r>
      <w:r w:rsidR="0008564D">
        <w:rPr>
          <w:rFonts w:cs="Times New Roman"/>
          <w:bCs/>
          <w:sz w:val="24"/>
          <w:szCs w:val="24"/>
        </w:rPr>
        <w:t>e</w:t>
      </w:r>
      <w:r w:rsidRPr="00C17C2E">
        <w:rPr>
          <w:rFonts w:cs="Times New Roman"/>
          <w:bCs/>
          <w:sz w:val="24"/>
          <w:szCs w:val="24"/>
        </w:rPr>
        <w:t>z</w:t>
      </w:r>
      <w:proofErr w:type="spellEnd"/>
      <w:r w:rsidR="00D35D4D">
        <w:rPr>
          <w:rFonts w:cs="Times New Roman"/>
          <w:bCs/>
          <w:sz w:val="24"/>
          <w:szCs w:val="24"/>
        </w:rPr>
        <w:t xml:space="preserve"> </w:t>
      </w:r>
      <w:r w:rsidRPr="00281D6C">
        <w:rPr>
          <w:rFonts w:cs="Times New Roman"/>
          <w:sz w:val="24"/>
          <w:szCs w:val="24"/>
        </w:rPr>
        <w:t xml:space="preserve">highlighted that for </w:t>
      </w:r>
      <w:r w:rsidR="00D50B3A">
        <w:rPr>
          <w:rFonts w:cs="Times New Roman"/>
          <w:sz w:val="24"/>
          <w:szCs w:val="24"/>
        </w:rPr>
        <w:t>p</w:t>
      </w:r>
      <w:r w:rsidRPr="00281D6C">
        <w:rPr>
          <w:rFonts w:cs="Times New Roman"/>
          <w:sz w:val="24"/>
          <w:szCs w:val="24"/>
        </w:rPr>
        <w:t xml:space="preserve">ersons with </w:t>
      </w:r>
      <w:r w:rsidR="00D50B3A">
        <w:rPr>
          <w:rFonts w:cs="Times New Roman"/>
          <w:sz w:val="24"/>
          <w:szCs w:val="24"/>
        </w:rPr>
        <w:t>d</w:t>
      </w:r>
      <w:r w:rsidRPr="00281D6C">
        <w:rPr>
          <w:rFonts w:cs="Times New Roman"/>
          <w:sz w:val="24"/>
          <w:szCs w:val="24"/>
        </w:rPr>
        <w:t>isabilities Goal 11 means removing barriers in accessing the built environment, informatio</w:t>
      </w:r>
      <w:r w:rsidR="00297354">
        <w:rPr>
          <w:rFonts w:cs="Times New Roman"/>
          <w:sz w:val="24"/>
          <w:szCs w:val="24"/>
        </w:rPr>
        <w:t>n</w:t>
      </w:r>
      <w:r w:rsidRPr="00281D6C">
        <w:rPr>
          <w:rFonts w:cs="Times New Roman"/>
          <w:sz w:val="24"/>
          <w:szCs w:val="24"/>
        </w:rPr>
        <w:t xml:space="preserve"> and communication, including information and communication technologies. These </w:t>
      </w:r>
      <w:r w:rsidR="002B0A51">
        <w:rPr>
          <w:rFonts w:cs="Times New Roman"/>
          <w:sz w:val="24"/>
          <w:szCs w:val="24"/>
        </w:rPr>
        <w:t xml:space="preserve">barriers </w:t>
      </w:r>
      <w:r w:rsidRPr="00281D6C">
        <w:rPr>
          <w:rFonts w:cs="Times New Roman"/>
          <w:sz w:val="24"/>
          <w:szCs w:val="24"/>
        </w:rPr>
        <w:t xml:space="preserve">deny persons with disabilities access to basic urban services, including housing, roads, public spaces, transportation, sanitation and water, health, education, emergency and disaster response. </w:t>
      </w:r>
      <w:r w:rsidRPr="00281D6C">
        <w:rPr>
          <w:rFonts w:cs="Times New Roman"/>
          <w:color w:val="000000" w:themeColor="text1"/>
          <w:sz w:val="24"/>
          <w:szCs w:val="24"/>
        </w:rPr>
        <w:t>S</w:t>
      </w:r>
      <w:r w:rsidR="00E20450">
        <w:rPr>
          <w:rFonts w:cs="Times New Roman"/>
          <w:color w:val="000000" w:themeColor="text1"/>
          <w:sz w:val="24"/>
          <w:szCs w:val="24"/>
        </w:rPr>
        <w:t>he noted that s</w:t>
      </w:r>
      <w:r w:rsidRPr="00281D6C">
        <w:rPr>
          <w:rFonts w:cs="Times New Roman"/>
          <w:color w:val="000000" w:themeColor="text1"/>
          <w:sz w:val="24"/>
          <w:szCs w:val="24"/>
        </w:rPr>
        <w:t xml:space="preserve">afe and inclusive mobility is central for guaranteeing </w:t>
      </w:r>
      <w:r w:rsidR="00EE7073">
        <w:rPr>
          <w:rFonts w:cs="Times New Roman"/>
          <w:color w:val="000000" w:themeColor="text1"/>
          <w:sz w:val="24"/>
          <w:szCs w:val="24"/>
        </w:rPr>
        <w:t xml:space="preserve">the participation of </w:t>
      </w:r>
      <w:r w:rsidRPr="00281D6C">
        <w:rPr>
          <w:rFonts w:cs="Times New Roman"/>
          <w:color w:val="000000" w:themeColor="text1"/>
          <w:sz w:val="24"/>
          <w:szCs w:val="24"/>
        </w:rPr>
        <w:t xml:space="preserve">persons with disabilities to the life of their community and access to economic, social, cultural and political spheres of society. </w:t>
      </w:r>
      <w:r w:rsidR="00BF0C81">
        <w:rPr>
          <w:rFonts w:cs="Times New Roman"/>
          <w:color w:val="000000" w:themeColor="text1"/>
          <w:sz w:val="24"/>
          <w:szCs w:val="24"/>
        </w:rPr>
        <w:t>She discussed an exampling</w:t>
      </w:r>
      <w:r w:rsidRPr="00281D6C">
        <w:rPr>
          <w:rFonts w:cs="Times New Roman"/>
          <w:color w:val="000000" w:themeColor="text1"/>
          <w:sz w:val="24"/>
          <w:szCs w:val="24"/>
        </w:rPr>
        <w:t xml:space="preserve"> in Asia and Africa, </w:t>
      </w:r>
      <w:r w:rsidR="00BF0C81">
        <w:rPr>
          <w:rFonts w:cs="Times New Roman"/>
          <w:color w:val="000000" w:themeColor="text1"/>
          <w:sz w:val="24"/>
          <w:szCs w:val="24"/>
        </w:rPr>
        <w:t xml:space="preserve">where </w:t>
      </w:r>
      <w:r w:rsidRPr="00281D6C">
        <w:rPr>
          <w:rFonts w:cs="Times New Roman"/>
          <w:color w:val="000000" w:themeColor="text1"/>
          <w:sz w:val="24"/>
          <w:szCs w:val="24"/>
        </w:rPr>
        <w:t>it has been prove</w:t>
      </w:r>
      <w:r w:rsidR="00453274">
        <w:rPr>
          <w:rFonts w:cs="Times New Roman"/>
          <w:color w:val="000000" w:themeColor="text1"/>
          <w:sz w:val="24"/>
          <w:szCs w:val="24"/>
        </w:rPr>
        <w:t>n</w:t>
      </w:r>
      <w:r w:rsidRPr="00281D6C">
        <w:rPr>
          <w:rFonts w:cs="Times New Roman"/>
          <w:color w:val="000000" w:themeColor="text1"/>
          <w:sz w:val="24"/>
          <w:szCs w:val="24"/>
        </w:rPr>
        <w:t xml:space="preserve"> that there are linkages between safe mobility and </w:t>
      </w:r>
      <w:r w:rsidRPr="00F24933">
        <w:rPr>
          <w:rFonts w:cstheme="minorHAnsi"/>
          <w:color w:val="000000" w:themeColor="text1"/>
          <w:sz w:val="24"/>
          <w:szCs w:val="24"/>
        </w:rPr>
        <w:t>road safety</w:t>
      </w:r>
      <w:r w:rsidR="002E13D3">
        <w:rPr>
          <w:rFonts w:cstheme="minorHAnsi"/>
          <w:color w:val="000000" w:themeColor="text1"/>
          <w:sz w:val="24"/>
          <w:szCs w:val="24"/>
        </w:rPr>
        <w:t>,</w:t>
      </w:r>
      <w:r w:rsidRPr="00F24933">
        <w:rPr>
          <w:rFonts w:cstheme="minorHAnsi"/>
          <w:color w:val="000000" w:themeColor="text1"/>
          <w:sz w:val="24"/>
          <w:szCs w:val="24"/>
        </w:rPr>
        <w:t xml:space="preserve"> safe mobility and inclusive education</w:t>
      </w:r>
      <w:r w:rsidR="002E13D3">
        <w:rPr>
          <w:rFonts w:cstheme="minorHAnsi"/>
          <w:color w:val="000000" w:themeColor="text1"/>
          <w:sz w:val="24"/>
          <w:szCs w:val="24"/>
        </w:rPr>
        <w:t>, and</w:t>
      </w:r>
      <w:r w:rsidRPr="00F24933">
        <w:rPr>
          <w:rFonts w:cstheme="minorHAnsi"/>
          <w:color w:val="000000" w:themeColor="text1"/>
          <w:sz w:val="24"/>
          <w:szCs w:val="24"/>
        </w:rPr>
        <w:t xml:space="preserve"> safe mobility and socio-economic insertion. </w:t>
      </w:r>
      <w:hyperlink r:id="rId17" w:history="1">
        <w:r w:rsidR="00F24933" w:rsidRPr="00F24933">
          <w:rPr>
            <w:rStyle w:val="Hyperlink"/>
            <w:rFonts w:cstheme="minorHAnsi"/>
            <w:b/>
            <w:bCs/>
            <w:color w:val="3354A0"/>
            <w:sz w:val="24"/>
            <w:szCs w:val="24"/>
          </w:rPr>
          <w:t> Click here to read her full statement.</w:t>
        </w:r>
      </w:hyperlink>
    </w:p>
    <w:p w14:paraId="3D70C15B" w14:textId="54CB91E1" w:rsidR="008C060C" w:rsidRDefault="00D65B92" w:rsidP="00B85D70">
      <w:pPr>
        <w:spacing w:after="0" w:line="276" w:lineRule="auto"/>
        <w:jc w:val="both"/>
        <w:rPr>
          <w:rStyle w:val="Heading1Char"/>
        </w:rPr>
      </w:pPr>
      <w:bookmarkStart w:id="25" w:name="_Toc531264878"/>
      <w:r>
        <w:rPr>
          <w:rStyle w:val="Heading1Char"/>
        </w:rPr>
        <w:t>Thursday, 12</w:t>
      </w:r>
      <w:r w:rsidRPr="00FF73DA">
        <w:rPr>
          <w:rStyle w:val="Heading1Char"/>
          <w:vertAlign w:val="superscript"/>
        </w:rPr>
        <w:t>th</w:t>
      </w:r>
      <w:r>
        <w:rPr>
          <w:rStyle w:val="Heading1Char"/>
        </w:rPr>
        <w:t xml:space="preserve"> July 2018</w:t>
      </w:r>
      <w:bookmarkEnd w:id="25"/>
    </w:p>
    <w:p w14:paraId="29B69B19" w14:textId="1B4C2AB5" w:rsidR="00C37025" w:rsidRPr="00FF73DA" w:rsidRDefault="00A920D8" w:rsidP="00FF73DA">
      <w:pPr>
        <w:pStyle w:val="Heading2"/>
      </w:pPr>
      <w:bookmarkStart w:id="26" w:name="_Toc531264879"/>
      <w:r w:rsidRPr="00DA45BB">
        <w:rPr>
          <w:rStyle w:val="Heading1Char"/>
          <w:rFonts w:eastAsiaTheme="minorHAnsi" w:cstheme="minorBidi"/>
          <w:b/>
          <w:color w:val="00B0F0"/>
          <w:sz w:val="26"/>
          <w:szCs w:val="26"/>
          <w:lang w:val="en-GB"/>
        </w:rPr>
        <w:t>Thematic review: Perspectives of socie</w:t>
      </w:r>
      <w:r w:rsidRPr="008F69C6">
        <w:rPr>
          <w:rStyle w:val="Heading1Char"/>
          <w:rFonts w:eastAsiaTheme="minorHAnsi" w:cstheme="minorBidi"/>
          <w:b/>
          <w:color w:val="00B0F0"/>
          <w:sz w:val="26"/>
          <w:szCs w:val="26"/>
          <w:lang w:val="en-GB"/>
        </w:rPr>
        <w:t>ty – Session organiz</w:t>
      </w:r>
      <w:r w:rsidRPr="00A34B88">
        <w:rPr>
          <w:rStyle w:val="Heading1Char"/>
          <w:rFonts w:eastAsiaTheme="minorHAnsi" w:cstheme="minorBidi"/>
          <w:b/>
          <w:color w:val="00B0F0"/>
          <w:sz w:val="26"/>
          <w:szCs w:val="26"/>
          <w:lang w:val="en-GB"/>
        </w:rPr>
        <w:t>ed</w:t>
      </w:r>
      <w:r w:rsidRPr="00D549AB">
        <w:rPr>
          <w:rStyle w:val="Heading1Char"/>
          <w:rFonts w:eastAsiaTheme="minorHAnsi" w:cstheme="minorBidi"/>
          <w:b/>
          <w:color w:val="00B0F0"/>
          <w:sz w:val="26"/>
          <w:szCs w:val="26"/>
          <w:lang w:val="en-GB"/>
        </w:rPr>
        <w:t xml:space="preserve"> with Major Groups and other Stakeholders</w:t>
      </w:r>
      <w:bookmarkEnd w:id="26"/>
    </w:p>
    <w:p w14:paraId="5D68DC28" w14:textId="30711A4F" w:rsidR="00FC5E7D" w:rsidRDefault="00946CA1" w:rsidP="00B85D70">
      <w:pPr>
        <w:spacing w:after="0" w:line="276" w:lineRule="auto"/>
        <w:jc w:val="both"/>
        <w:rPr>
          <w:sz w:val="24"/>
          <w:szCs w:val="24"/>
          <w:shd w:val="clear" w:color="auto" w:fill="FFFFFF"/>
        </w:rPr>
      </w:pPr>
      <w:r w:rsidRPr="00B85D70">
        <w:rPr>
          <w:sz w:val="24"/>
          <w:szCs w:val="24"/>
          <w:shd w:val="clear" w:color="auto" w:fill="FFFFFF"/>
        </w:rPr>
        <w:t xml:space="preserve">The session was organised in collaboration with the HLPF Coordination Mechanism of </w:t>
      </w:r>
      <w:r w:rsidR="009A3F18">
        <w:rPr>
          <w:sz w:val="24"/>
          <w:szCs w:val="24"/>
          <w:shd w:val="clear" w:color="auto" w:fill="FFFFFF"/>
        </w:rPr>
        <w:t xml:space="preserve">Major Groups and other Stakeholders </w:t>
      </w:r>
      <w:r w:rsidRPr="00B85D70">
        <w:rPr>
          <w:sz w:val="24"/>
          <w:szCs w:val="24"/>
          <w:shd w:val="clear" w:color="auto" w:fill="FFFFFF"/>
        </w:rPr>
        <w:t xml:space="preserve">with </w:t>
      </w:r>
      <w:r w:rsidR="001E165E">
        <w:rPr>
          <w:sz w:val="24"/>
          <w:szCs w:val="24"/>
          <w:shd w:val="clear" w:color="auto" w:fill="FFFFFF"/>
        </w:rPr>
        <w:t xml:space="preserve">a </w:t>
      </w:r>
      <w:r w:rsidRPr="00B85D70">
        <w:rPr>
          <w:sz w:val="24"/>
          <w:szCs w:val="24"/>
          <w:shd w:val="clear" w:color="auto" w:fill="FFFFFF"/>
        </w:rPr>
        <w:t xml:space="preserve">focus on the recommendations of </w:t>
      </w:r>
      <w:proofErr w:type="spellStart"/>
      <w:r w:rsidRPr="00B85D70">
        <w:rPr>
          <w:sz w:val="24"/>
          <w:szCs w:val="24"/>
          <w:shd w:val="clear" w:color="auto" w:fill="FFFFFF"/>
        </w:rPr>
        <w:t>MGoS</w:t>
      </w:r>
      <w:proofErr w:type="spellEnd"/>
      <w:r w:rsidRPr="00B85D70">
        <w:rPr>
          <w:sz w:val="24"/>
          <w:szCs w:val="24"/>
          <w:shd w:val="clear" w:color="auto" w:fill="FFFFFF"/>
        </w:rPr>
        <w:t xml:space="preserve"> around the implementation, follow-up, and review of the 2030 Agenda, with a particular emphasis on the theme of the 2018 HLPF and the specific </w:t>
      </w:r>
      <w:r w:rsidR="001E165E">
        <w:rPr>
          <w:sz w:val="24"/>
          <w:szCs w:val="24"/>
          <w:shd w:val="clear" w:color="auto" w:fill="FFFFFF"/>
        </w:rPr>
        <w:t>G</w:t>
      </w:r>
      <w:r w:rsidRPr="00B85D70">
        <w:rPr>
          <w:sz w:val="24"/>
          <w:szCs w:val="24"/>
          <w:shd w:val="clear" w:color="auto" w:fill="FFFFFF"/>
        </w:rPr>
        <w:t>oals being reviewed. It was also organi</w:t>
      </w:r>
      <w:r w:rsidR="001E165E">
        <w:rPr>
          <w:sz w:val="24"/>
          <w:szCs w:val="24"/>
          <w:shd w:val="clear" w:color="auto" w:fill="FFFFFF"/>
        </w:rPr>
        <w:t>s</w:t>
      </w:r>
      <w:r w:rsidRPr="00B85D70">
        <w:rPr>
          <w:sz w:val="24"/>
          <w:szCs w:val="24"/>
          <w:shd w:val="clear" w:color="auto" w:fill="FFFFFF"/>
        </w:rPr>
        <w:t xml:space="preserve">ed to survey the contributions of </w:t>
      </w:r>
      <w:proofErr w:type="spellStart"/>
      <w:r w:rsidRPr="00B85D70">
        <w:rPr>
          <w:sz w:val="24"/>
          <w:szCs w:val="24"/>
          <w:shd w:val="clear" w:color="auto" w:fill="FFFFFF"/>
        </w:rPr>
        <w:t>MGoS</w:t>
      </w:r>
      <w:proofErr w:type="spellEnd"/>
      <w:r w:rsidRPr="00B85D70">
        <w:rPr>
          <w:sz w:val="24"/>
          <w:szCs w:val="24"/>
          <w:shd w:val="clear" w:color="auto" w:fill="FFFFFF"/>
        </w:rPr>
        <w:t xml:space="preserve"> themselves to the overall successful implementation of the </w:t>
      </w:r>
      <w:r w:rsidR="00165ABF">
        <w:rPr>
          <w:sz w:val="24"/>
          <w:szCs w:val="24"/>
          <w:shd w:val="clear" w:color="auto" w:fill="FFFFFF"/>
        </w:rPr>
        <w:t xml:space="preserve">2030 </w:t>
      </w:r>
      <w:r w:rsidR="00D165E6">
        <w:rPr>
          <w:sz w:val="24"/>
          <w:szCs w:val="24"/>
          <w:shd w:val="clear" w:color="auto" w:fill="FFFFFF"/>
        </w:rPr>
        <w:t>A</w:t>
      </w:r>
      <w:r w:rsidRPr="00B85D70">
        <w:rPr>
          <w:sz w:val="24"/>
          <w:szCs w:val="24"/>
          <w:shd w:val="clear" w:color="auto" w:fill="FFFFFF"/>
        </w:rPr>
        <w:t xml:space="preserve">genda, especially at the national level and during ongoing </w:t>
      </w:r>
      <w:r w:rsidR="000D6777">
        <w:rPr>
          <w:sz w:val="24"/>
          <w:szCs w:val="24"/>
          <w:shd w:val="clear" w:color="auto" w:fill="FFFFFF"/>
        </w:rPr>
        <w:t>Voluntary N</w:t>
      </w:r>
      <w:r w:rsidRPr="00B85D70">
        <w:rPr>
          <w:sz w:val="24"/>
          <w:szCs w:val="24"/>
          <w:shd w:val="clear" w:color="auto" w:fill="FFFFFF"/>
        </w:rPr>
        <w:t xml:space="preserve">ational </w:t>
      </w:r>
      <w:r w:rsidR="000D6777">
        <w:rPr>
          <w:sz w:val="24"/>
          <w:szCs w:val="24"/>
          <w:shd w:val="clear" w:color="auto" w:fill="FFFFFF"/>
        </w:rPr>
        <w:t>R</w:t>
      </w:r>
      <w:r w:rsidRPr="00B85D70">
        <w:rPr>
          <w:sz w:val="24"/>
          <w:szCs w:val="24"/>
          <w:shd w:val="clear" w:color="auto" w:fill="FFFFFF"/>
        </w:rPr>
        <w:t>eview processes.</w:t>
      </w:r>
    </w:p>
    <w:p w14:paraId="253CCB9D" w14:textId="77777777" w:rsidR="00D50B3A" w:rsidRPr="00B85D70" w:rsidRDefault="00D50B3A" w:rsidP="00B85D70">
      <w:pPr>
        <w:spacing w:after="0" w:line="276" w:lineRule="auto"/>
        <w:jc w:val="both"/>
        <w:rPr>
          <w:sz w:val="24"/>
          <w:szCs w:val="24"/>
        </w:rPr>
      </w:pPr>
    </w:p>
    <w:p w14:paraId="1AD2CEB7" w14:textId="0128C133" w:rsidR="00C37025" w:rsidRPr="00B85D70" w:rsidRDefault="00E33FB6" w:rsidP="00B85D70">
      <w:pPr>
        <w:spacing w:line="276" w:lineRule="auto"/>
        <w:jc w:val="both"/>
        <w:rPr>
          <w:sz w:val="24"/>
          <w:szCs w:val="24"/>
        </w:rPr>
      </w:pPr>
      <w:r w:rsidRPr="00B85D70">
        <w:rPr>
          <w:sz w:val="24"/>
          <w:szCs w:val="24"/>
        </w:rPr>
        <w:t xml:space="preserve">Panellist </w:t>
      </w:r>
      <w:r w:rsidRPr="00B85D70">
        <w:rPr>
          <w:bCs/>
          <w:sz w:val="24"/>
          <w:szCs w:val="24"/>
        </w:rPr>
        <w:t>Ms.</w:t>
      </w:r>
      <w:r w:rsidR="00D50B3A">
        <w:rPr>
          <w:bCs/>
          <w:sz w:val="24"/>
          <w:szCs w:val="24"/>
        </w:rPr>
        <w:t xml:space="preserve"> </w:t>
      </w:r>
      <w:r w:rsidRPr="00B85D70">
        <w:rPr>
          <w:bCs/>
          <w:sz w:val="24"/>
          <w:szCs w:val="24"/>
        </w:rPr>
        <w:t xml:space="preserve">Haydee </w:t>
      </w:r>
      <w:r w:rsidR="00D35D4D" w:rsidRPr="00B85D70">
        <w:rPr>
          <w:bCs/>
          <w:sz w:val="24"/>
          <w:szCs w:val="24"/>
        </w:rPr>
        <w:t>Rodriguez</w:t>
      </w:r>
      <w:r w:rsidR="00D35D4D" w:rsidRPr="00B85D70">
        <w:rPr>
          <w:sz w:val="24"/>
          <w:szCs w:val="24"/>
        </w:rPr>
        <w:t>, Executive</w:t>
      </w:r>
      <w:r w:rsidRPr="00B85D70">
        <w:rPr>
          <w:sz w:val="24"/>
          <w:szCs w:val="24"/>
        </w:rPr>
        <w:t xml:space="preserve"> Director, Unión de </w:t>
      </w:r>
      <w:proofErr w:type="spellStart"/>
      <w:r w:rsidRPr="00B85D70">
        <w:rPr>
          <w:sz w:val="24"/>
          <w:szCs w:val="24"/>
        </w:rPr>
        <w:t>Cooperativas</w:t>
      </w:r>
      <w:proofErr w:type="spellEnd"/>
      <w:r w:rsidRPr="00B85D70">
        <w:rPr>
          <w:sz w:val="24"/>
          <w:szCs w:val="24"/>
        </w:rPr>
        <w:t xml:space="preserve"> de </w:t>
      </w:r>
      <w:proofErr w:type="spellStart"/>
      <w:r w:rsidRPr="00B85D70">
        <w:rPr>
          <w:sz w:val="24"/>
          <w:szCs w:val="24"/>
        </w:rPr>
        <w:t>Mujeres</w:t>
      </w:r>
      <w:proofErr w:type="spellEnd"/>
      <w:r w:rsidR="00D35D4D">
        <w:rPr>
          <w:sz w:val="24"/>
          <w:szCs w:val="24"/>
        </w:rPr>
        <w:t xml:space="preserve"> </w:t>
      </w:r>
      <w:proofErr w:type="spellStart"/>
      <w:r w:rsidRPr="00B85D70">
        <w:rPr>
          <w:sz w:val="24"/>
          <w:szCs w:val="24"/>
        </w:rPr>
        <w:t>Productoras</w:t>
      </w:r>
      <w:proofErr w:type="spellEnd"/>
      <w:r w:rsidRPr="00B85D70">
        <w:rPr>
          <w:sz w:val="24"/>
          <w:szCs w:val="24"/>
        </w:rPr>
        <w:t xml:space="preserve"> “Las </w:t>
      </w:r>
      <w:proofErr w:type="spellStart"/>
      <w:r w:rsidRPr="00B85D70">
        <w:rPr>
          <w:sz w:val="24"/>
          <w:szCs w:val="24"/>
        </w:rPr>
        <w:t>Brumas</w:t>
      </w:r>
      <w:proofErr w:type="spellEnd"/>
      <w:r w:rsidRPr="00B85D70">
        <w:rPr>
          <w:sz w:val="24"/>
          <w:szCs w:val="24"/>
        </w:rPr>
        <w:t>” (Sendai Stakeholders)</w:t>
      </w:r>
      <w:r w:rsidR="00D165E6">
        <w:rPr>
          <w:sz w:val="24"/>
          <w:szCs w:val="24"/>
        </w:rPr>
        <w:t>,</w:t>
      </w:r>
      <w:r w:rsidRPr="00B85D70">
        <w:rPr>
          <w:sz w:val="24"/>
          <w:szCs w:val="24"/>
        </w:rPr>
        <w:t xml:space="preserve"> stated that t</w:t>
      </w:r>
      <w:r w:rsidR="00C37025" w:rsidRPr="00B85D70">
        <w:rPr>
          <w:sz w:val="24"/>
          <w:szCs w:val="24"/>
        </w:rPr>
        <w:t xml:space="preserve">he full engagement of stakeholders, including groups led by grassroots women and men, young </w:t>
      </w:r>
      <w:r w:rsidR="00071899">
        <w:rPr>
          <w:sz w:val="24"/>
          <w:szCs w:val="24"/>
        </w:rPr>
        <w:t>and</w:t>
      </w:r>
      <w:r w:rsidR="00C37025" w:rsidRPr="00B85D70">
        <w:rPr>
          <w:sz w:val="24"/>
          <w:szCs w:val="24"/>
        </w:rPr>
        <w:t xml:space="preserve"> </w:t>
      </w:r>
      <w:r w:rsidR="00DB3B9D">
        <w:rPr>
          <w:sz w:val="24"/>
          <w:szCs w:val="24"/>
        </w:rPr>
        <w:t>old</w:t>
      </w:r>
      <w:r w:rsidR="00C37025" w:rsidRPr="00B85D70">
        <w:rPr>
          <w:sz w:val="24"/>
          <w:szCs w:val="24"/>
        </w:rPr>
        <w:t xml:space="preserve">, </w:t>
      </w:r>
      <w:r w:rsidR="004263C4">
        <w:rPr>
          <w:sz w:val="24"/>
          <w:szCs w:val="24"/>
        </w:rPr>
        <w:t>persons</w:t>
      </w:r>
      <w:r w:rsidR="00C37025" w:rsidRPr="00B85D70">
        <w:rPr>
          <w:sz w:val="24"/>
          <w:szCs w:val="24"/>
        </w:rPr>
        <w:t xml:space="preserve"> with and without disabilities, in cities </w:t>
      </w:r>
      <w:r w:rsidR="00646008">
        <w:rPr>
          <w:sz w:val="24"/>
          <w:szCs w:val="24"/>
        </w:rPr>
        <w:t>and</w:t>
      </w:r>
      <w:r w:rsidR="00C37025" w:rsidRPr="00B85D70">
        <w:rPr>
          <w:sz w:val="24"/>
          <w:szCs w:val="24"/>
        </w:rPr>
        <w:t xml:space="preserve"> rural communities, is not only essential from the perspective of social justice and our common aspiration “to leave no one behind” – engaging stakeholders simply makes sense to apply all-of-societies talents to solve common problems and to keep ourselves accountable and on track for achieving the </w:t>
      </w:r>
      <w:r w:rsidR="005B733A">
        <w:rPr>
          <w:sz w:val="24"/>
          <w:szCs w:val="24"/>
        </w:rPr>
        <w:t>S</w:t>
      </w:r>
      <w:r w:rsidR="00C37025" w:rsidRPr="00B85D70">
        <w:rPr>
          <w:sz w:val="24"/>
          <w:szCs w:val="24"/>
        </w:rPr>
        <w:t xml:space="preserve">ustainable </w:t>
      </w:r>
      <w:r w:rsidR="005B733A">
        <w:rPr>
          <w:sz w:val="24"/>
          <w:szCs w:val="24"/>
        </w:rPr>
        <w:t>D</w:t>
      </w:r>
      <w:r w:rsidR="00C37025" w:rsidRPr="00B85D70">
        <w:rPr>
          <w:sz w:val="24"/>
          <w:szCs w:val="24"/>
        </w:rPr>
        <w:t xml:space="preserve">evelopment </w:t>
      </w:r>
      <w:r w:rsidR="005B733A">
        <w:rPr>
          <w:sz w:val="24"/>
          <w:szCs w:val="24"/>
        </w:rPr>
        <w:t>G</w:t>
      </w:r>
      <w:r w:rsidR="00C37025" w:rsidRPr="00B85D70">
        <w:rPr>
          <w:sz w:val="24"/>
          <w:szCs w:val="24"/>
        </w:rPr>
        <w:t>oals.</w:t>
      </w:r>
    </w:p>
    <w:p w14:paraId="2450F057" w14:textId="49FE682B" w:rsidR="00E33FB6" w:rsidRPr="00B85D70" w:rsidRDefault="00E33FB6" w:rsidP="00B85D70">
      <w:pPr>
        <w:spacing w:line="276" w:lineRule="auto"/>
        <w:jc w:val="both"/>
        <w:rPr>
          <w:rFonts w:eastAsia="Times New Roman" w:cs="Times New Roman"/>
          <w:sz w:val="24"/>
          <w:szCs w:val="24"/>
          <w:lang w:val="en-US"/>
        </w:rPr>
      </w:pPr>
      <w:bookmarkStart w:id="27" w:name="_Hlk526955764"/>
      <w:r w:rsidRPr="00B85D70">
        <w:rPr>
          <w:rFonts w:cs="Times New Roman"/>
          <w:sz w:val="24"/>
          <w:szCs w:val="24"/>
        </w:rPr>
        <w:t xml:space="preserve">On behalf of </w:t>
      </w:r>
      <w:r w:rsidR="00EF050D" w:rsidRPr="00B85D70">
        <w:rPr>
          <w:rFonts w:cs="Times New Roman"/>
          <w:sz w:val="24"/>
          <w:szCs w:val="24"/>
        </w:rPr>
        <w:t xml:space="preserve">the </w:t>
      </w:r>
      <w:bookmarkEnd w:id="27"/>
      <w:r w:rsidR="00A5471C" w:rsidRPr="00FF73DA">
        <w:rPr>
          <w:rFonts w:cs="Times New Roman"/>
          <w:sz w:val="24"/>
          <w:szCs w:val="24"/>
        </w:rPr>
        <w:t>Stakeholder Group of Persons with Disabilities</w:t>
      </w:r>
      <w:r w:rsidR="00A5471C">
        <w:rPr>
          <w:rFonts w:cs="Times New Roman"/>
          <w:sz w:val="24"/>
          <w:szCs w:val="24"/>
        </w:rPr>
        <w:t>, Ana</w:t>
      </w:r>
      <w:r w:rsidRPr="00C17C2E">
        <w:rPr>
          <w:rFonts w:cs="Times New Roman"/>
          <w:bCs/>
          <w:sz w:val="24"/>
          <w:szCs w:val="24"/>
        </w:rPr>
        <w:t xml:space="preserve"> </w:t>
      </w:r>
      <w:proofErr w:type="spellStart"/>
      <w:r w:rsidRPr="00C17C2E">
        <w:rPr>
          <w:rFonts w:cs="Times New Roman"/>
          <w:bCs/>
          <w:sz w:val="24"/>
          <w:szCs w:val="24"/>
        </w:rPr>
        <w:t>P</w:t>
      </w:r>
      <w:r w:rsidR="00E0206E">
        <w:rPr>
          <w:rFonts w:cs="Times New Roman"/>
          <w:bCs/>
          <w:sz w:val="24"/>
          <w:szCs w:val="24"/>
        </w:rPr>
        <w:t>e</w:t>
      </w:r>
      <w:r w:rsidRPr="00C17C2E">
        <w:rPr>
          <w:rFonts w:cs="Times New Roman"/>
          <w:bCs/>
          <w:sz w:val="24"/>
          <w:szCs w:val="24"/>
        </w:rPr>
        <w:t>l</w:t>
      </w:r>
      <w:r w:rsidR="00BE76E1" w:rsidRPr="00685A2A">
        <w:rPr>
          <w:rFonts w:cs="Times New Roman"/>
          <w:sz w:val="24"/>
          <w:szCs w:val="24"/>
        </w:rPr>
        <w:t>á</w:t>
      </w:r>
      <w:r w:rsidR="00E0206E">
        <w:rPr>
          <w:rFonts w:cs="Times New Roman"/>
          <w:bCs/>
          <w:sz w:val="24"/>
          <w:szCs w:val="24"/>
        </w:rPr>
        <w:t>e</w:t>
      </w:r>
      <w:r w:rsidRPr="00C17C2E">
        <w:rPr>
          <w:rFonts w:cs="Times New Roman"/>
          <w:bCs/>
          <w:sz w:val="24"/>
          <w:szCs w:val="24"/>
        </w:rPr>
        <w:t>z</w:t>
      </w:r>
      <w:proofErr w:type="spellEnd"/>
      <w:r w:rsidR="00D35D4D">
        <w:rPr>
          <w:rFonts w:cs="Times New Roman"/>
          <w:bCs/>
          <w:sz w:val="24"/>
          <w:szCs w:val="24"/>
        </w:rPr>
        <w:t xml:space="preserve"> </w:t>
      </w:r>
      <w:r w:rsidRPr="00B85D70">
        <w:rPr>
          <w:rFonts w:cs="Times New Roman"/>
          <w:sz w:val="24"/>
          <w:szCs w:val="24"/>
        </w:rPr>
        <w:t xml:space="preserve">highlighted that </w:t>
      </w:r>
      <w:r w:rsidRPr="00B85D70">
        <w:rPr>
          <w:rFonts w:eastAsia="Times New Roman" w:cs="Times New Roman"/>
          <w:sz w:val="24"/>
          <w:szCs w:val="24"/>
          <w:lang w:val="en-US"/>
        </w:rPr>
        <w:t xml:space="preserve">inclusive, safe, sustainable and resilient societies cannot be defined only by bricks and mortar, neither </w:t>
      </w:r>
      <w:r w:rsidR="00B00499">
        <w:rPr>
          <w:rFonts w:eastAsia="Times New Roman" w:cs="Times New Roman"/>
          <w:sz w:val="24"/>
          <w:szCs w:val="24"/>
          <w:lang w:val="en-US"/>
        </w:rPr>
        <w:t xml:space="preserve">only </w:t>
      </w:r>
      <w:r w:rsidRPr="00B85D70">
        <w:rPr>
          <w:rFonts w:eastAsia="Times New Roman" w:cs="Times New Roman"/>
          <w:sz w:val="24"/>
          <w:szCs w:val="24"/>
          <w:lang w:val="en-US"/>
        </w:rPr>
        <w:t xml:space="preserve">by physical access. </w:t>
      </w:r>
      <w:r w:rsidR="00BD18AE">
        <w:rPr>
          <w:rFonts w:eastAsia="Times New Roman" w:cs="Times New Roman"/>
          <w:sz w:val="24"/>
          <w:szCs w:val="24"/>
          <w:lang w:val="en-US"/>
        </w:rPr>
        <w:t>She stated that i</w:t>
      </w:r>
      <w:r w:rsidRPr="00B85D70">
        <w:rPr>
          <w:rFonts w:eastAsia="Times New Roman" w:cs="Times New Roman"/>
          <w:sz w:val="24"/>
          <w:szCs w:val="24"/>
          <w:lang w:val="en-US"/>
        </w:rPr>
        <w:t xml:space="preserve">nclusive societies must be built on the principles secured in CRPD </w:t>
      </w:r>
      <w:r w:rsidRPr="00B85D70">
        <w:rPr>
          <w:rFonts w:eastAsia="Times New Roman" w:cs="Times New Roman"/>
          <w:sz w:val="24"/>
          <w:szCs w:val="24"/>
          <w:lang w:val="en-US"/>
        </w:rPr>
        <w:lastRenderedPageBreak/>
        <w:t xml:space="preserve">Article 3 by respect for inherent dignity, individual autonomy including the freedom to make one’s own choices, and independence of persons; non-discrimination; full and effective participation and inclusion in society; respect for differences and acceptance of persons with disabilities as part of human diversity and humanity; equality of opportunity; accessibility; equality between men and women; respect for the evolving capacities of children with disabilities and respect for the right of children with disabilities to preserve their identities. </w:t>
      </w:r>
      <w:r w:rsidR="009F4F69">
        <w:rPr>
          <w:rFonts w:eastAsia="Times New Roman" w:cs="Times New Roman"/>
          <w:sz w:val="24"/>
          <w:szCs w:val="24"/>
          <w:lang w:val="en-US"/>
        </w:rPr>
        <w:t xml:space="preserve">She </w:t>
      </w:r>
      <w:r w:rsidR="00B748DE">
        <w:rPr>
          <w:rFonts w:eastAsia="Times New Roman" w:cs="Times New Roman"/>
          <w:sz w:val="24"/>
          <w:szCs w:val="24"/>
          <w:lang w:val="en-US"/>
        </w:rPr>
        <w:t>emphasized</w:t>
      </w:r>
      <w:r w:rsidR="009F4F69">
        <w:rPr>
          <w:rFonts w:eastAsia="Times New Roman" w:cs="Times New Roman"/>
          <w:sz w:val="24"/>
          <w:szCs w:val="24"/>
          <w:lang w:val="en-US"/>
        </w:rPr>
        <w:t xml:space="preserve"> that in order to</w:t>
      </w:r>
      <w:r w:rsidR="009F4F69" w:rsidRPr="00B85D70">
        <w:rPr>
          <w:rFonts w:eastAsia="Times New Roman" w:cs="Times New Roman"/>
          <w:sz w:val="24"/>
          <w:szCs w:val="24"/>
          <w:lang w:val="en-US"/>
        </w:rPr>
        <w:t xml:space="preserve"> </w:t>
      </w:r>
      <w:r w:rsidRPr="00B85D70">
        <w:rPr>
          <w:rFonts w:eastAsia="Times New Roman" w:cs="Times New Roman"/>
          <w:sz w:val="24"/>
          <w:szCs w:val="24"/>
          <w:lang w:val="en-US"/>
        </w:rPr>
        <w:t>realize inclusion for persons with disabilities, policy makers must be informed by collecting evidence-based data that are disaggregated by disability using the short set of questions developed b</w:t>
      </w:r>
      <w:r w:rsidRPr="00F24933">
        <w:rPr>
          <w:rFonts w:eastAsia="Times New Roman" w:cstheme="minorHAnsi"/>
          <w:sz w:val="24"/>
          <w:szCs w:val="24"/>
          <w:lang w:val="en-US"/>
        </w:rPr>
        <w:t>y the Washington Group</w:t>
      </w:r>
      <w:r w:rsidR="00F57A5F">
        <w:rPr>
          <w:rFonts w:eastAsia="Times New Roman" w:cstheme="minorHAnsi"/>
          <w:sz w:val="24"/>
          <w:szCs w:val="24"/>
          <w:lang w:val="en-US"/>
        </w:rPr>
        <w:t>,</w:t>
      </w:r>
      <w:r w:rsidRPr="00F24933">
        <w:rPr>
          <w:rFonts w:eastAsia="Times New Roman" w:cstheme="minorHAnsi"/>
          <w:sz w:val="24"/>
          <w:szCs w:val="24"/>
          <w:lang w:val="en-US"/>
        </w:rPr>
        <w:t xml:space="preserve"> and by properly consulting persons with disabilities and their representative organizations on the design, implementation and monitoring of SDG plans.</w:t>
      </w:r>
      <w:r w:rsidR="00D50B3A">
        <w:rPr>
          <w:rFonts w:eastAsia="Times New Roman" w:cstheme="minorHAnsi"/>
          <w:sz w:val="24"/>
          <w:szCs w:val="24"/>
          <w:lang w:val="en-US"/>
        </w:rPr>
        <w:t xml:space="preserve"> </w:t>
      </w:r>
      <w:hyperlink r:id="rId18" w:history="1">
        <w:r w:rsidR="00F24933" w:rsidRPr="00F24933">
          <w:rPr>
            <w:rStyle w:val="Hyperlink"/>
            <w:rFonts w:cstheme="minorHAnsi"/>
            <w:b/>
            <w:bCs/>
            <w:color w:val="3354A0"/>
            <w:sz w:val="24"/>
            <w:szCs w:val="24"/>
          </w:rPr>
          <w:t>Click here to read her full statement.</w:t>
        </w:r>
      </w:hyperlink>
    </w:p>
    <w:p w14:paraId="5020F360" w14:textId="45577443" w:rsidR="00850F2C" w:rsidRPr="00B85D70" w:rsidRDefault="0083621E" w:rsidP="00B85D70">
      <w:pPr>
        <w:spacing w:line="276" w:lineRule="auto"/>
        <w:jc w:val="both"/>
        <w:rPr>
          <w:rFonts w:cs="Times New Roman"/>
          <w:sz w:val="24"/>
          <w:szCs w:val="24"/>
        </w:rPr>
      </w:pPr>
      <w:r>
        <w:rPr>
          <w:rFonts w:cs="Times New Roman"/>
          <w:sz w:val="24"/>
          <w:szCs w:val="24"/>
        </w:rPr>
        <w:t>At the close of</w:t>
      </w:r>
      <w:r w:rsidR="00850F2C" w:rsidRPr="00B85D70">
        <w:rPr>
          <w:rFonts w:cs="Times New Roman"/>
          <w:sz w:val="24"/>
          <w:szCs w:val="24"/>
        </w:rPr>
        <w:t xml:space="preserve"> the session, </w:t>
      </w:r>
      <w:r w:rsidR="00850F2C" w:rsidRPr="001F61F8">
        <w:rPr>
          <w:rFonts w:eastAsia="Times New Roman" w:cs="Times New Roman"/>
          <w:b/>
          <w:bCs/>
          <w:sz w:val="24"/>
          <w:szCs w:val="24"/>
          <w:lang w:eastAsia="en-GB"/>
        </w:rPr>
        <w:t xml:space="preserve">H.E. Mr. Jerry Matthews </w:t>
      </w:r>
      <w:proofErr w:type="spellStart"/>
      <w:r w:rsidR="00850F2C" w:rsidRPr="001F61F8">
        <w:rPr>
          <w:rFonts w:eastAsia="Times New Roman" w:cs="Times New Roman"/>
          <w:b/>
          <w:bCs/>
          <w:sz w:val="24"/>
          <w:szCs w:val="24"/>
          <w:lang w:eastAsia="en-GB"/>
        </w:rPr>
        <w:t>Matjila</w:t>
      </w:r>
      <w:proofErr w:type="spellEnd"/>
      <w:r w:rsidR="00850F2C" w:rsidRPr="00B85D70">
        <w:rPr>
          <w:rFonts w:eastAsia="Times New Roman" w:cs="Times New Roman"/>
          <w:sz w:val="24"/>
          <w:szCs w:val="24"/>
          <w:lang w:eastAsia="en-GB"/>
        </w:rPr>
        <w:t>, Vice-President of ECOSOC</w:t>
      </w:r>
      <w:r w:rsidR="00DE6556">
        <w:rPr>
          <w:rFonts w:eastAsia="Times New Roman" w:cs="Times New Roman"/>
          <w:sz w:val="24"/>
          <w:szCs w:val="24"/>
          <w:lang w:eastAsia="en-GB"/>
        </w:rPr>
        <w:t>,</w:t>
      </w:r>
      <w:r w:rsidR="00850F2C" w:rsidRPr="00B85D70">
        <w:rPr>
          <w:rFonts w:eastAsia="Times New Roman" w:cs="Times New Roman"/>
          <w:sz w:val="24"/>
          <w:szCs w:val="24"/>
          <w:lang w:eastAsia="en-GB"/>
        </w:rPr>
        <w:t xml:space="preserve"> highlighted that the forum </w:t>
      </w:r>
      <w:r w:rsidR="00D35D4D" w:rsidRPr="00B85D70">
        <w:rPr>
          <w:rFonts w:eastAsia="Times New Roman" w:cs="Times New Roman"/>
          <w:sz w:val="24"/>
          <w:szCs w:val="24"/>
          <w:lang w:eastAsia="en-GB"/>
        </w:rPr>
        <w:t>t</w:t>
      </w:r>
      <w:r w:rsidR="003D6D1B">
        <w:rPr>
          <w:rFonts w:eastAsia="Times New Roman" w:cs="Times New Roman"/>
          <w:sz w:val="24"/>
          <w:szCs w:val="24"/>
          <w:lang w:eastAsia="en-GB"/>
        </w:rPr>
        <w:t>ook</w:t>
      </w:r>
      <w:r w:rsidR="00D35D4D" w:rsidRPr="00B85D70">
        <w:rPr>
          <w:rFonts w:cs="Times New Roman"/>
          <w:sz w:val="24"/>
          <w:szCs w:val="24"/>
        </w:rPr>
        <w:t xml:space="preserve"> note</w:t>
      </w:r>
      <w:r w:rsidR="00850F2C" w:rsidRPr="00B85D70">
        <w:rPr>
          <w:rFonts w:cs="Times New Roman"/>
          <w:sz w:val="24"/>
          <w:szCs w:val="24"/>
        </w:rPr>
        <w:t xml:space="preserve"> of the views brought by the </w:t>
      </w:r>
      <w:r w:rsidR="00BD3CA9" w:rsidRPr="00FF73DA">
        <w:rPr>
          <w:rFonts w:cs="Times New Roman"/>
          <w:sz w:val="24"/>
          <w:szCs w:val="24"/>
        </w:rPr>
        <w:t>Stakeholder Group of Persons with Disabilities</w:t>
      </w:r>
      <w:r w:rsidR="00FB6833">
        <w:rPr>
          <w:rFonts w:cs="Times New Roman"/>
          <w:sz w:val="24"/>
          <w:szCs w:val="24"/>
        </w:rPr>
        <w:t xml:space="preserve">, </w:t>
      </w:r>
      <w:r w:rsidR="00850F2C" w:rsidRPr="00B85D70">
        <w:rPr>
          <w:rFonts w:cs="Times New Roman"/>
          <w:sz w:val="24"/>
          <w:szCs w:val="24"/>
        </w:rPr>
        <w:t xml:space="preserve">specifically that when planning for SDGs implementation </w:t>
      </w:r>
      <w:r w:rsidR="0067106B" w:rsidRPr="00B85D70">
        <w:rPr>
          <w:rFonts w:cs="Times New Roman"/>
          <w:sz w:val="24"/>
          <w:szCs w:val="24"/>
        </w:rPr>
        <w:t>all stakeholders should always</w:t>
      </w:r>
      <w:r w:rsidR="00E13002">
        <w:rPr>
          <w:rFonts w:cs="Times New Roman"/>
          <w:sz w:val="24"/>
          <w:szCs w:val="24"/>
        </w:rPr>
        <w:t xml:space="preserve"> </w:t>
      </w:r>
      <w:r w:rsidR="00737640">
        <w:rPr>
          <w:rFonts w:cs="Times New Roman"/>
          <w:sz w:val="24"/>
          <w:szCs w:val="24"/>
        </w:rPr>
        <w:t xml:space="preserve">consider </w:t>
      </w:r>
      <w:r w:rsidR="00341612">
        <w:rPr>
          <w:rFonts w:cs="Times New Roman"/>
          <w:sz w:val="24"/>
          <w:szCs w:val="24"/>
        </w:rPr>
        <w:t>p</w:t>
      </w:r>
      <w:r w:rsidR="0067106B" w:rsidRPr="00B85D70">
        <w:rPr>
          <w:rFonts w:cs="Times New Roman"/>
          <w:sz w:val="24"/>
          <w:szCs w:val="24"/>
        </w:rPr>
        <w:t xml:space="preserve">ersons with </w:t>
      </w:r>
      <w:r w:rsidR="00341612">
        <w:rPr>
          <w:rFonts w:cs="Times New Roman"/>
          <w:sz w:val="24"/>
          <w:szCs w:val="24"/>
        </w:rPr>
        <w:t>d</w:t>
      </w:r>
      <w:r w:rsidR="0067106B" w:rsidRPr="00B85D70">
        <w:rPr>
          <w:rFonts w:cs="Times New Roman"/>
          <w:sz w:val="24"/>
          <w:szCs w:val="24"/>
        </w:rPr>
        <w:t>isabilities, most especially those in rural areas.</w:t>
      </w:r>
    </w:p>
    <w:p w14:paraId="1B258571" w14:textId="670918B1" w:rsidR="0067106B" w:rsidRPr="00B85D70" w:rsidRDefault="00B23445" w:rsidP="00FF73DA">
      <w:pPr>
        <w:pStyle w:val="Heading2"/>
        <w:rPr>
          <w:shd w:val="clear" w:color="auto" w:fill="FFFFFF"/>
        </w:rPr>
      </w:pPr>
      <w:bookmarkStart w:id="28" w:name="_Toc531264880"/>
      <w:r>
        <w:rPr>
          <w:shd w:val="clear" w:color="auto" w:fill="FFFFFF"/>
        </w:rPr>
        <w:t>Review of SDGs implementation: SDG 12 – Ensure sustainable consumption and production patterns</w:t>
      </w:r>
      <w:bookmarkEnd w:id="28"/>
    </w:p>
    <w:p w14:paraId="097CF22E" w14:textId="001C6F21" w:rsidR="006367C0" w:rsidRPr="00B85D70" w:rsidRDefault="006367C0" w:rsidP="00B85D70">
      <w:pPr>
        <w:spacing w:line="276" w:lineRule="auto"/>
        <w:jc w:val="both"/>
        <w:rPr>
          <w:sz w:val="24"/>
          <w:szCs w:val="24"/>
        </w:rPr>
      </w:pPr>
      <w:r w:rsidRPr="00B85D70">
        <w:rPr>
          <w:sz w:val="24"/>
          <w:szCs w:val="24"/>
          <w:shd w:val="clear" w:color="auto" w:fill="FFFFFF"/>
        </w:rPr>
        <w:t xml:space="preserve">This session aimed </w:t>
      </w:r>
      <w:r w:rsidR="00DC1C94">
        <w:rPr>
          <w:sz w:val="24"/>
          <w:szCs w:val="24"/>
          <w:shd w:val="clear" w:color="auto" w:fill="FFFFFF"/>
        </w:rPr>
        <w:t xml:space="preserve">to </w:t>
      </w:r>
      <w:r w:rsidRPr="00B85D70">
        <w:rPr>
          <w:sz w:val="24"/>
          <w:szCs w:val="24"/>
          <w:shd w:val="clear" w:color="auto" w:fill="FFFFFF"/>
        </w:rPr>
        <w:t>conside</w:t>
      </w:r>
      <w:r w:rsidR="00DC1C94">
        <w:rPr>
          <w:sz w:val="24"/>
          <w:szCs w:val="24"/>
          <w:shd w:val="clear" w:color="auto" w:fill="FFFFFF"/>
        </w:rPr>
        <w:t>r</w:t>
      </w:r>
      <w:r w:rsidR="00156A81">
        <w:rPr>
          <w:sz w:val="24"/>
          <w:szCs w:val="24"/>
          <w:shd w:val="clear" w:color="auto" w:fill="FFFFFF"/>
        </w:rPr>
        <w:t xml:space="preserve"> </w:t>
      </w:r>
      <w:r w:rsidRPr="00B85D70">
        <w:rPr>
          <w:sz w:val="24"/>
          <w:szCs w:val="24"/>
          <w:shd w:val="clear" w:color="auto" w:fill="FFFFFF"/>
        </w:rPr>
        <w:t xml:space="preserve">progress in achieving SDG 12, identify challenges at the global, regional and national levels, and recommend solutions in an integrated manner, through </w:t>
      </w:r>
      <w:r w:rsidR="006473C2">
        <w:rPr>
          <w:sz w:val="24"/>
          <w:szCs w:val="24"/>
          <w:shd w:val="clear" w:color="auto" w:fill="FFFFFF"/>
        </w:rPr>
        <w:t xml:space="preserve">an </w:t>
      </w:r>
      <w:r w:rsidRPr="00B85D70">
        <w:rPr>
          <w:sz w:val="24"/>
          <w:szCs w:val="24"/>
          <w:shd w:val="clear" w:color="auto" w:fill="FFFFFF"/>
        </w:rPr>
        <w:t>exchange of lessons learned and best practices.</w:t>
      </w:r>
    </w:p>
    <w:p w14:paraId="1963960C" w14:textId="76BEF485" w:rsidR="00257E86" w:rsidRPr="00B85D70" w:rsidRDefault="00912009" w:rsidP="00B85D70">
      <w:pPr>
        <w:spacing w:line="276" w:lineRule="auto"/>
        <w:jc w:val="both"/>
        <w:rPr>
          <w:sz w:val="24"/>
          <w:szCs w:val="24"/>
        </w:rPr>
      </w:pPr>
      <w:bookmarkStart w:id="29" w:name="_Toc531264881"/>
      <w:r w:rsidRPr="00FF73DA">
        <w:rPr>
          <w:rStyle w:val="Heading3Char"/>
          <w:rFonts w:eastAsiaTheme="minorHAnsi"/>
        </w:rPr>
        <w:t>Panellist: Ms.</w:t>
      </w:r>
      <w:r w:rsidR="00D50B3A" w:rsidRPr="00FF73DA">
        <w:rPr>
          <w:rStyle w:val="Heading3Char"/>
          <w:rFonts w:eastAsiaTheme="minorHAnsi"/>
        </w:rPr>
        <w:t xml:space="preserve"> </w:t>
      </w:r>
      <w:r w:rsidRPr="00FF73DA">
        <w:rPr>
          <w:rStyle w:val="Heading3Char"/>
          <w:rFonts w:eastAsiaTheme="minorHAnsi"/>
        </w:rPr>
        <w:t xml:space="preserve">Nur H. </w:t>
      </w:r>
      <w:proofErr w:type="spellStart"/>
      <w:r w:rsidRPr="00FF73DA">
        <w:rPr>
          <w:rStyle w:val="Heading3Char"/>
          <w:rFonts w:eastAsiaTheme="minorHAnsi"/>
        </w:rPr>
        <w:t>Rahayu</w:t>
      </w:r>
      <w:bookmarkEnd w:id="29"/>
      <w:proofErr w:type="spellEnd"/>
      <w:r w:rsidRPr="00B85D70">
        <w:rPr>
          <w:sz w:val="24"/>
          <w:szCs w:val="24"/>
        </w:rPr>
        <w:t>, Director of Forestry and Conservation of Water Resources, Ministry of National Development Planning of Indonesia</w:t>
      </w:r>
      <w:r w:rsidR="00514DAF">
        <w:rPr>
          <w:sz w:val="24"/>
          <w:szCs w:val="24"/>
        </w:rPr>
        <w:t>,</w:t>
      </w:r>
      <w:r w:rsidRPr="00B85D70">
        <w:rPr>
          <w:sz w:val="24"/>
          <w:szCs w:val="24"/>
        </w:rPr>
        <w:t xml:space="preserve"> stated that in Indonesia</w:t>
      </w:r>
      <w:r w:rsidR="00B9472F">
        <w:rPr>
          <w:sz w:val="24"/>
          <w:szCs w:val="24"/>
        </w:rPr>
        <w:t>,</w:t>
      </w:r>
      <w:r w:rsidRPr="00B85D70">
        <w:rPr>
          <w:sz w:val="24"/>
          <w:szCs w:val="24"/>
        </w:rPr>
        <w:t xml:space="preserve"> different goals are implemented </w:t>
      </w:r>
      <w:r w:rsidR="0041416D">
        <w:rPr>
          <w:sz w:val="24"/>
          <w:szCs w:val="24"/>
        </w:rPr>
        <w:t xml:space="preserve">by </w:t>
      </w:r>
      <w:r w:rsidR="00173917">
        <w:rPr>
          <w:sz w:val="24"/>
          <w:szCs w:val="24"/>
        </w:rPr>
        <w:t>keeping in mind</w:t>
      </w:r>
      <w:r w:rsidR="00173917" w:rsidRPr="00B85D70">
        <w:rPr>
          <w:sz w:val="24"/>
          <w:szCs w:val="24"/>
        </w:rPr>
        <w:t xml:space="preserve"> </w:t>
      </w:r>
      <w:r w:rsidR="000F3D7C">
        <w:rPr>
          <w:sz w:val="24"/>
          <w:szCs w:val="24"/>
        </w:rPr>
        <w:t xml:space="preserve">the </w:t>
      </w:r>
      <w:r w:rsidRPr="00B85D70">
        <w:rPr>
          <w:sz w:val="24"/>
          <w:szCs w:val="24"/>
        </w:rPr>
        <w:t>principle</w:t>
      </w:r>
      <w:r w:rsidR="000F3D7C">
        <w:rPr>
          <w:sz w:val="24"/>
          <w:szCs w:val="24"/>
        </w:rPr>
        <w:t xml:space="preserve"> of leaving no one behind</w:t>
      </w:r>
      <w:r w:rsidRPr="00B85D70">
        <w:rPr>
          <w:sz w:val="24"/>
          <w:szCs w:val="24"/>
        </w:rPr>
        <w:t xml:space="preserve">.  </w:t>
      </w:r>
      <w:r w:rsidR="00B874B7">
        <w:rPr>
          <w:sz w:val="24"/>
          <w:szCs w:val="24"/>
        </w:rPr>
        <w:t>T</w:t>
      </w:r>
      <w:r w:rsidRPr="00B85D70">
        <w:rPr>
          <w:sz w:val="24"/>
          <w:szCs w:val="24"/>
        </w:rPr>
        <w:t xml:space="preserve">his type of approach has </w:t>
      </w:r>
      <w:r w:rsidR="00D35D4D" w:rsidRPr="00B85D70">
        <w:rPr>
          <w:sz w:val="24"/>
          <w:szCs w:val="24"/>
        </w:rPr>
        <w:t>been taken</w:t>
      </w:r>
      <w:r w:rsidRPr="00B85D70">
        <w:rPr>
          <w:sz w:val="24"/>
          <w:szCs w:val="24"/>
        </w:rPr>
        <w:t xml:space="preserve"> by the government in the hope that there is no interest from SDG beneficiaries </w:t>
      </w:r>
      <w:r w:rsidR="004214B8">
        <w:rPr>
          <w:sz w:val="24"/>
          <w:szCs w:val="24"/>
        </w:rPr>
        <w:t xml:space="preserve">who </w:t>
      </w:r>
      <w:r w:rsidRPr="00B85D70">
        <w:rPr>
          <w:sz w:val="24"/>
          <w:szCs w:val="24"/>
        </w:rPr>
        <w:t>are not being accommodated</w:t>
      </w:r>
      <w:r w:rsidR="00C96E29">
        <w:rPr>
          <w:sz w:val="24"/>
          <w:szCs w:val="24"/>
        </w:rPr>
        <w:t>,</w:t>
      </w:r>
      <w:r w:rsidRPr="00B85D70">
        <w:rPr>
          <w:sz w:val="24"/>
          <w:szCs w:val="24"/>
        </w:rPr>
        <w:t xml:space="preserve"> especially </w:t>
      </w:r>
      <w:r w:rsidR="00832F09" w:rsidRPr="00B85D70">
        <w:rPr>
          <w:sz w:val="24"/>
          <w:szCs w:val="24"/>
        </w:rPr>
        <w:t>in regard to</w:t>
      </w:r>
      <w:r w:rsidRPr="00B85D70">
        <w:rPr>
          <w:sz w:val="24"/>
          <w:szCs w:val="24"/>
        </w:rPr>
        <w:t xml:space="preserve"> marginalized groups</w:t>
      </w:r>
      <w:r w:rsidR="00C96E29">
        <w:rPr>
          <w:sz w:val="24"/>
          <w:szCs w:val="24"/>
        </w:rPr>
        <w:t>,</w:t>
      </w:r>
      <w:r w:rsidRPr="00B85D70">
        <w:rPr>
          <w:sz w:val="24"/>
          <w:szCs w:val="24"/>
        </w:rPr>
        <w:t xml:space="preserve"> such as children</w:t>
      </w:r>
      <w:r w:rsidR="00C96E29">
        <w:rPr>
          <w:sz w:val="24"/>
          <w:szCs w:val="24"/>
        </w:rPr>
        <w:t>,</w:t>
      </w:r>
      <w:r w:rsidRPr="00B85D70">
        <w:rPr>
          <w:sz w:val="24"/>
          <w:szCs w:val="24"/>
        </w:rPr>
        <w:t xml:space="preserve"> ethnic minorities and pe</w:t>
      </w:r>
      <w:r w:rsidR="00BF35FE">
        <w:rPr>
          <w:sz w:val="24"/>
          <w:szCs w:val="24"/>
        </w:rPr>
        <w:t>rsons</w:t>
      </w:r>
      <w:r w:rsidRPr="00B85D70">
        <w:rPr>
          <w:sz w:val="24"/>
          <w:szCs w:val="24"/>
        </w:rPr>
        <w:t xml:space="preserve"> with</w:t>
      </w:r>
      <w:r w:rsidR="00832F09" w:rsidRPr="00B85D70">
        <w:rPr>
          <w:sz w:val="24"/>
          <w:szCs w:val="24"/>
        </w:rPr>
        <w:t xml:space="preserve"> physical or mental</w:t>
      </w:r>
      <w:r w:rsidRPr="00B85D70">
        <w:rPr>
          <w:sz w:val="24"/>
          <w:szCs w:val="24"/>
        </w:rPr>
        <w:t xml:space="preserve"> disabilities</w:t>
      </w:r>
      <w:r w:rsidR="00832F09" w:rsidRPr="00B85D70">
        <w:rPr>
          <w:sz w:val="24"/>
          <w:szCs w:val="24"/>
        </w:rPr>
        <w:t>.</w:t>
      </w:r>
    </w:p>
    <w:p w14:paraId="1C7FFAD7" w14:textId="2E42EAC0" w:rsidR="00257E86" w:rsidRPr="00B85D70" w:rsidRDefault="00832F09" w:rsidP="00B85D70">
      <w:pPr>
        <w:spacing w:line="276" w:lineRule="auto"/>
        <w:jc w:val="both"/>
        <w:rPr>
          <w:sz w:val="24"/>
          <w:szCs w:val="24"/>
        </w:rPr>
      </w:pPr>
      <w:bookmarkStart w:id="30" w:name="_Toc531264882"/>
      <w:r w:rsidRPr="00FF73DA">
        <w:rPr>
          <w:rStyle w:val="Heading3Char"/>
          <w:rFonts w:eastAsiaTheme="minorHAnsi"/>
        </w:rPr>
        <w:t xml:space="preserve">Panellist: Ms. Jane </w:t>
      </w:r>
      <w:proofErr w:type="spellStart"/>
      <w:r w:rsidRPr="00FF73DA">
        <w:rPr>
          <w:rStyle w:val="Heading3Char"/>
          <w:rFonts w:eastAsiaTheme="minorHAnsi"/>
        </w:rPr>
        <w:t>Nyakang’o</w:t>
      </w:r>
      <w:bookmarkEnd w:id="30"/>
      <w:proofErr w:type="spellEnd"/>
      <w:r w:rsidRPr="00B85D70">
        <w:rPr>
          <w:sz w:val="24"/>
          <w:szCs w:val="24"/>
        </w:rPr>
        <w:t xml:space="preserve">, President of the African Roundtable on Sustainable Consumption and </w:t>
      </w:r>
      <w:r w:rsidR="00D35D4D" w:rsidRPr="00B85D70">
        <w:rPr>
          <w:sz w:val="24"/>
          <w:szCs w:val="24"/>
        </w:rPr>
        <w:t>Production</w:t>
      </w:r>
      <w:r w:rsidR="005B347B">
        <w:rPr>
          <w:sz w:val="24"/>
          <w:szCs w:val="24"/>
        </w:rPr>
        <w:t>,</w:t>
      </w:r>
      <w:r w:rsidR="00D35D4D" w:rsidRPr="00B85D70">
        <w:rPr>
          <w:sz w:val="24"/>
          <w:szCs w:val="24"/>
        </w:rPr>
        <w:t xml:space="preserve"> stated</w:t>
      </w:r>
      <w:r w:rsidR="00D1278A" w:rsidRPr="00B85D70">
        <w:rPr>
          <w:sz w:val="24"/>
          <w:szCs w:val="24"/>
        </w:rPr>
        <w:t xml:space="preserve"> that</w:t>
      </w:r>
      <w:r w:rsidR="00257E86" w:rsidRPr="00B85D70">
        <w:rPr>
          <w:sz w:val="24"/>
          <w:szCs w:val="24"/>
        </w:rPr>
        <w:t xml:space="preserve"> mobilizing resources for implementing SDG 12 programs remains a challenge</w:t>
      </w:r>
      <w:r w:rsidR="00D3451E">
        <w:rPr>
          <w:sz w:val="24"/>
          <w:szCs w:val="24"/>
        </w:rPr>
        <w:t>.</w:t>
      </w:r>
      <w:r w:rsidR="00257E86" w:rsidRPr="00B85D70">
        <w:rPr>
          <w:sz w:val="24"/>
          <w:szCs w:val="24"/>
        </w:rPr>
        <w:t xml:space="preserve"> </w:t>
      </w:r>
      <w:r w:rsidR="00D3451E">
        <w:rPr>
          <w:sz w:val="24"/>
          <w:szCs w:val="24"/>
        </w:rPr>
        <w:t>In addition,</w:t>
      </w:r>
      <w:r w:rsidR="00257E86" w:rsidRPr="00B85D70">
        <w:rPr>
          <w:sz w:val="24"/>
          <w:szCs w:val="24"/>
        </w:rPr>
        <w:t xml:space="preserve"> the challenge of inclusion</w:t>
      </w:r>
      <w:r w:rsidR="00D3451E">
        <w:rPr>
          <w:sz w:val="24"/>
          <w:szCs w:val="24"/>
        </w:rPr>
        <w:t xml:space="preserve"> exists</w:t>
      </w:r>
      <w:r w:rsidR="00273932">
        <w:rPr>
          <w:sz w:val="24"/>
          <w:szCs w:val="24"/>
        </w:rPr>
        <w:t>,</w:t>
      </w:r>
      <w:r w:rsidR="00257E86" w:rsidRPr="00B85D70">
        <w:rPr>
          <w:sz w:val="24"/>
          <w:szCs w:val="24"/>
        </w:rPr>
        <w:t xml:space="preserve"> especially for the vulnerable and marginalized groups such as </w:t>
      </w:r>
      <w:r w:rsidR="00257E86" w:rsidRPr="0088335F">
        <w:rPr>
          <w:sz w:val="24"/>
          <w:szCs w:val="24"/>
        </w:rPr>
        <w:t>indigenous people</w:t>
      </w:r>
      <w:r w:rsidR="0088335F" w:rsidRPr="00FF73DA">
        <w:rPr>
          <w:sz w:val="24"/>
          <w:szCs w:val="24"/>
        </w:rPr>
        <w:t>s</w:t>
      </w:r>
      <w:r w:rsidR="00257E86" w:rsidRPr="00B85D70">
        <w:rPr>
          <w:sz w:val="24"/>
          <w:szCs w:val="24"/>
        </w:rPr>
        <w:t xml:space="preserve">, women and </w:t>
      </w:r>
      <w:r w:rsidR="005D520E">
        <w:rPr>
          <w:sz w:val="24"/>
          <w:szCs w:val="24"/>
        </w:rPr>
        <w:t>persons</w:t>
      </w:r>
      <w:r w:rsidR="00257E86" w:rsidRPr="00B85D70">
        <w:rPr>
          <w:sz w:val="24"/>
          <w:szCs w:val="24"/>
        </w:rPr>
        <w:t xml:space="preserve"> with severe disabilities.  </w:t>
      </w:r>
      <w:r w:rsidR="00E75B32">
        <w:rPr>
          <w:sz w:val="24"/>
          <w:szCs w:val="24"/>
        </w:rPr>
        <w:t>She noted that t</w:t>
      </w:r>
      <w:r w:rsidR="00257E86" w:rsidRPr="00B85D70">
        <w:rPr>
          <w:sz w:val="24"/>
          <w:szCs w:val="24"/>
        </w:rPr>
        <w:t xml:space="preserve">hese people are not sufficiently included in these programs.  </w:t>
      </w:r>
    </w:p>
    <w:p w14:paraId="74C6D196" w14:textId="543558BD" w:rsidR="00257E86" w:rsidRDefault="00257E86" w:rsidP="00B85D70">
      <w:pPr>
        <w:spacing w:line="276" w:lineRule="auto"/>
        <w:jc w:val="both"/>
        <w:rPr>
          <w:sz w:val="24"/>
          <w:szCs w:val="24"/>
        </w:rPr>
      </w:pPr>
      <w:bookmarkStart w:id="31" w:name="_Toc531264883"/>
      <w:r w:rsidRPr="00FF73DA">
        <w:rPr>
          <w:rStyle w:val="Heading3Char"/>
          <w:rFonts w:eastAsiaTheme="minorHAnsi"/>
        </w:rPr>
        <w:t xml:space="preserve">Lead discussant Mr. Julius H. </w:t>
      </w:r>
      <w:proofErr w:type="spellStart"/>
      <w:r w:rsidRPr="00FF73DA">
        <w:rPr>
          <w:rStyle w:val="Heading3Char"/>
          <w:rFonts w:eastAsiaTheme="minorHAnsi"/>
        </w:rPr>
        <w:t>Cainglet</w:t>
      </w:r>
      <w:proofErr w:type="spellEnd"/>
      <w:r w:rsidRPr="00FF73DA">
        <w:rPr>
          <w:rStyle w:val="Heading3Char"/>
          <w:rFonts w:eastAsiaTheme="minorHAnsi"/>
        </w:rPr>
        <w:t>,</w:t>
      </w:r>
      <w:bookmarkEnd w:id="31"/>
      <w:r w:rsidRPr="00B85D70">
        <w:rPr>
          <w:sz w:val="24"/>
          <w:szCs w:val="24"/>
        </w:rPr>
        <w:t xml:space="preserve"> Vice President for Research, Advocacy and Partnerships of the Federation of Free Workers (</w:t>
      </w:r>
      <w:r w:rsidRPr="00792BB8">
        <w:rPr>
          <w:sz w:val="24"/>
          <w:szCs w:val="24"/>
        </w:rPr>
        <w:t>Workers and Trade Unions Major Group</w:t>
      </w:r>
      <w:r w:rsidRPr="00B85D70">
        <w:rPr>
          <w:sz w:val="24"/>
          <w:szCs w:val="24"/>
        </w:rPr>
        <w:t>)</w:t>
      </w:r>
      <w:r w:rsidR="00C357E6">
        <w:rPr>
          <w:sz w:val="24"/>
          <w:szCs w:val="24"/>
        </w:rPr>
        <w:t>,</w:t>
      </w:r>
      <w:r w:rsidRPr="00B85D70">
        <w:rPr>
          <w:sz w:val="24"/>
          <w:szCs w:val="24"/>
        </w:rPr>
        <w:t xml:space="preserve"> stated that </w:t>
      </w:r>
      <w:r w:rsidR="00C357E6">
        <w:rPr>
          <w:sz w:val="24"/>
          <w:szCs w:val="24"/>
        </w:rPr>
        <w:t>s</w:t>
      </w:r>
      <w:r w:rsidR="00722A22" w:rsidRPr="00B85D70">
        <w:rPr>
          <w:sz w:val="24"/>
          <w:szCs w:val="24"/>
        </w:rPr>
        <w:t xml:space="preserve">ustainable </w:t>
      </w:r>
      <w:r w:rsidR="00C357E6">
        <w:rPr>
          <w:sz w:val="24"/>
          <w:szCs w:val="24"/>
        </w:rPr>
        <w:t>c</w:t>
      </w:r>
      <w:r w:rsidR="00722A22" w:rsidRPr="00B85D70">
        <w:rPr>
          <w:sz w:val="24"/>
          <w:szCs w:val="24"/>
        </w:rPr>
        <w:t xml:space="preserve">onsumption and </w:t>
      </w:r>
      <w:r w:rsidR="00C357E6">
        <w:rPr>
          <w:sz w:val="24"/>
          <w:szCs w:val="24"/>
        </w:rPr>
        <w:t>p</w:t>
      </w:r>
      <w:r w:rsidR="00722A22" w:rsidRPr="00B85D70">
        <w:rPr>
          <w:sz w:val="24"/>
          <w:szCs w:val="24"/>
        </w:rPr>
        <w:t xml:space="preserve">roduction should be made </w:t>
      </w:r>
      <w:r w:rsidRPr="00B85D70">
        <w:rPr>
          <w:sz w:val="24"/>
          <w:szCs w:val="24"/>
        </w:rPr>
        <w:t xml:space="preserve">more inclusive by </w:t>
      </w:r>
      <w:r w:rsidR="005B31E4">
        <w:rPr>
          <w:sz w:val="24"/>
          <w:szCs w:val="24"/>
        </w:rPr>
        <w:t>inviting</w:t>
      </w:r>
      <w:r w:rsidR="005B31E4" w:rsidRPr="00B85D70">
        <w:rPr>
          <w:sz w:val="24"/>
          <w:szCs w:val="24"/>
        </w:rPr>
        <w:t xml:space="preserve"> </w:t>
      </w:r>
      <w:r w:rsidRPr="00B85D70">
        <w:rPr>
          <w:sz w:val="24"/>
          <w:szCs w:val="24"/>
        </w:rPr>
        <w:t>participation from workers, farmers, indigenous people</w:t>
      </w:r>
      <w:r w:rsidR="00051116">
        <w:rPr>
          <w:sz w:val="24"/>
          <w:szCs w:val="24"/>
        </w:rPr>
        <w:t>s</w:t>
      </w:r>
      <w:r w:rsidRPr="00B85D70">
        <w:rPr>
          <w:sz w:val="24"/>
          <w:szCs w:val="24"/>
        </w:rPr>
        <w:t>, women with disabilities and other grassroot groups.</w:t>
      </w:r>
    </w:p>
    <w:p w14:paraId="70646D89" w14:textId="04D7BF28" w:rsidR="002D52C4" w:rsidRPr="00B85D70" w:rsidRDefault="002D52C4" w:rsidP="00FF73DA">
      <w:pPr>
        <w:pStyle w:val="Heading1"/>
      </w:pPr>
      <w:bookmarkStart w:id="32" w:name="_Toc531264884"/>
      <w:r>
        <w:t>Friday, 13</w:t>
      </w:r>
      <w:r w:rsidRPr="00FF73DA">
        <w:rPr>
          <w:vertAlign w:val="superscript"/>
        </w:rPr>
        <w:t>th</w:t>
      </w:r>
      <w:r>
        <w:t xml:space="preserve"> July 2018</w:t>
      </w:r>
      <w:bookmarkEnd w:id="32"/>
    </w:p>
    <w:p w14:paraId="0A634C46" w14:textId="09CCDFC0" w:rsidR="00B63399" w:rsidRPr="00B85D70" w:rsidRDefault="00D43E21" w:rsidP="00FF73DA">
      <w:pPr>
        <w:pStyle w:val="Heading2"/>
        <w:rPr>
          <w:shd w:val="clear" w:color="auto" w:fill="FFFFFF"/>
        </w:rPr>
      </w:pPr>
      <w:bookmarkStart w:id="33" w:name="_Toc531264885"/>
      <w:r>
        <w:rPr>
          <w:shd w:val="clear" w:color="auto" w:fill="FFFFFF"/>
        </w:rPr>
        <w:t>Review of SDGs implementation: SDG 17 – Strengthening the means of implementation and revitalize the global partnership for sustainable development</w:t>
      </w:r>
      <w:bookmarkEnd w:id="33"/>
    </w:p>
    <w:p w14:paraId="1E71D8BF" w14:textId="3CFFB61F" w:rsidR="006367C0" w:rsidRDefault="006367C0" w:rsidP="00D165C1">
      <w:pPr>
        <w:spacing w:after="0" w:line="276" w:lineRule="auto"/>
        <w:jc w:val="both"/>
        <w:rPr>
          <w:sz w:val="24"/>
          <w:szCs w:val="24"/>
          <w:shd w:val="clear" w:color="auto" w:fill="FFFFFF"/>
        </w:rPr>
      </w:pPr>
      <w:r w:rsidRPr="00B85D70">
        <w:rPr>
          <w:sz w:val="24"/>
          <w:szCs w:val="24"/>
          <w:shd w:val="clear" w:color="auto" w:fill="FFFFFF"/>
        </w:rPr>
        <w:lastRenderedPageBreak/>
        <w:t>Th</w:t>
      </w:r>
      <w:r w:rsidR="00FA06BC">
        <w:rPr>
          <w:sz w:val="24"/>
          <w:szCs w:val="24"/>
          <w:shd w:val="clear" w:color="auto" w:fill="FFFFFF"/>
        </w:rPr>
        <w:t>is</w:t>
      </w:r>
      <w:r w:rsidRPr="00B85D70">
        <w:rPr>
          <w:sz w:val="24"/>
          <w:szCs w:val="24"/>
          <w:shd w:val="clear" w:color="auto" w:fill="FFFFFF"/>
        </w:rPr>
        <w:t xml:space="preserve"> session discuss</w:t>
      </w:r>
      <w:r w:rsidR="009A6B27">
        <w:rPr>
          <w:sz w:val="24"/>
          <w:szCs w:val="24"/>
          <w:shd w:val="clear" w:color="auto" w:fill="FFFFFF"/>
        </w:rPr>
        <w:t>ed</w:t>
      </w:r>
      <w:r w:rsidRPr="00B85D70">
        <w:rPr>
          <w:sz w:val="24"/>
          <w:szCs w:val="24"/>
          <w:shd w:val="clear" w:color="auto" w:fill="FFFFFF"/>
        </w:rPr>
        <w:t xml:space="preserve"> the main challenges and opportunities for strengthening global partnerships and enhancing the means of implementation. Specific attention </w:t>
      </w:r>
      <w:r w:rsidR="004239D9">
        <w:rPr>
          <w:sz w:val="24"/>
          <w:szCs w:val="24"/>
          <w:shd w:val="clear" w:color="auto" w:fill="FFFFFF"/>
        </w:rPr>
        <w:t>was</w:t>
      </w:r>
      <w:r w:rsidR="004239D9" w:rsidRPr="00B85D70">
        <w:rPr>
          <w:sz w:val="24"/>
          <w:szCs w:val="24"/>
          <w:shd w:val="clear" w:color="auto" w:fill="FFFFFF"/>
        </w:rPr>
        <w:t xml:space="preserve"> </w:t>
      </w:r>
      <w:r w:rsidRPr="00B85D70">
        <w:rPr>
          <w:sz w:val="24"/>
          <w:szCs w:val="24"/>
          <w:shd w:val="clear" w:color="auto" w:fill="FFFFFF"/>
        </w:rPr>
        <w:t xml:space="preserve">given to exploring the existing mechanisms and potential innovations for mobilizing resources for the </w:t>
      </w:r>
      <w:proofErr w:type="gramStart"/>
      <w:r w:rsidRPr="00B85D70">
        <w:rPr>
          <w:sz w:val="24"/>
          <w:szCs w:val="24"/>
          <w:shd w:val="clear" w:color="auto" w:fill="FFFFFF"/>
        </w:rPr>
        <w:t>SDGs</w:t>
      </w:r>
      <w:r w:rsidR="009D2A11">
        <w:rPr>
          <w:sz w:val="24"/>
          <w:szCs w:val="24"/>
          <w:shd w:val="clear" w:color="auto" w:fill="FFFFFF"/>
        </w:rPr>
        <w:t>,</w:t>
      </w:r>
      <w:r w:rsidRPr="00B85D70">
        <w:rPr>
          <w:sz w:val="24"/>
          <w:szCs w:val="24"/>
          <w:shd w:val="clear" w:color="auto" w:fill="FFFFFF"/>
        </w:rPr>
        <w:t xml:space="preserve">  including</w:t>
      </w:r>
      <w:proofErr w:type="gramEnd"/>
      <w:r w:rsidRPr="00B85D70">
        <w:rPr>
          <w:sz w:val="24"/>
          <w:szCs w:val="24"/>
          <w:shd w:val="clear" w:color="auto" w:fill="FFFFFF"/>
        </w:rPr>
        <w:t>: (</w:t>
      </w:r>
      <w:proofErr w:type="spellStart"/>
      <w:r w:rsidRPr="00B85D70">
        <w:rPr>
          <w:sz w:val="24"/>
          <w:szCs w:val="24"/>
          <w:shd w:val="clear" w:color="auto" w:fill="FFFFFF"/>
        </w:rPr>
        <w:t>i</w:t>
      </w:r>
      <w:proofErr w:type="spellEnd"/>
      <w:r w:rsidRPr="00B85D70">
        <w:rPr>
          <w:sz w:val="24"/>
          <w:szCs w:val="24"/>
          <w:shd w:val="clear" w:color="auto" w:fill="FFFFFF"/>
        </w:rPr>
        <w:t xml:space="preserve">) financing at both domestic and international levels, from public and private sources; (ii) best practice and experience in scaling up technology solutions; (iii) trends in South-South cooperation for building capacities for SDG implementation and investment; and (iv) overcoming challenges in the international trade and financial system. This was a platform for practitioners, policymakers and experts to share their </w:t>
      </w:r>
      <w:r w:rsidR="00A13D81">
        <w:rPr>
          <w:sz w:val="24"/>
          <w:szCs w:val="24"/>
          <w:shd w:val="clear" w:color="auto" w:fill="FFFFFF"/>
        </w:rPr>
        <w:t>v</w:t>
      </w:r>
      <w:r w:rsidRPr="00B85D70">
        <w:rPr>
          <w:sz w:val="24"/>
          <w:szCs w:val="24"/>
          <w:shd w:val="clear" w:color="auto" w:fill="FFFFFF"/>
        </w:rPr>
        <w:t>iews</w:t>
      </w:r>
      <w:r w:rsidR="00096A7A">
        <w:rPr>
          <w:sz w:val="24"/>
          <w:szCs w:val="24"/>
          <w:shd w:val="clear" w:color="auto" w:fill="FFFFFF"/>
        </w:rPr>
        <w:t xml:space="preserve"> and sugge</w:t>
      </w:r>
      <w:r w:rsidR="00734A44">
        <w:rPr>
          <w:sz w:val="24"/>
          <w:szCs w:val="24"/>
          <w:shd w:val="clear" w:color="auto" w:fill="FFFFFF"/>
        </w:rPr>
        <w:t>stions</w:t>
      </w:r>
      <w:r w:rsidR="00B04DC0">
        <w:rPr>
          <w:sz w:val="24"/>
          <w:szCs w:val="24"/>
          <w:shd w:val="clear" w:color="auto" w:fill="FFFFFF"/>
        </w:rPr>
        <w:t>,</w:t>
      </w:r>
      <w:r w:rsidR="00453F29">
        <w:rPr>
          <w:sz w:val="24"/>
          <w:szCs w:val="24"/>
          <w:shd w:val="clear" w:color="auto" w:fill="FFFFFF"/>
        </w:rPr>
        <w:t xml:space="preserve"> </w:t>
      </w:r>
      <w:r w:rsidRPr="00B85D70">
        <w:rPr>
          <w:sz w:val="24"/>
          <w:szCs w:val="24"/>
          <w:shd w:val="clear" w:color="auto" w:fill="FFFFFF"/>
        </w:rPr>
        <w:t>based on their most recent experiences and research</w:t>
      </w:r>
      <w:r w:rsidR="002B1598" w:rsidRPr="00B85D70">
        <w:rPr>
          <w:sz w:val="24"/>
          <w:szCs w:val="24"/>
          <w:shd w:val="clear" w:color="auto" w:fill="FFFFFF"/>
        </w:rPr>
        <w:t>.</w:t>
      </w:r>
    </w:p>
    <w:p w14:paraId="065D16F5" w14:textId="77777777" w:rsidR="00D50B3A" w:rsidRPr="00B85D70" w:rsidRDefault="00D50B3A" w:rsidP="00D165C1">
      <w:pPr>
        <w:spacing w:after="0" w:line="276" w:lineRule="auto"/>
        <w:jc w:val="both"/>
        <w:rPr>
          <w:sz w:val="24"/>
          <w:szCs w:val="24"/>
          <w:shd w:val="clear" w:color="auto" w:fill="FFFFFF"/>
        </w:rPr>
      </w:pPr>
    </w:p>
    <w:p w14:paraId="1094DD86" w14:textId="69D3D06C" w:rsidR="006D59E6" w:rsidRPr="00B85D70" w:rsidRDefault="006367C0" w:rsidP="00B85D70">
      <w:pPr>
        <w:spacing w:line="276" w:lineRule="auto"/>
        <w:jc w:val="both"/>
        <w:rPr>
          <w:sz w:val="24"/>
          <w:szCs w:val="24"/>
        </w:rPr>
      </w:pPr>
      <w:r w:rsidRPr="00B85D70">
        <w:rPr>
          <w:sz w:val="24"/>
          <w:szCs w:val="24"/>
        </w:rPr>
        <w:t>During this session,</w:t>
      </w:r>
      <w:r w:rsidR="009F79B0" w:rsidRPr="00B85D70">
        <w:rPr>
          <w:sz w:val="24"/>
          <w:szCs w:val="24"/>
        </w:rPr>
        <w:t xml:space="preserve"> the </w:t>
      </w:r>
      <w:r w:rsidR="005834F0">
        <w:rPr>
          <w:sz w:val="24"/>
          <w:szCs w:val="24"/>
        </w:rPr>
        <w:t>Australian representative stated that</w:t>
      </w:r>
      <w:r w:rsidR="003E3600" w:rsidRPr="00B85D70">
        <w:rPr>
          <w:sz w:val="24"/>
          <w:szCs w:val="24"/>
        </w:rPr>
        <w:t xml:space="preserve"> achieving the</w:t>
      </w:r>
      <w:r w:rsidR="00D01410">
        <w:rPr>
          <w:sz w:val="24"/>
          <w:szCs w:val="24"/>
        </w:rPr>
        <w:t xml:space="preserve"> 2030</w:t>
      </w:r>
      <w:r w:rsidR="003E3600" w:rsidRPr="00B85D70">
        <w:rPr>
          <w:sz w:val="24"/>
          <w:szCs w:val="24"/>
        </w:rPr>
        <w:t xml:space="preserve"> </w:t>
      </w:r>
      <w:r w:rsidR="00D01410">
        <w:rPr>
          <w:sz w:val="24"/>
          <w:szCs w:val="24"/>
        </w:rPr>
        <w:t>A</w:t>
      </w:r>
      <w:r w:rsidR="003E3600" w:rsidRPr="00B85D70">
        <w:rPr>
          <w:sz w:val="24"/>
          <w:szCs w:val="24"/>
        </w:rPr>
        <w:t>genda requires</w:t>
      </w:r>
      <w:r w:rsidR="000C18AA" w:rsidRPr="00B85D70">
        <w:rPr>
          <w:sz w:val="24"/>
          <w:szCs w:val="24"/>
        </w:rPr>
        <w:t xml:space="preserve"> new sources of finance and ne</w:t>
      </w:r>
      <w:r w:rsidR="00BA770D">
        <w:rPr>
          <w:sz w:val="24"/>
          <w:szCs w:val="24"/>
        </w:rPr>
        <w:t>w</w:t>
      </w:r>
      <w:r w:rsidR="000C18AA" w:rsidRPr="00B85D70">
        <w:rPr>
          <w:sz w:val="24"/>
          <w:szCs w:val="24"/>
        </w:rPr>
        <w:t xml:space="preserve"> p</w:t>
      </w:r>
      <w:r w:rsidR="009F79B0" w:rsidRPr="00B85D70">
        <w:rPr>
          <w:sz w:val="24"/>
          <w:szCs w:val="24"/>
        </w:rPr>
        <w:t>artnerships. Preparation for Australia’s</w:t>
      </w:r>
      <w:r w:rsidR="000C18AA" w:rsidRPr="00B85D70">
        <w:rPr>
          <w:sz w:val="24"/>
          <w:szCs w:val="24"/>
        </w:rPr>
        <w:t xml:space="preserve"> first </w:t>
      </w:r>
      <w:r w:rsidR="00842A11" w:rsidRPr="00FF73DA">
        <w:rPr>
          <w:sz w:val="24"/>
          <w:szCs w:val="24"/>
        </w:rPr>
        <w:t xml:space="preserve">Voluntary National Review </w:t>
      </w:r>
      <w:r w:rsidR="000C18AA" w:rsidRPr="00B85D70">
        <w:rPr>
          <w:sz w:val="24"/>
          <w:szCs w:val="24"/>
        </w:rPr>
        <w:t>demonstrated the ways in which business</w:t>
      </w:r>
      <w:r w:rsidR="00EB5BD7">
        <w:rPr>
          <w:sz w:val="24"/>
          <w:szCs w:val="24"/>
        </w:rPr>
        <w:t>es</w:t>
      </w:r>
      <w:r w:rsidR="008C5CEE">
        <w:rPr>
          <w:sz w:val="24"/>
          <w:szCs w:val="24"/>
        </w:rPr>
        <w:t xml:space="preserve">, </w:t>
      </w:r>
      <w:r w:rsidR="00D50B3A">
        <w:rPr>
          <w:sz w:val="24"/>
          <w:szCs w:val="24"/>
        </w:rPr>
        <w:t>c</w:t>
      </w:r>
      <w:r w:rsidR="000C18AA" w:rsidRPr="00B85D70">
        <w:rPr>
          <w:sz w:val="24"/>
          <w:szCs w:val="24"/>
        </w:rPr>
        <w:t xml:space="preserve">ivil </w:t>
      </w:r>
      <w:r w:rsidR="00D50B3A">
        <w:rPr>
          <w:sz w:val="24"/>
          <w:szCs w:val="24"/>
        </w:rPr>
        <w:t>s</w:t>
      </w:r>
      <w:r w:rsidR="000C18AA" w:rsidRPr="00B85D70">
        <w:rPr>
          <w:sz w:val="24"/>
          <w:szCs w:val="24"/>
        </w:rPr>
        <w:t>ociet</w:t>
      </w:r>
      <w:r w:rsidR="00D50B3A">
        <w:rPr>
          <w:sz w:val="24"/>
          <w:szCs w:val="24"/>
        </w:rPr>
        <w:t>y</w:t>
      </w:r>
      <w:r w:rsidR="000C18AA" w:rsidRPr="00B85D70">
        <w:rPr>
          <w:sz w:val="24"/>
          <w:szCs w:val="24"/>
        </w:rPr>
        <w:t xml:space="preserve"> and governments responded to challenges in delivering the SDGs. The founding co-chair o</w:t>
      </w:r>
      <w:r w:rsidR="003607B9">
        <w:rPr>
          <w:sz w:val="24"/>
          <w:szCs w:val="24"/>
        </w:rPr>
        <w:t>f</w:t>
      </w:r>
      <w:r w:rsidR="000C18AA" w:rsidRPr="00B85D70">
        <w:rPr>
          <w:sz w:val="24"/>
          <w:szCs w:val="24"/>
        </w:rPr>
        <w:t xml:space="preserve"> </w:t>
      </w:r>
      <w:r w:rsidR="003514F5" w:rsidRPr="00FF73DA">
        <w:rPr>
          <w:sz w:val="24"/>
          <w:szCs w:val="24"/>
        </w:rPr>
        <w:t>the Global Action on Disability (GLAD) Network</w:t>
      </w:r>
      <w:r w:rsidR="000C18AA" w:rsidRPr="00B85D70">
        <w:rPr>
          <w:sz w:val="24"/>
          <w:szCs w:val="24"/>
        </w:rPr>
        <w:t xml:space="preserve"> br</w:t>
      </w:r>
      <w:r w:rsidR="00882961">
        <w:rPr>
          <w:sz w:val="24"/>
          <w:szCs w:val="24"/>
        </w:rPr>
        <w:t>ought</w:t>
      </w:r>
      <w:r w:rsidR="000C18AA" w:rsidRPr="00B85D70">
        <w:rPr>
          <w:sz w:val="24"/>
          <w:szCs w:val="24"/>
        </w:rPr>
        <w:t xml:space="preserve"> together the private sector and agencies to advance disability inclusion in sustainable develo</w:t>
      </w:r>
      <w:r w:rsidR="009F79B0" w:rsidRPr="00B85D70">
        <w:rPr>
          <w:sz w:val="24"/>
          <w:szCs w:val="24"/>
        </w:rPr>
        <w:t xml:space="preserve">pment and humanitarian action. </w:t>
      </w:r>
      <w:r w:rsidR="000817E7">
        <w:rPr>
          <w:sz w:val="24"/>
          <w:szCs w:val="24"/>
        </w:rPr>
        <w:t xml:space="preserve">The representative noted that </w:t>
      </w:r>
      <w:r w:rsidR="009F79B0" w:rsidRPr="00B85D70">
        <w:rPr>
          <w:sz w:val="24"/>
          <w:szCs w:val="24"/>
        </w:rPr>
        <w:t xml:space="preserve">Australia is </w:t>
      </w:r>
      <w:r w:rsidR="000C18AA" w:rsidRPr="00B85D70">
        <w:rPr>
          <w:sz w:val="24"/>
          <w:szCs w:val="24"/>
        </w:rPr>
        <w:t>working</w:t>
      </w:r>
      <w:r w:rsidR="004D3C42">
        <w:rPr>
          <w:sz w:val="24"/>
          <w:szCs w:val="24"/>
        </w:rPr>
        <w:t xml:space="preserve"> </w:t>
      </w:r>
      <w:r w:rsidR="000C18AA" w:rsidRPr="00B85D70">
        <w:rPr>
          <w:sz w:val="24"/>
          <w:szCs w:val="24"/>
        </w:rPr>
        <w:t>to address the chall</w:t>
      </w:r>
      <w:r w:rsidR="009F79B0" w:rsidRPr="00B85D70">
        <w:rPr>
          <w:sz w:val="24"/>
          <w:szCs w:val="24"/>
        </w:rPr>
        <w:t>enge of disaggregating data to e</w:t>
      </w:r>
      <w:r w:rsidR="000C18AA" w:rsidRPr="00B85D70">
        <w:rPr>
          <w:sz w:val="24"/>
          <w:szCs w:val="24"/>
        </w:rPr>
        <w:t>nsure no one is left behind</w:t>
      </w:r>
      <w:r w:rsidR="003E36BF">
        <w:rPr>
          <w:sz w:val="24"/>
          <w:szCs w:val="24"/>
        </w:rPr>
        <w:t>,</w:t>
      </w:r>
      <w:r w:rsidR="000C18AA" w:rsidRPr="00B85D70">
        <w:rPr>
          <w:sz w:val="24"/>
          <w:szCs w:val="24"/>
        </w:rPr>
        <w:t xml:space="preserve"> including support</w:t>
      </w:r>
      <w:r w:rsidR="0090212D">
        <w:rPr>
          <w:sz w:val="24"/>
          <w:szCs w:val="24"/>
        </w:rPr>
        <w:t>ing</w:t>
      </w:r>
      <w:r w:rsidR="000C18AA" w:rsidRPr="00B85D70">
        <w:rPr>
          <w:sz w:val="24"/>
          <w:szCs w:val="24"/>
        </w:rPr>
        <w:t xml:space="preserve"> the development of individual measurement</w:t>
      </w:r>
      <w:r w:rsidR="009F79B0" w:rsidRPr="00B85D70">
        <w:rPr>
          <w:sz w:val="24"/>
          <w:szCs w:val="24"/>
        </w:rPr>
        <w:t>.</w:t>
      </w:r>
    </w:p>
    <w:p w14:paraId="3A0311C1" w14:textId="4A7EEB54" w:rsidR="00C86D1E" w:rsidRPr="00B85D70" w:rsidRDefault="00AC1BC7" w:rsidP="00FF73DA">
      <w:pPr>
        <w:pStyle w:val="Heading2"/>
      </w:pPr>
      <w:bookmarkStart w:id="34" w:name="_Toc531264886"/>
      <w:r>
        <w:t>Leaving no one behind: are we succeeding?</w:t>
      </w:r>
      <w:bookmarkEnd w:id="34"/>
    </w:p>
    <w:p w14:paraId="22CCFC2C" w14:textId="6E3DD279" w:rsidR="00F20A8F" w:rsidRPr="00B85D70" w:rsidRDefault="00B21F4D" w:rsidP="00B85D70">
      <w:pPr>
        <w:spacing w:line="276" w:lineRule="auto"/>
        <w:jc w:val="both"/>
        <w:rPr>
          <w:rFonts w:cs="Times New Roman"/>
          <w:sz w:val="24"/>
          <w:szCs w:val="24"/>
        </w:rPr>
      </w:pPr>
      <w:r w:rsidRPr="00B85D70">
        <w:rPr>
          <w:rFonts w:cs="Times New Roman"/>
          <w:sz w:val="24"/>
          <w:szCs w:val="24"/>
          <w:shd w:val="clear" w:color="auto" w:fill="FFFFFF"/>
        </w:rPr>
        <w:t>A central pledge contained in the 2030 Agenda for Sustainable Development is to ensure that no one is left behind. This session</w:t>
      </w:r>
      <w:r w:rsidR="00742CB4">
        <w:rPr>
          <w:rFonts w:cs="Times New Roman"/>
          <w:sz w:val="24"/>
          <w:szCs w:val="24"/>
          <w:shd w:val="clear" w:color="auto" w:fill="FFFFFF"/>
        </w:rPr>
        <w:t>,</w:t>
      </w:r>
      <w:r w:rsidRPr="00B85D70">
        <w:rPr>
          <w:rFonts w:cs="Times New Roman"/>
          <w:sz w:val="24"/>
          <w:szCs w:val="24"/>
          <w:shd w:val="clear" w:color="auto" w:fill="FFFFFF"/>
        </w:rPr>
        <w:t xml:space="preserve"> chaired by </w:t>
      </w:r>
      <w:r w:rsidRPr="00B85D70">
        <w:rPr>
          <w:rFonts w:eastAsia="Times New Roman" w:cs="Times New Roman"/>
          <w:bCs/>
          <w:sz w:val="24"/>
          <w:szCs w:val="24"/>
          <w:lang w:eastAsia="en-GB"/>
        </w:rPr>
        <w:t xml:space="preserve">H.E. Ms. Marie </w:t>
      </w:r>
      <w:proofErr w:type="spellStart"/>
      <w:r w:rsidRPr="00B85D70">
        <w:rPr>
          <w:rFonts w:eastAsia="Times New Roman" w:cs="Times New Roman"/>
          <w:bCs/>
          <w:sz w:val="24"/>
          <w:szCs w:val="24"/>
          <w:lang w:eastAsia="en-GB"/>
        </w:rPr>
        <w:t>Chatardová</w:t>
      </w:r>
      <w:proofErr w:type="spellEnd"/>
      <w:r w:rsidRPr="00B85D70">
        <w:rPr>
          <w:rFonts w:eastAsia="Times New Roman" w:cs="Times New Roman"/>
          <w:sz w:val="24"/>
          <w:szCs w:val="24"/>
          <w:lang w:eastAsia="en-GB"/>
        </w:rPr>
        <w:t>, E</w:t>
      </w:r>
      <w:r w:rsidR="00DA21C5">
        <w:rPr>
          <w:rFonts w:eastAsia="Times New Roman" w:cs="Times New Roman"/>
          <w:sz w:val="24"/>
          <w:szCs w:val="24"/>
          <w:lang w:eastAsia="en-GB"/>
        </w:rPr>
        <w:t>COSOC President</w:t>
      </w:r>
      <w:r w:rsidR="00742CB4">
        <w:rPr>
          <w:rFonts w:eastAsia="Times New Roman" w:cs="Times New Roman"/>
          <w:sz w:val="24"/>
          <w:szCs w:val="24"/>
          <w:lang w:eastAsia="en-GB"/>
        </w:rPr>
        <w:t>,</w:t>
      </w:r>
      <w:r w:rsidR="00F20A8F" w:rsidRPr="00B85D70">
        <w:rPr>
          <w:rFonts w:eastAsia="Times New Roman" w:cs="Times New Roman"/>
          <w:sz w:val="24"/>
          <w:szCs w:val="24"/>
          <w:lang w:eastAsia="en-GB"/>
        </w:rPr>
        <w:t xml:space="preserve"> </w:t>
      </w:r>
      <w:r w:rsidR="00D35D4D" w:rsidRPr="00B85D70">
        <w:rPr>
          <w:rFonts w:cs="Times New Roman"/>
          <w:sz w:val="24"/>
          <w:szCs w:val="24"/>
          <w:shd w:val="clear" w:color="auto" w:fill="FFFFFF"/>
        </w:rPr>
        <w:t>aimed</w:t>
      </w:r>
      <w:r w:rsidRPr="00B85D70">
        <w:rPr>
          <w:rFonts w:cs="Times New Roman"/>
          <w:sz w:val="24"/>
          <w:szCs w:val="24"/>
          <w:shd w:val="clear" w:color="auto" w:fill="FFFFFF"/>
        </w:rPr>
        <w:t xml:space="preserve"> to synthesize the messages that respond</w:t>
      </w:r>
      <w:r w:rsidR="0013493F">
        <w:rPr>
          <w:rFonts w:cs="Times New Roman"/>
          <w:sz w:val="24"/>
          <w:szCs w:val="24"/>
          <w:shd w:val="clear" w:color="auto" w:fill="FFFFFF"/>
        </w:rPr>
        <w:t>ed</w:t>
      </w:r>
      <w:r w:rsidRPr="00B85D70">
        <w:rPr>
          <w:rFonts w:cs="Times New Roman"/>
          <w:sz w:val="24"/>
          <w:szCs w:val="24"/>
          <w:shd w:val="clear" w:color="auto" w:fill="FFFFFF"/>
        </w:rPr>
        <w:t xml:space="preserve"> to the challenge of fulfilling the promise </w:t>
      </w:r>
      <w:r w:rsidR="00C15899">
        <w:rPr>
          <w:rFonts w:cs="Times New Roman"/>
          <w:sz w:val="24"/>
          <w:szCs w:val="24"/>
          <w:shd w:val="clear" w:color="auto" w:fill="FFFFFF"/>
        </w:rPr>
        <w:t>to leave</w:t>
      </w:r>
      <w:r w:rsidRPr="00B85D70">
        <w:rPr>
          <w:rFonts w:cs="Times New Roman"/>
          <w:sz w:val="24"/>
          <w:szCs w:val="24"/>
          <w:shd w:val="clear" w:color="auto" w:fill="FFFFFF"/>
        </w:rPr>
        <w:t xml:space="preserve"> no one behind</w:t>
      </w:r>
      <w:r w:rsidR="00DA21C5">
        <w:rPr>
          <w:rFonts w:cs="Times New Roman"/>
          <w:sz w:val="24"/>
          <w:szCs w:val="24"/>
          <w:shd w:val="clear" w:color="auto" w:fill="FFFFFF"/>
        </w:rPr>
        <w:t xml:space="preserve"> from earlier HLPF sessions</w:t>
      </w:r>
      <w:r w:rsidRPr="00B85D70">
        <w:rPr>
          <w:rFonts w:cs="Times New Roman"/>
          <w:sz w:val="24"/>
          <w:szCs w:val="24"/>
          <w:shd w:val="clear" w:color="auto" w:fill="FFFFFF"/>
        </w:rPr>
        <w:t xml:space="preserve">. </w:t>
      </w:r>
      <w:r w:rsidR="00E600CF">
        <w:rPr>
          <w:rFonts w:cs="Times New Roman"/>
          <w:sz w:val="24"/>
          <w:szCs w:val="24"/>
          <w:shd w:val="clear" w:color="auto" w:fill="FFFFFF"/>
        </w:rPr>
        <w:t>The session took the view that b</w:t>
      </w:r>
      <w:r w:rsidRPr="00B85D70">
        <w:rPr>
          <w:rFonts w:cs="Times New Roman"/>
          <w:sz w:val="24"/>
          <w:szCs w:val="24"/>
          <w:shd w:val="clear" w:color="auto" w:fill="FFFFFF"/>
        </w:rPr>
        <w:t>y engaging all stakeholders, integrating policies, strengthening global partnerships for sustainable development and mobilizing the means of implementation needed to achieve</w:t>
      </w:r>
      <w:r w:rsidR="00F20A8F" w:rsidRPr="00B85D70">
        <w:rPr>
          <w:rFonts w:cs="Times New Roman"/>
          <w:sz w:val="24"/>
          <w:szCs w:val="24"/>
          <w:shd w:val="clear" w:color="auto" w:fill="FFFFFF"/>
        </w:rPr>
        <w:t xml:space="preserve"> the 2030 Agenda, the SDGs will </w:t>
      </w:r>
      <w:r w:rsidRPr="00B85D70">
        <w:rPr>
          <w:rFonts w:cs="Times New Roman"/>
          <w:sz w:val="24"/>
          <w:szCs w:val="24"/>
          <w:shd w:val="clear" w:color="auto" w:fill="FFFFFF"/>
        </w:rPr>
        <w:t>be realized for all.</w:t>
      </w:r>
    </w:p>
    <w:p w14:paraId="2CF2DC68" w14:textId="7538D042" w:rsidR="00263893" w:rsidRPr="00B85D70" w:rsidRDefault="00263893" w:rsidP="00B85D70">
      <w:pPr>
        <w:spacing w:line="276" w:lineRule="auto"/>
        <w:jc w:val="both"/>
        <w:rPr>
          <w:sz w:val="24"/>
          <w:szCs w:val="24"/>
        </w:rPr>
      </w:pPr>
      <w:r w:rsidRPr="00B85D70">
        <w:rPr>
          <w:sz w:val="24"/>
          <w:szCs w:val="24"/>
        </w:rPr>
        <w:t xml:space="preserve">Keynote speaker Andrew Gilmour, Office of the UN High Commissioner for Human </w:t>
      </w:r>
      <w:r w:rsidR="00D35D4D" w:rsidRPr="00B85D70">
        <w:rPr>
          <w:sz w:val="24"/>
          <w:szCs w:val="24"/>
        </w:rPr>
        <w:t>Rights</w:t>
      </w:r>
      <w:r w:rsidR="002608BB">
        <w:rPr>
          <w:sz w:val="24"/>
          <w:szCs w:val="24"/>
        </w:rPr>
        <w:t>,</w:t>
      </w:r>
      <w:r w:rsidR="00D35D4D" w:rsidRPr="00B85D70">
        <w:rPr>
          <w:sz w:val="24"/>
          <w:szCs w:val="24"/>
        </w:rPr>
        <w:t xml:space="preserve"> stated</w:t>
      </w:r>
      <w:r w:rsidR="000C18AA" w:rsidRPr="00B85D70">
        <w:rPr>
          <w:sz w:val="24"/>
          <w:szCs w:val="24"/>
        </w:rPr>
        <w:t xml:space="preserve"> that </w:t>
      </w:r>
      <w:r w:rsidR="00667201">
        <w:rPr>
          <w:sz w:val="24"/>
          <w:szCs w:val="24"/>
        </w:rPr>
        <w:t>persons</w:t>
      </w:r>
      <w:r w:rsidR="00667201" w:rsidRPr="00B85D70">
        <w:rPr>
          <w:sz w:val="24"/>
          <w:szCs w:val="24"/>
        </w:rPr>
        <w:t xml:space="preserve"> </w:t>
      </w:r>
      <w:r w:rsidR="000C18AA" w:rsidRPr="00B85D70">
        <w:rPr>
          <w:sz w:val="24"/>
          <w:szCs w:val="24"/>
        </w:rPr>
        <w:t>with disabilities are segregated from society because they are thought to not to be able to contribute.</w:t>
      </w:r>
    </w:p>
    <w:p w14:paraId="7BFE5300" w14:textId="1903A3E4" w:rsidR="00832F09" w:rsidRPr="00B85D70" w:rsidRDefault="00263893" w:rsidP="00B85D70">
      <w:pPr>
        <w:spacing w:line="276" w:lineRule="auto"/>
        <w:jc w:val="both"/>
        <w:rPr>
          <w:sz w:val="24"/>
          <w:szCs w:val="24"/>
        </w:rPr>
      </w:pPr>
      <w:r w:rsidRPr="00B85D70">
        <w:rPr>
          <w:sz w:val="24"/>
          <w:szCs w:val="24"/>
        </w:rPr>
        <w:t xml:space="preserve">Rapporteur Douglas </w:t>
      </w:r>
      <w:proofErr w:type="spellStart"/>
      <w:r w:rsidRPr="00B85D70">
        <w:rPr>
          <w:sz w:val="24"/>
          <w:szCs w:val="24"/>
        </w:rPr>
        <w:t>Keh</w:t>
      </w:r>
      <w:proofErr w:type="spellEnd"/>
      <w:r w:rsidRPr="00B85D70">
        <w:rPr>
          <w:sz w:val="24"/>
          <w:szCs w:val="24"/>
        </w:rPr>
        <w:t>, UN Development Programme, noted that t</w:t>
      </w:r>
      <w:r w:rsidR="000C18AA" w:rsidRPr="00B85D70">
        <w:rPr>
          <w:sz w:val="24"/>
          <w:szCs w:val="24"/>
        </w:rPr>
        <w:t>here are communities that a</w:t>
      </w:r>
      <w:r w:rsidR="00C86D1E" w:rsidRPr="00B85D70">
        <w:rPr>
          <w:sz w:val="24"/>
          <w:szCs w:val="24"/>
        </w:rPr>
        <w:t>re historically discriminated</w:t>
      </w:r>
      <w:r w:rsidR="00DB41CE">
        <w:rPr>
          <w:sz w:val="24"/>
          <w:szCs w:val="24"/>
        </w:rPr>
        <w:t xml:space="preserve"> against</w:t>
      </w:r>
      <w:r w:rsidR="006D61CE">
        <w:rPr>
          <w:sz w:val="24"/>
          <w:szCs w:val="24"/>
        </w:rPr>
        <w:t xml:space="preserve"> and some </w:t>
      </w:r>
      <w:r w:rsidR="000C18AA" w:rsidRPr="00B85D70">
        <w:rPr>
          <w:sz w:val="24"/>
          <w:szCs w:val="24"/>
        </w:rPr>
        <w:t xml:space="preserve">are still intentionally left behind. </w:t>
      </w:r>
      <w:r w:rsidR="00B54A29">
        <w:rPr>
          <w:sz w:val="24"/>
          <w:szCs w:val="24"/>
        </w:rPr>
        <w:t>He urged</w:t>
      </w:r>
      <w:r w:rsidR="000C18AA" w:rsidRPr="00B85D70">
        <w:rPr>
          <w:sz w:val="24"/>
          <w:szCs w:val="24"/>
        </w:rPr>
        <w:t xml:space="preserve"> </w:t>
      </w:r>
      <w:r w:rsidR="007C715F">
        <w:rPr>
          <w:sz w:val="24"/>
          <w:szCs w:val="24"/>
        </w:rPr>
        <w:t>Member S</w:t>
      </w:r>
      <w:r w:rsidR="000C18AA" w:rsidRPr="00B85D70">
        <w:rPr>
          <w:sz w:val="24"/>
          <w:szCs w:val="24"/>
        </w:rPr>
        <w:t xml:space="preserve">tates </w:t>
      </w:r>
      <w:r w:rsidR="00EB6261">
        <w:rPr>
          <w:sz w:val="24"/>
          <w:szCs w:val="24"/>
        </w:rPr>
        <w:t xml:space="preserve">to </w:t>
      </w:r>
      <w:r w:rsidR="000C18AA" w:rsidRPr="00B85D70">
        <w:rPr>
          <w:sz w:val="24"/>
          <w:szCs w:val="24"/>
        </w:rPr>
        <w:t>come together to recognize this and adopt a whole</w:t>
      </w:r>
      <w:r w:rsidR="00A306B9">
        <w:rPr>
          <w:sz w:val="24"/>
          <w:szCs w:val="24"/>
        </w:rPr>
        <w:t>-</w:t>
      </w:r>
      <w:r w:rsidR="000C18AA" w:rsidRPr="00B85D70">
        <w:rPr>
          <w:sz w:val="24"/>
          <w:szCs w:val="24"/>
        </w:rPr>
        <w:t>of</w:t>
      </w:r>
      <w:r w:rsidR="0014261A">
        <w:rPr>
          <w:sz w:val="24"/>
          <w:szCs w:val="24"/>
        </w:rPr>
        <w:t>-s</w:t>
      </w:r>
      <w:r w:rsidR="000C18AA" w:rsidRPr="00B85D70">
        <w:rPr>
          <w:sz w:val="24"/>
          <w:szCs w:val="24"/>
        </w:rPr>
        <w:t>ociety approach</w:t>
      </w:r>
      <w:r w:rsidR="0014261A">
        <w:rPr>
          <w:sz w:val="24"/>
          <w:szCs w:val="24"/>
        </w:rPr>
        <w:t>,</w:t>
      </w:r>
      <w:r w:rsidR="000C18AA" w:rsidRPr="00B85D70">
        <w:rPr>
          <w:sz w:val="24"/>
          <w:szCs w:val="24"/>
        </w:rPr>
        <w:t xml:space="preserve"> including those furthest left behind</w:t>
      </w:r>
      <w:r w:rsidR="00856105">
        <w:rPr>
          <w:sz w:val="24"/>
          <w:szCs w:val="24"/>
        </w:rPr>
        <w:t>,</w:t>
      </w:r>
      <w:r w:rsidR="000C18AA" w:rsidRPr="00B85D70">
        <w:rPr>
          <w:sz w:val="24"/>
          <w:szCs w:val="24"/>
        </w:rPr>
        <w:t xml:space="preserve"> as agents of change. </w:t>
      </w:r>
      <w:r w:rsidR="0003427B">
        <w:rPr>
          <w:sz w:val="24"/>
          <w:szCs w:val="24"/>
        </w:rPr>
        <w:t>He remarked that</w:t>
      </w:r>
      <w:r w:rsidR="000C18AA" w:rsidRPr="00B85D70">
        <w:rPr>
          <w:sz w:val="24"/>
          <w:szCs w:val="24"/>
        </w:rPr>
        <w:t xml:space="preserve"> from the many testimonies </w:t>
      </w:r>
      <w:r w:rsidR="004948F9">
        <w:rPr>
          <w:sz w:val="24"/>
          <w:szCs w:val="24"/>
        </w:rPr>
        <w:t>during HLPF</w:t>
      </w:r>
      <w:r w:rsidR="00F86F9D">
        <w:rPr>
          <w:sz w:val="24"/>
          <w:szCs w:val="24"/>
        </w:rPr>
        <w:t>, it was clear</w:t>
      </w:r>
      <w:r w:rsidR="000C18AA" w:rsidRPr="00B85D70">
        <w:rPr>
          <w:sz w:val="24"/>
          <w:szCs w:val="24"/>
        </w:rPr>
        <w:t xml:space="preserve"> that women, pe</w:t>
      </w:r>
      <w:r w:rsidR="00D50B3A">
        <w:rPr>
          <w:sz w:val="24"/>
          <w:szCs w:val="24"/>
        </w:rPr>
        <w:t>rsons</w:t>
      </w:r>
      <w:r w:rsidR="000C18AA" w:rsidRPr="00B85D70">
        <w:rPr>
          <w:sz w:val="24"/>
          <w:szCs w:val="24"/>
        </w:rPr>
        <w:t xml:space="preserve"> with disabilities, indigenous people</w:t>
      </w:r>
      <w:r w:rsidR="00D50B3A">
        <w:rPr>
          <w:sz w:val="24"/>
          <w:szCs w:val="24"/>
        </w:rPr>
        <w:t>s</w:t>
      </w:r>
      <w:r w:rsidR="000C18AA" w:rsidRPr="00B85D70">
        <w:rPr>
          <w:sz w:val="24"/>
          <w:szCs w:val="24"/>
        </w:rPr>
        <w:t xml:space="preserve"> and older persons are those most likely to face discrimination and deprivation</w:t>
      </w:r>
      <w:r w:rsidR="00881F88">
        <w:rPr>
          <w:sz w:val="24"/>
          <w:szCs w:val="24"/>
        </w:rPr>
        <w:t>,</w:t>
      </w:r>
      <w:r w:rsidR="000C18AA" w:rsidRPr="00B85D70">
        <w:rPr>
          <w:sz w:val="24"/>
          <w:szCs w:val="24"/>
        </w:rPr>
        <w:t xml:space="preserve"> making </w:t>
      </w:r>
      <w:r w:rsidR="009E0D09">
        <w:rPr>
          <w:sz w:val="24"/>
          <w:szCs w:val="24"/>
        </w:rPr>
        <w:t>them most likely to be left behind</w:t>
      </w:r>
      <w:r w:rsidR="000C18AA" w:rsidRPr="00B85D70">
        <w:rPr>
          <w:sz w:val="24"/>
          <w:szCs w:val="24"/>
        </w:rPr>
        <w:t>.</w:t>
      </w:r>
    </w:p>
    <w:p w14:paraId="66C3234E" w14:textId="2199E549" w:rsidR="00E535C0" w:rsidRPr="00B85D70" w:rsidRDefault="006146AA" w:rsidP="00B85D70">
      <w:pPr>
        <w:spacing w:line="276" w:lineRule="auto"/>
        <w:jc w:val="both"/>
        <w:rPr>
          <w:rFonts w:cs="Times New Roman"/>
          <w:sz w:val="24"/>
          <w:szCs w:val="24"/>
        </w:rPr>
      </w:pPr>
      <w:r w:rsidRPr="003B44F6">
        <w:rPr>
          <w:rFonts w:cs="Times New Roman"/>
          <w:sz w:val="24"/>
          <w:szCs w:val="24"/>
        </w:rPr>
        <w:t>María</w:t>
      </w:r>
      <w:r>
        <w:rPr>
          <w:rFonts w:cs="Times New Roman"/>
          <w:sz w:val="24"/>
          <w:szCs w:val="24"/>
        </w:rPr>
        <w:t xml:space="preserve"> </w:t>
      </w:r>
      <w:r w:rsidR="00A105F7">
        <w:rPr>
          <w:rFonts w:cs="Times New Roman"/>
          <w:sz w:val="24"/>
          <w:szCs w:val="24"/>
        </w:rPr>
        <w:t xml:space="preserve">Soledad </w:t>
      </w:r>
      <w:proofErr w:type="spellStart"/>
      <w:r w:rsidR="00A105F7">
        <w:rPr>
          <w:rFonts w:cs="Times New Roman"/>
          <w:sz w:val="24"/>
          <w:szCs w:val="24"/>
        </w:rPr>
        <w:t>Cisternas</w:t>
      </w:r>
      <w:proofErr w:type="spellEnd"/>
      <w:r w:rsidR="00A105F7">
        <w:rPr>
          <w:rFonts w:cs="Times New Roman"/>
          <w:sz w:val="24"/>
          <w:szCs w:val="24"/>
        </w:rPr>
        <w:t xml:space="preserve"> Reyes, </w:t>
      </w:r>
      <w:r w:rsidR="007E00BC">
        <w:rPr>
          <w:rFonts w:cs="Times New Roman"/>
          <w:sz w:val="24"/>
          <w:szCs w:val="24"/>
        </w:rPr>
        <w:t xml:space="preserve">the </w:t>
      </w:r>
      <w:r w:rsidR="00D50B3A" w:rsidRPr="002378C5">
        <w:rPr>
          <w:rFonts w:cs="Times New Roman"/>
          <w:sz w:val="24"/>
          <w:szCs w:val="24"/>
        </w:rPr>
        <w:t>UN S</w:t>
      </w:r>
      <w:r w:rsidR="00E535C0" w:rsidRPr="002378C5">
        <w:rPr>
          <w:rFonts w:cs="Times New Roman"/>
          <w:sz w:val="24"/>
          <w:szCs w:val="24"/>
        </w:rPr>
        <w:t>ecretary</w:t>
      </w:r>
      <w:r w:rsidR="00D50B3A" w:rsidRPr="002378C5">
        <w:rPr>
          <w:rFonts w:cs="Times New Roman"/>
          <w:sz w:val="24"/>
          <w:szCs w:val="24"/>
        </w:rPr>
        <w:t>-G</w:t>
      </w:r>
      <w:r w:rsidR="00E535C0" w:rsidRPr="002378C5">
        <w:rPr>
          <w:rFonts w:cs="Times New Roman"/>
          <w:sz w:val="24"/>
          <w:szCs w:val="24"/>
        </w:rPr>
        <w:t>eneral</w:t>
      </w:r>
      <w:r w:rsidR="007E00BC">
        <w:rPr>
          <w:rFonts w:cs="Times New Roman"/>
          <w:sz w:val="24"/>
          <w:szCs w:val="24"/>
        </w:rPr>
        <w:t xml:space="preserve">’s </w:t>
      </w:r>
      <w:r w:rsidR="00D50B3A" w:rsidRPr="002378C5">
        <w:rPr>
          <w:rFonts w:cs="Times New Roman"/>
          <w:sz w:val="24"/>
          <w:szCs w:val="24"/>
        </w:rPr>
        <w:t>S</w:t>
      </w:r>
      <w:r w:rsidR="00E535C0" w:rsidRPr="002378C5">
        <w:rPr>
          <w:rFonts w:cs="Times New Roman"/>
          <w:sz w:val="24"/>
          <w:szCs w:val="24"/>
        </w:rPr>
        <w:t xml:space="preserve">pecial </w:t>
      </w:r>
      <w:r w:rsidR="00D50B3A" w:rsidRPr="002378C5">
        <w:rPr>
          <w:rFonts w:cs="Times New Roman"/>
          <w:sz w:val="24"/>
          <w:szCs w:val="24"/>
        </w:rPr>
        <w:t>E</w:t>
      </w:r>
      <w:r w:rsidR="00E535C0" w:rsidRPr="002378C5">
        <w:rPr>
          <w:rFonts w:cs="Times New Roman"/>
          <w:sz w:val="24"/>
          <w:szCs w:val="24"/>
        </w:rPr>
        <w:t xml:space="preserve">nvoy on </w:t>
      </w:r>
      <w:r w:rsidR="00D50B3A" w:rsidRPr="002378C5">
        <w:rPr>
          <w:rFonts w:cs="Times New Roman"/>
          <w:sz w:val="24"/>
          <w:szCs w:val="24"/>
        </w:rPr>
        <w:t>D</w:t>
      </w:r>
      <w:r w:rsidR="00E535C0" w:rsidRPr="002378C5">
        <w:rPr>
          <w:rFonts w:cs="Times New Roman"/>
          <w:sz w:val="24"/>
          <w:szCs w:val="24"/>
        </w:rPr>
        <w:t>isabilit</w:t>
      </w:r>
      <w:r w:rsidR="000D4E9E" w:rsidRPr="00FF73DA">
        <w:rPr>
          <w:rFonts w:cs="Times New Roman"/>
          <w:sz w:val="24"/>
          <w:szCs w:val="24"/>
        </w:rPr>
        <w:t>y and Accessibility</w:t>
      </w:r>
      <w:r>
        <w:rPr>
          <w:rFonts w:cs="Times New Roman"/>
          <w:sz w:val="24"/>
          <w:szCs w:val="24"/>
        </w:rPr>
        <w:t>,</w:t>
      </w:r>
      <w:r w:rsidR="00CC6691" w:rsidRPr="00B85D70">
        <w:rPr>
          <w:rFonts w:cs="Times New Roman"/>
          <w:sz w:val="24"/>
          <w:szCs w:val="24"/>
        </w:rPr>
        <w:t xml:space="preserve"> highlighted that</w:t>
      </w:r>
      <w:r w:rsidR="00E535C0" w:rsidRPr="00B85D70">
        <w:rPr>
          <w:rFonts w:cs="Times New Roman"/>
          <w:sz w:val="24"/>
          <w:szCs w:val="24"/>
        </w:rPr>
        <w:t xml:space="preserve"> accessibility and the set of conditions that we n</w:t>
      </w:r>
      <w:r w:rsidR="00CC6691" w:rsidRPr="00B85D70">
        <w:rPr>
          <w:rFonts w:cs="Times New Roman"/>
          <w:sz w:val="24"/>
          <w:szCs w:val="24"/>
        </w:rPr>
        <w:t xml:space="preserve">eed to see in </w:t>
      </w:r>
      <w:r w:rsidR="00043B04">
        <w:rPr>
          <w:rFonts w:cs="Times New Roman"/>
          <w:sz w:val="24"/>
          <w:szCs w:val="24"/>
        </w:rPr>
        <w:t xml:space="preserve">the </w:t>
      </w:r>
      <w:r w:rsidR="00CC6691" w:rsidRPr="00B85D70">
        <w:rPr>
          <w:rFonts w:cs="Times New Roman"/>
          <w:sz w:val="24"/>
          <w:szCs w:val="24"/>
        </w:rPr>
        <w:t>physical space</w:t>
      </w:r>
      <w:r w:rsidR="00E535C0" w:rsidRPr="00B85D70">
        <w:rPr>
          <w:rFonts w:cs="Times New Roman"/>
          <w:sz w:val="24"/>
          <w:szCs w:val="24"/>
        </w:rPr>
        <w:t xml:space="preserve"> </w:t>
      </w:r>
      <w:r w:rsidR="00043B04">
        <w:rPr>
          <w:rFonts w:cs="Times New Roman"/>
          <w:sz w:val="24"/>
          <w:szCs w:val="24"/>
        </w:rPr>
        <w:t xml:space="preserve">of </w:t>
      </w:r>
      <w:r w:rsidR="00E535C0" w:rsidRPr="00B85D70">
        <w:rPr>
          <w:rFonts w:cs="Times New Roman"/>
          <w:sz w:val="24"/>
          <w:szCs w:val="24"/>
        </w:rPr>
        <w:t>goods</w:t>
      </w:r>
      <w:r w:rsidR="00043B04">
        <w:rPr>
          <w:rFonts w:cs="Times New Roman"/>
          <w:sz w:val="24"/>
          <w:szCs w:val="24"/>
        </w:rPr>
        <w:t xml:space="preserve">, </w:t>
      </w:r>
      <w:r w:rsidR="00E535C0" w:rsidRPr="00B85D70">
        <w:rPr>
          <w:rFonts w:cs="Times New Roman"/>
          <w:sz w:val="24"/>
          <w:szCs w:val="24"/>
        </w:rPr>
        <w:t>services</w:t>
      </w:r>
      <w:r w:rsidR="00043B04">
        <w:rPr>
          <w:rFonts w:cs="Times New Roman"/>
          <w:sz w:val="24"/>
          <w:szCs w:val="24"/>
        </w:rPr>
        <w:t xml:space="preserve"> and </w:t>
      </w:r>
      <w:r w:rsidR="00E535C0" w:rsidRPr="00B85D70">
        <w:rPr>
          <w:rFonts w:cs="Times New Roman"/>
          <w:sz w:val="24"/>
          <w:szCs w:val="24"/>
        </w:rPr>
        <w:t xml:space="preserve">technologies, need to be used by all in a better and more comfortable way.  </w:t>
      </w:r>
      <w:r w:rsidR="0069365F">
        <w:rPr>
          <w:rFonts w:cs="Times New Roman"/>
          <w:sz w:val="24"/>
          <w:szCs w:val="24"/>
        </w:rPr>
        <w:t xml:space="preserve">She stated that she </w:t>
      </w:r>
      <w:r w:rsidR="00E535C0" w:rsidRPr="00B85D70">
        <w:rPr>
          <w:rFonts w:cs="Times New Roman"/>
          <w:sz w:val="24"/>
          <w:szCs w:val="24"/>
        </w:rPr>
        <w:t>s</w:t>
      </w:r>
      <w:r w:rsidR="0069365F">
        <w:rPr>
          <w:rFonts w:cs="Times New Roman"/>
          <w:sz w:val="24"/>
          <w:szCs w:val="24"/>
        </w:rPr>
        <w:t>aw</w:t>
      </w:r>
      <w:r w:rsidR="00E535C0" w:rsidRPr="00B85D70">
        <w:rPr>
          <w:rFonts w:cs="Times New Roman"/>
          <w:sz w:val="24"/>
          <w:szCs w:val="24"/>
        </w:rPr>
        <w:t xml:space="preserve"> universal accessibility and design</w:t>
      </w:r>
      <w:r w:rsidR="0069365F">
        <w:rPr>
          <w:rFonts w:cs="Times New Roman"/>
          <w:sz w:val="24"/>
          <w:szCs w:val="24"/>
        </w:rPr>
        <w:t xml:space="preserve"> as an unwritten target</w:t>
      </w:r>
      <w:r w:rsidR="00E535C0" w:rsidRPr="00B85D70">
        <w:rPr>
          <w:rFonts w:cs="Times New Roman"/>
          <w:sz w:val="24"/>
          <w:szCs w:val="24"/>
        </w:rPr>
        <w:t xml:space="preserve">.  </w:t>
      </w:r>
      <w:r w:rsidR="0069365F">
        <w:rPr>
          <w:rFonts w:cs="Times New Roman"/>
          <w:sz w:val="24"/>
          <w:szCs w:val="24"/>
        </w:rPr>
        <w:t xml:space="preserve">She </w:t>
      </w:r>
      <w:r w:rsidR="00E535C0" w:rsidRPr="00B85D70">
        <w:rPr>
          <w:rFonts w:cs="Times New Roman"/>
          <w:sz w:val="24"/>
          <w:szCs w:val="24"/>
        </w:rPr>
        <w:t>ask</w:t>
      </w:r>
      <w:r w:rsidR="00CC6691" w:rsidRPr="00B85D70">
        <w:rPr>
          <w:rFonts w:cs="Times New Roman"/>
          <w:sz w:val="24"/>
          <w:szCs w:val="24"/>
        </w:rPr>
        <w:t>ed</w:t>
      </w:r>
      <w:r w:rsidR="00E535C0" w:rsidRPr="00B85D70">
        <w:rPr>
          <w:rFonts w:cs="Times New Roman"/>
          <w:sz w:val="24"/>
          <w:szCs w:val="24"/>
        </w:rPr>
        <w:t xml:space="preserve"> the </w:t>
      </w:r>
      <w:r w:rsidR="00CC6691" w:rsidRPr="00B85D70">
        <w:rPr>
          <w:rFonts w:cs="Times New Roman"/>
          <w:sz w:val="24"/>
          <w:szCs w:val="24"/>
        </w:rPr>
        <w:t>panellists</w:t>
      </w:r>
      <w:r w:rsidR="00E535C0" w:rsidRPr="00B85D70">
        <w:rPr>
          <w:rFonts w:cs="Times New Roman"/>
          <w:sz w:val="24"/>
          <w:szCs w:val="24"/>
        </w:rPr>
        <w:t xml:space="preserve"> whether</w:t>
      </w:r>
      <w:r w:rsidR="00E602FB">
        <w:rPr>
          <w:rFonts w:cs="Times New Roman"/>
          <w:sz w:val="24"/>
          <w:szCs w:val="24"/>
        </w:rPr>
        <w:t>,</w:t>
      </w:r>
      <w:r w:rsidR="00E535C0" w:rsidRPr="00B85D70">
        <w:rPr>
          <w:rFonts w:cs="Times New Roman"/>
          <w:sz w:val="24"/>
          <w:szCs w:val="24"/>
        </w:rPr>
        <w:t xml:space="preserve"> in accordance with SDG 17</w:t>
      </w:r>
      <w:r w:rsidR="00E602FB">
        <w:rPr>
          <w:rFonts w:cs="Times New Roman"/>
          <w:sz w:val="24"/>
          <w:szCs w:val="24"/>
        </w:rPr>
        <w:t>,</w:t>
      </w:r>
      <w:r w:rsidR="00E535C0" w:rsidRPr="00B85D70">
        <w:rPr>
          <w:rFonts w:cs="Times New Roman"/>
          <w:sz w:val="24"/>
          <w:szCs w:val="24"/>
        </w:rPr>
        <w:t xml:space="preserve"> it </w:t>
      </w:r>
      <w:r w:rsidR="00D468AB">
        <w:rPr>
          <w:rFonts w:cs="Times New Roman"/>
          <w:sz w:val="24"/>
          <w:szCs w:val="24"/>
        </w:rPr>
        <w:t xml:space="preserve">is </w:t>
      </w:r>
      <w:r w:rsidR="00E535C0" w:rsidRPr="00B85D70">
        <w:rPr>
          <w:rFonts w:cs="Times New Roman"/>
          <w:sz w:val="24"/>
          <w:szCs w:val="24"/>
        </w:rPr>
        <w:t xml:space="preserve">possible to create indicators to allow accessibility </w:t>
      </w:r>
      <w:r w:rsidR="003F39F9">
        <w:rPr>
          <w:rFonts w:cs="Times New Roman"/>
          <w:sz w:val="24"/>
          <w:szCs w:val="24"/>
        </w:rPr>
        <w:t xml:space="preserve">to be captured </w:t>
      </w:r>
      <w:r w:rsidR="00E535C0" w:rsidRPr="00B85D70">
        <w:rPr>
          <w:rFonts w:cs="Times New Roman"/>
          <w:sz w:val="24"/>
          <w:szCs w:val="24"/>
        </w:rPr>
        <w:t xml:space="preserve">as a part of the way that many </w:t>
      </w:r>
      <w:r w:rsidR="002656E9" w:rsidRPr="00B85D70">
        <w:rPr>
          <w:rFonts w:cs="Times New Roman"/>
          <w:sz w:val="24"/>
          <w:szCs w:val="24"/>
        </w:rPr>
        <w:t>pe</w:t>
      </w:r>
      <w:r w:rsidR="002656E9">
        <w:rPr>
          <w:rFonts w:cs="Times New Roman"/>
          <w:sz w:val="24"/>
          <w:szCs w:val="24"/>
        </w:rPr>
        <w:t>rsons</w:t>
      </w:r>
      <w:r w:rsidR="002656E9" w:rsidRPr="00B85D70">
        <w:rPr>
          <w:rFonts w:cs="Times New Roman"/>
          <w:sz w:val="24"/>
          <w:szCs w:val="24"/>
        </w:rPr>
        <w:t xml:space="preserve"> </w:t>
      </w:r>
      <w:r w:rsidR="00E535C0" w:rsidRPr="00B85D70">
        <w:rPr>
          <w:rFonts w:cs="Times New Roman"/>
          <w:sz w:val="24"/>
          <w:szCs w:val="24"/>
        </w:rPr>
        <w:t xml:space="preserve">with disabilities across the world can exercise their economic, social and cultural rights.  </w:t>
      </w:r>
    </w:p>
    <w:p w14:paraId="672E4E5C" w14:textId="4E2C5EE2" w:rsidR="00263893" w:rsidRPr="00B85D70" w:rsidRDefault="009A0A4C" w:rsidP="00B85D70">
      <w:pPr>
        <w:spacing w:line="276" w:lineRule="auto"/>
        <w:jc w:val="both"/>
        <w:rPr>
          <w:sz w:val="24"/>
          <w:szCs w:val="24"/>
        </w:rPr>
      </w:pPr>
      <w:r>
        <w:rPr>
          <w:sz w:val="24"/>
          <w:szCs w:val="24"/>
        </w:rPr>
        <w:lastRenderedPageBreak/>
        <w:t>Lead</w:t>
      </w:r>
      <w:r w:rsidR="00AD323A" w:rsidRPr="00B85D70">
        <w:rPr>
          <w:sz w:val="24"/>
          <w:szCs w:val="24"/>
        </w:rPr>
        <w:t xml:space="preserve"> discussant</w:t>
      </w:r>
      <w:r w:rsidR="00D35D4D">
        <w:rPr>
          <w:sz w:val="24"/>
          <w:szCs w:val="24"/>
        </w:rPr>
        <w:t xml:space="preserve"> </w:t>
      </w:r>
      <w:proofErr w:type="spellStart"/>
      <w:r w:rsidR="00921636" w:rsidRPr="00B85D70">
        <w:rPr>
          <w:sz w:val="24"/>
          <w:szCs w:val="24"/>
        </w:rPr>
        <w:t>Sakiko</w:t>
      </w:r>
      <w:proofErr w:type="spellEnd"/>
      <w:r w:rsidR="00921636" w:rsidRPr="00B85D70">
        <w:rPr>
          <w:sz w:val="24"/>
          <w:szCs w:val="24"/>
        </w:rPr>
        <w:t xml:space="preserve"> Fukuda</w:t>
      </w:r>
      <w:r w:rsidR="00921636" w:rsidRPr="00B85D70">
        <w:rPr>
          <w:sz w:val="24"/>
          <w:szCs w:val="24"/>
        </w:rPr>
        <w:noBreakHyphen/>
        <w:t>Parr</w:t>
      </w:r>
      <w:r>
        <w:rPr>
          <w:sz w:val="24"/>
          <w:szCs w:val="24"/>
        </w:rPr>
        <w:t>,</w:t>
      </w:r>
      <w:r w:rsidR="00921636" w:rsidRPr="00B85D70">
        <w:rPr>
          <w:sz w:val="24"/>
          <w:szCs w:val="24"/>
        </w:rPr>
        <w:t xml:space="preserve"> member of the UN </w:t>
      </w:r>
      <w:r>
        <w:rPr>
          <w:sz w:val="24"/>
          <w:szCs w:val="24"/>
        </w:rPr>
        <w:t>C</w:t>
      </w:r>
      <w:r w:rsidR="00921636" w:rsidRPr="00B85D70">
        <w:rPr>
          <w:sz w:val="24"/>
          <w:szCs w:val="24"/>
        </w:rPr>
        <w:t xml:space="preserve">ommittee </w:t>
      </w:r>
      <w:r>
        <w:rPr>
          <w:sz w:val="24"/>
          <w:szCs w:val="24"/>
        </w:rPr>
        <w:t>for</w:t>
      </w:r>
      <w:r w:rsidR="00921636" w:rsidRPr="00B85D70">
        <w:rPr>
          <w:sz w:val="24"/>
          <w:szCs w:val="24"/>
        </w:rPr>
        <w:t xml:space="preserve"> </w:t>
      </w:r>
      <w:r>
        <w:rPr>
          <w:sz w:val="24"/>
          <w:szCs w:val="24"/>
        </w:rPr>
        <w:t>D</w:t>
      </w:r>
      <w:r w:rsidR="00921636" w:rsidRPr="00B85D70">
        <w:rPr>
          <w:sz w:val="24"/>
          <w:szCs w:val="24"/>
        </w:rPr>
        <w:t xml:space="preserve">evelopment </w:t>
      </w:r>
      <w:r>
        <w:rPr>
          <w:sz w:val="24"/>
          <w:szCs w:val="24"/>
        </w:rPr>
        <w:t>P</w:t>
      </w:r>
      <w:r w:rsidR="00D35D4D" w:rsidRPr="00B85D70">
        <w:rPr>
          <w:sz w:val="24"/>
          <w:szCs w:val="24"/>
        </w:rPr>
        <w:t>olicy, comment</w:t>
      </w:r>
      <w:r w:rsidR="00B35A50">
        <w:rPr>
          <w:sz w:val="24"/>
          <w:szCs w:val="24"/>
        </w:rPr>
        <w:t>ed</w:t>
      </w:r>
      <w:r w:rsidR="00263893" w:rsidRPr="00B85D70">
        <w:rPr>
          <w:sz w:val="24"/>
          <w:szCs w:val="24"/>
        </w:rPr>
        <w:t xml:space="preserve"> </w:t>
      </w:r>
      <w:r w:rsidR="00643C84" w:rsidRPr="00B85D70">
        <w:rPr>
          <w:sz w:val="24"/>
          <w:szCs w:val="24"/>
        </w:rPr>
        <w:t>on</w:t>
      </w:r>
      <w:r w:rsidR="00E535C0" w:rsidRPr="00B85D70">
        <w:rPr>
          <w:sz w:val="24"/>
          <w:szCs w:val="24"/>
        </w:rPr>
        <w:t xml:space="preserve"> the issue of identifyin</w:t>
      </w:r>
      <w:r w:rsidR="009F79B0" w:rsidRPr="00B85D70">
        <w:rPr>
          <w:sz w:val="24"/>
          <w:szCs w:val="24"/>
        </w:rPr>
        <w:t xml:space="preserve">g those who are left behind </w:t>
      </w:r>
      <w:r w:rsidR="00B35A50">
        <w:rPr>
          <w:sz w:val="24"/>
          <w:szCs w:val="24"/>
        </w:rPr>
        <w:t xml:space="preserve">by </w:t>
      </w:r>
      <w:r w:rsidR="009F79B0" w:rsidRPr="00B85D70">
        <w:rPr>
          <w:sz w:val="24"/>
          <w:szCs w:val="24"/>
        </w:rPr>
        <w:t>stat</w:t>
      </w:r>
      <w:r w:rsidR="00B35A50">
        <w:rPr>
          <w:sz w:val="24"/>
          <w:szCs w:val="24"/>
        </w:rPr>
        <w:t>ing</w:t>
      </w:r>
      <w:r w:rsidR="009F79B0" w:rsidRPr="00B85D70">
        <w:rPr>
          <w:sz w:val="24"/>
          <w:szCs w:val="24"/>
        </w:rPr>
        <w:t xml:space="preserve"> that i</w:t>
      </w:r>
      <w:r w:rsidR="00E535C0" w:rsidRPr="00B85D70">
        <w:rPr>
          <w:sz w:val="24"/>
          <w:szCs w:val="24"/>
        </w:rPr>
        <w:t xml:space="preserve">t is very interesting to note that where most of the VNRs talk about leaving no one behind, the groups that are </w:t>
      </w:r>
      <w:r w:rsidR="003E3600" w:rsidRPr="00B85D70">
        <w:rPr>
          <w:sz w:val="24"/>
          <w:szCs w:val="24"/>
        </w:rPr>
        <w:t xml:space="preserve">the </w:t>
      </w:r>
      <w:r w:rsidR="00E535C0" w:rsidRPr="00B85D70">
        <w:rPr>
          <w:sz w:val="24"/>
          <w:szCs w:val="24"/>
        </w:rPr>
        <w:t xml:space="preserve">most frequently identified are </w:t>
      </w:r>
      <w:r w:rsidR="009F79B0" w:rsidRPr="00B85D70">
        <w:rPr>
          <w:sz w:val="24"/>
          <w:szCs w:val="24"/>
        </w:rPr>
        <w:t>women</w:t>
      </w:r>
      <w:r w:rsidR="003D3D2A" w:rsidRPr="00B85D70">
        <w:rPr>
          <w:sz w:val="24"/>
          <w:szCs w:val="24"/>
        </w:rPr>
        <w:t>, children</w:t>
      </w:r>
      <w:r w:rsidR="00D50B3A">
        <w:rPr>
          <w:sz w:val="24"/>
          <w:szCs w:val="24"/>
        </w:rPr>
        <w:t>, older persons,</w:t>
      </w:r>
      <w:r w:rsidR="003D3D2A" w:rsidRPr="00B85D70">
        <w:rPr>
          <w:sz w:val="24"/>
          <w:szCs w:val="24"/>
        </w:rPr>
        <w:t xml:space="preserve"> and </w:t>
      </w:r>
      <w:r w:rsidR="00F21371" w:rsidRPr="00FF73DA">
        <w:rPr>
          <w:sz w:val="24"/>
          <w:szCs w:val="24"/>
        </w:rPr>
        <w:t>p</w:t>
      </w:r>
      <w:r w:rsidR="003D3D2A" w:rsidRPr="00640B43">
        <w:rPr>
          <w:sz w:val="24"/>
          <w:szCs w:val="24"/>
        </w:rPr>
        <w:t xml:space="preserve">ersons with </w:t>
      </w:r>
      <w:r w:rsidR="00F21371" w:rsidRPr="00FF73DA">
        <w:rPr>
          <w:sz w:val="24"/>
          <w:szCs w:val="24"/>
        </w:rPr>
        <w:t>d</w:t>
      </w:r>
      <w:r w:rsidR="003D3D2A" w:rsidRPr="00640B43">
        <w:rPr>
          <w:sz w:val="24"/>
          <w:szCs w:val="24"/>
        </w:rPr>
        <w:t>isabilities</w:t>
      </w:r>
      <w:r w:rsidR="00E535C0" w:rsidRPr="00640B43">
        <w:rPr>
          <w:sz w:val="24"/>
          <w:szCs w:val="24"/>
        </w:rPr>
        <w:t>.</w:t>
      </w:r>
      <w:r w:rsidR="00E535C0" w:rsidRPr="00B85D70">
        <w:rPr>
          <w:sz w:val="24"/>
          <w:szCs w:val="24"/>
        </w:rPr>
        <w:t xml:space="preserve">  </w:t>
      </w:r>
    </w:p>
    <w:p w14:paraId="76811641" w14:textId="202FA8D8" w:rsidR="00921636" w:rsidRPr="00B85D70" w:rsidRDefault="0057616E" w:rsidP="00B85D70">
      <w:pPr>
        <w:spacing w:line="276" w:lineRule="auto"/>
        <w:jc w:val="both"/>
        <w:rPr>
          <w:sz w:val="24"/>
          <w:szCs w:val="24"/>
        </w:rPr>
      </w:pPr>
      <w:r>
        <w:rPr>
          <w:sz w:val="24"/>
          <w:szCs w:val="24"/>
        </w:rPr>
        <w:t>L</w:t>
      </w:r>
      <w:r w:rsidR="00263893" w:rsidRPr="00B85D70">
        <w:rPr>
          <w:sz w:val="24"/>
          <w:szCs w:val="24"/>
        </w:rPr>
        <w:t xml:space="preserve">ead discussant Sylvia </w:t>
      </w:r>
      <w:proofErr w:type="spellStart"/>
      <w:r w:rsidR="00263893" w:rsidRPr="00B85D70">
        <w:rPr>
          <w:sz w:val="24"/>
          <w:szCs w:val="24"/>
        </w:rPr>
        <w:t>Beales</w:t>
      </w:r>
      <w:proofErr w:type="spellEnd"/>
      <w:r w:rsidR="00263893" w:rsidRPr="00B85D70">
        <w:rPr>
          <w:sz w:val="24"/>
          <w:szCs w:val="24"/>
        </w:rPr>
        <w:t xml:space="preserve">, </w:t>
      </w:r>
      <w:proofErr w:type="spellStart"/>
      <w:r w:rsidR="00263893" w:rsidRPr="00B85D70">
        <w:rPr>
          <w:sz w:val="24"/>
          <w:szCs w:val="24"/>
        </w:rPr>
        <w:t>Gray</w:t>
      </w:r>
      <w:proofErr w:type="spellEnd"/>
      <w:r w:rsidR="00263893" w:rsidRPr="00B85D70">
        <w:rPr>
          <w:sz w:val="24"/>
          <w:szCs w:val="24"/>
        </w:rPr>
        <w:t xml:space="preserve"> Panthers</w:t>
      </w:r>
      <w:r w:rsidR="00CC6691" w:rsidRPr="00B85D70">
        <w:rPr>
          <w:sz w:val="24"/>
          <w:szCs w:val="24"/>
        </w:rPr>
        <w:t xml:space="preserve">, </w:t>
      </w:r>
      <w:r>
        <w:rPr>
          <w:sz w:val="24"/>
          <w:szCs w:val="24"/>
        </w:rPr>
        <w:t xml:space="preserve">commented that </w:t>
      </w:r>
      <w:r w:rsidR="00921636" w:rsidRPr="00B85D70">
        <w:rPr>
          <w:sz w:val="24"/>
          <w:szCs w:val="24"/>
        </w:rPr>
        <w:t>agi</w:t>
      </w:r>
      <w:r w:rsidR="00CC6691" w:rsidRPr="00B85D70">
        <w:rPr>
          <w:sz w:val="24"/>
          <w:szCs w:val="24"/>
        </w:rPr>
        <w:t xml:space="preserve">ng is transforming </w:t>
      </w:r>
      <w:r>
        <w:rPr>
          <w:sz w:val="24"/>
          <w:szCs w:val="24"/>
        </w:rPr>
        <w:t xml:space="preserve">the </w:t>
      </w:r>
      <w:r w:rsidR="00CC6691" w:rsidRPr="00B85D70">
        <w:rPr>
          <w:sz w:val="24"/>
          <w:szCs w:val="24"/>
        </w:rPr>
        <w:t>Euro</w:t>
      </w:r>
      <w:r>
        <w:rPr>
          <w:sz w:val="24"/>
          <w:szCs w:val="24"/>
        </w:rPr>
        <w:t>pean</w:t>
      </w:r>
      <w:r w:rsidR="00CC6691" w:rsidRPr="00B85D70">
        <w:rPr>
          <w:sz w:val="24"/>
          <w:szCs w:val="24"/>
        </w:rPr>
        <w:t xml:space="preserve"> world</w:t>
      </w:r>
      <w:r>
        <w:rPr>
          <w:sz w:val="24"/>
          <w:szCs w:val="24"/>
        </w:rPr>
        <w:t>.</w:t>
      </w:r>
      <w:r w:rsidR="00CC6691" w:rsidRPr="00B85D70">
        <w:rPr>
          <w:sz w:val="24"/>
          <w:szCs w:val="24"/>
        </w:rPr>
        <w:t xml:space="preserve"> </w:t>
      </w:r>
      <w:r>
        <w:rPr>
          <w:sz w:val="24"/>
          <w:szCs w:val="24"/>
        </w:rPr>
        <w:t>O</w:t>
      </w:r>
      <w:r w:rsidR="00921636" w:rsidRPr="00B85D70">
        <w:rPr>
          <w:sz w:val="24"/>
          <w:szCs w:val="24"/>
        </w:rPr>
        <w:t>lder persons are the fastest grow</w:t>
      </w:r>
      <w:r w:rsidR="00CC6691" w:rsidRPr="00B85D70">
        <w:rPr>
          <w:sz w:val="24"/>
          <w:szCs w:val="24"/>
        </w:rPr>
        <w:t>ing population group globally with almost 60% of old</w:t>
      </w:r>
      <w:r w:rsidR="00D50B3A">
        <w:rPr>
          <w:sz w:val="24"/>
          <w:szCs w:val="24"/>
        </w:rPr>
        <w:t>er</w:t>
      </w:r>
      <w:r w:rsidR="00CC6691" w:rsidRPr="00B85D70">
        <w:rPr>
          <w:sz w:val="24"/>
          <w:szCs w:val="24"/>
        </w:rPr>
        <w:t xml:space="preserve"> pe</w:t>
      </w:r>
      <w:r w:rsidR="00D50B3A">
        <w:rPr>
          <w:sz w:val="24"/>
          <w:szCs w:val="24"/>
        </w:rPr>
        <w:t>rsons</w:t>
      </w:r>
      <w:r w:rsidR="00CC6691" w:rsidRPr="00B85D70">
        <w:rPr>
          <w:sz w:val="24"/>
          <w:szCs w:val="24"/>
        </w:rPr>
        <w:t xml:space="preserve"> </w:t>
      </w:r>
      <w:r w:rsidR="00D35D4D" w:rsidRPr="00B85D70">
        <w:rPr>
          <w:sz w:val="24"/>
          <w:szCs w:val="24"/>
        </w:rPr>
        <w:t>living in</w:t>
      </w:r>
      <w:r w:rsidR="00CC6691" w:rsidRPr="00B85D70">
        <w:rPr>
          <w:sz w:val="24"/>
          <w:szCs w:val="24"/>
        </w:rPr>
        <w:t xml:space="preserve"> urban areas</w:t>
      </w:r>
      <w:r w:rsidR="00921636" w:rsidRPr="00B85D70">
        <w:rPr>
          <w:sz w:val="24"/>
          <w:szCs w:val="24"/>
        </w:rPr>
        <w:t xml:space="preserve">.  </w:t>
      </w:r>
      <w:r w:rsidR="00CC6691" w:rsidRPr="00B85D70">
        <w:rPr>
          <w:sz w:val="24"/>
          <w:szCs w:val="24"/>
        </w:rPr>
        <w:t>O</w:t>
      </w:r>
      <w:r w:rsidR="00921636" w:rsidRPr="00B85D70">
        <w:rPr>
          <w:sz w:val="24"/>
          <w:szCs w:val="24"/>
        </w:rPr>
        <w:t>lder pe</w:t>
      </w:r>
      <w:r w:rsidR="00D50B3A">
        <w:rPr>
          <w:sz w:val="24"/>
          <w:szCs w:val="24"/>
        </w:rPr>
        <w:t>rsons</w:t>
      </w:r>
      <w:r w:rsidR="00921636" w:rsidRPr="00B85D70">
        <w:rPr>
          <w:sz w:val="24"/>
          <w:szCs w:val="24"/>
        </w:rPr>
        <w:t xml:space="preserve"> do experience complex forms of exclusion and marginalization based on a range of intersecting inequalities that reinforce discrimination based on age, gender and disability.  </w:t>
      </w:r>
    </w:p>
    <w:p w14:paraId="513FBEF6" w14:textId="705BBDB3" w:rsidR="00921636" w:rsidRPr="00B85D70" w:rsidRDefault="000C4958" w:rsidP="00B85D70">
      <w:pPr>
        <w:spacing w:line="276" w:lineRule="auto"/>
        <w:jc w:val="both"/>
        <w:rPr>
          <w:sz w:val="24"/>
          <w:szCs w:val="24"/>
        </w:rPr>
      </w:pPr>
      <w:r>
        <w:rPr>
          <w:sz w:val="24"/>
          <w:szCs w:val="24"/>
        </w:rPr>
        <w:t>Moderator,</w:t>
      </w:r>
      <w:r w:rsidR="006161D9">
        <w:rPr>
          <w:sz w:val="24"/>
          <w:szCs w:val="24"/>
        </w:rPr>
        <w:t xml:space="preserve"> </w:t>
      </w:r>
      <w:r w:rsidR="00CC6691" w:rsidRPr="00B85D70">
        <w:rPr>
          <w:sz w:val="24"/>
          <w:szCs w:val="24"/>
        </w:rPr>
        <w:t xml:space="preserve">Manish </w:t>
      </w:r>
      <w:proofErr w:type="spellStart"/>
      <w:r w:rsidR="00CC6691" w:rsidRPr="00B85D70">
        <w:rPr>
          <w:sz w:val="24"/>
          <w:szCs w:val="24"/>
        </w:rPr>
        <w:t>Bapna</w:t>
      </w:r>
      <w:proofErr w:type="spellEnd"/>
      <w:r w:rsidR="00921636" w:rsidRPr="00B85D70">
        <w:rPr>
          <w:sz w:val="24"/>
          <w:szCs w:val="24"/>
        </w:rPr>
        <w:t>,</w:t>
      </w:r>
      <w:r w:rsidR="006359BD">
        <w:rPr>
          <w:sz w:val="24"/>
          <w:szCs w:val="24"/>
        </w:rPr>
        <w:t xml:space="preserve"> stated that</w:t>
      </w:r>
      <w:r w:rsidR="00921636" w:rsidRPr="00B85D70">
        <w:rPr>
          <w:sz w:val="24"/>
          <w:szCs w:val="24"/>
        </w:rPr>
        <w:t xml:space="preserve"> </w:t>
      </w:r>
      <w:r w:rsidR="007179E2" w:rsidRPr="00B85D70">
        <w:rPr>
          <w:sz w:val="24"/>
          <w:szCs w:val="24"/>
        </w:rPr>
        <w:t>t</w:t>
      </w:r>
      <w:r w:rsidR="00921636" w:rsidRPr="00B85D70">
        <w:rPr>
          <w:sz w:val="24"/>
          <w:szCs w:val="24"/>
        </w:rPr>
        <w:t xml:space="preserve">he </w:t>
      </w:r>
      <w:r w:rsidR="006D1178">
        <w:rPr>
          <w:sz w:val="24"/>
          <w:szCs w:val="24"/>
        </w:rPr>
        <w:t xml:space="preserve">main </w:t>
      </w:r>
      <w:r w:rsidR="00921636" w:rsidRPr="00B85D70">
        <w:rPr>
          <w:sz w:val="24"/>
          <w:szCs w:val="24"/>
        </w:rPr>
        <w:t xml:space="preserve">challenge is financing the system in </w:t>
      </w:r>
      <w:r w:rsidR="006359BD">
        <w:rPr>
          <w:sz w:val="24"/>
          <w:szCs w:val="24"/>
        </w:rPr>
        <w:t xml:space="preserve">light </w:t>
      </w:r>
      <w:r w:rsidR="00921636" w:rsidRPr="00B85D70">
        <w:rPr>
          <w:sz w:val="24"/>
          <w:szCs w:val="24"/>
        </w:rPr>
        <w:t>of rising costs</w:t>
      </w:r>
      <w:r w:rsidR="003E3600" w:rsidRPr="00B85D70">
        <w:rPr>
          <w:sz w:val="24"/>
          <w:szCs w:val="24"/>
        </w:rPr>
        <w:t xml:space="preserve"> and changing demographics</w:t>
      </w:r>
      <w:r w:rsidR="00702C8F">
        <w:rPr>
          <w:sz w:val="24"/>
          <w:szCs w:val="24"/>
        </w:rPr>
        <w:t>,</w:t>
      </w:r>
      <w:r w:rsidR="003E3600" w:rsidRPr="00B85D70">
        <w:rPr>
          <w:sz w:val="24"/>
          <w:szCs w:val="24"/>
        </w:rPr>
        <w:t xml:space="preserve"> and e</w:t>
      </w:r>
      <w:r w:rsidR="00921636" w:rsidRPr="00B85D70">
        <w:rPr>
          <w:sz w:val="24"/>
          <w:szCs w:val="24"/>
        </w:rPr>
        <w:t>nsuring economic opportunities for all independent of their backgrounds, gender, disabili</w:t>
      </w:r>
      <w:r w:rsidR="00D50B3A">
        <w:rPr>
          <w:sz w:val="24"/>
          <w:szCs w:val="24"/>
        </w:rPr>
        <w:t>ty</w:t>
      </w:r>
      <w:r w:rsidR="007F4B5F">
        <w:rPr>
          <w:sz w:val="24"/>
          <w:szCs w:val="24"/>
        </w:rPr>
        <w:t>, etcetera</w:t>
      </w:r>
      <w:r w:rsidR="00921636" w:rsidRPr="00B85D70">
        <w:rPr>
          <w:sz w:val="24"/>
          <w:szCs w:val="24"/>
        </w:rPr>
        <w:t xml:space="preserve">.  </w:t>
      </w:r>
    </w:p>
    <w:p w14:paraId="158DCD3E" w14:textId="2273B6CF" w:rsidR="007179E2" w:rsidRPr="00B85D70" w:rsidRDefault="007179E2" w:rsidP="00174ABA">
      <w:pPr>
        <w:spacing w:line="276" w:lineRule="auto"/>
        <w:jc w:val="both"/>
        <w:rPr>
          <w:rFonts w:cs="Times New Roman"/>
          <w:sz w:val="24"/>
          <w:szCs w:val="24"/>
          <w:lang w:val="en-US"/>
        </w:rPr>
      </w:pPr>
      <w:r w:rsidRPr="00B85D70">
        <w:rPr>
          <w:rFonts w:cs="Times New Roman"/>
          <w:sz w:val="24"/>
          <w:szCs w:val="24"/>
        </w:rPr>
        <w:t xml:space="preserve">On behalf of </w:t>
      </w:r>
      <w:r w:rsidR="00387347" w:rsidRPr="00B85D70">
        <w:rPr>
          <w:rFonts w:cs="Times New Roman"/>
          <w:sz w:val="24"/>
          <w:szCs w:val="24"/>
        </w:rPr>
        <w:t xml:space="preserve">the </w:t>
      </w:r>
      <w:r w:rsidR="00207171" w:rsidRPr="00FF73DA">
        <w:rPr>
          <w:rFonts w:cs="Times New Roman"/>
          <w:sz w:val="24"/>
          <w:szCs w:val="24"/>
        </w:rPr>
        <w:t>Stakeholder Group of Persons with Disabilities,</w:t>
      </w:r>
      <w:r w:rsidRPr="00B85D70">
        <w:rPr>
          <w:rFonts w:cs="Times New Roman"/>
          <w:sz w:val="24"/>
          <w:szCs w:val="24"/>
        </w:rPr>
        <w:t xml:space="preserve"> </w:t>
      </w:r>
      <w:proofErr w:type="spellStart"/>
      <w:r w:rsidR="00F24933" w:rsidRPr="00FF73DA">
        <w:rPr>
          <w:rFonts w:cstheme="minorHAnsi"/>
          <w:color w:val="000000"/>
          <w:sz w:val="24"/>
        </w:rPr>
        <w:t>Ndèye</w:t>
      </w:r>
      <w:proofErr w:type="spellEnd"/>
      <w:r w:rsidR="00D35D4D" w:rsidRPr="00FF73DA">
        <w:rPr>
          <w:rFonts w:cstheme="minorHAnsi"/>
          <w:color w:val="000000"/>
          <w:sz w:val="24"/>
        </w:rPr>
        <w:t xml:space="preserve"> </w:t>
      </w:r>
      <w:proofErr w:type="spellStart"/>
      <w:r w:rsidR="00F24933" w:rsidRPr="00FF73DA">
        <w:rPr>
          <w:rFonts w:cstheme="minorHAnsi"/>
          <w:color w:val="000000"/>
          <w:sz w:val="24"/>
        </w:rPr>
        <w:t>Dagué</w:t>
      </w:r>
      <w:proofErr w:type="spellEnd"/>
      <w:r w:rsidR="00D35D4D" w:rsidRPr="00FF73DA">
        <w:rPr>
          <w:rFonts w:cstheme="minorHAnsi"/>
          <w:color w:val="000000"/>
          <w:sz w:val="24"/>
        </w:rPr>
        <w:t xml:space="preserve"> </w:t>
      </w:r>
      <w:proofErr w:type="spellStart"/>
      <w:r w:rsidR="00F24933" w:rsidRPr="00FF73DA">
        <w:rPr>
          <w:rFonts w:cstheme="minorHAnsi"/>
          <w:color w:val="000000"/>
          <w:sz w:val="24"/>
        </w:rPr>
        <w:t>Guèye</w:t>
      </w:r>
      <w:proofErr w:type="spellEnd"/>
      <w:r w:rsidR="00D35D4D" w:rsidRPr="00FF73DA">
        <w:rPr>
          <w:rFonts w:ascii="Calibri" w:hAnsi="Calibri" w:cs="Calibri"/>
          <w:lang w:val="en-US"/>
        </w:rPr>
        <w:t xml:space="preserve"> </w:t>
      </w:r>
      <w:r w:rsidR="00C93226" w:rsidRPr="00FF73DA">
        <w:rPr>
          <w:rFonts w:ascii="Calibri" w:hAnsi="Calibri" w:cs="Calibri"/>
          <w:sz w:val="24"/>
          <w:lang w:val="en-US"/>
        </w:rPr>
        <w:t>highlighted</w:t>
      </w:r>
      <w:r w:rsidR="00C93226">
        <w:rPr>
          <w:rFonts w:cs="Times New Roman"/>
          <w:sz w:val="24"/>
          <w:szCs w:val="24"/>
          <w:lang w:val="en-US"/>
        </w:rPr>
        <w:t xml:space="preserve"> tha</w:t>
      </w:r>
      <w:r w:rsidR="00314BD2">
        <w:rPr>
          <w:rFonts w:cs="Times New Roman"/>
          <w:sz w:val="24"/>
          <w:szCs w:val="24"/>
          <w:lang w:val="en-US"/>
        </w:rPr>
        <w:t>t</w:t>
      </w:r>
      <w:r w:rsidR="00C93226">
        <w:rPr>
          <w:rFonts w:cs="Times New Roman"/>
          <w:sz w:val="24"/>
          <w:szCs w:val="24"/>
          <w:lang w:val="en-US"/>
        </w:rPr>
        <w:t xml:space="preserve"> t</w:t>
      </w:r>
      <w:r w:rsidRPr="00B85D70">
        <w:rPr>
          <w:rFonts w:cs="Times New Roman"/>
          <w:sz w:val="24"/>
          <w:szCs w:val="24"/>
          <w:lang w:val="en-US"/>
        </w:rPr>
        <w:t>he lack of rigorous disaggregated data on persons with disabilities exacerbates vulnerabilities by masking the e</w:t>
      </w:r>
      <w:r w:rsidRPr="00F24933">
        <w:rPr>
          <w:rFonts w:cstheme="minorHAnsi"/>
          <w:sz w:val="24"/>
          <w:szCs w:val="24"/>
          <w:lang w:val="en-US"/>
        </w:rPr>
        <w:t>xtent of</w:t>
      </w:r>
      <w:r w:rsidR="00C93226" w:rsidRPr="00F24933">
        <w:rPr>
          <w:rFonts w:cstheme="minorHAnsi"/>
          <w:sz w:val="24"/>
          <w:szCs w:val="24"/>
          <w:lang w:val="en-US"/>
        </w:rPr>
        <w:t xml:space="preserve"> deprivation and disparities.</w:t>
      </w:r>
      <w:r w:rsidR="00D35D4D">
        <w:rPr>
          <w:rFonts w:cstheme="minorHAnsi"/>
          <w:sz w:val="24"/>
          <w:szCs w:val="24"/>
          <w:lang w:val="en-US"/>
        </w:rPr>
        <w:t xml:space="preserve"> </w:t>
      </w:r>
      <w:r w:rsidR="00C93226" w:rsidRPr="00F24933">
        <w:rPr>
          <w:rFonts w:cstheme="minorHAnsi"/>
          <w:sz w:val="24"/>
          <w:szCs w:val="24"/>
          <w:lang w:val="en-US"/>
        </w:rPr>
        <w:t>C</w:t>
      </w:r>
      <w:r w:rsidRPr="00F24933">
        <w:rPr>
          <w:rFonts w:cstheme="minorHAnsi"/>
          <w:sz w:val="24"/>
          <w:szCs w:val="24"/>
          <w:lang w:val="en-US"/>
        </w:rPr>
        <w:t>onsequently</w:t>
      </w:r>
      <w:r w:rsidR="00387347" w:rsidRPr="00F24933">
        <w:rPr>
          <w:rFonts w:cstheme="minorHAnsi"/>
          <w:sz w:val="24"/>
          <w:szCs w:val="24"/>
          <w:lang w:val="en-US"/>
        </w:rPr>
        <w:t>,</w:t>
      </w:r>
      <w:r w:rsidRPr="00F24933">
        <w:rPr>
          <w:rFonts w:cstheme="minorHAnsi"/>
          <w:sz w:val="24"/>
          <w:szCs w:val="24"/>
          <w:lang w:val="en-US"/>
        </w:rPr>
        <w:t xml:space="preserve"> there is no accurate documentation on the discrimination encountered by </w:t>
      </w:r>
      <w:r w:rsidR="00C93226" w:rsidRPr="00F24933">
        <w:rPr>
          <w:rFonts w:cstheme="minorHAnsi"/>
          <w:sz w:val="24"/>
          <w:szCs w:val="24"/>
          <w:lang w:val="en-US"/>
        </w:rPr>
        <w:t>persons with disabilities.</w:t>
      </w:r>
      <w:r w:rsidR="00D35D4D">
        <w:rPr>
          <w:rFonts w:cstheme="minorHAnsi"/>
          <w:sz w:val="24"/>
          <w:szCs w:val="24"/>
          <w:lang w:val="en-US"/>
        </w:rPr>
        <w:t xml:space="preserve"> </w:t>
      </w:r>
      <w:r w:rsidR="00C93226" w:rsidRPr="00F24933">
        <w:rPr>
          <w:rFonts w:cstheme="minorHAnsi"/>
          <w:sz w:val="24"/>
          <w:szCs w:val="24"/>
          <w:lang w:val="en-US"/>
        </w:rPr>
        <w:t>Since</w:t>
      </w:r>
      <w:r w:rsidR="00D35D4D">
        <w:rPr>
          <w:rFonts w:cstheme="minorHAnsi"/>
          <w:sz w:val="24"/>
          <w:szCs w:val="24"/>
          <w:lang w:val="en-US"/>
        </w:rPr>
        <w:t xml:space="preserve"> </w:t>
      </w:r>
      <w:r w:rsidRPr="00F24933">
        <w:rPr>
          <w:rFonts w:cstheme="minorHAnsi"/>
          <w:bCs/>
          <w:sz w:val="24"/>
          <w:szCs w:val="24"/>
          <w:lang w:val="en-US"/>
        </w:rPr>
        <w:t xml:space="preserve">persons with disabilities are </w:t>
      </w:r>
      <w:r w:rsidRPr="00F24933">
        <w:rPr>
          <w:rFonts w:cstheme="minorHAnsi"/>
          <w:bCs/>
          <w:iCs/>
          <w:sz w:val="24"/>
          <w:szCs w:val="24"/>
          <w:lang w:val="en-US"/>
        </w:rPr>
        <w:t>not</w:t>
      </w:r>
      <w:r w:rsidRPr="00F24933">
        <w:rPr>
          <w:rFonts w:cstheme="minorHAnsi"/>
          <w:bCs/>
          <w:sz w:val="24"/>
          <w:szCs w:val="24"/>
          <w:lang w:val="en-US"/>
        </w:rPr>
        <w:t xml:space="preserve"> counted, then they don’t count</w:t>
      </w:r>
      <w:r w:rsidR="00FC4BA8">
        <w:rPr>
          <w:rFonts w:cstheme="minorHAnsi"/>
          <w:sz w:val="24"/>
          <w:szCs w:val="24"/>
          <w:lang w:val="en-US"/>
        </w:rPr>
        <w:t>.</w:t>
      </w:r>
      <w:r w:rsidR="000D4F45" w:rsidRPr="00F24933">
        <w:rPr>
          <w:rFonts w:cstheme="minorHAnsi"/>
          <w:sz w:val="24"/>
          <w:szCs w:val="24"/>
          <w:lang w:val="en-US"/>
        </w:rPr>
        <w:t xml:space="preserve"> </w:t>
      </w:r>
      <w:r w:rsidR="00FC4BA8">
        <w:rPr>
          <w:rFonts w:cstheme="minorHAnsi"/>
          <w:sz w:val="24"/>
          <w:szCs w:val="24"/>
          <w:lang w:val="en-US"/>
        </w:rPr>
        <w:t>T</w:t>
      </w:r>
      <w:r w:rsidR="000D4F45" w:rsidRPr="00F24933">
        <w:rPr>
          <w:rFonts w:cstheme="minorHAnsi"/>
          <w:sz w:val="24"/>
          <w:szCs w:val="24"/>
          <w:lang w:val="en-US"/>
        </w:rPr>
        <w:t>his has affected policymaking in</w:t>
      </w:r>
      <w:r w:rsidRPr="00F24933">
        <w:rPr>
          <w:rFonts w:cstheme="minorHAnsi"/>
          <w:sz w:val="24"/>
          <w:szCs w:val="24"/>
          <w:lang w:val="en-US"/>
        </w:rPr>
        <w:t xml:space="preserve"> planning and budgeting for reasonable accommodations</w:t>
      </w:r>
      <w:r w:rsidR="001446B9">
        <w:rPr>
          <w:rFonts w:cstheme="minorHAnsi"/>
          <w:sz w:val="24"/>
          <w:szCs w:val="24"/>
          <w:lang w:val="en-US"/>
        </w:rPr>
        <w:t>,</w:t>
      </w:r>
      <w:r w:rsidRPr="00F24933">
        <w:rPr>
          <w:rFonts w:cstheme="minorHAnsi"/>
          <w:sz w:val="24"/>
          <w:szCs w:val="24"/>
          <w:lang w:val="en-US"/>
        </w:rPr>
        <w:t xml:space="preserve"> </w:t>
      </w:r>
      <w:r w:rsidR="00C91AC7" w:rsidRPr="00F24933">
        <w:rPr>
          <w:rFonts w:cstheme="minorHAnsi"/>
          <w:sz w:val="24"/>
          <w:szCs w:val="24"/>
          <w:lang w:val="en-US"/>
        </w:rPr>
        <w:t>and</w:t>
      </w:r>
      <w:r w:rsidRPr="00F24933">
        <w:rPr>
          <w:rFonts w:cstheme="minorHAnsi"/>
          <w:sz w:val="24"/>
          <w:szCs w:val="24"/>
          <w:lang w:val="en-US"/>
        </w:rPr>
        <w:t xml:space="preserve"> persons with disabilities have largely fallen off the statistical “map</w:t>
      </w:r>
      <w:r w:rsidR="00BE4B56" w:rsidRPr="00F24933">
        <w:rPr>
          <w:rFonts w:cstheme="minorHAnsi"/>
          <w:sz w:val="24"/>
          <w:szCs w:val="24"/>
          <w:lang w:val="en-US"/>
        </w:rPr>
        <w:t xml:space="preserve">”. </w:t>
      </w:r>
      <w:r w:rsidR="00F24933" w:rsidRPr="00F24933">
        <w:rPr>
          <w:rFonts w:cstheme="minorHAnsi"/>
          <w:color w:val="000000"/>
          <w:sz w:val="24"/>
          <w:szCs w:val="24"/>
        </w:rPr>
        <w:t> </w:t>
      </w:r>
      <w:hyperlink r:id="rId19" w:history="1">
        <w:r w:rsidR="00F24933" w:rsidRPr="00F24933">
          <w:rPr>
            <w:rStyle w:val="Hyperlink"/>
            <w:rFonts w:cstheme="minorHAnsi"/>
            <w:b/>
            <w:bCs/>
            <w:color w:val="3354A0"/>
            <w:sz w:val="24"/>
            <w:szCs w:val="24"/>
          </w:rPr>
          <w:t>Click here to read her full statement.</w:t>
        </w:r>
      </w:hyperlink>
    </w:p>
    <w:p w14:paraId="7C07903F" w14:textId="77777777" w:rsidR="00813FF5" w:rsidRDefault="00813FF5" w:rsidP="00975627">
      <w:pPr>
        <w:pStyle w:val="Heading1"/>
        <w:rPr>
          <w:rFonts w:eastAsiaTheme="minorHAnsi" w:cs="Times New Roman"/>
          <w:b w:val="0"/>
          <w:bCs/>
          <w:color w:val="auto"/>
          <w:sz w:val="24"/>
          <w:szCs w:val="24"/>
          <w:lang w:val="en-GB"/>
        </w:rPr>
      </w:pPr>
    </w:p>
    <w:p w14:paraId="4935C117" w14:textId="6566CC36" w:rsidR="00593499" w:rsidRPr="00B85D70" w:rsidRDefault="00016FC3" w:rsidP="00FF73DA">
      <w:pPr>
        <w:pStyle w:val="Heading2"/>
      </w:pPr>
      <w:bookmarkStart w:id="35" w:name="_Toc531264887"/>
      <w:r>
        <w:t>Summary of the first week</w:t>
      </w:r>
      <w:bookmarkEnd w:id="35"/>
    </w:p>
    <w:p w14:paraId="2E3D611B" w14:textId="2BD1E467" w:rsidR="00174ABA" w:rsidRPr="00EB3794" w:rsidRDefault="00D50B3A" w:rsidP="00EB3794">
      <w:pPr>
        <w:spacing w:after="0" w:line="276" w:lineRule="auto"/>
        <w:jc w:val="both"/>
        <w:rPr>
          <w:sz w:val="24"/>
          <w:szCs w:val="24"/>
        </w:rPr>
      </w:pPr>
      <w:r>
        <w:rPr>
          <w:sz w:val="24"/>
          <w:szCs w:val="24"/>
        </w:rPr>
        <w:t>In the c</w:t>
      </w:r>
      <w:r w:rsidR="00593499" w:rsidRPr="00B85D70">
        <w:rPr>
          <w:sz w:val="24"/>
          <w:szCs w:val="24"/>
        </w:rPr>
        <w:t>losing</w:t>
      </w:r>
      <w:r>
        <w:rPr>
          <w:sz w:val="24"/>
          <w:szCs w:val="24"/>
        </w:rPr>
        <w:t xml:space="preserve"> of</w:t>
      </w:r>
      <w:r w:rsidR="00593499" w:rsidRPr="00B85D70">
        <w:rPr>
          <w:sz w:val="24"/>
          <w:szCs w:val="24"/>
        </w:rPr>
        <w:t xml:space="preserve"> the first week of HLPF,</w:t>
      </w:r>
      <w:r w:rsidR="00523AC1" w:rsidRPr="00523AC1">
        <w:rPr>
          <w:rFonts w:eastAsia="Times New Roman" w:cs="Times New Roman"/>
          <w:bCs/>
          <w:sz w:val="24"/>
          <w:szCs w:val="24"/>
          <w:lang w:eastAsia="en-GB"/>
        </w:rPr>
        <w:t xml:space="preserve"> </w:t>
      </w:r>
      <w:r w:rsidR="00523AC1" w:rsidRPr="00B85D70">
        <w:rPr>
          <w:rFonts w:eastAsia="Times New Roman" w:cs="Times New Roman"/>
          <w:bCs/>
          <w:sz w:val="24"/>
          <w:szCs w:val="24"/>
          <w:lang w:eastAsia="en-GB"/>
        </w:rPr>
        <w:t>H.E. Ms.</w:t>
      </w:r>
      <w:r w:rsidR="00593499" w:rsidRPr="00B85D70">
        <w:rPr>
          <w:sz w:val="24"/>
          <w:szCs w:val="24"/>
        </w:rPr>
        <w:t xml:space="preserve"> Marie </w:t>
      </w:r>
      <w:proofErr w:type="spellStart"/>
      <w:r w:rsidR="00593499" w:rsidRPr="00B85D70">
        <w:rPr>
          <w:sz w:val="24"/>
          <w:szCs w:val="24"/>
        </w:rPr>
        <w:t>Chatardová</w:t>
      </w:r>
      <w:proofErr w:type="spellEnd"/>
      <w:r w:rsidR="00593499" w:rsidRPr="00B85D70">
        <w:rPr>
          <w:sz w:val="24"/>
          <w:szCs w:val="24"/>
        </w:rPr>
        <w:t>, ECOSOC President</w:t>
      </w:r>
      <w:r w:rsidR="00B42A09">
        <w:rPr>
          <w:sz w:val="24"/>
          <w:szCs w:val="24"/>
        </w:rPr>
        <w:t>,</w:t>
      </w:r>
      <w:r w:rsidR="00593499" w:rsidRPr="00B85D70">
        <w:rPr>
          <w:sz w:val="24"/>
          <w:szCs w:val="24"/>
        </w:rPr>
        <w:t xml:space="preserve"> stated </w:t>
      </w:r>
      <w:r w:rsidR="008524E9">
        <w:rPr>
          <w:sz w:val="24"/>
          <w:szCs w:val="24"/>
        </w:rPr>
        <w:t xml:space="preserve">that </w:t>
      </w:r>
      <w:r w:rsidR="00593499" w:rsidRPr="00B85D70">
        <w:rPr>
          <w:sz w:val="24"/>
          <w:szCs w:val="24"/>
        </w:rPr>
        <w:t>fostering the ambiti</w:t>
      </w:r>
      <w:r w:rsidR="0007145F">
        <w:rPr>
          <w:sz w:val="24"/>
          <w:szCs w:val="24"/>
        </w:rPr>
        <w:t>on</w:t>
      </w:r>
      <w:r w:rsidR="00593499" w:rsidRPr="00B85D70">
        <w:rPr>
          <w:sz w:val="24"/>
          <w:szCs w:val="24"/>
        </w:rPr>
        <w:t xml:space="preserve"> of leaving no one behind without timely data is impossible and such challenges have slowed us from achieving the SDGs. </w:t>
      </w:r>
      <w:r w:rsidR="00935D88">
        <w:rPr>
          <w:sz w:val="24"/>
          <w:szCs w:val="24"/>
        </w:rPr>
        <w:t>She noted that t</w:t>
      </w:r>
      <w:r w:rsidR="00B21F4D" w:rsidRPr="00B85D70">
        <w:rPr>
          <w:sz w:val="24"/>
          <w:szCs w:val="24"/>
        </w:rPr>
        <w:t>he</w:t>
      </w:r>
      <w:r w:rsidR="00CB0813">
        <w:rPr>
          <w:sz w:val="24"/>
          <w:szCs w:val="24"/>
        </w:rPr>
        <w:t xml:space="preserve"> </w:t>
      </w:r>
      <w:r w:rsidR="001D4EDE">
        <w:rPr>
          <w:sz w:val="24"/>
          <w:szCs w:val="24"/>
        </w:rPr>
        <w:t>prevailing</w:t>
      </w:r>
      <w:r w:rsidR="00B21F4D" w:rsidRPr="00B85D70">
        <w:rPr>
          <w:sz w:val="24"/>
          <w:szCs w:val="24"/>
        </w:rPr>
        <w:t xml:space="preserve"> message from the first</w:t>
      </w:r>
      <w:r w:rsidR="00593499" w:rsidRPr="00B85D70">
        <w:rPr>
          <w:sz w:val="24"/>
          <w:szCs w:val="24"/>
        </w:rPr>
        <w:t xml:space="preserve"> week </w:t>
      </w:r>
      <w:r w:rsidR="003B06DD">
        <w:rPr>
          <w:sz w:val="24"/>
          <w:szCs w:val="24"/>
        </w:rPr>
        <w:t>wa</w:t>
      </w:r>
      <w:r w:rsidR="00593499" w:rsidRPr="00B85D70">
        <w:rPr>
          <w:sz w:val="24"/>
          <w:szCs w:val="24"/>
        </w:rPr>
        <w:t xml:space="preserve">s that solutions exist.  There were countless examples of how the </w:t>
      </w:r>
      <w:r w:rsidR="007135EC">
        <w:rPr>
          <w:sz w:val="24"/>
          <w:szCs w:val="24"/>
        </w:rPr>
        <w:t>2030 A</w:t>
      </w:r>
      <w:r w:rsidR="00593499" w:rsidRPr="00B85D70">
        <w:rPr>
          <w:sz w:val="24"/>
          <w:szCs w:val="24"/>
        </w:rPr>
        <w:t xml:space="preserve">genda is being translated into concrete policies and measures. </w:t>
      </w:r>
      <w:r w:rsidR="006B0DE4">
        <w:rPr>
          <w:sz w:val="24"/>
          <w:szCs w:val="24"/>
        </w:rPr>
        <w:t xml:space="preserve">She remarked that it </w:t>
      </w:r>
      <w:r w:rsidR="00593499" w:rsidRPr="00B85D70">
        <w:rPr>
          <w:sz w:val="24"/>
          <w:szCs w:val="24"/>
        </w:rPr>
        <w:t>seem</w:t>
      </w:r>
      <w:r w:rsidR="00E66260">
        <w:rPr>
          <w:sz w:val="24"/>
          <w:szCs w:val="24"/>
        </w:rPr>
        <w:t>ed that</w:t>
      </w:r>
      <w:r w:rsidR="00593499" w:rsidRPr="00B85D70">
        <w:rPr>
          <w:sz w:val="24"/>
          <w:szCs w:val="24"/>
        </w:rPr>
        <w:t xml:space="preserve"> new ways of making policies are taking root with examples</w:t>
      </w:r>
      <w:r w:rsidR="00B21F4D" w:rsidRPr="00B85D70">
        <w:rPr>
          <w:sz w:val="24"/>
          <w:szCs w:val="24"/>
        </w:rPr>
        <w:t xml:space="preserve"> of more inclusive and evidence-</w:t>
      </w:r>
      <w:r w:rsidR="00593499" w:rsidRPr="00B85D70">
        <w:rPr>
          <w:sz w:val="24"/>
          <w:szCs w:val="24"/>
        </w:rPr>
        <w:t>based approaches.</w:t>
      </w:r>
      <w:r>
        <w:rPr>
          <w:sz w:val="24"/>
          <w:szCs w:val="24"/>
        </w:rPr>
        <w:t xml:space="preserve"> </w:t>
      </w:r>
      <w:r w:rsidR="00B21F4D" w:rsidRPr="00B85D70">
        <w:rPr>
          <w:sz w:val="24"/>
          <w:szCs w:val="24"/>
        </w:rPr>
        <w:t>She added that that the use of statistics is gaining ground, encourag</w:t>
      </w:r>
      <w:r w:rsidR="0075107C">
        <w:rPr>
          <w:sz w:val="24"/>
          <w:szCs w:val="24"/>
        </w:rPr>
        <w:t>ed</w:t>
      </w:r>
      <w:r w:rsidR="00B21F4D" w:rsidRPr="00B85D70">
        <w:rPr>
          <w:sz w:val="24"/>
          <w:szCs w:val="24"/>
        </w:rPr>
        <w:t xml:space="preserve"> stakeholders to leave no one behind, and call</w:t>
      </w:r>
      <w:r w:rsidR="0075107C">
        <w:rPr>
          <w:sz w:val="24"/>
          <w:szCs w:val="24"/>
        </w:rPr>
        <w:t>ed</w:t>
      </w:r>
      <w:r w:rsidR="00B21F4D" w:rsidRPr="00B85D70">
        <w:rPr>
          <w:sz w:val="24"/>
          <w:szCs w:val="24"/>
        </w:rPr>
        <w:t xml:space="preserve"> for a greater share of ODA to be dedicated to statistics.</w:t>
      </w:r>
    </w:p>
    <w:p w14:paraId="03C302CF" w14:textId="77777777" w:rsidR="00B82CA2" w:rsidRDefault="00B82CA2" w:rsidP="00174ABA">
      <w:pPr>
        <w:pStyle w:val="Heading1"/>
        <w:rPr>
          <w:rFonts w:eastAsia="Calibri"/>
        </w:rPr>
      </w:pPr>
    </w:p>
    <w:p w14:paraId="6B4F62F0" w14:textId="7FCA482C" w:rsidR="004B457E" w:rsidRPr="00174ABA" w:rsidRDefault="001F68BE" w:rsidP="00174ABA">
      <w:pPr>
        <w:pStyle w:val="Heading1"/>
        <w:rPr>
          <w:rFonts w:eastAsia="Calibri"/>
          <w:sz w:val="24"/>
          <w:szCs w:val="24"/>
        </w:rPr>
      </w:pPr>
      <w:bookmarkStart w:id="36" w:name="_Toc531264888"/>
      <w:r>
        <w:rPr>
          <w:rFonts w:eastAsia="Calibri"/>
        </w:rPr>
        <w:t>Ministerial week</w:t>
      </w:r>
      <w:r w:rsidR="00793D60">
        <w:rPr>
          <w:rFonts w:eastAsia="Calibri"/>
        </w:rPr>
        <w:t>, 16</w:t>
      </w:r>
      <w:r w:rsidR="00793D60" w:rsidRPr="00FF73DA">
        <w:rPr>
          <w:rFonts w:eastAsia="Calibri"/>
          <w:vertAlign w:val="superscript"/>
        </w:rPr>
        <w:t>th</w:t>
      </w:r>
      <w:r w:rsidR="00793D60">
        <w:rPr>
          <w:rFonts w:eastAsia="Calibri"/>
        </w:rPr>
        <w:t xml:space="preserve"> July 2018 – 18</w:t>
      </w:r>
      <w:r w:rsidR="00793D60" w:rsidRPr="00FF73DA">
        <w:rPr>
          <w:rFonts w:eastAsia="Calibri"/>
          <w:vertAlign w:val="superscript"/>
        </w:rPr>
        <w:t>th</w:t>
      </w:r>
      <w:r w:rsidR="00793D60">
        <w:rPr>
          <w:rFonts w:eastAsia="Calibri"/>
        </w:rPr>
        <w:t xml:space="preserve"> July 2018</w:t>
      </w:r>
      <w:bookmarkEnd w:id="36"/>
    </w:p>
    <w:p w14:paraId="5F9383AD" w14:textId="26FC663D" w:rsidR="004B457E" w:rsidRPr="00685A2A" w:rsidRDefault="00397AD6" w:rsidP="00FC2F11">
      <w:pPr>
        <w:spacing w:after="0" w:line="276" w:lineRule="auto"/>
        <w:jc w:val="both"/>
        <w:rPr>
          <w:rFonts w:eastAsia="Times New Roman"/>
          <w:color w:val="000000" w:themeColor="text1"/>
          <w:sz w:val="24"/>
          <w:szCs w:val="24"/>
        </w:rPr>
      </w:pPr>
      <w:r w:rsidRPr="00685A2A">
        <w:rPr>
          <w:rFonts w:eastAsia="Calibri" w:cs="Times New Roman"/>
          <w:color w:val="000000" w:themeColor="text1"/>
          <w:sz w:val="24"/>
          <w:szCs w:val="24"/>
        </w:rPr>
        <w:t>During the ministerial week of the HLPF</w:t>
      </w:r>
      <w:r w:rsidRPr="00685A2A">
        <w:rPr>
          <w:rFonts w:cs="Times New Roman"/>
          <w:sz w:val="24"/>
          <w:szCs w:val="24"/>
        </w:rPr>
        <w:t>, the forum conducted</w:t>
      </w:r>
      <w:r w:rsidR="00565162">
        <w:rPr>
          <w:rFonts w:cs="Times New Roman"/>
          <w:sz w:val="24"/>
          <w:szCs w:val="24"/>
        </w:rPr>
        <w:t xml:space="preserve"> </w:t>
      </w:r>
      <w:r w:rsidR="00422B48">
        <w:rPr>
          <w:rFonts w:cs="Times New Roman"/>
          <w:sz w:val="24"/>
          <w:szCs w:val="24"/>
        </w:rPr>
        <w:t>V</w:t>
      </w:r>
      <w:r w:rsidRPr="00685A2A">
        <w:rPr>
          <w:rFonts w:cs="Times New Roman"/>
          <w:sz w:val="24"/>
          <w:szCs w:val="24"/>
        </w:rPr>
        <w:t xml:space="preserve">oluntary </w:t>
      </w:r>
      <w:r w:rsidR="00422B48">
        <w:rPr>
          <w:rFonts w:cs="Times New Roman"/>
          <w:sz w:val="24"/>
          <w:szCs w:val="24"/>
        </w:rPr>
        <w:t>N</w:t>
      </w:r>
      <w:r w:rsidRPr="00685A2A">
        <w:rPr>
          <w:rFonts w:cs="Times New Roman"/>
          <w:sz w:val="24"/>
          <w:szCs w:val="24"/>
        </w:rPr>
        <w:t xml:space="preserve">ational </w:t>
      </w:r>
      <w:r w:rsidR="00422B48">
        <w:rPr>
          <w:rFonts w:cs="Times New Roman"/>
          <w:sz w:val="24"/>
          <w:szCs w:val="24"/>
        </w:rPr>
        <w:t>R</w:t>
      </w:r>
      <w:r w:rsidRPr="00685A2A">
        <w:rPr>
          <w:rFonts w:cs="Times New Roman"/>
          <w:sz w:val="24"/>
          <w:szCs w:val="24"/>
        </w:rPr>
        <w:t xml:space="preserve">eviews </w:t>
      </w:r>
      <w:r w:rsidR="00565162">
        <w:rPr>
          <w:rFonts w:cs="Times New Roman"/>
          <w:sz w:val="24"/>
          <w:szCs w:val="24"/>
        </w:rPr>
        <w:t xml:space="preserve">for the third time, </w:t>
      </w:r>
      <w:r w:rsidRPr="00685A2A">
        <w:rPr>
          <w:rFonts w:cs="Times New Roman"/>
          <w:sz w:val="24"/>
          <w:szCs w:val="24"/>
        </w:rPr>
        <w:t xml:space="preserve">where </w:t>
      </w:r>
      <w:r w:rsidRPr="00685A2A">
        <w:rPr>
          <w:rFonts w:eastAsia="Times New Roman" w:cs="Times New Roman"/>
          <w:color w:val="000000" w:themeColor="text1"/>
          <w:sz w:val="24"/>
          <w:szCs w:val="24"/>
        </w:rPr>
        <w:t xml:space="preserve">46 </w:t>
      </w:r>
      <w:r w:rsidRPr="00685A2A">
        <w:rPr>
          <w:rFonts w:eastAsia="Calibri" w:cs="Times New Roman"/>
          <w:color w:val="000000" w:themeColor="text1"/>
          <w:sz w:val="24"/>
          <w:szCs w:val="24"/>
        </w:rPr>
        <w:t>countries presented Voluntary National Reviews</w:t>
      </w:r>
      <w:r w:rsidRPr="00685A2A">
        <w:rPr>
          <w:rFonts w:eastAsia="Times New Roman" w:cs="Times New Roman"/>
          <w:color w:val="000000" w:themeColor="text1"/>
          <w:sz w:val="24"/>
          <w:szCs w:val="24"/>
        </w:rPr>
        <w:t xml:space="preserve"> (</w:t>
      </w:r>
      <w:r w:rsidRPr="00685A2A">
        <w:rPr>
          <w:rFonts w:eastAsia="Calibri" w:cs="Times New Roman"/>
          <w:color w:val="000000" w:themeColor="text1"/>
          <w:sz w:val="24"/>
          <w:szCs w:val="24"/>
        </w:rPr>
        <w:t>VNR</w:t>
      </w:r>
      <w:r w:rsidR="00BE3058">
        <w:rPr>
          <w:rFonts w:eastAsia="Calibri" w:cs="Times New Roman"/>
          <w:color w:val="000000" w:themeColor="text1"/>
          <w:sz w:val="24"/>
          <w:szCs w:val="24"/>
        </w:rPr>
        <w:t>s</w:t>
      </w:r>
      <w:r w:rsidRPr="00685A2A">
        <w:rPr>
          <w:rFonts w:eastAsia="Times New Roman" w:cs="Times New Roman"/>
          <w:color w:val="000000" w:themeColor="text1"/>
          <w:sz w:val="24"/>
          <w:szCs w:val="24"/>
        </w:rPr>
        <w:t xml:space="preserve">) </w:t>
      </w:r>
      <w:r w:rsidRPr="00685A2A">
        <w:rPr>
          <w:rFonts w:eastAsia="Calibri" w:cs="Times New Roman"/>
          <w:color w:val="000000" w:themeColor="text1"/>
          <w:sz w:val="24"/>
          <w:szCs w:val="24"/>
        </w:rPr>
        <w:t>regarding their countr</w:t>
      </w:r>
      <w:r w:rsidR="003E59CE">
        <w:rPr>
          <w:rFonts w:eastAsia="Calibri" w:cs="Times New Roman"/>
          <w:color w:val="000000" w:themeColor="text1"/>
          <w:sz w:val="24"/>
          <w:szCs w:val="24"/>
        </w:rPr>
        <w:t>y’s</w:t>
      </w:r>
      <w:r w:rsidRPr="00685A2A">
        <w:rPr>
          <w:rFonts w:eastAsia="Calibri" w:cs="Times New Roman"/>
          <w:color w:val="000000" w:themeColor="text1"/>
          <w:sz w:val="24"/>
          <w:szCs w:val="24"/>
        </w:rPr>
        <w:t xml:space="preserve"> progress on the implementation of the SDGs</w:t>
      </w:r>
      <w:r w:rsidRPr="00685A2A">
        <w:rPr>
          <w:rFonts w:cs="Times New Roman"/>
          <w:sz w:val="24"/>
          <w:szCs w:val="24"/>
        </w:rPr>
        <w:t xml:space="preserve">. </w:t>
      </w:r>
      <w:r w:rsidRPr="00685A2A">
        <w:rPr>
          <w:rFonts w:cs="Times New Roman"/>
          <w:iCs/>
          <w:sz w:val="24"/>
          <w:szCs w:val="24"/>
        </w:rPr>
        <w:t>These countries include</w:t>
      </w:r>
      <w:r w:rsidR="00035266">
        <w:rPr>
          <w:rFonts w:cs="Times New Roman"/>
          <w:iCs/>
          <w:sz w:val="24"/>
          <w:szCs w:val="24"/>
        </w:rPr>
        <w:t>d</w:t>
      </w:r>
      <w:r w:rsidRPr="00685A2A">
        <w:rPr>
          <w:rFonts w:cs="Times New Roman"/>
          <w:iCs/>
          <w:sz w:val="24"/>
          <w:szCs w:val="24"/>
        </w:rPr>
        <w:t>: Albania, Andorra, Armenia, Australia, Bahamas, Bahrain, Benin, Bhutan, Cabo Verde, Canada, Colombia, Dominican Republic, Ecuador, Egypt, Greece, Guinea, Hungary, Iceland, Ireland, Jamaica, Kiribati, Lao People’s Democratic Republic, Latvia, Lebanon, Lithuania, Mali, Malta, Mexico, Namibia, Niger, Paraguay, Poland, Qatar, Republic of the Congo, Romania, Saudi Arabia, Senegal, Singapore, Slovakia, Spain, Sri Lanka, State of Palestine, Sudan, Switzerland, Togo, United Arab Emirates, Uruguay and Vietnam.</w:t>
      </w:r>
      <w:r>
        <w:rPr>
          <w:rFonts w:cs="Times New Roman"/>
          <w:iCs/>
          <w:sz w:val="24"/>
          <w:szCs w:val="24"/>
        </w:rPr>
        <w:t xml:space="preserve"> </w:t>
      </w:r>
      <w:r w:rsidRPr="00685A2A">
        <w:rPr>
          <w:rFonts w:cs="Times New Roman"/>
          <w:sz w:val="24"/>
          <w:szCs w:val="24"/>
        </w:rPr>
        <w:t xml:space="preserve">The </w:t>
      </w:r>
      <w:r w:rsidRPr="00685A2A">
        <w:rPr>
          <w:rFonts w:cs="Times New Roman"/>
          <w:sz w:val="24"/>
          <w:szCs w:val="24"/>
        </w:rPr>
        <w:lastRenderedPageBreak/>
        <w:t>reporting entailed presentations from individual</w:t>
      </w:r>
      <w:r w:rsidR="00E55439">
        <w:rPr>
          <w:rFonts w:cs="Times New Roman"/>
          <w:sz w:val="24"/>
          <w:szCs w:val="24"/>
        </w:rPr>
        <w:t xml:space="preserve"> Member</w:t>
      </w:r>
      <w:r w:rsidRPr="00685A2A">
        <w:rPr>
          <w:rFonts w:cs="Times New Roman"/>
          <w:sz w:val="24"/>
          <w:szCs w:val="24"/>
        </w:rPr>
        <w:t xml:space="preserve"> States as well as panel presentations from group</w:t>
      </w:r>
      <w:r w:rsidR="0012511F">
        <w:rPr>
          <w:rFonts w:cs="Times New Roman"/>
          <w:sz w:val="24"/>
          <w:szCs w:val="24"/>
        </w:rPr>
        <w:t>s</w:t>
      </w:r>
      <w:r w:rsidRPr="00685A2A">
        <w:rPr>
          <w:rFonts w:cs="Times New Roman"/>
          <w:sz w:val="24"/>
          <w:szCs w:val="24"/>
        </w:rPr>
        <w:t xml:space="preserve"> of </w:t>
      </w:r>
      <w:r w:rsidR="00733E81">
        <w:rPr>
          <w:rFonts w:cs="Times New Roman"/>
          <w:sz w:val="24"/>
          <w:szCs w:val="24"/>
        </w:rPr>
        <w:t xml:space="preserve">Member </w:t>
      </w:r>
      <w:r w:rsidRPr="00685A2A">
        <w:rPr>
          <w:rFonts w:cs="Times New Roman"/>
          <w:sz w:val="24"/>
          <w:szCs w:val="24"/>
        </w:rPr>
        <w:t>States</w:t>
      </w:r>
      <w:r w:rsidR="00733E81">
        <w:rPr>
          <w:rFonts w:cs="Times New Roman"/>
          <w:sz w:val="24"/>
          <w:szCs w:val="24"/>
        </w:rPr>
        <w:t>,</w:t>
      </w:r>
      <w:r w:rsidRPr="00685A2A">
        <w:rPr>
          <w:rFonts w:cs="Times New Roman"/>
          <w:sz w:val="24"/>
          <w:szCs w:val="24"/>
        </w:rPr>
        <w:t xml:space="preserve"> followed by interactive discussions. Subsequent to the presentations, the chair of the session opened the flo</w:t>
      </w:r>
      <w:r w:rsidR="00B044E8">
        <w:rPr>
          <w:rFonts w:cs="Times New Roman"/>
          <w:sz w:val="24"/>
          <w:szCs w:val="24"/>
        </w:rPr>
        <w:t>or</w:t>
      </w:r>
      <w:r w:rsidRPr="00685A2A">
        <w:rPr>
          <w:rFonts w:cs="Times New Roman"/>
          <w:sz w:val="24"/>
          <w:szCs w:val="24"/>
        </w:rPr>
        <w:t xml:space="preserve"> for questions and discussion. </w:t>
      </w:r>
      <w:r w:rsidRPr="00685A2A">
        <w:rPr>
          <w:rFonts w:eastAsia="Calibri" w:cs="Times New Roman"/>
          <w:color w:val="000000" w:themeColor="text1"/>
          <w:sz w:val="24"/>
          <w:szCs w:val="24"/>
        </w:rPr>
        <w:t>The Stakeholder Group of Persons with Disabilities actively participated th</w:t>
      </w:r>
      <w:r w:rsidR="008545F9">
        <w:rPr>
          <w:rFonts w:eastAsia="Calibri" w:cs="Times New Roman"/>
          <w:color w:val="000000" w:themeColor="text1"/>
          <w:sz w:val="24"/>
          <w:szCs w:val="24"/>
        </w:rPr>
        <w:t>roughout</w:t>
      </w:r>
      <w:r w:rsidRPr="00685A2A">
        <w:rPr>
          <w:rFonts w:eastAsia="Calibri" w:cs="Times New Roman"/>
          <w:color w:val="000000" w:themeColor="text1"/>
          <w:sz w:val="24"/>
          <w:szCs w:val="24"/>
        </w:rPr>
        <w:t xml:space="preserve"> all VNRs</w:t>
      </w:r>
      <w:r w:rsidR="00C23EE5">
        <w:rPr>
          <w:rFonts w:eastAsia="Calibri" w:cs="Times New Roman"/>
          <w:color w:val="000000" w:themeColor="text1"/>
          <w:sz w:val="24"/>
          <w:szCs w:val="24"/>
        </w:rPr>
        <w:t xml:space="preserve">, </w:t>
      </w:r>
      <w:r w:rsidRPr="00685A2A">
        <w:rPr>
          <w:rFonts w:eastAsia="Calibri" w:cs="Times New Roman"/>
          <w:color w:val="000000" w:themeColor="text1"/>
          <w:sz w:val="24"/>
          <w:szCs w:val="24"/>
        </w:rPr>
        <w:t xml:space="preserve">contributed in the statement writing and asked questions to government representatives on behalf of </w:t>
      </w:r>
      <w:r w:rsidR="008242B8">
        <w:rPr>
          <w:rFonts w:eastAsia="Calibri" w:cs="Times New Roman"/>
          <w:color w:val="000000" w:themeColor="text1"/>
          <w:sz w:val="24"/>
          <w:szCs w:val="24"/>
        </w:rPr>
        <w:t>Major Groups and other Stakeholders</w:t>
      </w:r>
      <w:r w:rsidR="004B457E" w:rsidRPr="00685A2A">
        <w:rPr>
          <w:rFonts w:eastAsia="Times New Roman" w:cs="Times New Roman"/>
          <w:color w:val="000000" w:themeColor="text1"/>
          <w:sz w:val="24"/>
          <w:szCs w:val="24"/>
        </w:rPr>
        <w:t>.</w:t>
      </w:r>
    </w:p>
    <w:p w14:paraId="392F72AB" w14:textId="77777777" w:rsidR="009C07F8" w:rsidRDefault="009C07F8" w:rsidP="00D5352F">
      <w:pPr>
        <w:spacing w:after="0" w:line="276" w:lineRule="auto"/>
        <w:jc w:val="both"/>
        <w:rPr>
          <w:rFonts w:eastAsia="Times New Roman" w:cs="Times New Roman"/>
          <w:color w:val="000000" w:themeColor="text1"/>
          <w:sz w:val="24"/>
          <w:szCs w:val="24"/>
        </w:rPr>
      </w:pPr>
    </w:p>
    <w:p w14:paraId="6C4ED665" w14:textId="22C993BA" w:rsidR="004B457E" w:rsidRPr="00D5352F" w:rsidRDefault="004B457E" w:rsidP="00D5352F">
      <w:pPr>
        <w:spacing w:after="0" w:line="276" w:lineRule="auto"/>
        <w:jc w:val="both"/>
        <w:rPr>
          <w:rFonts w:eastAsia="Times New Roman"/>
          <w:color w:val="000000" w:themeColor="text1"/>
          <w:sz w:val="24"/>
          <w:szCs w:val="24"/>
        </w:rPr>
      </w:pPr>
      <w:r w:rsidRPr="00685A2A">
        <w:rPr>
          <w:rFonts w:eastAsia="Times New Roman" w:cs="Times New Roman"/>
          <w:color w:val="000000" w:themeColor="text1"/>
          <w:sz w:val="24"/>
          <w:szCs w:val="24"/>
        </w:rPr>
        <w:t xml:space="preserve">The VNRs featured constant references to </w:t>
      </w:r>
      <w:r w:rsidR="00006F9F">
        <w:rPr>
          <w:rFonts w:eastAsia="Times New Roman" w:cs="Times New Roman"/>
          <w:color w:val="000000" w:themeColor="text1"/>
          <w:sz w:val="24"/>
          <w:szCs w:val="24"/>
        </w:rPr>
        <w:t>p</w:t>
      </w:r>
      <w:r w:rsidRPr="00685A2A">
        <w:rPr>
          <w:rFonts w:eastAsia="Times New Roman" w:cs="Times New Roman"/>
          <w:color w:val="000000" w:themeColor="text1"/>
          <w:sz w:val="24"/>
          <w:szCs w:val="24"/>
        </w:rPr>
        <w:t xml:space="preserve">ersons with </w:t>
      </w:r>
      <w:r w:rsidR="00006F9F">
        <w:rPr>
          <w:rFonts w:eastAsia="Times New Roman" w:cs="Times New Roman"/>
          <w:color w:val="000000" w:themeColor="text1"/>
          <w:sz w:val="24"/>
          <w:szCs w:val="24"/>
        </w:rPr>
        <w:t>di</w:t>
      </w:r>
      <w:r w:rsidRPr="00685A2A">
        <w:rPr>
          <w:rFonts w:eastAsia="Times New Roman" w:cs="Times New Roman"/>
          <w:color w:val="000000" w:themeColor="text1"/>
          <w:sz w:val="24"/>
          <w:szCs w:val="24"/>
        </w:rPr>
        <w:t xml:space="preserve">sabilities. </w:t>
      </w:r>
      <w:r w:rsidRPr="00685A2A">
        <w:rPr>
          <w:rFonts w:cs="Times New Roman"/>
          <w:sz w:val="24"/>
          <w:szCs w:val="24"/>
        </w:rPr>
        <w:t xml:space="preserve">During the delivery of 46 VNRs, 36 made explicit reference </w:t>
      </w:r>
      <w:r w:rsidR="00182797">
        <w:rPr>
          <w:rFonts w:cs="Times New Roman"/>
          <w:sz w:val="24"/>
          <w:szCs w:val="24"/>
        </w:rPr>
        <w:t>to</w:t>
      </w:r>
      <w:r w:rsidRPr="00685A2A">
        <w:rPr>
          <w:rFonts w:cs="Times New Roman"/>
          <w:sz w:val="24"/>
          <w:szCs w:val="24"/>
        </w:rPr>
        <w:t xml:space="preserve"> the inclusion and participation of </w:t>
      </w:r>
      <w:r w:rsidR="008A7047">
        <w:rPr>
          <w:rFonts w:cs="Times New Roman"/>
          <w:sz w:val="24"/>
          <w:szCs w:val="24"/>
        </w:rPr>
        <w:t>p</w:t>
      </w:r>
      <w:r w:rsidRPr="00685A2A">
        <w:rPr>
          <w:rFonts w:cs="Times New Roman"/>
          <w:sz w:val="24"/>
          <w:szCs w:val="24"/>
        </w:rPr>
        <w:t xml:space="preserve">ersons with </w:t>
      </w:r>
      <w:r w:rsidR="008A7047">
        <w:rPr>
          <w:rFonts w:cs="Times New Roman"/>
          <w:sz w:val="24"/>
          <w:szCs w:val="24"/>
        </w:rPr>
        <w:t>di</w:t>
      </w:r>
      <w:r w:rsidRPr="00685A2A">
        <w:rPr>
          <w:rFonts w:cs="Times New Roman"/>
          <w:sz w:val="24"/>
          <w:szCs w:val="24"/>
        </w:rPr>
        <w:t xml:space="preserve">sabilities in their national implementation of SDGs. The </w:t>
      </w:r>
      <w:r w:rsidR="008A0762">
        <w:rPr>
          <w:rFonts w:cs="Times New Roman"/>
          <w:sz w:val="24"/>
          <w:szCs w:val="24"/>
        </w:rPr>
        <w:t>Stakeholder Group of Persons with Disabilities</w:t>
      </w:r>
      <w:r w:rsidR="008A0762" w:rsidRPr="00685A2A">
        <w:rPr>
          <w:rFonts w:cs="Times New Roman"/>
          <w:sz w:val="24"/>
          <w:szCs w:val="24"/>
        </w:rPr>
        <w:t xml:space="preserve"> </w:t>
      </w:r>
      <w:r w:rsidRPr="00685A2A">
        <w:rPr>
          <w:rFonts w:cs="Times New Roman"/>
          <w:sz w:val="24"/>
          <w:szCs w:val="24"/>
        </w:rPr>
        <w:t xml:space="preserve">delivered </w:t>
      </w:r>
      <w:r w:rsidR="00D50B3A">
        <w:rPr>
          <w:rFonts w:cs="Times New Roman"/>
          <w:sz w:val="24"/>
          <w:szCs w:val="24"/>
        </w:rPr>
        <w:t>five</w:t>
      </w:r>
      <w:r w:rsidRPr="00685A2A">
        <w:rPr>
          <w:rFonts w:cs="Times New Roman"/>
          <w:sz w:val="24"/>
          <w:szCs w:val="24"/>
        </w:rPr>
        <w:t xml:space="preserve"> statements on behalf of</w:t>
      </w:r>
      <w:r w:rsidR="00D50B3A">
        <w:rPr>
          <w:rFonts w:cs="Times New Roman"/>
          <w:sz w:val="24"/>
          <w:szCs w:val="24"/>
        </w:rPr>
        <w:t xml:space="preserve"> the Major Groups and</w:t>
      </w:r>
      <w:r w:rsidRPr="00685A2A">
        <w:rPr>
          <w:rFonts w:cs="Times New Roman"/>
          <w:sz w:val="24"/>
          <w:szCs w:val="24"/>
        </w:rPr>
        <w:t xml:space="preserve"> other </w:t>
      </w:r>
      <w:r w:rsidR="00D50B3A">
        <w:rPr>
          <w:rFonts w:cs="Times New Roman"/>
          <w:sz w:val="24"/>
          <w:szCs w:val="24"/>
        </w:rPr>
        <w:t>S</w:t>
      </w:r>
      <w:r w:rsidRPr="00685A2A">
        <w:rPr>
          <w:rFonts w:cs="Times New Roman"/>
          <w:sz w:val="24"/>
          <w:szCs w:val="24"/>
        </w:rPr>
        <w:t>takeholders</w:t>
      </w:r>
      <w:r w:rsidR="00551964">
        <w:rPr>
          <w:rFonts w:cs="Times New Roman"/>
          <w:sz w:val="24"/>
          <w:szCs w:val="24"/>
        </w:rPr>
        <w:t xml:space="preserve"> during the VNR presentations</w:t>
      </w:r>
      <w:r w:rsidRPr="00685A2A">
        <w:rPr>
          <w:rFonts w:cs="Times New Roman"/>
          <w:sz w:val="24"/>
          <w:szCs w:val="24"/>
        </w:rPr>
        <w:t>. These include</w:t>
      </w:r>
      <w:r w:rsidR="00E8349A">
        <w:rPr>
          <w:rFonts w:cs="Times New Roman"/>
          <w:sz w:val="24"/>
          <w:szCs w:val="24"/>
        </w:rPr>
        <w:t>d</w:t>
      </w:r>
      <w:r w:rsidRPr="00685A2A">
        <w:rPr>
          <w:rFonts w:cs="Times New Roman"/>
          <w:sz w:val="24"/>
          <w:szCs w:val="24"/>
        </w:rPr>
        <w:t xml:space="preserve"> statements delivered </w:t>
      </w:r>
      <w:r w:rsidR="00397AD6" w:rsidRPr="00685A2A">
        <w:rPr>
          <w:rFonts w:cs="Times New Roman"/>
          <w:sz w:val="24"/>
          <w:szCs w:val="24"/>
        </w:rPr>
        <w:t xml:space="preserve">by </w:t>
      </w:r>
      <w:proofErr w:type="spellStart"/>
      <w:r w:rsidR="00397AD6" w:rsidRPr="00685A2A">
        <w:rPr>
          <w:rFonts w:cs="Times New Roman"/>
          <w:sz w:val="24"/>
          <w:szCs w:val="24"/>
        </w:rPr>
        <w:t>Idriss</w:t>
      </w:r>
      <w:proofErr w:type="spellEnd"/>
      <w:r w:rsidR="00397AD6">
        <w:rPr>
          <w:rFonts w:cs="Times New Roman"/>
          <w:sz w:val="24"/>
          <w:szCs w:val="24"/>
        </w:rPr>
        <w:t xml:space="preserve"> </w:t>
      </w:r>
      <w:proofErr w:type="spellStart"/>
      <w:r w:rsidRPr="00685A2A">
        <w:rPr>
          <w:rFonts w:cs="Times New Roman"/>
          <w:sz w:val="24"/>
          <w:szCs w:val="24"/>
        </w:rPr>
        <w:t>Alzouma</w:t>
      </w:r>
      <w:proofErr w:type="spellEnd"/>
      <w:r w:rsidR="00397AD6">
        <w:rPr>
          <w:rFonts w:cs="Times New Roman"/>
          <w:sz w:val="24"/>
          <w:szCs w:val="24"/>
        </w:rPr>
        <w:t xml:space="preserve"> </w:t>
      </w:r>
      <w:proofErr w:type="spellStart"/>
      <w:r w:rsidRPr="00685A2A">
        <w:rPr>
          <w:rFonts w:cs="Times New Roman"/>
          <w:sz w:val="24"/>
          <w:szCs w:val="24"/>
        </w:rPr>
        <w:t>Maiga</w:t>
      </w:r>
      <w:proofErr w:type="spellEnd"/>
      <w:r w:rsidR="005433D6">
        <w:rPr>
          <w:rFonts w:cs="Times New Roman"/>
          <w:sz w:val="24"/>
          <w:szCs w:val="24"/>
        </w:rPr>
        <w:t xml:space="preserve"> </w:t>
      </w:r>
      <w:r w:rsidRPr="00685A2A">
        <w:rPr>
          <w:rFonts w:cs="Times New Roman"/>
          <w:sz w:val="24"/>
          <w:szCs w:val="24"/>
        </w:rPr>
        <w:t>who asked</w:t>
      </w:r>
      <w:r w:rsidR="00397AD6">
        <w:rPr>
          <w:rFonts w:cs="Times New Roman"/>
          <w:sz w:val="24"/>
          <w:szCs w:val="24"/>
        </w:rPr>
        <w:t xml:space="preserve"> </w:t>
      </w:r>
      <w:r w:rsidRPr="00685A2A">
        <w:rPr>
          <w:rFonts w:cs="Times New Roman"/>
          <w:sz w:val="24"/>
          <w:szCs w:val="24"/>
        </w:rPr>
        <w:t>the Government of Niger: “What steps will Niger take to ensure the CSO participation in all their diversity, including organizations of women, youth and persons with disabilities within the national reviews and evaluation of all development programs, in line with national and international legal and regulatory instruments? W</w:t>
      </w:r>
      <w:r w:rsidR="00E67889" w:rsidRPr="00685A2A">
        <w:rPr>
          <w:rFonts w:cs="Times New Roman"/>
          <w:sz w:val="24"/>
          <w:szCs w:val="24"/>
        </w:rPr>
        <w:t xml:space="preserve">ill states commit to increase </w:t>
      </w:r>
      <w:r w:rsidRPr="00685A2A">
        <w:rPr>
          <w:rFonts w:cs="Times New Roman"/>
          <w:sz w:val="24"/>
          <w:szCs w:val="24"/>
        </w:rPr>
        <w:t>budgets to support the most</w:t>
      </w:r>
      <w:r w:rsidR="008D2D74">
        <w:rPr>
          <w:rFonts w:cs="Times New Roman"/>
          <w:sz w:val="24"/>
          <w:szCs w:val="24"/>
        </w:rPr>
        <w:t xml:space="preserve"> </w:t>
      </w:r>
      <w:r w:rsidRPr="00685A2A">
        <w:rPr>
          <w:rFonts w:cs="Times New Roman"/>
          <w:sz w:val="24"/>
          <w:szCs w:val="24"/>
        </w:rPr>
        <w:t>vulnerable populations?”</w:t>
      </w:r>
      <w:r w:rsidR="00D50B3A">
        <w:rPr>
          <w:rFonts w:cs="Times New Roman"/>
          <w:sz w:val="24"/>
          <w:szCs w:val="24"/>
        </w:rPr>
        <w:t xml:space="preserve"> D</w:t>
      </w:r>
      <w:r w:rsidR="00EB1BCB" w:rsidRPr="00685A2A">
        <w:rPr>
          <w:rFonts w:cs="Times New Roman"/>
          <w:sz w:val="24"/>
          <w:szCs w:val="24"/>
        </w:rPr>
        <w:t xml:space="preserve">uring </w:t>
      </w:r>
      <w:r w:rsidR="00D50B3A">
        <w:rPr>
          <w:rFonts w:cs="Times New Roman"/>
          <w:sz w:val="24"/>
          <w:szCs w:val="24"/>
        </w:rPr>
        <w:t xml:space="preserve">the VNR segment by </w:t>
      </w:r>
      <w:r w:rsidRPr="00685A2A">
        <w:rPr>
          <w:rFonts w:eastAsia="Times New Roman" w:cs="Times New Roman"/>
          <w:bCs/>
          <w:sz w:val="24"/>
          <w:szCs w:val="24"/>
          <w:lang w:eastAsia="en-GB"/>
        </w:rPr>
        <w:t>Armenia</w:t>
      </w:r>
      <w:r w:rsidRPr="00685A2A">
        <w:rPr>
          <w:rFonts w:eastAsia="Times New Roman" w:cs="Times New Roman"/>
          <w:sz w:val="24"/>
          <w:szCs w:val="24"/>
          <w:lang w:eastAsia="en-GB"/>
        </w:rPr>
        <w:t xml:space="preserve">, </w:t>
      </w:r>
      <w:r w:rsidRPr="00685A2A">
        <w:rPr>
          <w:rFonts w:eastAsia="Times New Roman" w:cs="Times New Roman"/>
          <w:bCs/>
          <w:sz w:val="24"/>
          <w:szCs w:val="24"/>
          <w:lang w:eastAsia="en-GB"/>
        </w:rPr>
        <w:t>Ireland, Namibia, Jamaica and State of Palestine</w:t>
      </w:r>
      <w:r w:rsidRPr="00685A2A">
        <w:rPr>
          <w:rFonts w:cs="Times New Roman"/>
          <w:sz w:val="24"/>
          <w:szCs w:val="24"/>
        </w:rPr>
        <w:t>, Alexandre</w:t>
      </w:r>
      <w:r w:rsidR="00397AD6">
        <w:rPr>
          <w:rFonts w:cs="Times New Roman"/>
          <w:sz w:val="24"/>
          <w:szCs w:val="24"/>
        </w:rPr>
        <w:t xml:space="preserve"> </w:t>
      </w:r>
      <w:proofErr w:type="spellStart"/>
      <w:r w:rsidRPr="00685A2A">
        <w:rPr>
          <w:rFonts w:cs="Times New Roman"/>
          <w:sz w:val="24"/>
          <w:szCs w:val="24"/>
        </w:rPr>
        <w:t>Bloxs</w:t>
      </w:r>
      <w:proofErr w:type="spellEnd"/>
      <w:r w:rsidRPr="00685A2A">
        <w:rPr>
          <w:rFonts w:cs="Times New Roman"/>
          <w:sz w:val="24"/>
          <w:szCs w:val="24"/>
        </w:rPr>
        <w:t xml:space="preserve">, </w:t>
      </w:r>
      <w:r w:rsidR="00D50B3A">
        <w:rPr>
          <w:rFonts w:cs="Times New Roman"/>
          <w:sz w:val="24"/>
          <w:szCs w:val="24"/>
        </w:rPr>
        <w:t xml:space="preserve">from </w:t>
      </w:r>
      <w:r w:rsidRPr="00685A2A">
        <w:rPr>
          <w:rFonts w:cs="Times New Roman"/>
          <w:sz w:val="24"/>
          <w:szCs w:val="24"/>
        </w:rPr>
        <w:t>E</w:t>
      </w:r>
      <w:r w:rsidR="00D50B3A">
        <w:rPr>
          <w:rFonts w:cs="Times New Roman"/>
          <w:sz w:val="24"/>
          <w:szCs w:val="24"/>
        </w:rPr>
        <w:t xml:space="preserve">uropean </w:t>
      </w:r>
      <w:r w:rsidRPr="00685A2A">
        <w:rPr>
          <w:rFonts w:cs="Times New Roman"/>
          <w:sz w:val="24"/>
          <w:szCs w:val="24"/>
        </w:rPr>
        <w:t>D</w:t>
      </w:r>
      <w:r w:rsidR="00D50B3A">
        <w:rPr>
          <w:rFonts w:cs="Times New Roman"/>
          <w:sz w:val="24"/>
          <w:szCs w:val="24"/>
        </w:rPr>
        <w:t xml:space="preserve">isability </w:t>
      </w:r>
      <w:r w:rsidRPr="00685A2A">
        <w:rPr>
          <w:rFonts w:cs="Times New Roman"/>
          <w:sz w:val="24"/>
          <w:szCs w:val="24"/>
        </w:rPr>
        <w:t>F</w:t>
      </w:r>
      <w:r w:rsidR="00D50B3A">
        <w:rPr>
          <w:rFonts w:cs="Times New Roman"/>
          <w:sz w:val="24"/>
          <w:szCs w:val="24"/>
        </w:rPr>
        <w:t>orum</w:t>
      </w:r>
      <w:r w:rsidRPr="00685A2A">
        <w:rPr>
          <w:rFonts w:cs="Times New Roman"/>
          <w:sz w:val="24"/>
          <w:szCs w:val="24"/>
        </w:rPr>
        <w:t>, asked the Government of Namibia</w:t>
      </w:r>
      <w:r w:rsidR="00492125">
        <w:rPr>
          <w:rFonts w:cs="Times New Roman"/>
          <w:sz w:val="24"/>
          <w:szCs w:val="24"/>
        </w:rPr>
        <w:t xml:space="preserve"> in International Sign language</w:t>
      </w:r>
      <w:r w:rsidRPr="00685A2A">
        <w:rPr>
          <w:rFonts w:cs="Times New Roman"/>
          <w:sz w:val="24"/>
          <w:szCs w:val="24"/>
        </w:rPr>
        <w:t>: “</w:t>
      </w:r>
      <w:r w:rsidR="00221DA6">
        <w:rPr>
          <w:rFonts w:cs="Times New Roman"/>
          <w:sz w:val="24"/>
          <w:szCs w:val="24"/>
        </w:rPr>
        <w:t>H</w:t>
      </w:r>
      <w:r w:rsidRPr="00685A2A">
        <w:rPr>
          <w:rFonts w:cs="Times New Roman"/>
          <w:sz w:val="24"/>
          <w:szCs w:val="24"/>
        </w:rPr>
        <w:t xml:space="preserve">ow does Namibia commit to carry out Article 5 of the UN Convention on the Rights of Persons with Disabilities that all persons are entitled to equal protection and equal benefit of the law?” Ana </w:t>
      </w:r>
      <w:proofErr w:type="spellStart"/>
      <w:r w:rsidRPr="00685A2A">
        <w:rPr>
          <w:rFonts w:cs="Times New Roman"/>
          <w:sz w:val="24"/>
          <w:szCs w:val="24"/>
        </w:rPr>
        <w:t>P</w:t>
      </w:r>
      <w:r w:rsidR="00295B5C">
        <w:rPr>
          <w:rFonts w:cs="Times New Roman"/>
          <w:sz w:val="24"/>
          <w:szCs w:val="24"/>
        </w:rPr>
        <w:t>e</w:t>
      </w:r>
      <w:r w:rsidRPr="00685A2A">
        <w:rPr>
          <w:rFonts w:cs="Times New Roman"/>
          <w:sz w:val="24"/>
          <w:szCs w:val="24"/>
        </w:rPr>
        <w:t>l</w:t>
      </w:r>
      <w:r w:rsidR="004E19EA" w:rsidRPr="00685A2A">
        <w:rPr>
          <w:rFonts w:cs="Times New Roman"/>
          <w:sz w:val="24"/>
          <w:szCs w:val="24"/>
        </w:rPr>
        <w:t>á</w:t>
      </w:r>
      <w:r w:rsidR="00295B5C">
        <w:rPr>
          <w:rFonts w:cs="Times New Roman"/>
          <w:sz w:val="24"/>
          <w:szCs w:val="24"/>
        </w:rPr>
        <w:t>e</w:t>
      </w:r>
      <w:r w:rsidRPr="00685A2A">
        <w:rPr>
          <w:rFonts w:cs="Times New Roman"/>
          <w:sz w:val="24"/>
          <w:szCs w:val="24"/>
        </w:rPr>
        <w:t>z</w:t>
      </w:r>
      <w:proofErr w:type="spellEnd"/>
      <w:r w:rsidR="00397AD6">
        <w:rPr>
          <w:rFonts w:cs="Times New Roman"/>
          <w:sz w:val="24"/>
          <w:szCs w:val="24"/>
        </w:rPr>
        <w:t xml:space="preserve"> </w:t>
      </w:r>
      <w:proofErr w:type="spellStart"/>
      <w:r w:rsidRPr="00685A2A">
        <w:rPr>
          <w:rFonts w:cs="Times New Roman"/>
          <w:sz w:val="24"/>
          <w:szCs w:val="24"/>
        </w:rPr>
        <w:t>Narváez</w:t>
      </w:r>
      <w:proofErr w:type="spellEnd"/>
      <w:r w:rsidRPr="00685A2A">
        <w:rPr>
          <w:rFonts w:cs="Times New Roman"/>
          <w:sz w:val="24"/>
          <w:szCs w:val="24"/>
        </w:rPr>
        <w:t>, Vice-President of the European Disability Forum and member of the UN Committee on the Elimination of Discrimination against Women (CEDAW), a</w:t>
      </w:r>
      <w:r w:rsidR="005360FE">
        <w:rPr>
          <w:rFonts w:cs="Times New Roman"/>
          <w:sz w:val="24"/>
          <w:szCs w:val="24"/>
        </w:rPr>
        <w:t>ddressed</w:t>
      </w:r>
      <w:r w:rsidRPr="00685A2A">
        <w:rPr>
          <w:rFonts w:cs="Times New Roman"/>
          <w:sz w:val="24"/>
          <w:szCs w:val="24"/>
        </w:rPr>
        <w:t xml:space="preserve"> the </w:t>
      </w:r>
      <w:r w:rsidR="007A1DAD">
        <w:rPr>
          <w:rFonts w:cs="Times New Roman"/>
          <w:sz w:val="24"/>
          <w:szCs w:val="24"/>
        </w:rPr>
        <w:t>G</w:t>
      </w:r>
      <w:r w:rsidRPr="00685A2A">
        <w:rPr>
          <w:rFonts w:cs="Times New Roman"/>
          <w:sz w:val="24"/>
          <w:szCs w:val="24"/>
        </w:rPr>
        <w:t>overnment of Greece</w:t>
      </w:r>
      <w:r w:rsidR="005360FE">
        <w:rPr>
          <w:rFonts w:cs="Times New Roman"/>
          <w:sz w:val="24"/>
          <w:szCs w:val="24"/>
        </w:rPr>
        <w:t xml:space="preserve"> by saying</w:t>
      </w:r>
      <w:r w:rsidRPr="00685A2A">
        <w:rPr>
          <w:rFonts w:cs="Times New Roman"/>
          <w:sz w:val="24"/>
          <w:szCs w:val="24"/>
        </w:rPr>
        <w:t>: “It is highly important to have reliable, strong and accurate data. Could you elaborate on your strategy, in collaboration with your National Statistical Office, to collect data disaggregated by age, gen</w:t>
      </w:r>
      <w:r w:rsidR="00B03560" w:rsidRPr="00685A2A">
        <w:rPr>
          <w:rFonts w:cs="Times New Roman"/>
          <w:sz w:val="24"/>
          <w:szCs w:val="24"/>
        </w:rPr>
        <w:t xml:space="preserve">der and disability?” </w:t>
      </w:r>
      <w:r w:rsidR="00652D84">
        <w:rPr>
          <w:rFonts w:cs="Times New Roman"/>
          <w:sz w:val="24"/>
          <w:szCs w:val="24"/>
        </w:rPr>
        <w:t>In addition, she</w:t>
      </w:r>
      <w:r w:rsidRPr="00685A2A">
        <w:rPr>
          <w:rFonts w:cs="Times New Roman"/>
          <w:sz w:val="24"/>
          <w:szCs w:val="24"/>
        </w:rPr>
        <w:t xml:space="preserve"> asked the </w:t>
      </w:r>
      <w:r w:rsidR="00CE66C6">
        <w:rPr>
          <w:rFonts w:cs="Times New Roman"/>
          <w:sz w:val="24"/>
          <w:szCs w:val="24"/>
        </w:rPr>
        <w:t>G</w:t>
      </w:r>
      <w:r w:rsidRPr="00685A2A">
        <w:rPr>
          <w:rFonts w:cs="Times New Roman"/>
          <w:sz w:val="24"/>
          <w:szCs w:val="24"/>
        </w:rPr>
        <w:t>overnment of Switzerland</w:t>
      </w:r>
      <w:r w:rsidR="007A1DAD">
        <w:rPr>
          <w:rFonts w:cs="Times New Roman"/>
          <w:sz w:val="24"/>
          <w:szCs w:val="24"/>
        </w:rPr>
        <w:t>:</w:t>
      </w:r>
      <w:r w:rsidRPr="00685A2A">
        <w:rPr>
          <w:rFonts w:cs="Times New Roman"/>
          <w:sz w:val="24"/>
          <w:szCs w:val="24"/>
        </w:rPr>
        <w:t xml:space="preserve"> “How is Switzerland guaranteeing an inclusive and participatory process for the future Agenda 2030 process, that includes all, also persons with disabilities and sign language users?”; “How will the government tackle the much larger gap as compared with neighbouring states with regard to the real life situation and specific needs of persons with disabilities, such as physical and societal barriers, the non-existence of communication access in sign language, which is a prerequisite to participating in social and political processes, etc</w:t>
      </w:r>
      <w:r w:rsidR="009C178C" w:rsidRPr="00685A2A">
        <w:rPr>
          <w:rFonts w:cs="Times New Roman"/>
          <w:sz w:val="24"/>
          <w:szCs w:val="24"/>
        </w:rPr>
        <w:t>.</w:t>
      </w:r>
      <w:r w:rsidRPr="00685A2A">
        <w:rPr>
          <w:rFonts w:cs="Times New Roman"/>
          <w:sz w:val="24"/>
          <w:szCs w:val="24"/>
        </w:rPr>
        <w:t xml:space="preserve">?”; </w:t>
      </w:r>
      <w:r w:rsidR="007A1DAD">
        <w:rPr>
          <w:rFonts w:cs="Times New Roman"/>
          <w:sz w:val="24"/>
          <w:szCs w:val="24"/>
        </w:rPr>
        <w:t xml:space="preserve">and </w:t>
      </w:r>
      <w:r w:rsidRPr="00685A2A">
        <w:rPr>
          <w:rFonts w:cs="Times New Roman"/>
          <w:sz w:val="24"/>
          <w:szCs w:val="24"/>
        </w:rPr>
        <w:t>“Will the Swiss Federal Administration systematically collect data disaggregated by different types of disabilities as required by the CRPD?”</w:t>
      </w:r>
      <w:r w:rsidR="003C044B">
        <w:rPr>
          <w:rFonts w:cs="Times New Roman"/>
          <w:sz w:val="24"/>
          <w:szCs w:val="24"/>
        </w:rPr>
        <w:t xml:space="preserve"> </w:t>
      </w:r>
      <w:bookmarkStart w:id="37" w:name="_Hlk525809797"/>
      <w:r w:rsidRPr="00685A2A">
        <w:rPr>
          <w:rFonts w:cs="Times New Roman"/>
          <w:sz w:val="24"/>
          <w:szCs w:val="24"/>
        </w:rPr>
        <w:t xml:space="preserve">Mohammed </w:t>
      </w:r>
      <w:proofErr w:type="spellStart"/>
      <w:r w:rsidRPr="00685A2A">
        <w:rPr>
          <w:rFonts w:cs="Times New Roman"/>
          <w:sz w:val="24"/>
          <w:szCs w:val="24"/>
        </w:rPr>
        <w:t>Loutfy</w:t>
      </w:r>
      <w:proofErr w:type="spellEnd"/>
      <w:r w:rsidRPr="00685A2A">
        <w:rPr>
          <w:rFonts w:cs="Times New Roman"/>
          <w:sz w:val="24"/>
          <w:szCs w:val="24"/>
        </w:rPr>
        <w:t xml:space="preserve">, </w:t>
      </w:r>
      <w:r w:rsidR="003C044B">
        <w:rPr>
          <w:rFonts w:cs="Times New Roman"/>
          <w:sz w:val="24"/>
          <w:szCs w:val="24"/>
        </w:rPr>
        <w:t>r</w:t>
      </w:r>
      <w:r w:rsidRPr="00685A2A">
        <w:rPr>
          <w:rFonts w:cs="Times New Roman"/>
          <w:sz w:val="24"/>
          <w:szCs w:val="24"/>
        </w:rPr>
        <w:t xml:space="preserve">epresentative of Disabled People’s International at the United Nations and Executive Director of the Arab Forum </w:t>
      </w:r>
      <w:r w:rsidR="005E61A3">
        <w:rPr>
          <w:rFonts w:cs="Times New Roman"/>
          <w:sz w:val="24"/>
          <w:szCs w:val="24"/>
        </w:rPr>
        <w:t>on</w:t>
      </w:r>
      <w:r w:rsidRPr="00685A2A">
        <w:rPr>
          <w:rFonts w:cs="Times New Roman"/>
          <w:sz w:val="24"/>
          <w:szCs w:val="24"/>
        </w:rPr>
        <w:t xml:space="preserve"> the </w:t>
      </w:r>
      <w:r w:rsidR="005E61A3">
        <w:rPr>
          <w:rFonts w:cs="Times New Roman"/>
          <w:sz w:val="24"/>
          <w:szCs w:val="24"/>
        </w:rPr>
        <w:t>R</w:t>
      </w:r>
      <w:r w:rsidRPr="00685A2A">
        <w:rPr>
          <w:rFonts w:cs="Times New Roman"/>
          <w:sz w:val="24"/>
          <w:szCs w:val="24"/>
        </w:rPr>
        <w:t xml:space="preserve">ights of </w:t>
      </w:r>
      <w:r w:rsidR="005E61A3">
        <w:rPr>
          <w:rFonts w:cs="Times New Roman"/>
          <w:sz w:val="24"/>
          <w:szCs w:val="24"/>
        </w:rPr>
        <w:t>P</w:t>
      </w:r>
      <w:r w:rsidRPr="00685A2A">
        <w:rPr>
          <w:rFonts w:cs="Times New Roman"/>
          <w:sz w:val="24"/>
          <w:szCs w:val="24"/>
        </w:rPr>
        <w:t xml:space="preserve">ersons with </w:t>
      </w:r>
      <w:r w:rsidR="005E61A3">
        <w:rPr>
          <w:rFonts w:cs="Times New Roman"/>
          <w:sz w:val="24"/>
          <w:szCs w:val="24"/>
        </w:rPr>
        <w:t>D</w:t>
      </w:r>
      <w:r w:rsidRPr="00685A2A">
        <w:rPr>
          <w:rFonts w:cs="Times New Roman"/>
          <w:sz w:val="24"/>
          <w:szCs w:val="24"/>
        </w:rPr>
        <w:t xml:space="preserve">isabilities, asked the Government of Lebanon: </w:t>
      </w:r>
      <w:r w:rsidRPr="006847E7">
        <w:rPr>
          <w:rFonts w:cs="Times New Roman"/>
          <w:sz w:val="24"/>
          <w:szCs w:val="24"/>
        </w:rPr>
        <w:t xml:space="preserve">“What measures Lebanon will take to ensure </w:t>
      </w:r>
      <w:r w:rsidRPr="00DE2291">
        <w:rPr>
          <w:rFonts w:cs="Times New Roman"/>
          <w:sz w:val="24"/>
          <w:szCs w:val="24"/>
        </w:rPr>
        <w:t xml:space="preserve">transparent and inclusive </w:t>
      </w:r>
      <w:r w:rsidRPr="00B10BBF">
        <w:rPr>
          <w:rFonts w:cs="Times New Roman"/>
          <w:sz w:val="24"/>
          <w:szCs w:val="24"/>
        </w:rPr>
        <w:t>monitoring and implementation of the Agenda 2030?”</w:t>
      </w:r>
      <w:bookmarkEnd w:id="37"/>
    </w:p>
    <w:p w14:paraId="2783DD73" w14:textId="77777777" w:rsidR="00D5352F" w:rsidRDefault="00D5352F" w:rsidP="00D5352F">
      <w:pPr>
        <w:spacing w:after="0" w:line="276" w:lineRule="auto"/>
        <w:jc w:val="both"/>
        <w:rPr>
          <w:rFonts w:cs="Times New Roman"/>
          <w:b/>
          <w:sz w:val="24"/>
          <w:szCs w:val="24"/>
        </w:rPr>
      </w:pPr>
    </w:p>
    <w:p w14:paraId="08D348E4" w14:textId="52295953" w:rsidR="00DC6960" w:rsidRPr="00281D6C" w:rsidRDefault="002B5CC6" w:rsidP="00DC6960">
      <w:pPr>
        <w:pStyle w:val="Heading1"/>
      </w:pPr>
      <w:bookmarkStart w:id="38" w:name="_Toc531264889"/>
      <w:r>
        <w:t>Monday, 16</w:t>
      </w:r>
      <w:r w:rsidR="00B21D9E" w:rsidRPr="00FF73DA">
        <w:rPr>
          <w:vertAlign w:val="superscript"/>
        </w:rPr>
        <w:t>th</w:t>
      </w:r>
      <w:r>
        <w:t xml:space="preserve"> July 2018</w:t>
      </w:r>
      <w:bookmarkEnd w:id="38"/>
    </w:p>
    <w:p w14:paraId="2CA00A94" w14:textId="0951B93B" w:rsidR="004B457E" w:rsidRPr="00D5352F" w:rsidRDefault="004B457E" w:rsidP="00D5352F">
      <w:pPr>
        <w:spacing w:line="276" w:lineRule="auto"/>
        <w:jc w:val="both"/>
        <w:rPr>
          <w:rFonts w:cs="Times New Roman"/>
          <w:sz w:val="24"/>
          <w:szCs w:val="24"/>
        </w:rPr>
      </w:pPr>
      <w:r w:rsidRPr="00D5352F">
        <w:rPr>
          <w:rFonts w:cs="Times New Roman"/>
          <w:sz w:val="24"/>
          <w:szCs w:val="24"/>
        </w:rPr>
        <w:t xml:space="preserve">On the first day of the ministerial week, 14 </w:t>
      </w:r>
      <w:r w:rsidR="005D0BCA">
        <w:rPr>
          <w:rFonts w:cs="Times New Roman"/>
          <w:sz w:val="24"/>
          <w:szCs w:val="24"/>
        </w:rPr>
        <w:t xml:space="preserve">Member </w:t>
      </w:r>
      <w:r w:rsidRPr="00D5352F">
        <w:rPr>
          <w:rFonts w:cs="Times New Roman"/>
          <w:sz w:val="24"/>
          <w:szCs w:val="24"/>
        </w:rPr>
        <w:t xml:space="preserve">States presented their VNRs. The </w:t>
      </w:r>
      <w:r w:rsidR="00221DA6">
        <w:rPr>
          <w:rFonts w:cs="Times New Roman"/>
          <w:sz w:val="24"/>
          <w:szCs w:val="24"/>
        </w:rPr>
        <w:t>countries</w:t>
      </w:r>
      <w:r w:rsidRPr="00D5352F">
        <w:rPr>
          <w:rFonts w:cs="Times New Roman"/>
          <w:sz w:val="24"/>
          <w:szCs w:val="24"/>
        </w:rPr>
        <w:t xml:space="preserve"> that presented include</w:t>
      </w:r>
      <w:r w:rsidR="00861283">
        <w:rPr>
          <w:rFonts w:cs="Times New Roman"/>
          <w:sz w:val="24"/>
          <w:szCs w:val="24"/>
        </w:rPr>
        <w:t>d</w:t>
      </w:r>
      <w:r w:rsidRPr="00D5352F">
        <w:rPr>
          <w:rFonts w:cs="Times New Roman"/>
          <w:sz w:val="24"/>
          <w:szCs w:val="24"/>
        </w:rPr>
        <w:t xml:space="preserve"> Bahrain, Benin, Cabo Verde, Colombia, Ecuador, Kiribati, Lithuania, Mali, Greece, Guinea, Mexico, Slovakia, United Arab Emirates (UAE) and Viet Nam</w:t>
      </w:r>
      <w:r w:rsidR="00D330F3">
        <w:rPr>
          <w:rFonts w:cs="Times New Roman"/>
          <w:sz w:val="24"/>
          <w:szCs w:val="24"/>
        </w:rPr>
        <w:t>.</w:t>
      </w:r>
    </w:p>
    <w:p w14:paraId="12C288A4" w14:textId="06F86F63" w:rsidR="00D5352F" w:rsidRDefault="004B457E" w:rsidP="00D5352F">
      <w:pPr>
        <w:spacing w:line="276" w:lineRule="auto"/>
        <w:jc w:val="both"/>
        <w:rPr>
          <w:rFonts w:cs="Times New Roman"/>
          <w:sz w:val="24"/>
          <w:szCs w:val="24"/>
        </w:rPr>
      </w:pPr>
      <w:r w:rsidRPr="00D5352F">
        <w:rPr>
          <w:rFonts w:cs="Times New Roman"/>
          <w:sz w:val="24"/>
          <w:szCs w:val="24"/>
        </w:rPr>
        <w:t>During th</w:t>
      </w:r>
      <w:r w:rsidR="009C178C" w:rsidRPr="00D5352F">
        <w:rPr>
          <w:rFonts w:cs="Times New Roman"/>
          <w:sz w:val="24"/>
          <w:szCs w:val="24"/>
        </w:rPr>
        <w:t xml:space="preserve">e opening of </w:t>
      </w:r>
      <w:r w:rsidR="00197BA9" w:rsidRPr="00FF73DA">
        <w:rPr>
          <w:rFonts w:cs="Times New Roman"/>
          <w:sz w:val="24"/>
          <w:szCs w:val="24"/>
        </w:rPr>
        <w:t>ministerial segment</w:t>
      </w:r>
      <w:r w:rsidRPr="006847E7">
        <w:rPr>
          <w:rFonts w:cs="Times New Roman"/>
          <w:sz w:val="24"/>
          <w:szCs w:val="24"/>
        </w:rPr>
        <w:t>,</w:t>
      </w:r>
      <w:r w:rsidRPr="00D5352F">
        <w:rPr>
          <w:rFonts w:cs="Times New Roman"/>
          <w:sz w:val="24"/>
          <w:szCs w:val="24"/>
        </w:rPr>
        <w:t xml:space="preserve"> </w:t>
      </w:r>
      <w:proofErr w:type="spellStart"/>
      <w:r w:rsidRPr="00D5352F">
        <w:rPr>
          <w:rFonts w:cs="Times New Roman"/>
          <w:sz w:val="24"/>
          <w:szCs w:val="24"/>
        </w:rPr>
        <w:t>Jayathma</w:t>
      </w:r>
      <w:proofErr w:type="spellEnd"/>
      <w:r w:rsidR="00397AD6">
        <w:rPr>
          <w:rFonts w:cs="Times New Roman"/>
          <w:sz w:val="24"/>
          <w:szCs w:val="24"/>
        </w:rPr>
        <w:t xml:space="preserve"> </w:t>
      </w:r>
      <w:proofErr w:type="spellStart"/>
      <w:r w:rsidRPr="00D5352F">
        <w:rPr>
          <w:rFonts w:cs="Times New Roman"/>
          <w:sz w:val="24"/>
          <w:szCs w:val="24"/>
        </w:rPr>
        <w:t>Wickramanayake</w:t>
      </w:r>
      <w:proofErr w:type="spellEnd"/>
      <w:r w:rsidRPr="00D5352F">
        <w:rPr>
          <w:rFonts w:cs="Times New Roman"/>
          <w:sz w:val="24"/>
          <w:szCs w:val="24"/>
        </w:rPr>
        <w:t xml:space="preserve">, the UN Secretary-General’s Envoy on Youth, encouraged countries to establish strong youth structures to ensure that young </w:t>
      </w:r>
      <w:r w:rsidRPr="00D5352F">
        <w:rPr>
          <w:rFonts w:cs="Times New Roman"/>
          <w:sz w:val="24"/>
          <w:szCs w:val="24"/>
        </w:rPr>
        <w:lastRenderedPageBreak/>
        <w:t>people</w:t>
      </w:r>
      <w:r w:rsidR="0055324F">
        <w:rPr>
          <w:rFonts w:cs="Times New Roman"/>
          <w:sz w:val="24"/>
          <w:szCs w:val="24"/>
        </w:rPr>
        <w:t>,</w:t>
      </w:r>
      <w:r w:rsidRPr="00D5352F">
        <w:rPr>
          <w:rFonts w:cs="Times New Roman"/>
          <w:sz w:val="24"/>
          <w:szCs w:val="24"/>
        </w:rPr>
        <w:t xml:space="preserve"> including young pe</w:t>
      </w:r>
      <w:r w:rsidR="00221DA6">
        <w:rPr>
          <w:rFonts w:cs="Times New Roman"/>
          <w:sz w:val="24"/>
          <w:szCs w:val="24"/>
        </w:rPr>
        <w:t>rsons</w:t>
      </w:r>
      <w:r w:rsidRPr="00D5352F">
        <w:rPr>
          <w:rFonts w:cs="Times New Roman"/>
          <w:sz w:val="24"/>
          <w:szCs w:val="24"/>
        </w:rPr>
        <w:t xml:space="preserve"> with disabilities</w:t>
      </w:r>
      <w:r w:rsidR="005D35BE">
        <w:rPr>
          <w:rFonts w:cs="Times New Roman"/>
          <w:sz w:val="24"/>
          <w:szCs w:val="24"/>
        </w:rPr>
        <w:t>,</w:t>
      </w:r>
      <w:r w:rsidRPr="00D5352F">
        <w:rPr>
          <w:rFonts w:cs="Times New Roman"/>
          <w:sz w:val="24"/>
          <w:szCs w:val="24"/>
        </w:rPr>
        <w:t xml:space="preserve"> recognised stakeholders in local and national process</w:t>
      </w:r>
      <w:r w:rsidR="0055324F">
        <w:rPr>
          <w:rFonts w:cs="Times New Roman"/>
          <w:sz w:val="24"/>
          <w:szCs w:val="24"/>
        </w:rPr>
        <w:t>es</w:t>
      </w:r>
      <w:r w:rsidR="005D35BE">
        <w:rPr>
          <w:rFonts w:cs="Times New Roman"/>
          <w:sz w:val="24"/>
          <w:szCs w:val="24"/>
        </w:rPr>
        <w:t>.</w:t>
      </w:r>
      <w:r w:rsidRPr="00D5352F">
        <w:rPr>
          <w:rFonts w:cs="Times New Roman"/>
          <w:sz w:val="24"/>
          <w:szCs w:val="24"/>
        </w:rPr>
        <w:t xml:space="preserve"> </w:t>
      </w:r>
      <w:r w:rsidR="006E5E59">
        <w:rPr>
          <w:rFonts w:cs="Times New Roman"/>
          <w:sz w:val="24"/>
          <w:szCs w:val="24"/>
        </w:rPr>
        <w:t xml:space="preserve">She </w:t>
      </w:r>
      <w:r w:rsidR="00592EB9">
        <w:rPr>
          <w:rFonts w:cs="Times New Roman"/>
          <w:sz w:val="24"/>
          <w:szCs w:val="24"/>
        </w:rPr>
        <w:t>remarked</w:t>
      </w:r>
      <w:r w:rsidR="006E5E59">
        <w:rPr>
          <w:rFonts w:cs="Times New Roman"/>
          <w:sz w:val="24"/>
          <w:szCs w:val="24"/>
        </w:rPr>
        <w:t xml:space="preserve"> that i</w:t>
      </w:r>
      <w:r w:rsidRPr="00D5352F">
        <w:rPr>
          <w:rFonts w:cs="Times New Roman"/>
          <w:sz w:val="24"/>
          <w:szCs w:val="24"/>
        </w:rPr>
        <w:t xml:space="preserve">nstitutionalizing </w:t>
      </w:r>
      <w:r w:rsidR="00221DA6">
        <w:rPr>
          <w:rFonts w:cs="Times New Roman"/>
          <w:sz w:val="24"/>
          <w:szCs w:val="24"/>
        </w:rPr>
        <w:t>y</w:t>
      </w:r>
      <w:r w:rsidRPr="00D5352F">
        <w:rPr>
          <w:rFonts w:cs="Times New Roman"/>
          <w:sz w:val="24"/>
          <w:szCs w:val="24"/>
        </w:rPr>
        <w:t xml:space="preserve">outh participation gives young people a chance to know the review process and to </w:t>
      </w:r>
      <w:r w:rsidR="00397AD6" w:rsidRPr="00D5352F">
        <w:rPr>
          <w:rFonts w:cs="Times New Roman"/>
          <w:sz w:val="24"/>
          <w:szCs w:val="24"/>
        </w:rPr>
        <w:t>follow-up</w:t>
      </w:r>
      <w:r w:rsidRPr="00D5352F">
        <w:rPr>
          <w:rFonts w:cs="Times New Roman"/>
          <w:sz w:val="24"/>
          <w:szCs w:val="24"/>
        </w:rPr>
        <w:t>, build capacity to play an active role, collaborate with other groups in society in the joint effort of achieving</w:t>
      </w:r>
      <w:r w:rsidR="00AB4718">
        <w:rPr>
          <w:rFonts w:cs="Times New Roman"/>
          <w:sz w:val="24"/>
          <w:szCs w:val="24"/>
        </w:rPr>
        <w:t>,</w:t>
      </w:r>
      <w:r w:rsidRPr="00D5352F">
        <w:rPr>
          <w:rFonts w:cs="Times New Roman"/>
          <w:sz w:val="24"/>
          <w:szCs w:val="24"/>
        </w:rPr>
        <w:t xml:space="preserve"> and hold</w:t>
      </w:r>
      <w:r w:rsidR="006E1907">
        <w:rPr>
          <w:rFonts w:cs="Times New Roman"/>
          <w:sz w:val="24"/>
          <w:szCs w:val="24"/>
        </w:rPr>
        <w:t>ing</w:t>
      </w:r>
      <w:r w:rsidRPr="00D5352F">
        <w:rPr>
          <w:rFonts w:cs="Times New Roman"/>
          <w:sz w:val="24"/>
          <w:szCs w:val="24"/>
        </w:rPr>
        <w:t xml:space="preserve"> </w:t>
      </w:r>
      <w:proofErr w:type="gramStart"/>
      <w:r w:rsidR="007D438C">
        <w:rPr>
          <w:rFonts w:cs="Times New Roman"/>
          <w:sz w:val="24"/>
          <w:szCs w:val="24"/>
        </w:rPr>
        <w:t xml:space="preserve">the </w:t>
      </w:r>
      <w:r w:rsidRPr="00D5352F">
        <w:rPr>
          <w:rFonts w:cs="Times New Roman"/>
          <w:sz w:val="24"/>
          <w:szCs w:val="24"/>
        </w:rPr>
        <w:t xml:space="preserve"> government</w:t>
      </w:r>
      <w:proofErr w:type="gramEnd"/>
      <w:r w:rsidRPr="00D5352F">
        <w:rPr>
          <w:rFonts w:cs="Times New Roman"/>
          <w:sz w:val="24"/>
          <w:szCs w:val="24"/>
        </w:rPr>
        <w:t xml:space="preserve"> accountable.</w:t>
      </w:r>
    </w:p>
    <w:p w14:paraId="4C00A9E2" w14:textId="03D5EB21" w:rsidR="004B457E" w:rsidRPr="00BA1BA9" w:rsidRDefault="008B6576" w:rsidP="00D5352F">
      <w:pPr>
        <w:pStyle w:val="Heading2"/>
        <w:spacing w:after="0" w:afterAutospacing="0"/>
        <w:rPr>
          <w:color w:val="3CA1FF"/>
        </w:rPr>
      </w:pPr>
      <w:bookmarkStart w:id="39" w:name="_Toc531264890"/>
      <w:r>
        <w:rPr>
          <w:color w:val="3CA1FF"/>
        </w:rPr>
        <w:t>Ecuador, Kiribati, Lithuania, Mali</w:t>
      </w:r>
      <w:bookmarkEnd w:id="39"/>
    </w:p>
    <w:p w14:paraId="508226AE" w14:textId="3832BCB6" w:rsidR="004B457E" w:rsidRDefault="004B457E" w:rsidP="00D5352F">
      <w:pPr>
        <w:spacing w:after="0" w:line="276" w:lineRule="auto"/>
        <w:jc w:val="both"/>
        <w:rPr>
          <w:rFonts w:cs="Times New Roman"/>
          <w:sz w:val="24"/>
          <w:szCs w:val="24"/>
        </w:rPr>
      </w:pPr>
      <w:r w:rsidRPr="00D5352F">
        <w:rPr>
          <w:rFonts w:cs="Times New Roman"/>
          <w:sz w:val="24"/>
          <w:szCs w:val="24"/>
        </w:rPr>
        <w:t xml:space="preserve">During this panel presentation, the </w:t>
      </w:r>
      <w:r w:rsidR="006C4FE4">
        <w:rPr>
          <w:rFonts w:cs="Times New Roman"/>
          <w:sz w:val="24"/>
          <w:szCs w:val="24"/>
        </w:rPr>
        <w:t>G</w:t>
      </w:r>
      <w:r w:rsidRPr="00D5352F">
        <w:rPr>
          <w:rFonts w:cs="Times New Roman"/>
          <w:sz w:val="24"/>
          <w:szCs w:val="24"/>
        </w:rPr>
        <w:t xml:space="preserve">overnment of Ecuador and </w:t>
      </w:r>
      <w:r w:rsidR="00C86F31">
        <w:rPr>
          <w:rFonts w:cs="Times New Roman"/>
          <w:sz w:val="24"/>
          <w:szCs w:val="24"/>
        </w:rPr>
        <w:t xml:space="preserve">Government of </w:t>
      </w:r>
      <w:r w:rsidRPr="00D5352F">
        <w:rPr>
          <w:rFonts w:cs="Times New Roman"/>
          <w:sz w:val="24"/>
          <w:szCs w:val="24"/>
        </w:rPr>
        <w:t xml:space="preserve">Lithuania identified </w:t>
      </w:r>
      <w:r w:rsidR="00221DA6">
        <w:rPr>
          <w:rFonts w:cs="Times New Roman"/>
          <w:sz w:val="24"/>
          <w:szCs w:val="24"/>
        </w:rPr>
        <w:t>p</w:t>
      </w:r>
      <w:r w:rsidRPr="00D5352F">
        <w:rPr>
          <w:rFonts w:cs="Times New Roman"/>
          <w:sz w:val="24"/>
          <w:szCs w:val="24"/>
        </w:rPr>
        <w:t xml:space="preserve">ersons with disabilities as </w:t>
      </w:r>
      <w:r w:rsidR="00637EDC">
        <w:rPr>
          <w:rFonts w:cs="Times New Roman"/>
          <w:sz w:val="24"/>
          <w:szCs w:val="24"/>
        </w:rPr>
        <w:t xml:space="preserve">a </w:t>
      </w:r>
      <w:r w:rsidRPr="00D5352F">
        <w:rPr>
          <w:rFonts w:cs="Times New Roman"/>
          <w:sz w:val="24"/>
          <w:szCs w:val="24"/>
        </w:rPr>
        <w:t xml:space="preserve">priority group of </w:t>
      </w:r>
      <w:r w:rsidR="00266A91">
        <w:rPr>
          <w:rFonts w:cs="Times New Roman"/>
          <w:sz w:val="24"/>
          <w:szCs w:val="24"/>
        </w:rPr>
        <w:t>marginalized</w:t>
      </w:r>
      <w:r w:rsidRPr="00D5352F">
        <w:rPr>
          <w:rFonts w:cs="Times New Roman"/>
          <w:sz w:val="24"/>
          <w:szCs w:val="24"/>
        </w:rPr>
        <w:t xml:space="preserve"> people in their social inclusion programs. His </w:t>
      </w:r>
      <w:r w:rsidR="00C32A89" w:rsidRPr="00D5352F">
        <w:rPr>
          <w:rFonts w:cs="Times New Roman"/>
          <w:sz w:val="24"/>
          <w:szCs w:val="24"/>
        </w:rPr>
        <w:t>Excellency</w:t>
      </w:r>
      <w:r w:rsidR="006B3606">
        <w:rPr>
          <w:rFonts w:cs="Times New Roman"/>
          <w:sz w:val="24"/>
          <w:szCs w:val="24"/>
        </w:rPr>
        <w:t>,</w:t>
      </w:r>
      <w:r w:rsidRPr="00D5352F">
        <w:rPr>
          <w:rFonts w:cs="Times New Roman"/>
          <w:sz w:val="24"/>
          <w:szCs w:val="24"/>
        </w:rPr>
        <w:t xml:space="preserve"> the </w:t>
      </w:r>
      <w:r w:rsidR="00266A91">
        <w:rPr>
          <w:rFonts w:cs="Times New Roman"/>
          <w:sz w:val="24"/>
          <w:szCs w:val="24"/>
        </w:rPr>
        <w:t>N</w:t>
      </w:r>
      <w:r w:rsidRPr="00D5352F">
        <w:rPr>
          <w:rFonts w:cs="Times New Roman"/>
          <w:sz w:val="24"/>
          <w:szCs w:val="24"/>
        </w:rPr>
        <w:t xml:space="preserve">ational </w:t>
      </w:r>
      <w:r w:rsidR="00266A91">
        <w:rPr>
          <w:rFonts w:cs="Times New Roman"/>
          <w:sz w:val="24"/>
          <w:szCs w:val="24"/>
        </w:rPr>
        <w:t>P</w:t>
      </w:r>
      <w:r w:rsidRPr="00D5352F">
        <w:rPr>
          <w:rFonts w:cs="Times New Roman"/>
          <w:sz w:val="24"/>
          <w:szCs w:val="24"/>
        </w:rPr>
        <w:t xml:space="preserve">lanning and </w:t>
      </w:r>
      <w:r w:rsidR="00266A91">
        <w:rPr>
          <w:rFonts w:cs="Times New Roman"/>
          <w:sz w:val="24"/>
          <w:szCs w:val="24"/>
        </w:rPr>
        <w:t>D</w:t>
      </w:r>
      <w:r w:rsidRPr="00D5352F">
        <w:rPr>
          <w:rFonts w:cs="Times New Roman"/>
          <w:sz w:val="24"/>
          <w:szCs w:val="24"/>
        </w:rPr>
        <w:t>evelopme</w:t>
      </w:r>
      <w:r w:rsidR="00C32A89" w:rsidRPr="00D5352F">
        <w:rPr>
          <w:rFonts w:cs="Times New Roman"/>
          <w:sz w:val="24"/>
          <w:szCs w:val="24"/>
        </w:rPr>
        <w:t xml:space="preserve">nt </w:t>
      </w:r>
      <w:r w:rsidR="00266A91">
        <w:rPr>
          <w:rFonts w:cs="Times New Roman"/>
          <w:sz w:val="24"/>
          <w:szCs w:val="24"/>
        </w:rPr>
        <w:t xml:space="preserve">Secretary </w:t>
      </w:r>
      <w:r w:rsidR="00C32A89" w:rsidRPr="00D5352F">
        <w:rPr>
          <w:rFonts w:cs="Times New Roman"/>
          <w:sz w:val="24"/>
          <w:szCs w:val="24"/>
        </w:rPr>
        <w:t>of Ecuador</w:t>
      </w:r>
      <w:r w:rsidR="006B3606">
        <w:rPr>
          <w:rFonts w:cs="Times New Roman"/>
          <w:sz w:val="24"/>
          <w:szCs w:val="24"/>
        </w:rPr>
        <w:t>,</w:t>
      </w:r>
      <w:r w:rsidR="00C32A89" w:rsidRPr="00D5352F">
        <w:rPr>
          <w:rFonts w:cs="Times New Roman"/>
          <w:sz w:val="24"/>
          <w:szCs w:val="24"/>
        </w:rPr>
        <w:t xml:space="preserve"> highlighted that </w:t>
      </w:r>
      <w:r w:rsidRPr="00D5352F">
        <w:rPr>
          <w:rFonts w:cs="Times New Roman"/>
          <w:sz w:val="24"/>
          <w:szCs w:val="24"/>
        </w:rPr>
        <w:t>Ecuador ha</w:t>
      </w:r>
      <w:r w:rsidR="002F16D9">
        <w:rPr>
          <w:rFonts w:cs="Times New Roman"/>
          <w:sz w:val="24"/>
          <w:szCs w:val="24"/>
        </w:rPr>
        <w:t>d</w:t>
      </w:r>
      <w:r w:rsidRPr="00D5352F">
        <w:rPr>
          <w:rFonts w:cs="Times New Roman"/>
          <w:sz w:val="24"/>
          <w:szCs w:val="24"/>
        </w:rPr>
        <w:t xml:space="preserve"> been implementing public policies and priority </w:t>
      </w:r>
      <w:r w:rsidR="00BD604A" w:rsidRPr="00D5352F">
        <w:rPr>
          <w:rFonts w:cs="Times New Roman"/>
          <w:sz w:val="24"/>
          <w:szCs w:val="24"/>
        </w:rPr>
        <w:t>programs, which</w:t>
      </w:r>
      <w:r w:rsidRPr="00D5352F">
        <w:rPr>
          <w:rFonts w:cs="Times New Roman"/>
          <w:sz w:val="24"/>
          <w:szCs w:val="24"/>
        </w:rPr>
        <w:t xml:space="preserve"> target </w:t>
      </w:r>
      <w:r w:rsidR="001537EA">
        <w:rPr>
          <w:rFonts w:cs="Times New Roman"/>
          <w:sz w:val="24"/>
          <w:szCs w:val="24"/>
        </w:rPr>
        <w:t xml:space="preserve">marginalized </w:t>
      </w:r>
      <w:r w:rsidRPr="00D5352F">
        <w:rPr>
          <w:rFonts w:cs="Times New Roman"/>
          <w:sz w:val="24"/>
          <w:szCs w:val="24"/>
        </w:rPr>
        <w:t>groups of people</w:t>
      </w:r>
      <w:r w:rsidR="00520F25">
        <w:rPr>
          <w:rFonts w:cs="Times New Roman"/>
          <w:sz w:val="24"/>
          <w:szCs w:val="24"/>
        </w:rPr>
        <w:t xml:space="preserve"> to create opportunities and close inequality gaps</w:t>
      </w:r>
      <w:r w:rsidRPr="00D5352F">
        <w:rPr>
          <w:rFonts w:cs="Times New Roman"/>
          <w:sz w:val="24"/>
          <w:szCs w:val="24"/>
        </w:rPr>
        <w:t xml:space="preserve">. </w:t>
      </w:r>
      <w:r w:rsidR="006403AF">
        <w:rPr>
          <w:rFonts w:cs="Times New Roman"/>
          <w:sz w:val="24"/>
          <w:szCs w:val="24"/>
        </w:rPr>
        <w:t xml:space="preserve">He also stated that Ecuador has assessed progress made in terms of access to education, social security, health, water, food, housing, habitat, and environment.  The indicator has shown that the rate of multidimensional poverty in the country declined from 37% to 34% in 2017. </w:t>
      </w:r>
      <w:r w:rsidR="006403AF" w:rsidRPr="00D5352F">
        <w:rPr>
          <w:rFonts w:cs="Times New Roman"/>
          <w:sz w:val="24"/>
          <w:szCs w:val="24"/>
        </w:rPr>
        <w:t xml:space="preserve">This social inclusion initiative prioritises children, young people, </w:t>
      </w:r>
      <w:r w:rsidR="006403AF">
        <w:rPr>
          <w:rFonts w:cs="Times New Roman"/>
          <w:sz w:val="24"/>
          <w:szCs w:val="24"/>
        </w:rPr>
        <w:t>older persons</w:t>
      </w:r>
      <w:r w:rsidR="006403AF" w:rsidRPr="00D5352F">
        <w:rPr>
          <w:rFonts w:cs="Times New Roman"/>
          <w:sz w:val="24"/>
          <w:szCs w:val="24"/>
        </w:rPr>
        <w:t>, persons with disabilit</w:t>
      </w:r>
      <w:r w:rsidR="006403AF">
        <w:rPr>
          <w:rFonts w:cs="Times New Roman"/>
          <w:sz w:val="24"/>
          <w:szCs w:val="24"/>
        </w:rPr>
        <w:t>ies</w:t>
      </w:r>
      <w:r w:rsidR="006403AF" w:rsidRPr="00D5352F">
        <w:rPr>
          <w:rFonts w:cs="Times New Roman"/>
          <w:sz w:val="24"/>
          <w:szCs w:val="24"/>
        </w:rPr>
        <w:t>, and their care</w:t>
      </w:r>
      <w:r w:rsidR="006403AF">
        <w:rPr>
          <w:rFonts w:cs="Times New Roman"/>
          <w:sz w:val="24"/>
          <w:szCs w:val="24"/>
        </w:rPr>
        <w:t>giver</w:t>
      </w:r>
      <w:r w:rsidR="006403AF" w:rsidRPr="00D5352F">
        <w:rPr>
          <w:rFonts w:cs="Times New Roman"/>
          <w:sz w:val="24"/>
          <w:szCs w:val="24"/>
        </w:rPr>
        <w:t xml:space="preserve">s. </w:t>
      </w:r>
    </w:p>
    <w:p w14:paraId="0D7E74F3" w14:textId="47595828" w:rsidR="00DB6FF6" w:rsidRDefault="00DB6FF6" w:rsidP="00D5352F">
      <w:pPr>
        <w:spacing w:after="0" w:line="276" w:lineRule="auto"/>
        <w:jc w:val="both"/>
        <w:rPr>
          <w:rFonts w:cs="Times New Roman"/>
          <w:sz w:val="24"/>
          <w:szCs w:val="24"/>
        </w:rPr>
      </w:pPr>
    </w:p>
    <w:p w14:paraId="4997D41E" w14:textId="4800706A" w:rsidR="00DB6FF6" w:rsidRDefault="00DB6FF6" w:rsidP="00D5352F">
      <w:pPr>
        <w:spacing w:after="0" w:line="276" w:lineRule="auto"/>
        <w:jc w:val="both"/>
        <w:rPr>
          <w:rFonts w:cs="Times New Roman"/>
          <w:sz w:val="24"/>
          <w:szCs w:val="24"/>
        </w:rPr>
      </w:pPr>
      <w:r w:rsidRPr="00D5352F">
        <w:rPr>
          <w:rFonts w:cs="Times New Roman"/>
          <w:sz w:val="24"/>
          <w:szCs w:val="24"/>
        </w:rPr>
        <w:t>For Lithuania, His Excellency</w:t>
      </w:r>
      <w:r>
        <w:rPr>
          <w:rFonts w:cs="Times New Roman"/>
          <w:sz w:val="24"/>
          <w:szCs w:val="24"/>
        </w:rPr>
        <w:t>,</w:t>
      </w:r>
      <w:r w:rsidRPr="00D5352F">
        <w:rPr>
          <w:rFonts w:cs="Times New Roman"/>
          <w:sz w:val="24"/>
          <w:szCs w:val="24"/>
        </w:rPr>
        <w:t xml:space="preserve"> the </w:t>
      </w:r>
      <w:r>
        <w:rPr>
          <w:rFonts w:cs="Times New Roman"/>
          <w:sz w:val="24"/>
          <w:szCs w:val="24"/>
        </w:rPr>
        <w:t>M</w:t>
      </w:r>
      <w:r w:rsidRPr="00D5352F">
        <w:rPr>
          <w:rFonts w:cs="Times New Roman"/>
          <w:sz w:val="24"/>
          <w:szCs w:val="24"/>
        </w:rPr>
        <w:t xml:space="preserve">inister of </w:t>
      </w:r>
      <w:r>
        <w:rPr>
          <w:rFonts w:cs="Times New Roman"/>
          <w:sz w:val="24"/>
          <w:szCs w:val="24"/>
        </w:rPr>
        <w:t>E</w:t>
      </w:r>
      <w:r w:rsidRPr="00D5352F">
        <w:rPr>
          <w:rFonts w:cs="Times New Roman"/>
          <w:sz w:val="24"/>
          <w:szCs w:val="24"/>
        </w:rPr>
        <w:t>nvironment</w:t>
      </w:r>
      <w:r>
        <w:rPr>
          <w:rFonts w:cs="Times New Roman"/>
          <w:sz w:val="24"/>
          <w:szCs w:val="24"/>
        </w:rPr>
        <w:t>,</w:t>
      </w:r>
      <w:r w:rsidRPr="00D5352F">
        <w:rPr>
          <w:rFonts w:cs="Times New Roman"/>
          <w:sz w:val="24"/>
          <w:szCs w:val="24"/>
        </w:rPr>
        <w:t xml:space="preserve"> highlighted that </w:t>
      </w:r>
      <w:r w:rsidR="00EF5360">
        <w:rPr>
          <w:rFonts w:cs="Times New Roman"/>
          <w:sz w:val="24"/>
          <w:szCs w:val="24"/>
        </w:rPr>
        <w:t>the social dimension is one of the fundamental pillars of sustainable development. He noted that family is the foundation of a sustainable and resilient society, and as such, Lithuania pays great attention to social policies and support for families.  Lithuania has created favourable conditions for sustainable financial growth for young families by introducing flat rate allowances for children and implementing financial incentives to help families establish their first home.  Furthermore, he highlighted that Lithuania has started to organize the institutional care system.  The institutional care system will enable every person with mental or physical disabilities to receive individual care services according to their needs.</w:t>
      </w:r>
    </w:p>
    <w:p w14:paraId="7FE9E722" w14:textId="77777777" w:rsidR="00151BC6" w:rsidRPr="00D5352F" w:rsidRDefault="00151BC6" w:rsidP="00D5352F">
      <w:pPr>
        <w:spacing w:after="0" w:line="276" w:lineRule="auto"/>
        <w:jc w:val="both"/>
        <w:rPr>
          <w:rFonts w:cs="Times New Roman"/>
          <w:sz w:val="24"/>
          <w:szCs w:val="24"/>
        </w:rPr>
      </w:pPr>
    </w:p>
    <w:p w14:paraId="2C12CA69" w14:textId="3F6CCB7E" w:rsidR="004B457E" w:rsidRPr="00D5352F" w:rsidRDefault="004B457E" w:rsidP="00D5352F">
      <w:pPr>
        <w:spacing w:line="276" w:lineRule="auto"/>
        <w:jc w:val="both"/>
        <w:rPr>
          <w:rFonts w:cs="Times New Roman"/>
          <w:sz w:val="24"/>
          <w:szCs w:val="24"/>
        </w:rPr>
      </w:pPr>
      <w:r w:rsidRPr="00D5352F">
        <w:rPr>
          <w:rFonts w:cs="Times New Roman"/>
          <w:sz w:val="24"/>
          <w:szCs w:val="24"/>
        </w:rPr>
        <w:t>When the flo</w:t>
      </w:r>
      <w:r w:rsidR="00EF7B35">
        <w:rPr>
          <w:rFonts w:cs="Times New Roman"/>
          <w:sz w:val="24"/>
          <w:szCs w:val="24"/>
        </w:rPr>
        <w:t>or</w:t>
      </w:r>
      <w:r w:rsidRPr="00D5352F">
        <w:rPr>
          <w:rFonts w:cs="Times New Roman"/>
          <w:sz w:val="24"/>
          <w:szCs w:val="24"/>
        </w:rPr>
        <w:t xml:space="preserve"> was opened for discussions, </w:t>
      </w:r>
      <w:r w:rsidR="00941625">
        <w:rPr>
          <w:rFonts w:cs="Times New Roman"/>
          <w:sz w:val="24"/>
          <w:szCs w:val="24"/>
        </w:rPr>
        <w:t>M</w:t>
      </w:r>
      <w:r w:rsidRPr="00D5352F">
        <w:rPr>
          <w:rFonts w:cs="Times New Roman"/>
          <w:sz w:val="24"/>
          <w:szCs w:val="24"/>
        </w:rPr>
        <w:t xml:space="preserve">ajor </w:t>
      </w:r>
      <w:r w:rsidR="00941625">
        <w:rPr>
          <w:rFonts w:cs="Times New Roman"/>
          <w:sz w:val="24"/>
          <w:szCs w:val="24"/>
        </w:rPr>
        <w:t>G</w:t>
      </w:r>
      <w:r w:rsidRPr="00D5352F">
        <w:rPr>
          <w:rFonts w:cs="Times New Roman"/>
          <w:sz w:val="24"/>
          <w:szCs w:val="24"/>
        </w:rPr>
        <w:t xml:space="preserve">roups and other </w:t>
      </w:r>
      <w:r w:rsidR="00941625">
        <w:rPr>
          <w:rFonts w:cs="Times New Roman"/>
          <w:sz w:val="24"/>
          <w:szCs w:val="24"/>
        </w:rPr>
        <w:t>S</w:t>
      </w:r>
      <w:r w:rsidRPr="00D5352F">
        <w:rPr>
          <w:rFonts w:cs="Times New Roman"/>
          <w:sz w:val="24"/>
          <w:szCs w:val="24"/>
        </w:rPr>
        <w:t xml:space="preserve">takeholders first highlighted that, in Mali, the government </w:t>
      </w:r>
      <w:r w:rsidR="00F00240">
        <w:rPr>
          <w:rFonts w:cs="Times New Roman"/>
          <w:sz w:val="24"/>
          <w:szCs w:val="24"/>
        </w:rPr>
        <w:t>had</w:t>
      </w:r>
      <w:r w:rsidRPr="00D5352F">
        <w:rPr>
          <w:rFonts w:cs="Times New Roman"/>
          <w:sz w:val="24"/>
          <w:szCs w:val="24"/>
        </w:rPr>
        <w:t xml:space="preserve"> yet to engage in strong political decisions to protect</w:t>
      </w:r>
      <w:r w:rsidR="00E516F5">
        <w:rPr>
          <w:rFonts w:cs="Times New Roman"/>
          <w:sz w:val="24"/>
          <w:szCs w:val="24"/>
        </w:rPr>
        <w:t>,</w:t>
      </w:r>
      <w:r w:rsidRPr="00D5352F">
        <w:rPr>
          <w:rFonts w:cs="Times New Roman"/>
          <w:sz w:val="24"/>
          <w:szCs w:val="24"/>
        </w:rPr>
        <w:t xml:space="preserve"> most especially</w:t>
      </w:r>
      <w:r w:rsidR="00E516F5">
        <w:rPr>
          <w:rFonts w:cs="Times New Roman"/>
          <w:sz w:val="24"/>
          <w:szCs w:val="24"/>
        </w:rPr>
        <w:t>,</w:t>
      </w:r>
      <w:r w:rsidRPr="00D5352F">
        <w:rPr>
          <w:rFonts w:cs="Times New Roman"/>
          <w:sz w:val="24"/>
          <w:szCs w:val="24"/>
        </w:rPr>
        <w:t xml:space="preserve"> </w:t>
      </w:r>
      <w:r w:rsidR="00E516F5">
        <w:rPr>
          <w:rFonts w:cs="Times New Roman"/>
          <w:sz w:val="24"/>
          <w:szCs w:val="24"/>
        </w:rPr>
        <w:t>older</w:t>
      </w:r>
      <w:r w:rsidR="00E516F5" w:rsidRPr="00D5352F">
        <w:rPr>
          <w:rFonts w:cs="Times New Roman"/>
          <w:sz w:val="24"/>
          <w:szCs w:val="24"/>
        </w:rPr>
        <w:t xml:space="preserve"> </w:t>
      </w:r>
      <w:r w:rsidRPr="00D5352F">
        <w:rPr>
          <w:rFonts w:cs="Times New Roman"/>
          <w:sz w:val="24"/>
          <w:szCs w:val="24"/>
        </w:rPr>
        <w:t xml:space="preserve">women </w:t>
      </w:r>
      <w:r w:rsidR="00BD604A" w:rsidRPr="00D5352F">
        <w:rPr>
          <w:rFonts w:cs="Times New Roman"/>
          <w:sz w:val="24"/>
          <w:szCs w:val="24"/>
        </w:rPr>
        <w:t>and women with disabilities from</w:t>
      </w:r>
      <w:r w:rsidRPr="00D5352F">
        <w:rPr>
          <w:rFonts w:cs="Times New Roman"/>
          <w:sz w:val="24"/>
          <w:szCs w:val="24"/>
        </w:rPr>
        <w:t xml:space="preserve"> violence. </w:t>
      </w:r>
      <w:r w:rsidR="00607121">
        <w:rPr>
          <w:rFonts w:cs="Times New Roman"/>
          <w:sz w:val="24"/>
          <w:szCs w:val="24"/>
        </w:rPr>
        <w:t xml:space="preserve">It was stated that </w:t>
      </w:r>
      <w:r w:rsidRPr="00D5352F">
        <w:rPr>
          <w:rFonts w:cs="Times New Roman"/>
          <w:sz w:val="24"/>
          <w:szCs w:val="24"/>
        </w:rPr>
        <w:t>Mali need</w:t>
      </w:r>
      <w:r w:rsidR="00607121">
        <w:rPr>
          <w:rFonts w:cs="Times New Roman"/>
          <w:sz w:val="24"/>
          <w:szCs w:val="24"/>
        </w:rPr>
        <w:t>ed</w:t>
      </w:r>
      <w:r w:rsidRPr="00D5352F">
        <w:rPr>
          <w:rFonts w:cs="Times New Roman"/>
          <w:sz w:val="24"/>
          <w:szCs w:val="24"/>
        </w:rPr>
        <w:t xml:space="preserve"> to step up its efforts in ensuring access to drinking water to all groups of people</w:t>
      </w:r>
      <w:r w:rsidR="00520897">
        <w:rPr>
          <w:rFonts w:cs="Times New Roman"/>
          <w:sz w:val="24"/>
          <w:szCs w:val="24"/>
        </w:rPr>
        <w:t>,</w:t>
      </w:r>
      <w:r w:rsidRPr="00D5352F">
        <w:rPr>
          <w:rFonts w:cs="Times New Roman"/>
          <w:sz w:val="24"/>
          <w:szCs w:val="24"/>
        </w:rPr>
        <w:t xml:space="preserve"> such as persons with disabilities, older persons, youth and </w:t>
      </w:r>
      <w:r w:rsidR="006847E7" w:rsidRPr="00D5352F">
        <w:rPr>
          <w:rFonts w:cs="Times New Roman"/>
          <w:sz w:val="24"/>
          <w:szCs w:val="24"/>
        </w:rPr>
        <w:t>pe</w:t>
      </w:r>
      <w:r w:rsidR="006847E7">
        <w:rPr>
          <w:rFonts w:cs="Times New Roman"/>
          <w:sz w:val="24"/>
          <w:szCs w:val="24"/>
        </w:rPr>
        <w:t>rsons</w:t>
      </w:r>
      <w:r w:rsidR="006847E7" w:rsidRPr="00D5352F">
        <w:rPr>
          <w:rFonts w:cs="Times New Roman"/>
          <w:sz w:val="24"/>
          <w:szCs w:val="24"/>
        </w:rPr>
        <w:t xml:space="preserve"> </w:t>
      </w:r>
      <w:r w:rsidRPr="00D5352F">
        <w:rPr>
          <w:rFonts w:cs="Times New Roman"/>
          <w:sz w:val="24"/>
          <w:szCs w:val="24"/>
        </w:rPr>
        <w:t xml:space="preserve">with chronic diseases in decision making to respect, protect and fulfil their rights. </w:t>
      </w:r>
      <w:r w:rsidRPr="00741759">
        <w:rPr>
          <w:rFonts w:cs="Times New Roman"/>
          <w:sz w:val="24"/>
          <w:szCs w:val="24"/>
        </w:rPr>
        <w:t xml:space="preserve">In Kiribati, although the </w:t>
      </w:r>
      <w:r w:rsidR="00925C1D" w:rsidRPr="00E34CF6">
        <w:rPr>
          <w:rFonts w:cs="Times New Roman"/>
          <w:sz w:val="24"/>
          <w:szCs w:val="24"/>
        </w:rPr>
        <w:t>VNR</w:t>
      </w:r>
      <w:r w:rsidRPr="00E34CF6">
        <w:rPr>
          <w:rFonts w:cs="Times New Roman"/>
          <w:sz w:val="24"/>
          <w:szCs w:val="24"/>
        </w:rPr>
        <w:t xml:space="preserve"> estimate</w:t>
      </w:r>
      <w:r w:rsidR="00925C1D" w:rsidRPr="00E34CF6">
        <w:rPr>
          <w:rFonts w:cs="Times New Roman"/>
          <w:sz w:val="24"/>
          <w:szCs w:val="24"/>
        </w:rPr>
        <w:t>d</w:t>
      </w:r>
      <w:r w:rsidRPr="00E34CF6">
        <w:rPr>
          <w:rFonts w:cs="Times New Roman"/>
          <w:sz w:val="24"/>
          <w:szCs w:val="24"/>
        </w:rPr>
        <w:t xml:space="preserve"> a national poverty rate of 34% with female and elderly </w:t>
      </w:r>
      <w:r w:rsidR="002C1BF0" w:rsidRPr="00E34CF6">
        <w:rPr>
          <w:rFonts w:cs="Times New Roman"/>
          <w:sz w:val="24"/>
          <w:szCs w:val="24"/>
        </w:rPr>
        <w:t>households</w:t>
      </w:r>
      <w:r w:rsidRPr="00E34CF6">
        <w:rPr>
          <w:rFonts w:cs="Times New Roman"/>
          <w:sz w:val="24"/>
          <w:szCs w:val="24"/>
        </w:rPr>
        <w:t xml:space="preserve"> overrepresented in the poorest 24% of house</w:t>
      </w:r>
      <w:r w:rsidR="00CB075D" w:rsidRPr="00FF73DA">
        <w:rPr>
          <w:rFonts w:cs="Times New Roman"/>
          <w:sz w:val="24"/>
          <w:szCs w:val="24"/>
        </w:rPr>
        <w:t>h</w:t>
      </w:r>
      <w:r w:rsidRPr="00E34CF6">
        <w:rPr>
          <w:rFonts w:cs="Times New Roman"/>
          <w:sz w:val="24"/>
          <w:szCs w:val="24"/>
        </w:rPr>
        <w:t>old, children</w:t>
      </w:r>
      <w:r w:rsidR="00522B6E" w:rsidRPr="00FF73DA">
        <w:rPr>
          <w:rFonts w:cs="Times New Roman"/>
          <w:sz w:val="24"/>
          <w:szCs w:val="24"/>
        </w:rPr>
        <w:t>,</w:t>
      </w:r>
      <w:r w:rsidRPr="00E34CF6">
        <w:rPr>
          <w:rFonts w:cs="Times New Roman"/>
          <w:sz w:val="24"/>
          <w:szCs w:val="24"/>
        </w:rPr>
        <w:t xml:space="preserve"> including children with disabilities, are more likely to experience poverty.</w:t>
      </w:r>
      <w:r w:rsidRPr="00D5352F">
        <w:rPr>
          <w:rFonts w:cs="Times New Roman"/>
          <w:sz w:val="24"/>
          <w:szCs w:val="24"/>
        </w:rPr>
        <w:t xml:space="preserve"> In Lithuania</w:t>
      </w:r>
      <w:r w:rsidR="007F16C3">
        <w:rPr>
          <w:rFonts w:cs="Times New Roman"/>
          <w:sz w:val="24"/>
          <w:szCs w:val="24"/>
        </w:rPr>
        <w:t>,</w:t>
      </w:r>
      <w:r w:rsidRPr="00D5352F">
        <w:rPr>
          <w:rFonts w:cs="Times New Roman"/>
          <w:sz w:val="24"/>
          <w:szCs w:val="24"/>
        </w:rPr>
        <w:t xml:space="preserve"> the deinstitutionalization is not </w:t>
      </w:r>
      <w:r w:rsidR="002C1BF0" w:rsidRPr="00D5352F">
        <w:rPr>
          <w:rFonts w:cs="Times New Roman"/>
          <w:sz w:val="24"/>
          <w:szCs w:val="24"/>
        </w:rPr>
        <w:t>ambitious</w:t>
      </w:r>
      <w:r w:rsidRPr="00D5352F">
        <w:rPr>
          <w:rFonts w:cs="Times New Roman"/>
          <w:sz w:val="24"/>
          <w:szCs w:val="24"/>
        </w:rPr>
        <w:t xml:space="preserve"> enough</w:t>
      </w:r>
      <w:r w:rsidR="007F16C3">
        <w:rPr>
          <w:rFonts w:cs="Times New Roman"/>
          <w:sz w:val="24"/>
          <w:szCs w:val="24"/>
        </w:rPr>
        <w:t>. C</w:t>
      </w:r>
      <w:r w:rsidRPr="00D5352F">
        <w:rPr>
          <w:rFonts w:cs="Times New Roman"/>
          <w:sz w:val="24"/>
          <w:szCs w:val="24"/>
        </w:rPr>
        <w:t xml:space="preserve">urrently, there are 6,000 children with </w:t>
      </w:r>
      <w:r w:rsidR="00A80100">
        <w:rPr>
          <w:rFonts w:cs="Times New Roman"/>
          <w:sz w:val="24"/>
          <w:szCs w:val="24"/>
        </w:rPr>
        <w:t xml:space="preserve">parents </w:t>
      </w:r>
      <w:r w:rsidRPr="00D5352F">
        <w:rPr>
          <w:rFonts w:cs="Times New Roman"/>
          <w:sz w:val="24"/>
          <w:szCs w:val="24"/>
        </w:rPr>
        <w:t xml:space="preserve">in social care homes, while the waiting list is growing by 200 </w:t>
      </w:r>
      <w:proofErr w:type="gramStart"/>
      <w:r w:rsidRPr="00D5352F">
        <w:rPr>
          <w:rFonts w:cs="Times New Roman"/>
          <w:sz w:val="24"/>
          <w:szCs w:val="24"/>
        </w:rPr>
        <w:t>monthly</w:t>
      </w:r>
      <w:proofErr w:type="gramEnd"/>
      <w:r w:rsidRPr="00D5352F">
        <w:rPr>
          <w:rFonts w:cs="Times New Roman"/>
          <w:sz w:val="24"/>
          <w:szCs w:val="24"/>
        </w:rPr>
        <w:t xml:space="preserve">.  Children and persons with disabilities must be living in the community. The panel was then asked, what </w:t>
      </w:r>
      <w:r w:rsidR="00012F13">
        <w:rPr>
          <w:rFonts w:cs="Times New Roman"/>
          <w:sz w:val="24"/>
          <w:szCs w:val="24"/>
        </w:rPr>
        <w:t xml:space="preserve">its </w:t>
      </w:r>
      <w:r w:rsidRPr="00D5352F">
        <w:rPr>
          <w:rFonts w:cs="Times New Roman"/>
          <w:sz w:val="24"/>
          <w:szCs w:val="24"/>
        </w:rPr>
        <w:t xml:space="preserve">plans </w:t>
      </w:r>
      <w:r w:rsidR="00012F13">
        <w:rPr>
          <w:rFonts w:cs="Times New Roman"/>
          <w:sz w:val="24"/>
          <w:szCs w:val="24"/>
        </w:rPr>
        <w:t xml:space="preserve">were </w:t>
      </w:r>
      <w:r w:rsidRPr="00D5352F">
        <w:rPr>
          <w:rFonts w:cs="Times New Roman"/>
          <w:sz w:val="24"/>
          <w:szCs w:val="24"/>
        </w:rPr>
        <w:t>to create mechanisms to engage youth, women, persons with disabilities, outer island populations, and other populations at risk of being left behind in the monitoring and implementation of the SDGs</w:t>
      </w:r>
      <w:r w:rsidR="000D0809">
        <w:rPr>
          <w:rFonts w:cs="Times New Roman"/>
          <w:sz w:val="24"/>
          <w:szCs w:val="24"/>
        </w:rPr>
        <w:t>.</w:t>
      </w:r>
      <w:r w:rsidRPr="00D5352F">
        <w:rPr>
          <w:rFonts w:cs="Times New Roman"/>
          <w:sz w:val="24"/>
          <w:szCs w:val="24"/>
        </w:rPr>
        <w:t xml:space="preserve">  </w:t>
      </w:r>
    </w:p>
    <w:p w14:paraId="67EBF8E1" w14:textId="4A425542" w:rsidR="004B457E" w:rsidRPr="00D5352F" w:rsidRDefault="004B457E" w:rsidP="00D5352F">
      <w:pPr>
        <w:spacing w:line="276" w:lineRule="auto"/>
        <w:jc w:val="both"/>
        <w:rPr>
          <w:rFonts w:cs="Times New Roman"/>
          <w:sz w:val="24"/>
          <w:szCs w:val="24"/>
        </w:rPr>
      </w:pPr>
      <w:proofErr w:type="spellStart"/>
      <w:r w:rsidRPr="00D5352F">
        <w:rPr>
          <w:rFonts w:cs="Times New Roman"/>
          <w:sz w:val="24"/>
          <w:szCs w:val="24"/>
        </w:rPr>
        <w:t>Teuea</w:t>
      </w:r>
      <w:proofErr w:type="spellEnd"/>
      <w:r w:rsidR="00397AD6">
        <w:rPr>
          <w:rFonts w:cs="Times New Roman"/>
          <w:sz w:val="24"/>
          <w:szCs w:val="24"/>
        </w:rPr>
        <w:t xml:space="preserve"> </w:t>
      </w:r>
      <w:proofErr w:type="spellStart"/>
      <w:r w:rsidRPr="00D5352F">
        <w:rPr>
          <w:rFonts w:cs="Times New Roman"/>
          <w:sz w:val="24"/>
          <w:szCs w:val="24"/>
        </w:rPr>
        <w:t>Toatu</w:t>
      </w:r>
      <w:proofErr w:type="spellEnd"/>
      <w:r w:rsidRPr="00D5352F">
        <w:rPr>
          <w:rFonts w:cs="Times New Roman"/>
          <w:sz w:val="24"/>
          <w:szCs w:val="24"/>
        </w:rPr>
        <w:t xml:space="preserve">, Minister for Finance and Economic Development, in response to a question from </w:t>
      </w:r>
      <w:r w:rsidR="00941625">
        <w:rPr>
          <w:rFonts w:cs="Times New Roman"/>
          <w:sz w:val="24"/>
          <w:szCs w:val="24"/>
        </w:rPr>
        <w:t>M</w:t>
      </w:r>
      <w:r w:rsidRPr="00D5352F">
        <w:rPr>
          <w:rFonts w:cs="Times New Roman"/>
          <w:sz w:val="24"/>
          <w:szCs w:val="24"/>
        </w:rPr>
        <w:t xml:space="preserve">ajor </w:t>
      </w:r>
      <w:r w:rsidR="00941625">
        <w:rPr>
          <w:rFonts w:cs="Times New Roman"/>
          <w:sz w:val="24"/>
          <w:szCs w:val="24"/>
        </w:rPr>
        <w:t>G</w:t>
      </w:r>
      <w:r w:rsidRPr="00D5352F">
        <w:rPr>
          <w:rFonts w:cs="Times New Roman"/>
          <w:sz w:val="24"/>
          <w:szCs w:val="24"/>
        </w:rPr>
        <w:t xml:space="preserve">roups and other </w:t>
      </w:r>
      <w:r w:rsidR="00941625">
        <w:rPr>
          <w:rFonts w:cs="Times New Roman"/>
          <w:sz w:val="24"/>
          <w:szCs w:val="24"/>
        </w:rPr>
        <w:t>S</w:t>
      </w:r>
      <w:r w:rsidRPr="00D5352F">
        <w:rPr>
          <w:rFonts w:cs="Times New Roman"/>
          <w:sz w:val="24"/>
          <w:szCs w:val="24"/>
        </w:rPr>
        <w:t>takeholders</w:t>
      </w:r>
      <w:r w:rsidR="00732850">
        <w:rPr>
          <w:rFonts w:cs="Times New Roman"/>
          <w:sz w:val="24"/>
          <w:szCs w:val="24"/>
        </w:rPr>
        <w:t>,</w:t>
      </w:r>
      <w:r w:rsidRPr="00D5352F">
        <w:rPr>
          <w:rFonts w:cs="Times New Roman"/>
          <w:sz w:val="24"/>
          <w:szCs w:val="24"/>
        </w:rPr>
        <w:t xml:space="preserve"> highlighted that Kiribati offers special </w:t>
      </w:r>
      <w:r w:rsidR="00053067">
        <w:rPr>
          <w:rFonts w:cs="Times New Roman"/>
          <w:sz w:val="24"/>
          <w:szCs w:val="24"/>
        </w:rPr>
        <w:t xml:space="preserve">personal </w:t>
      </w:r>
      <w:r w:rsidRPr="00D5352F">
        <w:rPr>
          <w:rFonts w:cs="Times New Roman"/>
          <w:sz w:val="24"/>
          <w:szCs w:val="24"/>
        </w:rPr>
        <w:t xml:space="preserve">assistance to </w:t>
      </w:r>
      <w:r w:rsidR="00941625">
        <w:rPr>
          <w:rFonts w:cs="Times New Roman"/>
          <w:sz w:val="24"/>
          <w:szCs w:val="24"/>
        </w:rPr>
        <w:t>p</w:t>
      </w:r>
      <w:r w:rsidRPr="00D5352F">
        <w:rPr>
          <w:rFonts w:cs="Times New Roman"/>
          <w:sz w:val="24"/>
          <w:szCs w:val="24"/>
        </w:rPr>
        <w:t xml:space="preserve">ersons with </w:t>
      </w:r>
      <w:r w:rsidR="00941625">
        <w:rPr>
          <w:rFonts w:cs="Times New Roman"/>
          <w:sz w:val="24"/>
          <w:szCs w:val="24"/>
        </w:rPr>
        <w:t>d</w:t>
      </w:r>
      <w:r w:rsidRPr="00D5352F">
        <w:rPr>
          <w:rFonts w:cs="Times New Roman"/>
          <w:sz w:val="24"/>
          <w:szCs w:val="24"/>
        </w:rPr>
        <w:t xml:space="preserve">isabilities. </w:t>
      </w:r>
    </w:p>
    <w:p w14:paraId="62B7CEAA" w14:textId="3F99DB4F" w:rsidR="004B457E" w:rsidRPr="002F6296" w:rsidRDefault="000E21CC" w:rsidP="00613C54">
      <w:pPr>
        <w:pStyle w:val="Heading2"/>
        <w:spacing w:after="0" w:afterAutospacing="0"/>
      </w:pPr>
      <w:bookmarkStart w:id="40" w:name="_Toc531264891"/>
      <w:r>
        <w:lastRenderedPageBreak/>
        <w:t>Greece, Guinea, Mexico</w:t>
      </w:r>
      <w:r w:rsidR="00D06A80">
        <w:t>,</w:t>
      </w:r>
      <w:r>
        <w:t xml:space="preserve"> United Arab Emirates</w:t>
      </w:r>
      <w:bookmarkEnd w:id="40"/>
    </w:p>
    <w:p w14:paraId="4080446C" w14:textId="77777777" w:rsidR="004B457E" w:rsidRPr="00613C54" w:rsidRDefault="004B457E" w:rsidP="00613C54">
      <w:pPr>
        <w:spacing w:after="0"/>
        <w:rPr>
          <w:b/>
          <w:sz w:val="24"/>
          <w:szCs w:val="24"/>
        </w:rPr>
      </w:pPr>
      <w:r w:rsidRPr="00613C54">
        <w:rPr>
          <w:b/>
          <w:sz w:val="24"/>
          <w:szCs w:val="24"/>
        </w:rPr>
        <w:t>Greece</w:t>
      </w:r>
    </w:p>
    <w:p w14:paraId="76837845" w14:textId="2D4F064B" w:rsidR="00DD0B59" w:rsidRPr="00FF73DA" w:rsidRDefault="004B457E" w:rsidP="00DD0B59">
      <w:pPr>
        <w:rPr>
          <w:rFonts w:cs="Times New Roman"/>
          <w:sz w:val="24"/>
          <w:szCs w:val="24"/>
        </w:rPr>
      </w:pPr>
      <w:r w:rsidRPr="002F6296">
        <w:rPr>
          <w:rFonts w:cs="Times New Roman"/>
          <w:sz w:val="24"/>
          <w:szCs w:val="24"/>
        </w:rPr>
        <w:t xml:space="preserve">During a session of individual </w:t>
      </w:r>
      <w:r w:rsidR="009F4D57">
        <w:rPr>
          <w:rFonts w:cs="Times New Roman"/>
          <w:sz w:val="24"/>
          <w:szCs w:val="24"/>
        </w:rPr>
        <w:t xml:space="preserve">VNR </w:t>
      </w:r>
      <w:r w:rsidRPr="002F6296">
        <w:rPr>
          <w:rFonts w:cs="Times New Roman"/>
          <w:sz w:val="24"/>
          <w:szCs w:val="24"/>
        </w:rPr>
        <w:t xml:space="preserve">presentations, </w:t>
      </w:r>
      <w:r w:rsidR="00CD16E6">
        <w:rPr>
          <w:rFonts w:cs="Times New Roman"/>
          <w:sz w:val="24"/>
          <w:szCs w:val="24"/>
        </w:rPr>
        <w:t xml:space="preserve">Member </w:t>
      </w:r>
      <w:r w:rsidRPr="002F6296">
        <w:rPr>
          <w:rFonts w:cs="Times New Roman"/>
          <w:sz w:val="24"/>
          <w:szCs w:val="24"/>
        </w:rPr>
        <w:t xml:space="preserve">States highlighted the rights of </w:t>
      </w:r>
      <w:r w:rsidR="00F239BD">
        <w:rPr>
          <w:rFonts w:cs="Times New Roman"/>
          <w:sz w:val="24"/>
          <w:szCs w:val="24"/>
        </w:rPr>
        <w:t>p</w:t>
      </w:r>
      <w:r w:rsidRPr="002F6296">
        <w:rPr>
          <w:rFonts w:cs="Times New Roman"/>
          <w:sz w:val="24"/>
          <w:szCs w:val="24"/>
        </w:rPr>
        <w:t xml:space="preserve">ersons with disabilities in the context of education. In this session, </w:t>
      </w:r>
      <w:r w:rsidR="003E7772" w:rsidRPr="002F6296">
        <w:rPr>
          <w:rFonts w:cs="Times New Roman"/>
          <w:sz w:val="24"/>
          <w:szCs w:val="24"/>
        </w:rPr>
        <w:t xml:space="preserve">Ana </w:t>
      </w:r>
      <w:proofErr w:type="spellStart"/>
      <w:r w:rsidR="003E7772" w:rsidRPr="002F6296">
        <w:rPr>
          <w:rFonts w:cs="Times New Roman"/>
          <w:sz w:val="24"/>
          <w:szCs w:val="24"/>
        </w:rPr>
        <w:t>P</w:t>
      </w:r>
      <w:r w:rsidR="00820D79">
        <w:rPr>
          <w:rFonts w:cs="Times New Roman"/>
          <w:sz w:val="24"/>
          <w:szCs w:val="24"/>
        </w:rPr>
        <w:t>el</w:t>
      </w:r>
      <w:r w:rsidR="00820D79" w:rsidRPr="00685A2A">
        <w:rPr>
          <w:rFonts w:cs="Times New Roman"/>
          <w:sz w:val="24"/>
          <w:szCs w:val="24"/>
        </w:rPr>
        <w:t>á</w:t>
      </w:r>
      <w:r w:rsidR="00820D79">
        <w:rPr>
          <w:rFonts w:cs="Times New Roman"/>
          <w:sz w:val="24"/>
          <w:szCs w:val="24"/>
        </w:rPr>
        <w:t>e</w:t>
      </w:r>
      <w:r w:rsidR="003E7772" w:rsidRPr="002F6296">
        <w:rPr>
          <w:rFonts w:cs="Times New Roman"/>
          <w:sz w:val="24"/>
          <w:szCs w:val="24"/>
        </w:rPr>
        <w:t>z</w:t>
      </w:r>
      <w:proofErr w:type="spellEnd"/>
      <w:r w:rsidR="003E7772">
        <w:rPr>
          <w:rFonts w:cs="Times New Roman"/>
          <w:sz w:val="24"/>
          <w:szCs w:val="24"/>
        </w:rPr>
        <w:t xml:space="preserve"> </w:t>
      </w:r>
      <w:proofErr w:type="spellStart"/>
      <w:r w:rsidR="003E7772" w:rsidRPr="002F6296">
        <w:rPr>
          <w:rFonts w:cs="Times New Roman"/>
          <w:sz w:val="24"/>
          <w:szCs w:val="24"/>
        </w:rPr>
        <w:t>Narváez</w:t>
      </w:r>
      <w:proofErr w:type="spellEnd"/>
      <w:r w:rsidR="003E7772" w:rsidRPr="002F6296" w:rsidDel="003E7772">
        <w:rPr>
          <w:rFonts w:cs="Times New Roman"/>
          <w:sz w:val="24"/>
          <w:szCs w:val="24"/>
        </w:rPr>
        <w:t xml:space="preserve"> </w:t>
      </w:r>
      <w:r w:rsidRPr="002F6296">
        <w:rPr>
          <w:rFonts w:cs="Times New Roman"/>
          <w:sz w:val="24"/>
          <w:szCs w:val="24"/>
        </w:rPr>
        <w:t xml:space="preserve">asked the </w:t>
      </w:r>
      <w:r w:rsidR="0002031F">
        <w:rPr>
          <w:rFonts w:cs="Times New Roman"/>
          <w:sz w:val="24"/>
          <w:szCs w:val="24"/>
        </w:rPr>
        <w:t>G</w:t>
      </w:r>
      <w:r w:rsidRPr="002F6296">
        <w:rPr>
          <w:rFonts w:cs="Times New Roman"/>
          <w:sz w:val="24"/>
          <w:szCs w:val="24"/>
        </w:rPr>
        <w:t>overnment of Greece</w:t>
      </w:r>
      <w:r w:rsidR="00B34668">
        <w:rPr>
          <w:rFonts w:cs="Times New Roman"/>
          <w:sz w:val="24"/>
          <w:szCs w:val="24"/>
        </w:rPr>
        <w:t xml:space="preserve"> about</w:t>
      </w:r>
      <w:r w:rsidRPr="002F6296">
        <w:rPr>
          <w:rFonts w:cs="Times New Roman"/>
          <w:sz w:val="24"/>
          <w:szCs w:val="24"/>
        </w:rPr>
        <w:t xml:space="preserve"> </w:t>
      </w:r>
      <w:r w:rsidR="00B34668" w:rsidRPr="00FF73DA">
        <w:rPr>
          <w:rFonts w:cs="Times New Roman"/>
          <w:sz w:val="24"/>
          <w:szCs w:val="24"/>
        </w:rPr>
        <w:t>their</w:t>
      </w:r>
      <w:r w:rsidRPr="00036456">
        <w:rPr>
          <w:rFonts w:cs="Times New Roman"/>
          <w:sz w:val="24"/>
          <w:szCs w:val="24"/>
        </w:rPr>
        <w:t xml:space="preserve"> </w:t>
      </w:r>
      <w:r w:rsidRPr="00371DE8">
        <w:rPr>
          <w:rFonts w:cs="Times New Roman"/>
          <w:sz w:val="24"/>
          <w:szCs w:val="24"/>
        </w:rPr>
        <w:t>comm</w:t>
      </w:r>
      <w:r w:rsidRPr="00DE2291">
        <w:rPr>
          <w:rFonts w:cs="Times New Roman"/>
          <w:sz w:val="24"/>
          <w:szCs w:val="24"/>
        </w:rPr>
        <w:t>itment</w:t>
      </w:r>
      <w:r w:rsidR="00B34668" w:rsidRPr="00FF73DA">
        <w:rPr>
          <w:rFonts w:cs="Times New Roman"/>
          <w:sz w:val="24"/>
          <w:szCs w:val="24"/>
        </w:rPr>
        <w:t>s</w:t>
      </w:r>
      <w:r w:rsidRPr="00036456">
        <w:rPr>
          <w:rFonts w:cs="Times New Roman"/>
          <w:sz w:val="24"/>
          <w:szCs w:val="24"/>
        </w:rPr>
        <w:t xml:space="preserve"> around the political participation </w:t>
      </w:r>
      <w:r w:rsidR="00B34668" w:rsidRPr="00FF73DA">
        <w:rPr>
          <w:rFonts w:cs="Times New Roman"/>
          <w:sz w:val="24"/>
          <w:szCs w:val="24"/>
        </w:rPr>
        <w:t>of</w:t>
      </w:r>
      <w:r w:rsidRPr="00036456">
        <w:rPr>
          <w:rFonts w:cs="Times New Roman"/>
          <w:sz w:val="24"/>
          <w:szCs w:val="24"/>
        </w:rPr>
        <w:t xml:space="preserve"> person</w:t>
      </w:r>
      <w:r w:rsidR="005A0B31" w:rsidRPr="00FF73DA">
        <w:rPr>
          <w:rFonts w:cs="Times New Roman"/>
          <w:sz w:val="24"/>
          <w:szCs w:val="24"/>
        </w:rPr>
        <w:t>s</w:t>
      </w:r>
      <w:r w:rsidRPr="00036456">
        <w:rPr>
          <w:rFonts w:cs="Times New Roman"/>
          <w:sz w:val="24"/>
          <w:szCs w:val="24"/>
        </w:rPr>
        <w:t xml:space="preserve"> with disabilities </w:t>
      </w:r>
      <w:r w:rsidR="000E4757" w:rsidRPr="00FF73DA">
        <w:rPr>
          <w:rFonts w:cs="Times New Roman"/>
          <w:sz w:val="24"/>
          <w:szCs w:val="24"/>
        </w:rPr>
        <w:t>as</w:t>
      </w:r>
      <w:r w:rsidRPr="00371DE8">
        <w:rPr>
          <w:rFonts w:cs="Times New Roman"/>
          <w:sz w:val="24"/>
          <w:szCs w:val="24"/>
        </w:rPr>
        <w:t xml:space="preserve"> full and engage</w:t>
      </w:r>
      <w:r w:rsidRPr="00DE2291">
        <w:rPr>
          <w:rFonts w:cs="Times New Roman"/>
          <w:sz w:val="24"/>
          <w:szCs w:val="24"/>
        </w:rPr>
        <w:t>d citizens</w:t>
      </w:r>
      <w:r w:rsidR="000C34C4" w:rsidRPr="00FF73DA">
        <w:rPr>
          <w:rFonts w:cs="Times New Roman"/>
          <w:sz w:val="24"/>
          <w:szCs w:val="24"/>
        </w:rPr>
        <w:t>. She noted that</w:t>
      </w:r>
      <w:r w:rsidRPr="00371DE8">
        <w:rPr>
          <w:rFonts w:cs="Times New Roman"/>
          <w:sz w:val="24"/>
          <w:szCs w:val="24"/>
        </w:rPr>
        <w:t xml:space="preserve"> measures must be taken to give all persons with disabilities the right </w:t>
      </w:r>
      <w:r w:rsidRPr="00B10BBF">
        <w:rPr>
          <w:rFonts w:cs="Times New Roman"/>
          <w:sz w:val="24"/>
          <w:szCs w:val="24"/>
        </w:rPr>
        <w:t xml:space="preserve">to vote, </w:t>
      </w:r>
      <w:r w:rsidR="00871081" w:rsidRPr="00FF73DA">
        <w:rPr>
          <w:rFonts w:cs="Times New Roman"/>
          <w:sz w:val="24"/>
          <w:szCs w:val="24"/>
        </w:rPr>
        <w:t xml:space="preserve">and </w:t>
      </w:r>
      <w:r w:rsidRPr="00036456">
        <w:rPr>
          <w:rFonts w:cs="Times New Roman"/>
          <w:sz w:val="24"/>
          <w:szCs w:val="24"/>
        </w:rPr>
        <w:t>not onl</w:t>
      </w:r>
      <w:r w:rsidRPr="00371DE8">
        <w:rPr>
          <w:rFonts w:cs="Times New Roman"/>
          <w:sz w:val="24"/>
          <w:szCs w:val="24"/>
        </w:rPr>
        <w:t>y person</w:t>
      </w:r>
      <w:r w:rsidR="00F239BD" w:rsidRPr="00DE2291">
        <w:rPr>
          <w:rFonts w:cs="Times New Roman"/>
          <w:sz w:val="24"/>
          <w:szCs w:val="24"/>
        </w:rPr>
        <w:t>s</w:t>
      </w:r>
      <w:r w:rsidRPr="00B10BBF">
        <w:rPr>
          <w:rFonts w:cs="Times New Roman"/>
          <w:sz w:val="24"/>
          <w:szCs w:val="24"/>
        </w:rPr>
        <w:t xml:space="preserve"> with physical disa</w:t>
      </w:r>
      <w:r w:rsidRPr="00156A7B">
        <w:rPr>
          <w:rFonts w:cs="Times New Roman"/>
          <w:sz w:val="24"/>
          <w:szCs w:val="24"/>
        </w:rPr>
        <w:t>bilities</w:t>
      </w:r>
      <w:r w:rsidR="00871081" w:rsidRPr="00FF73DA">
        <w:rPr>
          <w:rFonts w:cs="Times New Roman"/>
          <w:sz w:val="24"/>
          <w:szCs w:val="24"/>
        </w:rPr>
        <w:t>.</w:t>
      </w:r>
      <w:r w:rsidRPr="002F6296">
        <w:rPr>
          <w:rFonts w:cs="Times New Roman"/>
          <w:sz w:val="24"/>
          <w:szCs w:val="24"/>
        </w:rPr>
        <w:t xml:space="preserve"> Furthermore, </w:t>
      </w:r>
      <w:r w:rsidR="006656B2">
        <w:rPr>
          <w:rFonts w:cs="Times New Roman"/>
          <w:sz w:val="24"/>
          <w:szCs w:val="24"/>
        </w:rPr>
        <w:t xml:space="preserve">she highlighted that </w:t>
      </w:r>
      <w:r w:rsidRPr="002F6296">
        <w:rPr>
          <w:rFonts w:cs="Times New Roman"/>
          <w:sz w:val="24"/>
          <w:szCs w:val="24"/>
        </w:rPr>
        <w:t xml:space="preserve">leaving no one behind means ensuring the inclusion of marginalized groups, such as women, youth, persons with disabilities and others. </w:t>
      </w:r>
      <w:r w:rsidR="00DD0B59" w:rsidRPr="00D549AB">
        <w:rPr>
          <w:rFonts w:cstheme="minorHAnsi"/>
          <w:sz w:val="24"/>
          <w:szCs w:val="24"/>
        </w:rPr>
        <w:t>She</w:t>
      </w:r>
      <w:r w:rsidRPr="00D549AB">
        <w:rPr>
          <w:rFonts w:cstheme="minorHAnsi"/>
          <w:sz w:val="24"/>
          <w:szCs w:val="24"/>
        </w:rPr>
        <w:t xml:space="preserve"> </w:t>
      </w:r>
      <w:r w:rsidR="00DD0B59" w:rsidRPr="00FF73DA">
        <w:rPr>
          <w:rFonts w:eastAsia="Times New Roman" w:cstheme="minorHAnsi"/>
          <w:color w:val="222222"/>
          <w:sz w:val="24"/>
          <w:szCs w:val="24"/>
          <w:shd w:val="clear" w:color="auto" w:fill="FFFFFF"/>
        </w:rPr>
        <w:t>asked the Government of </w:t>
      </w:r>
      <w:r w:rsidR="00DD0B59" w:rsidRPr="00FF73DA">
        <w:rPr>
          <w:rFonts w:eastAsia="Times New Roman" w:cstheme="minorHAnsi"/>
          <w:bCs/>
          <w:color w:val="222222"/>
          <w:sz w:val="24"/>
          <w:szCs w:val="24"/>
          <w:shd w:val="clear" w:color="auto" w:fill="FFFFFF"/>
        </w:rPr>
        <w:t>Greece: “</w:t>
      </w:r>
      <w:r w:rsidR="00DD0B59" w:rsidRPr="00FF73DA">
        <w:rPr>
          <w:rFonts w:eastAsia="Times New Roman" w:cstheme="minorHAnsi"/>
          <w:color w:val="000000"/>
          <w:sz w:val="24"/>
          <w:szCs w:val="24"/>
          <w:shd w:val="clear" w:color="auto" w:fill="FFFFFF"/>
        </w:rPr>
        <w:t>It is highly important to have reliable, strong and accurate data. Could you elaborate on your strategy, in collaboration with your National Statistical Office, to collect data disaggregated by age, gender and disability</w:t>
      </w:r>
      <w:r w:rsidR="00DD0B59" w:rsidRPr="00FF73DA">
        <w:rPr>
          <w:rFonts w:eastAsia="Times New Roman" w:cstheme="minorHAnsi"/>
          <w:i/>
          <w:iCs/>
          <w:color w:val="000000"/>
          <w:sz w:val="24"/>
          <w:szCs w:val="24"/>
          <w:shd w:val="clear" w:color="auto" w:fill="FFFFFF"/>
        </w:rPr>
        <w:t>?”</w:t>
      </w:r>
      <w:r w:rsidR="00DD0B59" w:rsidRPr="00DD0B59">
        <w:rPr>
          <w:rFonts w:ascii="Georgia" w:eastAsia="Times New Roman" w:hAnsi="Georgia" w:cs="Times New Roman"/>
          <w:color w:val="222222"/>
          <w:sz w:val="24"/>
          <w:szCs w:val="24"/>
          <w:shd w:val="clear" w:color="auto" w:fill="FFFFFF"/>
        </w:rPr>
        <w:t> </w:t>
      </w:r>
      <w:hyperlink r:id="rId20" w:tgtFrame="_blank" w:history="1">
        <w:r w:rsidR="0009301E" w:rsidRPr="00F14A6F">
          <w:rPr>
            <w:rStyle w:val="Hyperlink"/>
            <w:rFonts w:cstheme="minorHAnsi"/>
            <w:b/>
            <w:bCs/>
            <w:sz w:val="24"/>
            <w:szCs w:val="24"/>
            <w:shd w:val="clear" w:color="auto" w:fill="FFFFFF"/>
          </w:rPr>
          <w:t>Click here to read the full statement.</w:t>
        </w:r>
      </w:hyperlink>
    </w:p>
    <w:p w14:paraId="4C89EAA4" w14:textId="63D27E94" w:rsidR="0010100F" w:rsidRDefault="004B457E" w:rsidP="0010100F">
      <w:r w:rsidRPr="002F6296">
        <w:rPr>
          <w:rFonts w:cs="Times New Roman"/>
          <w:sz w:val="24"/>
          <w:szCs w:val="24"/>
        </w:rPr>
        <w:t xml:space="preserve">In response, His </w:t>
      </w:r>
      <w:r w:rsidR="00727B8D" w:rsidRPr="002F6296">
        <w:rPr>
          <w:rFonts w:cs="Times New Roman"/>
          <w:sz w:val="24"/>
          <w:szCs w:val="24"/>
        </w:rPr>
        <w:t>Excellency</w:t>
      </w:r>
      <w:r w:rsidRPr="002F6296">
        <w:rPr>
          <w:rFonts w:cs="Times New Roman"/>
          <w:sz w:val="24"/>
          <w:szCs w:val="24"/>
        </w:rPr>
        <w:t xml:space="preserve">, </w:t>
      </w:r>
      <w:r w:rsidR="00CC536B">
        <w:rPr>
          <w:rFonts w:cs="Times New Roman"/>
          <w:sz w:val="24"/>
          <w:szCs w:val="24"/>
        </w:rPr>
        <w:t>A</w:t>
      </w:r>
      <w:r w:rsidRPr="002F6296">
        <w:rPr>
          <w:rFonts w:cs="Times New Roman"/>
          <w:sz w:val="24"/>
          <w:szCs w:val="24"/>
        </w:rPr>
        <w:t xml:space="preserve">lternate </w:t>
      </w:r>
      <w:r w:rsidR="00CC536B">
        <w:rPr>
          <w:rFonts w:cs="Times New Roman"/>
          <w:sz w:val="24"/>
          <w:szCs w:val="24"/>
        </w:rPr>
        <w:t>M</w:t>
      </w:r>
      <w:r w:rsidRPr="002F6296">
        <w:rPr>
          <w:rFonts w:cs="Times New Roman"/>
          <w:sz w:val="24"/>
          <w:szCs w:val="24"/>
        </w:rPr>
        <w:t xml:space="preserve">inister of </w:t>
      </w:r>
      <w:r w:rsidR="00CC536B">
        <w:rPr>
          <w:rFonts w:cs="Times New Roman"/>
          <w:sz w:val="24"/>
          <w:szCs w:val="24"/>
        </w:rPr>
        <w:t>E</w:t>
      </w:r>
      <w:r w:rsidRPr="002F6296">
        <w:rPr>
          <w:rFonts w:cs="Times New Roman"/>
          <w:sz w:val="24"/>
          <w:szCs w:val="24"/>
        </w:rPr>
        <w:t xml:space="preserve">nvironment and </w:t>
      </w:r>
      <w:r w:rsidR="00CC536B">
        <w:rPr>
          <w:rFonts w:cs="Times New Roman"/>
          <w:sz w:val="24"/>
          <w:szCs w:val="24"/>
        </w:rPr>
        <w:t>E</w:t>
      </w:r>
      <w:r w:rsidRPr="002F6296">
        <w:rPr>
          <w:rFonts w:cs="Times New Roman"/>
          <w:sz w:val="24"/>
          <w:szCs w:val="24"/>
        </w:rPr>
        <w:t>nergy of Greece</w:t>
      </w:r>
      <w:r w:rsidR="00D51226">
        <w:rPr>
          <w:rFonts w:cs="Times New Roman"/>
          <w:sz w:val="24"/>
          <w:szCs w:val="24"/>
        </w:rPr>
        <w:t>,</w:t>
      </w:r>
      <w:r w:rsidRPr="002F6296">
        <w:rPr>
          <w:rFonts w:cs="Times New Roman"/>
          <w:sz w:val="24"/>
          <w:szCs w:val="24"/>
        </w:rPr>
        <w:t xml:space="preserve"> emphasised that Greece looks forward to a </w:t>
      </w:r>
      <w:r w:rsidR="003A7784">
        <w:rPr>
          <w:rFonts w:cs="Times New Roman"/>
          <w:sz w:val="24"/>
          <w:szCs w:val="24"/>
        </w:rPr>
        <w:t xml:space="preserve">society </w:t>
      </w:r>
      <w:r w:rsidRPr="002F6296">
        <w:rPr>
          <w:rFonts w:cs="Times New Roman"/>
          <w:sz w:val="24"/>
          <w:szCs w:val="24"/>
        </w:rPr>
        <w:t>without exclusion</w:t>
      </w:r>
      <w:r w:rsidR="003A7784">
        <w:rPr>
          <w:rFonts w:cs="Times New Roman"/>
          <w:sz w:val="24"/>
          <w:szCs w:val="24"/>
        </w:rPr>
        <w:t xml:space="preserve">.  He noted that this is why youth and persons with disabilities participate in the Economic and Social </w:t>
      </w:r>
      <w:r w:rsidR="00725455">
        <w:rPr>
          <w:rFonts w:cs="Times New Roman"/>
          <w:sz w:val="24"/>
          <w:szCs w:val="24"/>
        </w:rPr>
        <w:t>C</w:t>
      </w:r>
      <w:r w:rsidR="003A7784">
        <w:rPr>
          <w:rFonts w:cs="Times New Roman"/>
          <w:sz w:val="24"/>
          <w:szCs w:val="24"/>
        </w:rPr>
        <w:t>ommittee.</w:t>
      </w:r>
      <w:r w:rsidR="00725455">
        <w:rPr>
          <w:rFonts w:cs="Times New Roman"/>
          <w:sz w:val="24"/>
          <w:szCs w:val="24"/>
        </w:rPr>
        <w:t xml:space="preserve">  He highlighted that Greece had special policies in place for marginalized groups.  For example, Greece has a special policy for 2.5 million people without health insurance.  Finally, he noted that in their council, the federation of disabled persons plays a very important role in Greece’s discussions, as they want </w:t>
      </w:r>
      <w:r w:rsidR="00D73046">
        <w:rPr>
          <w:rFonts w:cs="Times New Roman"/>
          <w:sz w:val="24"/>
          <w:szCs w:val="24"/>
        </w:rPr>
        <w:t>everyone to be involved.</w:t>
      </w:r>
    </w:p>
    <w:p w14:paraId="55CA3FDC" w14:textId="77777777" w:rsidR="00613C54" w:rsidRDefault="00613C54" w:rsidP="00613C54">
      <w:pPr>
        <w:spacing w:after="0"/>
        <w:rPr>
          <w:b/>
          <w:sz w:val="24"/>
          <w:szCs w:val="24"/>
        </w:rPr>
      </w:pPr>
    </w:p>
    <w:p w14:paraId="4B00BC2E" w14:textId="77777777" w:rsidR="004B457E" w:rsidRPr="00613C54" w:rsidRDefault="004B457E" w:rsidP="00613C54">
      <w:pPr>
        <w:spacing w:after="0"/>
        <w:rPr>
          <w:b/>
          <w:sz w:val="24"/>
          <w:szCs w:val="24"/>
        </w:rPr>
      </w:pPr>
      <w:r w:rsidRPr="00613C54">
        <w:rPr>
          <w:b/>
          <w:sz w:val="24"/>
          <w:szCs w:val="24"/>
        </w:rPr>
        <w:t>Mexico</w:t>
      </w:r>
    </w:p>
    <w:p w14:paraId="764001B5" w14:textId="64AFDBD4" w:rsidR="004B457E" w:rsidRPr="002F6296" w:rsidRDefault="00AA2CFD" w:rsidP="002F6296">
      <w:pPr>
        <w:spacing w:after="0" w:line="276" w:lineRule="auto"/>
        <w:jc w:val="both"/>
        <w:rPr>
          <w:rFonts w:cs="Times New Roman"/>
          <w:sz w:val="24"/>
          <w:szCs w:val="24"/>
        </w:rPr>
      </w:pPr>
      <w:r>
        <w:rPr>
          <w:rFonts w:cs="Times New Roman"/>
          <w:sz w:val="24"/>
          <w:szCs w:val="24"/>
        </w:rPr>
        <w:t>A</w:t>
      </w:r>
      <w:r w:rsidRPr="002F6296">
        <w:rPr>
          <w:rFonts w:cs="Times New Roman"/>
          <w:sz w:val="24"/>
          <w:szCs w:val="24"/>
        </w:rPr>
        <w:t xml:space="preserve"> </w:t>
      </w:r>
      <w:r w:rsidR="004B457E" w:rsidRPr="002F6296">
        <w:rPr>
          <w:rFonts w:cs="Times New Roman"/>
          <w:sz w:val="24"/>
          <w:szCs w:val="24"/>
        </w:rPr>
        <w:t xml:space="preserve">representative </w:t>
      </w:r>
      <w:r w:rsidR="00B93782">
        <w:rPr>
          <w:rFonts w:cs="Times New Roman"/>
          <w:sz w:val="24"/>
          <w:szCs w:val="24"/>
        </w:rPr>
        <w:t>from</w:t>
      </w:r>
      <w:r w:rsidR="004B457E" w:rsidRPr="002F6296">
        <w:rPr>
          <w:rFonts w:cs="Times New Roman"/>
          <w:sz w:val="24"/>
          <w:szCs w:val="24"/>
        </w:rPr>
        <w:t xml:space="preserve"> </w:t>
      </w:r>
      <w:r w:rsidR="00D104E1">
        <w:rPr>
          <w:rFonts w:cs="Times New Roman"/>
          <w:sz w:val="24"/>
          <w:szCs w:val="24"/>
        </w:rPr>
        <w:t xml:space="preserve">the </w:t>
      </w:r>
      <w:r w:rsidR="007C55F5">
        <w:rPr>
          <w:rFonts w:cs="Times New Roman"/>
          <w:sz w:val="24"/>
          <w:szCs w:val="24"/>
        </w:rPr>
        <w:t>I</w:t>
      </w:r>
      <w:r w:rsidR="004B457E" w:rsidRPr="002F6296">
        <w:rPr>
          <w:rFonts w:cs="Times New Roman"/>
          <w:sz w:val="24"/>
          <w:szCs w:val="24"/>
        </w:rPr>
        <w:t xml:space="preserve">ndigenous </w:t>
      </w:r>
      <w:r w:rsidR="007C55F5">
        <w:rPr>
          <w:rFonts w:cs="Times New Roman"/>
          <w:sz w:val="24"/>
          <w:szCs w:val="24"/>
        </w:rPr>
        <w:t>P</w:t>
      </w:r>
      <w:r w:rsidR="004B457E" w:rsidRPr="002F6296">
        <w:rPr>
          <w:rFonts w:cs="Times New Roman"/>
          <w:sz w:val="24"/>
          <w:szCs w:val="24"/>
        </w:rPr>
        <w:t>eople</w:t>
      </w:r>
      <w:r w:rsidR="007C55F5">
        <w:rPr>
          <w:rFonts w:cs="Times New Roman"/>
          <w:sz w:val="24"/>
          <w:szCs w:val="24"/>
        </w:rPr>
        <w:t>s</w:t>
      </w:r>
      <w:r w:rsidR="00E34CF6">
        <w:rPr>
          <w:rFonts w:cs="Times New Roman"/>
          <w:sz w:val="24"/>
          <w:szCs w:val="24"/>
        </w:rPr>
        <w:t>’</w:t>
      </w:r>
      <w:r w:rsidR="007C55F5">
        <w:rPr>
          <w:rFonts w:cs="Times New Roman"/>
          <w:sz w:val="24"/>
          <w:szCs w:val="24"/>
        </w:rPr>
        <w:t xml:space="preserve"> Major Group</w:t>
      </w:r>
      <w:r w:rsidR="004B457E" w:rsidRPr="002F6296">
        <w:rPr>
          <w:rFonts w:cs="Times New Roman"/>
          <w:sz w:val="24"/>
          <w:szCs w:val="24"/>
        </w:rPr>
        <w:t xml:space="preserve"> asked Mexico</w:t>
      </w:r>
      <w:r w:rsidR="00365F23">
        <w:rPr>
          <w:rFonts w:cs="Times New Roman"/>
          <w:sz w:val="24"/>
          <w:szCs w:val="24"/>
        </w:rPr>
        <w:t>:</w:t>
      </w:r>
      <w:r w:rsidR="004B457E" w:rsidRPr="002F6296">
        <w:rPr>
          <w:rFonts w:cs="Times New Roman"/>
          <w:sz w:val="24"/>
          <w:szCs w:val="24"/>
        </w:rPr>
        <w:t xml:space="preserve"> “What is Mexico's </w:t>
      </w:r>
      <w:r w:rsidR="004B457E" w:rsidRPr="00AD657A">
        <w:rPr>
          <w:rFonts w:cs="Times New Roman"/>
          <w:sz w:val="24"/>
          <w:szCs w:val="24"/>
        </w:rPr>
        <w:t>strateg</w:t>
      </w:r>
      <w:r w:rsidR="00AD657A" w:rsidRPr="00FF73DA">
        <w:rPr>
          <w:rFonts w:cs="Times New Roman"/>
          <w:sz w:val="24"/>
          <w:szCs w:val="24"/>
        </w:rPr>
        <w:t>y</w:t>
      </w:r>
      <w:r w:rsidR="004B457E" w:rsidRPr="002F6296">
        <w:rPr>
          <w:rFonts w:cs="Times New Roman"/>
          <w:sz w:val="24"/>
          <w:szCs w:val="24"/>
        </w:rPr>
        <w:t xml:space="preserve"> to implement and to guarantee both data </w:t>
      </w:r>
      <w:r w:rsidR="00175817" w:rsidRPr="002F6296">
        <w:rPr>
          <w:rFonts w:cs="Times New Roman"/>
          <w:sz w:val="24"/>
          <w:szCs w:val="24"/>
        </w:rPr>
        <w:t>d</w:t>
      </w:r>
      <w:r w:rsidR="00175817">
        <w:rPr>
          <w:rFonts w:cs="Times New Roman"/>
          <w:sz w:val="24"/>
          <w:szCs w:val="24"/>
        </w:rPr>
        <w:t>isaggregation</w:t>
      </w:r>
      <w:r w:rsidR="00175817" w:rsidRPr="002F6296">
        <w:rPr>
          <w:rFonts w:cs="Times New Roman"/>
          <w:sz w:val="24"/>
          <w:szCs w:val="24"/>
        </w:rPr>
        <w:t xml:space="preserve"> </w:t>
      </w:r>
      <w:r w:rsidR="004B457E" w:rsidRPr="002F6296">
        <w:rPr>
          <w:rFonts w:cs="Times New Roman"/>
          <w:sz w:val="24"/>
          <w:szCs w:val="24"/>
        </w:rPr>
        <w:t>which are appropriate for the participation of women, children, persons of African d</w:t>
      </w:r>
      <w:r w:rsidR="00365F23">
        <w:rPr>
          <w:rFonts w:cs="Times New Roman"/>
          <w:sz w:val="24"/>
          <w:szCs w:val="24"/>
        </w:rPr>
        <w:t>esce</w:t>
      </w:r>
      <w:r w:rsidR="004B457E" w:rsidRPr="002F6296">
        <w:rPr>
          <w:rFonts w:cs="Times New Roman"/>
          <w:sz w:val="24"/>
          <w:szCs w:val="24"/>
        </w:rPr>
        <w:t>nt, persons with disabilities and LGBT</w:t>
      </w:r>
      <w:r w:rsidR="00481AAD">
        <w:rPr>
          <w:rFonts w:cs="Times New Roman"/>
          <w:sz w:val="24"/>
          <w:szCs w:val="24"/>
        </w:rPr>
        <w:t>QI</w:t>
      </w:r>
      <w:r w:rsidR="004B457E" w:rsidRPr="002F6296">
        <w:rPr>
          <w:rFonts w:cs="Times New Roman"/>
          <w:sz w:val="24"/>
          <w:szCs w:val="24"/>
        </w:rPr>
        <w:t xml:space="preserve"> populations </w:t>
      </w:r>
      <w:r w:rsidR="00F24933" w:rsidRPr="002F6296">
        <w:rPr>
          <w:rFonts w:cs="Times New Roman"/>
          <w:sz w:val="24"/>
          <w:szCs w:val="24"/>
        </w:rPr>
        <w:t>to</w:t>
      </w:r>
      <w:r w:rsidR="004B457E" w:rsidRPr="002F6296">
        <w:rPr>
          <w:rFonts w:cs="Times New Roman"/>
          <w:sz w:val="24"/>
          <w:szCs w:val="24"/>
        </w:rPr>
        <w:t xml:space="preserve"> leave no</w:t>
      </w:r>
      <w:r w:rsidR="0006653F">
        <w:rPr>
          <w:rFonts w:cs="Times New Roman"/>
          <w:sz w:val="24"/>
          <w:szCs w:val="24"/>
        </w:rPr>
        <w:t xml:space="preserve"> one</w:t>
      </w:r>
      <w:r w:rsidR="004B457E" w:rsidRPr="002F6296">
        <w:rPr>
          <w:rFonts w:cs="Times New Roman"/>
          <w:sz w:val="24"/>
          <w:szCs w:val="24"/>
        </w:rPr>
        <w:t xml:space="preserve"> behind, as well as to respect </w:t>
      </w:r>
      <w:r w:rsidR="000F0190">
        <w:rPr>
          <w:rFonts w:cs="Times New Roman"/>
          <w:sz w:val="24"/>
          <w:szCs w:val="24"/>
        </w:rPr>
        <w:t>f</w:t>
      </w:r>
      <w:r w:rsidR="004B457E" w:rsidRPr="00481AAD">
        <w:rPr>
          <w:rFonts w:cs="Times New Roman"/>
          <w:sz w:val="24"/>
          <w:szCs w:val="24"/>
        </w:rPr>
        <w:t>r</w:t>
      </w:r>
      <w:r w:rsidR="000F0190">
        <w:rPr>
          <w:rFonts w:cs="Times New Roman"/>
          <w:sz w:val="24"/>
          <w:szCs w:val="24"/>
        </w:rPr>
        <w:t>e</w:t>
      </w:r>
      <w:r w:rsidR="004B457E" w:rsidRPr="00481AAD">
        <w:rPr>
          <w:rFonts w:cs="Times New Roman"/>
          <w:sz w:val="24"/>
          <w:szCs w:val="24"/>
        </w:rPr>
        <w:t>e, prior</w:t>
      </w:r>
      <w:r w:rsidR="004B457E" w:rsidRPr="002F6296">
        <w:rPr>
          <w:rFonts w:cs="Times New Roman"/>
          <w:sz w:val="24"/>
          <w:szCs w:val="24"/>
        </w:rPr>
        <w:t xml:space="preserve"> and informed consent of indigenous people?”  </w:t>
      </w:r>
      <w:r w:rsidR="00727B8D" w:rsidRPr="002F6296">
        <w:rPr>
          <w:rFonts w:cs="Times New Roman"/>
          <w:sz w:val="24"/>
          <w:szCs w:val="24"/>
        </w:rPr>
        <w:t>However</w:t>
      </w:r>
      <w:r w:rsidR="004B457E" w:rsidRPr="002F6296">
        <w:rPr>
          <w:rFonts w:cs="Times New Roman"/>
          <w:sz w:val="24"/>
          <w:szCs w:val="24"/>
        </w:rPr>
        <w:t xml:space="preserve">, due to time constraints, the </w:t>
      </w:r>
      <w:r w:rsidR="00D21445">
        <w:rPr>
          <w:rFonts w:cs="Times New Roman"/>
          <w:sz w:val="24"/>
          <w:szCs w:val="24"/>
        </w:rPr>
        <w:t>G</w:t>
      </w:r>
      <w:r w:rsidR="003905A8">
        <w:rPr>
          <w:rFonts w:cs="Times New Roman"/>
          <w:sz w:val="24"/>
          <w:szCs w:val="24"/>
        </w:rPr>
        <w:t xml:space="preserve">overnment </w:t>
      </w:r>
      <w:r w:rsidR="00D21445">
        <w:rPr>
          <w:rFonts w:cs="Times New Roman"/>
          <w:sz w:val="24"/>
          <w:szCs w:val="24"/>
        </w:rPr>
        <w:t xml:space="preserve">of Mexico </w:t>
      </w:r>
      <w:r w:rsidR="00AD5843">
        <w:rPr>
          <w:rFonts w:cs="Times New Roman"/>
          <w:sz w:val="24"/>
          <w:szCs w:val="24"/>
        </w:rPr>
        <w:t>was unable to respond to the question</w:t>
      </w:r>
      <w:r w:rsidR="004B457E" w:rsidRPr="002F6296">
        <w:rPr>
          <w:rFonts w:cs="Times New Roman"/>
          <w:sz w:val="24"/>
          <w:szCs w:val="24"/>
        </w:rPr>
        <w:t>.</w:t>
      </w:r>
    </w:p>
    <w:p w14:paraId="108E6428" w14:textId="77777777" w:rsidR="00613C54" w:rsidRDefault="00613C54" w:rsidP="00613C54">
      <w:pPr>
        <w:spacing w:after="0"/>
        <w:rPr>
          <w:b/>
          <w:sz w:val="24"/>
          <w:szCs w:val="24"/>
        </w:rPr>
      </w:pPr>
    </w:p>
    <w:p w14:paraId="41A51F7C" w14:textId="49913AD1" w:rsidR="00061269" w:rsidRPr="00613C54" w:rsidRDefault="004B457E" w:rsidP="00613C54">
      <w:pPr>
        <w:spacing w:after="0"/>
        <w:rPr>
          <w:b/>
          <w:sz w:val="24"/>
          <w:szCs w:val="24"/>
        </w:rPr>
      </w:pPr>
      <w:r w:rsidRPr="00613C54">
        <w:rPr>
          <w:b/>
          <w:sz w:val="24"/>
          <w:szCs w:val="24"/>
        </w:rPr>
        <w:t>U</w:t>
      </w:r>
      <w:r w:rsidR="00E27405">
        <w:rPr>
          <w:b/>
          <w:sz w:val="24"/>
          <w:szCs w:val="24"/>
        </w:rPr>
        <w:t>nited Arab Emirates</w:t>
      </w:r>
      <w:r w:rsidR="00887309">
        <w:rPr>
          <w:b/>
          <w:sz w:val="24"/>
          <w:szCs w:val="24"/>
        </w:rPr>
        <w:t xml:space="preserve"> (UAE)</w:t>
      </w:r>
    </w:p>
    <w:p w14:paraId="41D899E3" w14:textId="12CD242D" w:rsidR="005C4939" w:rsidRDefault="004B457E" w:rsidP="00B4092A">
      <w:pPr>
        <w:spacing w:after="0" w:line="276" w:lineRule="auto"/>
        <w:jc w:val="both"/>
        <w:rPr>
          <w:rFonts w:cs="Times New Roman"/>
          <w:sz w:val="24"/>
          <w:szCs w:val="24"/>
        </w:rPr>
      </w:pPr>
      <w:r w:rsidRPr="002F6296">
        <w:rPr>
          <w:rFonts w:cs="Times New Roman"/>
          <w:sz w:val="24"/>
          <w:szCs w:val="24"/>
        </w:rPr>
        <w:t xml:space="preserve">Responding to remarks and questions from delegates, Abdulla </w:t>
      </w:r>
      <w:proofErr w:type="spellStart"/>
      <w:r w:rsidRPr="002F6296">
        <w:rPr>
          <w:rFonts w:cs="Times New Roman"/>
          <w:sz w:val="24"/>
          <w:szCs w:val="24"/>
        </w:rPr>
        <w:t>Lootah</w:t>
      </w:r>
      <w:proofErr w:type="spellEnd"/>
      <w:r w:rsidRPr="002F6296">
        <w:rPr>
          <w:rFonts w:cs="Times New Roman"/>
          <w:sz w:val="24"/>
          <w:szCs w:val="24"/>
        </w:rPr>
        <w:t>, Vice-Chair of the National Committee on the SDGs and Director General of the Federal Competitiveness and Statistics Authority of the UAE</w:t>
      </w:r>
      <w:r w:rsidR="00503835">
        <w:rPr>
          <w:rFonts w:cs="Times New Roman"/>
          <w:sz w:val="24"/>
          <w:szCs w:val="24"/>
        </w:rPr>
        <w:t>,</w:t>
      </w:r>
      <w:r w:rsidRPr="002F6296">
        <w:rPr>
          <w:rFonts w:cs="Times New Roman"/>
          <w:sz w:val="24"/>
          <w:szCs w:val="24"/>
        </w:rPr>
        <w:t xml:space="preserve"> highlighted</w:t>
      </w:r>
      <w:r w:rsidR="00A53CE9">
        <w:rPr>
          <w:rFonts w:cs="Times New Roman"/>
          <w:sz w:val="24"/>
          <w:szCs w:val="24"/>
        </w:rPr>
        <w:t xml:space="preserve"> </w:t>
      </w:r>
      <w:r w:rsidRPr="002F6296">
        <w:rPr>
          <w:rFonts w:cs="Times New Roman"/>
          <w:sz w:val="24"/>
          <w:szCs w:val="24"/>
        </w:rPr>
        <w:t xml:space="preserve">the inclusion of </w:t>
      </w:r>
      <w:r w:rsidR="00503835">
        <w:rPr>
          <w:rFonts w:cs="Times New Roman"/>
          <w:sz w:val="24"/>
          <w:szCs w:val="24"/>
        </w:rPr>
        <w:t>p</w:t>
      </w:r>
      <w:r w:rsidRPr="002F6296">
        <w:rPr>
          <w:rFonts w:cs="Times New Roman"/>
          <w:sz w:val="24"/>
          <w:szCs w:val="24"/>
        </w:rPr>
        <w:t xml:space="preserve">ersons with </w:t>
      </w:r>
      <w:r w:rsidR="00503835">
        <w:rPr>
          <w:rFonts w:cs="Times New Roman"/>
          <w:sz w:val="24"/>
          <w:szCs w:val="24"/>
        </w:rPr>
        <w:t>d</w:t>
      </w:r>
      <w:r w:rsidRPr="002F6296">
        <w:rPr>
          <w:rFonts w:cs="Times New Roman"/>
          <w:sz w:val="24"/>
          <w:szCs w:val="24"/>
        </w:rPr>
        <w:t>isabilities in the happiness and well-being baseline</w:t>
      </w:r>
      <w:r w:rsidR="00C3171C">
        <w:rPr>
          <w:rFonts w:cs="Times New Roman"/>
          <w:sz w:val="24"/>
          <w:szCs w:val="24"/>
        </w:rPr>
        <w:t xml:space="preserve"> survey</w:t>
      </w:r>
      <w:r w:rsidRPr="002F6296">
        <w:rPr>
          <w:rFonts w:cs="Times New Roman"/>
          <w:sz w:val="24"/>
          <w:szCs w:val="24"/>
        </w:rPr>
        <w:t xml:space="preserve"> conducted by the </w:t>
      </w:r>
      <w:r w:rsidR="00342EA8">
        <w:rPr>
          <w:rFonts w:cs="Times New Roman"/>
          <w:sz w:val="24"/>
          <w:szCs w:val="24"/>
        </w:rPr>
        <w:t>M</w:t>
      </w:r>
      <w:r w:rsidRPr="002F6296">
        <w:rPr>
          <w:rFonts w:cs="Times New Roman"/>
          <w:sz w:val="24"/>
          <w:szCs w:val="24"/>
        </w:rPr>
        <w:t xml:space="preserve">inistry of </w:t>
      </w:r>
      <w:r w:rsidR="00342EA8">
        <w:rPr>
          <w:rFonts w:cs="Times New Roman"/>
          <w:sz w:val="24"/>
          <w:szCs w:val="24"/>
        </w:rPr>
        <w:t>H</w:t>
      </w:r>
      <w:r w:rsidRPr="002F6296">
        <w:rPr>
          <w:rFonts w:cs="Times New Roman"/>
          <w:sz w:val="24"/>
          <w:szCs w:val="24"/>
        </w:rPr>
        <w:t xml:space="preserve">appiness and </w:t>
      </w:r>
      <w:r w:rsidR="00342EA8">
        <w:rPr>
          <w:rFonts w:cs="Times New Roman"/>
          <w:sz w:val="24"/>
          <w:szCs w:val="24"/>
        </w:rPr>
        <w:t>W</w:t>
      </w:r>
      <w:r w:rsidRPr="002F6296">
        <w:rPr>
          <w:rFonts w:cs="Times New Roman"/>
          <w:sz w:val="24"/>
          <w:szCs w:val="24"/>
        </w:rPr>
        <w:t>ell</w:t>
      </w:r>
      <w:r w:rsidRPr="002F6296">
        <w:rPr>
          <w:rFonts w:cs="Times New Roman"/>
          <w:sz w:val="24"/>
          <w:szCs w:val="24"/>
        </w:rPr>
        <w:noBreakHyphen/>
        <w:t xml:space="preserve">being in </w:t>
      </w:r>
      <w:r w:rsidR="00B40F6E">
        <w:rPr>
          <w:rFonts w:cs="Times New Roman"/>
          <w:sz w:val="24"/>
          <w:szCs w:val="24"/>
        </w:rPr>
        <w:t xml:space="preserve">the </w:t>
      </w:r>
      <w:r w:rsidRPr="002F6296">
        <w:rPr>
          <w:rFonts w:cs="Times New Roman"/>
          <w:sz w:val="24"/>
          <w:szCs w:val="24"/>
        </w:rPr>
        <w:t>UAE</w:t>
      </w:r>
      <w:r w:rsidR="009255E9">
        <w:rPr>
          <w:rFonts w:cs="Times New Roman"/>
          <w:sz w:val="24"/>
          <w:szCs w:val="24"/>
        </w:rPr>
        <w:t>,</w:t>
      </w:r>
      <w:r w:rsidRPr="002F6296">
        <w:rPr>
          <w:rFonts w:cs="Times New Roman"/>
          <w:sz w:val="24"/>
          <w:szCs w:val="24"/>
        </w:rPr>
        <w:t xml:space="preserve"> and the inclusion of everyone in </w:t>
      </w:r>
      <w:r w:rsidR="00985777">
        <w:rPr>
          <w:rFonts w:cs="Times New Roman"/>
          <w:sz w:val="24"/>
          <w:szCs w:val="24"/>
        </w:rPr>
        <w:t xml:space="preserve">the </w:t>
      </w:r>
      <w:r w:rsidRPr="002F6296">
        <w:rPr>
          <w:rFonts w:cs="Times New Roman"/>
          <w:sz w:val="24"/>
          <w:szCs w:val="24"/>
        </w:rPr>
        <w:t>UAE’s SDG process</w:t>
      </w:r>
      <w:r w:rsidR="00753F7B">
        <w:rPr>
          <w:rFonts w:cs="Times New Roman"/>
          <w:sz w:val="24"/>
          <w:szCs w:val="24"/>
        </w:rPr>
        <w:t>es</w:t>
      </w:r>
      <w:r w:rsidRPr="002F6296">
        <w:rPr>
          <w:rFonts w:cs="Times New Roman"/>
          <w:sz w:val="24"/>
          <w:szCs w:val="24"/>
        </w:rPr>
        <w:t>.</w:t>
      </w:r>
    </w:p>
    <w:p w14:paraId="30D86145" w14:textId="1C7120BA" w:rsidR="004B457E" w:rsidRPr="002F6296" w:rsidRDefault="00B92829" w:rsidP="00613C54">
      <w:pPr>
        <w:pStyle w:val="Heading2"/>
        <w:spacing w:after="0" w:afterAutospacing="0"/>
      </w:pPr>
      <w:bookmarkStart w:id="41" w:name="_Toc531264892"/>
      <w:r>
        <w:t>Benin and Cabo Verde</w:t>
      </w:r>
      <w:bookmarkEnd w:id="41"/>
      <w:r w:rsidR="00BA1BA9" w:rsidRPr="002F6296">
        <w:tab/>
      </w:r>
    </w:p>
    <w:p w14:paraId="78186EA7" w14:textId="77777777" w:rsidR="00061269" w:rsidRPr="00613C54" w:rsidRDefault="004B457E" w:rsidP="00613C54">
      <w:pPr>
        <w:spacing w:after="0"/>
        <w:rPr>
          <w:b/>
          <w:sz w:val="24"/>
          <w:szCs w:val="24"/>
        </w:rPr>
      </w:pPr>
      <w:r w:rsidRPr="00613C54">
        <w:rPr>
          <w:b/>
          <w:sz w:val="24"/>
          <w:szCs w:val="24"/>
        </w:rPr>
        <w:t>Benin</w:t>
      </w:r>
    </w:p>
    <w:p w14:paraId="5C59EDA9" w14:textId="24FD772D" w:rsidR="004B457E" w:rsidRDefault="004B457E" w:rsidP="00061269">
      <w:pPr>
        <w:spacing w:after="0" w:line="276" w:lineRule="auto"/>
        <w:jc w:val="both"/>
        <w:rPr>
          <w:rFonts w:cs="Times New Roman"/>
          <w:sz w:val="24"/>
          <w:szCs w:val="24"/>
        </w:rPr>
      </w:pPr>
      <w:r w:rsidRPr="002F6296">
        <w:rPr>
          <w:rFonts w:cs="Times New Roman"/>
          <w:sz w:val="24"/>
          <w:szCs w:val="24"/>
        </w:rPr>
        <w:t xml:space="preserve">Presenting the VNR for Benin, Abdoulaye Bio </w:t>
      </w:r>
      <w:proofErr w:type="spellStart"/>
      <w:r w:rsidRPr="002F6296">
        <w:rPr>
          <w:rFonts w:cs="Times New Roman"/>
          <w:sz w:val="24"/>
          <w:szCs w:val="24"/>
        </w:rPr>
        <w:t>Tchané</w:t>
      </w:r>
      <w:proofErr w:type="spellEnd"/>
      <w:r w:rsidRPr="002F6296">
        <w:rPr>
          <w:rFonts w:cs="Times New Roman"/>
          <w:sz w:val="24"/>
          <w:szCs w:val="24"/>
        </w:rPr>
        <w:t xml:space="preserve">, Minister of Planning and Development, stated that to re-enforce the social safety nets for the most </w:t>
      </w:r>
      <w:r w:rsidR="00C2091A">
        <w:rPr>
          <w:rFonts w:cs="Times New Roman"/>
          <w:sz w:val="24"/>
          <w:szCs w:val="24"/>
        </w:rPr>
        <w:t>marginalized</w:t>
      </w:r>
      <w:r w:rsidRPr="002F6296">
        <w:rPr>
          <w:rFonts w:cs="Times New Roman"/>
          <w:sz w:val="24"/>
          <w:szCs w:val="24"/>
        </w:rPr>
        <w:t xml:space="preserve">, for the past 2 years, Benin has been implementing an initiative to target the most </w:t>
      </w:r>
      <w:r w:rsidR="005C4939">
        <w:rPr>
          <w:rFonts w:cs="Times New Roman"/>
          <w:sz w:val="24"/>
          <w:szCs w:val="24"/>
        </w:rPr>
        <w:t>vulnerable households</w:t>
      </w:r>
      <w:r w:rsidR="00894F88">
        <w:rPr>
          <w:rFonts w:cs="Times New Roman"/>
          <w:sz w:val="24"/>
          <w:szCs w:val="24"/>
        </w:rPr>
        <w:t xml:space="preserve"> </w:t>
      </w:r>
      <w:r w:rsidRPr="002F6296">
        <w:rPr>
          <w:rFonts w:cs="Times New Roman"/>
          <w:sz w:val="24"/>
          <w:szCs w:val="24"/>
        </w:rPr>
        <w:t>in communities. Th</w:t>
      </w:r>
      <w:r w:rsidR="00C4148C">
        <w:rPr>
          <w:rFonts w:cs="Times New Roman"/>
          <w:sz w:val="24"/>
          <w:szCs w:val="24"/>
        </w:rPr>
        <w:t>e</w:t>
      </w:r>
      <w:r w:rsidRPr="002F6296">
        <w:rPr>
          <w:rFonts w:cs="Times New Roman"/>
          <w:sz w:val="24"/>
          <w:szCs w:val="24"/>
        </w:rPr>
        <w:t xml:space="preserve"> initiative allows for unconditional cash transfer to </w:t>
      </w:r>
      <w:r w:rsidR="00A82943">
        <w:rPr>
          <w:rFonts w:cs="Times New Roman"/>
          <w:sz w:val="24"/>
          <w:szCs w:val="24"/>
        </w:rPr>
        <w:t>person</w:t>
      </w:r>
      <w:r w:rsidR="00A82943" w:rsidRPr="002F6296">
        <w:rPr>
          <w:rFonts w:cs="Times New Roman"/>
          <w:sz w:val="24"/>
          <w:szCs w:val="24"/>
        </w:rPr>
        <w:t xml:space="preserve">s </w:t>
      </w:r>
      <w:r w:rsidRPr="002F6296">
        <w:rPr>
          <w:rFonts w:cs="Times New Roman"/>
          <w:sz w:val="24"/>
          <w:szCs w:val="24"/>
        </w:rPr>
        <w:t xml:space="preserve">with disabilities. To sustain this effort, Benin is also creating a legal framework that is more supportive to the most </w:t>
      </w:r>
      <w:r w:rsidR="009376DA">
        <w:rPr>
          <w:rFonts w:cs="Times New Roman"/>
          <w:sz w:val="24"/>
          <w:szCs w:val="24"/>
        </w:rPr>
        <w:t>vulnerable</w:t>
      </w:r>
      <w:r w:rsidRPr="002F6296">
        <w:rPr>
          <w:rFonts w:cs="Times New Roman"/>
          <w:sz w:val="24"/>
          <w:szCs w:val="24"/>
        </w:rPr>
        <w:t xml:space="preserve">. Several laws have been </w:t>
      </w:r>
      <w:r w:rsidR="009D70C9" w:rsidRPr="002F6296">
        <w:rPr>
          <w:rFonts w:cs="Times New Roman"/>
          <w:sz w:val="24"/>
          <w:szCs w:val="24"/>
        </w:rPr>
        <w:t>enacted</w:t>
      </w:r>
      <w:r w:rsidR="002B05F0">
        <w:rPr>
          <w:rFonts w:cs="Times New Roman"/>
          <w:sz w:val="24"/>
          <w:szCs w:val="24"/>
        </w:rPr>
        <w:t>,</w:t>
      </w:r>
      <w:r w:rsidRPr="002F6296">
        <w:rPr>
          <w:rFonts w:cs="Times New Roman"/>
          <w:sz w:val="24"/>
          <w:szCs w:val="24"/>
        </w:rPr>
        <w:t xml:space="preserve"> </w:t>
      </w:r>
      <w:r w:rsidR="002B05F0">
        <w:rPr>
          <w:rFonts w:cs="Times New Roman"/>
          <w:sz w:val="24"/>
          <w:szCs w:val="24"/>
        </w:rPr>
        <w:t>including</w:t>
      </w:r>
      <w:r w:rsidRPr="002F6296">
        <w:rPr>
          <w:rFonts w:cs="Times New Roman"/>
          <w:sz w:val="24"/>
          <w:szCs w:val="24"/>
        </w:rPr>
        <w:t xml:space="preserve"> </w:t>
      </w:r>
      <w:r w:rsidR="00B93549">
        <w:rPr>
          <w:rFonts w:cs="Times New Roman"/>
          <w:sz w:val="24"/>
          <w:szCs w:val="24"/>
        </w:rPr>
        <w:t>a</w:t>
      </w:r>
      <w:r w:rsidRPr="002F6296">
        <w:rPr>
          <w:rFonts w:cs="Times New Roman"/>
          <w:sz w:val="24"/>
          <w:szCs w:val="24"/>
        </w:rPr>
        <w:t xml:space="preserve"> law on taking concern and care for persons with disabilities. To ensure </w:t>
      </w:r>
      <w:r w:rsidRPr="002F6296">
        <w:rPr>
          <w:rFonts w:cs="Times New Roman"/>
          <w:sz w:val="24"/>
          <w:szCs w:val="24"/>
        </w:rPr>
        <w:lastRenderedPageBreak/>
        <w:t>equal opportunities for all people in Benin regardless of disabilit</w:t>
      </w:r>
      <w:r w:rsidR="009B6258">
        <w:rPr>
          <w:rFonts w:cs="Times New Roman"/>
          <w:sz w:val="24"/>
          <w:szCs w:val="24"/>
        </w:rPr>
        <w:t>y</w:t>
      </w:r>
      <w:r w:rsidRPr="002F6296">
        <w:rPr>
          <w:rFonts w:cs="Times New Roman"/>
          <w:sz w:val="24"/>
          <w:szCs w:val="24"/>
        </w:rPr>
        <w:t xml:space="preserve">, </w:t>
      </w:r>
      <w:r w:rsidR="009D70C9" w:rsidRPr="002F6296">
        <w:rPr>
          <w:rFonts w:cs="Times New Roman"/>
          <w:sz w:val="24"/>
          <w:szCs w:val="24"/>
        </w:rPr>
        <w:t>the new legal system guarantee</w:t>
      </w:r>
      <w:r w:rsidR="009376DA">
        <w:rPr>
          <w:rFonts w:cs="Times New Roman"/>
          <w:sz w:val="24"/>
          <w:szCs w:val="24"/>
        </w:rPr>
        <w:t>s</w:t>
      </w:r>
      <w:r w:rsidRPr="002F6296">
        <w:rPr>
          <w:rFonts w:cs="Times New Roman"/>
          <w:sz w:val="24"/>
          <w:szCs w:val="24"/>
        </w:rPr>
        <w:t xml:space="preserve"> the prevention of disability through an appropriate national health policy that is based </w:t>
      </w:r>
      <w:r w:rsidR="00914688">
        <w:rPr>
          <w:rFonts w:cs="Times New Roman"/>
          <w:sz w:val="24"/>
          <w:szCs w:val="24"/>
        </w:rPr>
        <w:t xml:space="preserve">on </w:t>
      </w:r>
      <w:r w:rsidRPr="002F6296">
        <w:rPr>
          <w:rFonts w:cs="Times New Roman"/>
          <w:sz w:val="24"/>
          <w:szCs w:val="24"/>
        </w:rPr>
        <w:t>early detection and management of disability through vaccination, consultation, rehabilitation and treatment.</w:t>
      </w:r>
    </w:p>
    <w:p w14:paraId="00FF42F1" w14:textId="56606673" w:rsidR="004B457E" w:rsidRPr="002F6296" w:rsidRDefault="003439D7" w:rsidP="00613C54">
      <w:pPr>
        <w:pStyle w:val="Heading2"/>
        <w:spacing w:after="0" w:afterAutospacing="0"/>
      </w:pPr>
      <w:bookmarkStart w:id="42" w:name="_Toc531264893"/>
      <w:r>
        <w:t>Bahrain, Colombia, Slovakia,</w:t>
      </w:r>
      <w:r w:rsidR="00AB6DC0">
        <w:t xml:space="preserve"> </w:t>
      </w:r>
      <w:r>
        <w:t>Viet Nam</w:t>
      </w:r>
      <w:bookmarkEnd w:id="42"/>
    </w:p>
    <w:p w14:paraId="5BB7C328" w14:textId="77777777" w:rsidR="004B457E" w:rsidRPr="002F6296" w:rsidRDefault="004B457E" w:rsidP="00613C54">
      <w:pPr>
        <w:spacing w:after="0"/>
      </w:pPr>
      <w:r w:rsidRPr="00613C54">
        <w:rPr>
          <w:b/>
          <w:sz w:val="24"/>
          <w:szCs w:val="24"/>
        </w:rPr>
        <w:t>Slovakia</w:t>
      </w:r>
    </w:p>
    <w:p w14:paraId="33C6CACC" w14:textId="26F1C3BC" w:rsidR="00061269" w:rsidRPr="00B4092A" w:rsidRDefault="004B457E" w:rsidP="00B4092A">
      <w:pPr>
        <w:spacing w:after="0" w:line="276" w:lineRule="auto"/>
        <w:jc w:val="both"/>
        <w:rPr>
          <w:rFonts w:cs="Times New Roman"/>
          <w:sz w:val="24"/>
          <w:szCs w:val="24"/>
        </w:rPr>
      </w:pPr>
      <w:r w:rsidRPr="002F6296">
        <w:rPr>
          <w:rFonts w:cs="Times New Roman"/>
          <w:sz w:val="24"/>
          <w:szCs w:val="24"/>
        </w:rPr>
        <w:t xml:space="preserve">During Slovakia’s VNR presentation, Daniel </w:t>
      </w:r>
      <w:proofErr w:type="spellStart"/>
      <w:r w:rsidRPr="002F6296">
        <w:rPr>
          <w:rFonts w:cs="Times New Roman"/>
          <w:sz w:val="24"/>
          <w:szCs w:val="24"/>
        </w:rPr>
        <w:t>Bunda</w:t>
      </w:r>
      <w:proofErr w:type="spellEnd"/>
      <w:r w:rsidRPr="002F6296">
        <w:rPr>
          <w:rFonts w:cs="Times New Roman"/>
          <w:sz w:val="24"/>
          <w:szCs w:val="24"/>
        </w:rPr>
        <w:t xml:space="preserve">, </w:t>
      </w:r>
      <w:r w:rsidR="00CF3691">
        <w:rPr>
          <w:rFonts w:cs="Times New Roman"/>
          <w:sz w:val="24"/>
          <w:szCs w:val="24"/>
        </w:rPr>
        <w:t xml:space="preserve">a </w:t>
      </w:r>
      <w:r w:rsidRPr="002F6296">
        <w:rPr>
          <w:rFonts w:cs="Times New Roman"/>
          <w:sz w:val="24"/>
          <w:szCs w:val="24"/>
        </w:rPr>
        <w:t xml:space="preserve">student from Slovakia, highlighted that </w:t>
      </w:r>
      <w:r w:rsidR="00780BC0">
        <w:rPr>
          <w:rFonts w:cs="Times New Roman"/>
          <w:sz w:val="24"/>
          <w:szCs w:val="24"/>
        </w:rPr>
        <w:t>p</w:t>
      </w:r>
      <w:r w:rsidRPr="002F6296">
        <w:rPr>
          <w:rFonts w:cs="Times New Roman"/>
          <w:sz w:val="24"/>
          <w:szCs w:val="24"/>
        </w:rPr>
        <w:t xml:space="preserve">ersons with </w:t>
      </w:r>
      <w:r w:rsidR="00780BC0">
        <w:rPr>
          <w:rFonts w:cs="Times New Roman"/>
          <w:sz w:val="24"/>
          <w:szCs w:val="24"/>
        </w:rPr>
        <w:t>d</w:t>
      </w:r>
      <w:r w:rsidRPr="002F6296">
        <w:rPr>
          <w:rFonts w:cs="Times New Roman"/>
          <w:sz w:val="24"/>
          <w:szCs w:val="24"/>
        </w:rPr>
        <w:t xml:space="preserve">isabilities are among the groups of people disproportionately at risk of social exclusion despite low levels of income inequality in Slovakia. </w:t>
      </w:r>
      <w:proofErr w:type="spellStart"/>
      <w:r w:rsidRPr="002F6296">
        <w:rPr>
          <w:rFonts w:cs="Times New Roman"/>
          <w:sz w:val="24"/>
          <w:szCs w:val="24"/>
        </w:rPr>
        <w:t>Vladimír</w:t>
      </w:r>
      <w:proofErr w:type="spellEnd"/>
      <w:r w:rsidR="00397AD6">
        <w:rPr>
          <w:rFonts w:cs="Times New Roman"/>
          <w:sz w:val="24"/>
          <w:szCs w:val="24"/>
        </w:rPr>
        <w:t xml:space="preserve"> </w:t>
      </w:r>
      <w:proofErr w:type="spellStart"/>
      <w:r w:rsidRPr="002F6296">
        <w:rPr>
          <w:rFonts w:cs="Times New Roman"/>
          <w:sz w:val="24"/>
          <w:szCs w:val="24"/>
        </w:rPr>
        <w:t>Krčméry</w:t>
      </w:r>
      <w:proofErr w:type="spellEnd"/>
      <w:r w:rsidRPr="002F6296">
        <w:rPr>
          <w:rFonts w:cs="Times New Roman"/>
          <w:sz w:val="24"/>
          <w:szCs w:val="24"/>
        </w:rPr>
        <w:t>, St. Elizabeth University of Health Care and Social Work, also st</w:t>
      </w:r>
      <w:r w:rsidR="00212D42" w:rsidRPr="002F6296">
        <w:rPr>
          <w:rFonts w:cs="Times New Roman"/>
          <w:sz w:val="24"/>
          <w:szCs w:val="24"/>
        </w:rPr>
        <w:t>ated that</w:t>
      </w:r>
      <w:r w:rsidRPr="002F6296">
        <w:rPr>
          <w:rFonts w:cs="Times New Roman"/>
          <w:sz w:val="24"/>
          <w:szCs w:val="24"/>
        </w:rPr>
        <w:t xml:space="preserve"> to ensure sustainable development of societies, it is indispensable to ensure </w:t>
      </w:r>
      <w:r w:rsidR="00212D42" w:rsidRPr="002F6296">
        <w:rPr>
          <w:rFonts w:cs="Times New Roman"/>
          <w:sz w:val="24"/>
          <w:szCs w:val="24"/>
        </w:rPr>
        <w:t xml:space="preserve">a </w:t>
      </w:r>
      <w:r w:rsidRPr="002F6296">
        <w:rPr>
          <w:rFonts w:cs="Times New Roman"/>
          <w:sz w:val="24"/>
          <w:szCs w:val="24"/>
        </w:rPr>
        <w:t xml:space="preserve">healthy life and promote wellbeing for all people and all ages with special attention to the </w:t>
      </w:r>
      <w:r w:rsidR="00305A00" w:rsidRPr="00FF73DA">
        <w:rPr>
          <w:rFonts w:cs="Times New Roman"/>
          <w:sz w:val="24"/>
          <w:szCs w:val="24"/>
        </w:rPr>
        <w:t xml:space="preserve">most </w:t>
      </w:r>
      <w:r w:rsidR="004A002F">
        <w:rPr>
          <w:rFonts w:cs="Times New Roman"/>
          <w:sz w:val="24"/>
          <w:szCs w:val="24"/>
        </w:rPr>
        <w:t>vulnerable</w:t>
      </w:r>
      <w:r w:rsidR="00305A00" w:rsidRPr="00FF73DA">
        <w:rPr>
          <w:rFonts w:cs="Times New Roman"/>
          <w:sz w:val="24"/>
          <w:szCs w:val="24"/>
        </w:rPr>
        <w:t>, including persons with disabilities</w:t>
      </w:r>
      <w:r w:rsidRPr="002F6296">
        <w:rPr>
          <w:rFonts w:cs="Times New Roman"/>
          <w:sz w:val="24"/>
          <w:szCs w:val="24"/>
        </w:rPr>
        <w:t xml:space="preserve">. </w:t>
      </w:r>
      <w:r w:rsidR="00E345B0">
        <w:rPr>
          <w:rFonts w:cs="Times New Roman"/>
          <w:sz w:val="24"/>
          <w:szCs w:val="24"/>
        </w:rPr>
        <w:t>He add</w:t>
      </w:r>
      <w:r w:rsidR="00D47A7A">
        <w:rPr>
          <w:rFonts w:cs="Times New Roman"/>
          <w:sz w:val="24"/>
          <w:szCs w:val="24"/>
        </w:rPr>
        <w:t>ed</w:t>
      </w:r>
      <w:r w:rsidR="00E345B0">
        <w:rPr>
          <w:rFonts w:cs="Times New Roman"/>
          <w:sz w:val="24"/>
          <w:szCs w:val="24"/>
        </w:rPr>
        <w:t xml:space="preserve"> that this</w:t>
      </w:r>
      <w:r w:rsidRPr="002F6296">
        <w:rPr>
          <w:rFonts w:cs="Times New Roman"/>
          <w:sz w:val="24"/>
          <w:szCs w:val="24"/>
        </w:rPr>
        <w:t xml:space="preserve"> can be accomplished by taking into consideration all determinants including individual behaviours, lifestyle, socioeconomic status and the environment. </w:t>
      </w:r>
    </w:p>
    <w:p w14:paraId="6C5EBD50" w14:textId="77777777" w:rsidR="00613C54" w:rsidRDefault="00613C54" w:rsidP="00613C54">
      <w:pPr>
        <w:spacing w:after="0"/>
        <w:rPr>
          <w:b/>
          <w:sz w:val="24"/>
          <w:szCs w:val="24"/>
        </w:rPr>
      </w:pPr>
    </w:p>
    <w:p w14:paraId="099191AA" w14:textId="660E0C14" w:rsidR="004B457E" w:rsidRPr="00613C54" w:rsidRDefault="004B457E" w:rsidP="00613C54">
      <w:pPr>
        <w:spacing w:after="0"/>
        <w:rPr>
          <w:b/>
          <w:sz w:val="24"/>
          <w:szCs w:val="24"/>
        </w:rPr>
      </w:pPr>
      <w:r w:rsidRPr="00613C54">
        <w:rPr>
          <w:b/>
          <w:sz w:val="24"/>
          <w:szCs w:val="24"/>
        </w:rPr>
        <w:t>Col</w:t>
      </w:r>
      <w:r w:rsidR="00C5538E">
        <w:rPr>
          <w:b/>
          <w:sz w:val="24"/>
          <w:szCs w:val="24"/>
        </w:rPr>
        <w:t>o</w:t>
      </w:r>
      <w:r w:rsidRPr="00613C54">
        <w:rPr>
          <w:b/>
          <w:sz w:val="24"/>
          <w:szCs w:val="24"/>
        </w:rPr>
        <w:t>mbia</w:t>
      </w:r>
    </w:p>
    <w:p w14:paraId="308DD3F1" w14:textId="55FA5702" w:rsidR="004B457E" w:rsidRPr="002F6296" w:rsidRDefault="004B457E" w:rsidP="00061269">
      <w:pPr>
        <w:spacing w:after="0" w:line="276" w:lineRule="auto"/>
        <w:jc w:val="both"/>
        <w:rPr>
          <w:rFonts w:cs="Times New Roman"/>
          <w:sz w:val="24"/>
          <w:szCs w:val="24"/>
        </w:rPr>
      </w:pPr>
      <w:r w:rsidRPr="002F6296">
        <w:rPr>
          <w:rFonts w:cs="Times New Roman"/>
          <w:sz w:val="24"/>
          <w:szCs w:val="24"/>
        </w:rPr>
        <w:t xml:space="preserve">Following </w:t>
      </w:r>
      <w:r w:rsidRPr="00C17C2E">
        <w:rPr>
          <w:rFonts w:cs="Times New Roman"/>
          <w:sz w:val="24"/>
          <w:szCs w:val="24"/>
        </w:rPr>
        <w:t>Col</w:t>
      </w:r>
      <w:r w:rsidR="00CF4909">
        <w:rPr>
          <w:rFonts w:cs="Times New Roman"/>
          <w:sz w:val="24"/>
          <w:szCs w:val="24"/>
        </w:rPr>
        <w:t>o</w:t>
      </w:r>
      <w:r w:rsidRPr="00C17C2E">
        <w:rPr>
          <w:rFonts w:cs="Times New Roman"/>
          <w:sz w:val="24"/>
          <w:szCs w:val="24"/>
        </w:rPr>
        <w:t>mbia’</w:t>
      </w:r>
      <w:r w:rsidRPr="002F6296">
        <w:rPr>
          <w:rFonts w:cs="Times New Roman"/>
          <w:sz w:val="24"/>
          <w:szCs w:val="24"/>
        </w:rPr>
        <w:t xml:space="preserve">s presentation, the </w:t>
      </w:r>
      <w:r w:rsidR="00323BFA">
        <w:rPr>
          <w:rFonts w:cs="Times New Roman"/>
          <w:sz w:val="24"/>
          <w:szCs w:val="24"/>
        </w:rPr>
        <w:t>I</w:t>
      </w:r>
      <w:r w:rsidRPr="002F6296">
        <w:rPr>
          <w:rFonts w:cs="Times New Roman"/>
          <w:sz w:val="24"/>
          <w:szCs w:val="24"/>
        </w:rPr>
        <w:t>ndigeno</w:t>
      </w:r>
      <w:r w:rsidR="002D37AB" w:rsidRPr="002F6296">
        <w:rPr>
          <w:rFonts w:cs="Times New Roman"/>
          <w:sz w:val="24"/>
          <w:szCs w:val="24"/>
        </w:rPr>
        <w:t xml:space="preserve">us </w:t>
      </w:r>
      <w:r w:rsidR="00323BFA">
        <w:rPr>
          <w:rFonts w:cs="Times New Roman"/>
          <w:sz w:val="24"/>
          <w:szCs w:val="24"/>
        </w:rPr>
        <w:t>Peoples</w:t>
      </w:r>
      <w:r w:rsidR="00A43684">
        <w:rPr>
          <w:rFonts w:cs="Times New Roman"/>
          <w:sz w:val="24"/>
          <w:szCs w:val="24"/>
        </w:rPr>
        <w:t>’</w:t>
      </w:r>
      <w:r w:rsidR="00323BFA">
        <w:rPr>
          <w:rFonts w:cs="Times New Roman"/>
          <w:sz w:val="24"/>
          <w:szCs w:val="24"/>
        </w:rPr>
        <w:t xml:space="preserve"> M</w:t>
      </w:r>
      <w:r w:rsidR="002D37AB" w:rsidRPr="002F6296">
        <w:rPr>
          <w:rFonts w:cs="Times New Roman"/>
          <w:sz w:val="24"/>
          <w:szCs w:val="24"/>
        </w:rPr>
        <w:t xml:space="preserve">ajor </w:t>
      </w:r>
      <w:r w:rsidR="00323BFA">
        <w:rPr>
          <w:rFonts w:cs="Times New Roman"/>
          <w:sz w:val="24"/>
          <w:szCs w:val="24"/>
        </w:rPr>
        <w:t>G</w:t>
      </w:r>
      <w:r w:rsidR="002D37AB" w:rsidRPr="002F6296">
        <w:rPr>
          <w:rFonts w:cs="Times New Roman"/>
          <w:sz w:val="24"/>
          <w:szCs w:val="24"/>
        </w:rPr>
        <w:t xml:space="preserve">roup </w:t>
      </w:r>
      <w:r w:rsidR="00FC2745">
        <w:rPr>
          <w:rFonts w:cs="Times New Roman"/>
          <w:sz w:val="24"/>
          <w:szCs w:val="24"/>
        </w:rPr>
        <w:t>stated</w:t>
      </w:r>
      <w:r w:rsidR="002D37AB" w:rsidRPr="002F6296">
        <w:rPr>
          <w:rFonts w:cs="Times New Roman"/>
          <w:sz w:val="24"/>
          <w:szCs w:val="24"/>
        </w:rPr>
        <w:t>:</w:t>
      </w:r>
      <w:r w:rsidRPr="002F6296">
        <w:rPr>
          <w:rFonts w:cs="Times New Roman"/>
          <w:sz w:val="24"/>
          <w:szCs w:val="24"/>
        </w:rPr>
        <w:t xml:space="preserve"> “We note with regret the fact that we have not seen any effective participation of all social sectors in following the implementation of the 2030 </w:t>
      </w:r>
      <w:r w:rsidR="00AE7FFA">
        <w:rPr>
          <w:rFonts w:cs="Times New Roman"/>
          <w:sz w:val="24"/>
          <w:szCs w:val="24"/>
        </w:rPr>
        <w:t>A</w:t>
      </w:r>
      <w:r w:rsidRPr="002F6296">
        <w:rPr>
          <w:rFonts w:cs="Times New Roman"/>
          <w:sz w:val="24"/>
          <w:szCs w:val="24"/>
        </w:rPr>
        <w:t>genda. There is</w:t>
      </w:r>
      <w:r w:rsidR="002D37AB" w:rsidRPr="002F6296">
        <w:rPr>
          <w:rFonts w:cs="Times New Roman"/>
          <w:sz w:val="24"/>
          <w:szCs w:val="24"/>
        </w:rPr>
        <w:t xml:space="preserve"> an</w:t>
      </w:r>
      <w:r w:rsidRPr="002F6296">
        <w:rPr>
          <w:rFonts w:cs="Times New Roman"/>
          <w:sz w:val="24"/>
          <w:szCs w:val="24"/>
        </w:rPr>
        <w:t xml:space="preserve"> absence of women, </w:t>
      </w:r>
      <w:r w:rsidR="00475540">
        <w:rPr>
          <w:rFonts w:cs="Times New Roman"/>
          <w:sz w:val="24"/>
          <w:szCs w:val="24"/>
        </w:rPr>
        <w:t>p</w:t>
      </w:r>
      <w:r w:rsidRPr="002F6296">
        <w:rPr>
          <w:rFonts w:cs="Times New Roman"/>
          <w:sz w:val="24"/>
          <w:szCs w:val="24"/>
        </w:rPr>
        <w:t xml:space="preserve">ersons with </w:t>
      </w:r>
      <w:r w:rsidR="00475540">
        <w:rPr>
          <w:rFonts w:cs="Times New Roman"/>
          <w:sz w:val="24"/>
          <w:szCs w:val="24"/>
        </w:rPr>
        <w:t>d</w:t>
      </w:r>
      <w:r w:rsidRPr="002F6296">
        <w:rPr>
          <w:rFonts w:cs="Times New Roman"/>
          <w:sz w:val="24"/>
          <w:szCs w:val="24"/>
        </w:rPr>
        <w:t xml:space="preserve">isabilities </w:t>
      </w:r>
      <w:r w:rsidR="00556CBB">
        <w:rPr>
          <w:rFonts w:cs="Times New Roman"/>
          <w:sz w:val="24"/>
          <w:szCs w:val="24"/>
        </w:rPr>
        <w:t>and</w:t>
      </w:r>
      <w:r w:rsidR="00556CBB" w:rsidRPr="002F6296">
        <w:rPr>
          <w:rFonts w:cs="Times New Roman"/>
          <w:sz w:val="24"/>
          <w:szCs w:val="24"/>
        </w:rPr>
        <w:t xml:space="preserve"> </w:t>
      </w:r>
      <w:r w:rsidRPr="002F6296">
        <w:rPr>
          <w:rFonts w:cs="Times New Roman"/>
          <w:sz w:val="24"/>
          <w:szCs w:val="24"/>
        </w:rPr>
        <w:t>other social sectors in the documents submitted for our consideration.</w:t>
      </w:r>
      <w:r w:rsidR="00E2283A">
        <w:rPr>
          <w:rFonts w:cs="Times New Roman"/>
          <w:sz w:val="24"/>
          <w:szCs w:val="24"/>
        </w:rPr>
        <w:t>”</w:t>
      </w:r>
      <w:r w:rsidRPr="002F6296">
        <w:rPr>
          <w:rFonts w:cs="Times New Roman"/>
          <w:sz w:val="24"/>
          <w:szCs w:val="24"/>
        </w:rPr>
        <w:t xml:space="preserve"> </w:t>
      </w:r>
      <w:r w:rsidR="00E2283A">
        <w:rPr>
          <w:rFonts w:cs="Times New Roman"/>
          <w:sz w:val="24"/>
          <w:szCs w:val="24"/>
        </w:rPr>
        <w:t>They also</w:t>
      </w:r>
      <w:r w:rsidRPr="002F6296">
        <w:rPr>
          <w:rFonts w:cs="Times New Roman"/>
          <w:sz w:val="24"/>
          <w:szCs w:val="24"/>
        </w:rPr>
        <w:t xml:space="preserve"> asked the </w:t>
      </w:r>
      <w:r w:rsidR="00B62649">
        <w:rPr>
          <w:rFonts w:cs="Times New Roman"/>
          <w:sz w:val="24"/>
          <w:szCs w:val="24"/>
        </w:rPr>
        <w:t>G</w:t>
      </w:r>
      <w:r w:rsidRPr="002F6296">
        <w:rPr>
          <w:rFonts w:cs="Times New Roman"/>
          <w:sz w:val="24"/>
          <w:szCs w:val="24"/>
        </w:rPr>
        <w:t xml:space="preserve">overnment </w:t>
      </w:r>
      <w:r w:rsidR="00B62649">
        <w:rPr>
          <w:rFonts w:cs="Times New Roman"/>
          <w:sz w:val="24"/>
          <w:szCs w:val="24"/>
        </w:rPr>
        <w:t xml:space="preserve">of Colombia </w:t>
      </w:r>
      <w:r w:rsidRPr="002F6296">
        <w:rPr>
          <w:rFonts w:cs="Times New Roman"/>
          <w:sz w:val="24"/>
          <w:szCs w:val="24"/>
        </w:rPr>
        <w:t>how it intends to ensure that no one is left behind</w:t>
      </w:r>
      <w:r w:rsidR="00E2283A">
        <w:rPr>
          <w:rFonts w:cs="Times New Roman"/>
          <w:sz w:val="24"/>
          <w:szCs w:val="24"/>
        </w:rPr>
        <w:t>.</w:t>
      </w:r>
      <w:r w:rsidRPr="002F6296">
        <w:rPr>
          <w:rFonts w:cs="Times New Roman"/>
          <w:sz w:val="24"/>
          <w:szCs w:val="24"/>
        </w:rPr>
        <w:t xml:space="preserve"> In response to this question, Luis Fernando </w:t>
      </w:r>
      <w:proofErr w:type="spellStart"/>
      <w:r w:rsidRPr="002F6296">
        <w:rPr>
          <w:rFonts w:cs="Times New Roman"/>
          <w:sz w:val="24"/>
          <w:szCs w:val="24"/>
        </w:rPr>
        <w:t>Mejía</w:t>
      </w:r>
      <w:proofErr w:type="spellEnd"/>
      <w:r w:rsidR="00397AD6">
        <w:rPr>
          <w:rFonts w:cs="Times New Roman"/>
          <w:sz w:val="24"/>
          <w:szCs w:val="24"/>
        </w:rPr>
        <w:t xml:space="preserve"> </w:t>
      </w:r>
      <w:proofErr w:type="spellStart"/>
      <w:r w:rsidRPr="002F6296">
        <w:rPr>
          <w:rFonts w:cs="Times New Roman"/>
          <w:sz w:val="24"/>
          <w:szCs w:val="24"/>
        </w:rPr>
        <w:t>Alzate</w:t>
      </w:r>
      <w:proofErr w:type="spellEnd"/>
      <w:r w:rsidRPr="002F6296">
        <w:rPr>
          <w:rFonts w:cs="Times New Roman"/>
          <w:sz w:val="24"/>
          <w:szCs w:val="24"/>
        </w:rPr>
        <w:t>, Minister of National Planning, highlighted that Col</w:t>
      </w:r>
      <w:r w:rsidR="00457F52">
        <w:rPr>
          <w:rFonts w:cs="Times New Roman"/>
          <w:sz w:val="24"/>
          <w:szCs w:val="24"/>
        </w:rPr>
        <w:t>o</w:t>
      </w:r>
      <w:r w:rsidRPr="002F6296">
        <w:rPr>
          <w:rFonts w:cs="Times New Roman"/>
          <w:sz w:val="24"/>
          <w:szCs w:val="24"/>
        </w:rPr>
        <w:t xml:space="preserve">mbia introduced an online platform that allows multi-stakeholder engagement. </w:t>
      </w:r>
    </w:p>
    <w:p w14:paraId="4C088C55" w14:textId="77777777" w:rsidR="00613C54" w:rsidRDefault="00613C54" w:rsidP="00613C54">
      <w:pPr>
        <w:spacing w:after="0"/>
        <w:rPr>
          <w:b/>
          <w:sz w:val="24"/>
          <w:szCs w:val="24"/>
        </w:rPr>
      </w:pPr>
    </w:p>
    <w:p w14:paraId="7EFC732A" w14:textId="77777777" w:rsidR="00B4092A" w:rsidRPr="00613C54" w:rsidRDefault="004B457E" w:rsidP="00613C54">
      <w:pPr>
        <w:spacing w:after="0"/>
        <w:rPr>
          <w:b/>
          <w:sz w:val="24"/>
          <w:szCs w:val="24"/>
        </w:rPr>
      </w:pPr>
      <w:r w:rsidRPr="00613C54">
        <w:rPr>
          <w:b/>
          <w:sz w:val="24"/>
          <w:szCs w:val="24"/>
        </w:rPr>
        <w:t>Viet Nam</w:t>
      </w:r>
    </w:p>
    <w:p w14:paraId="35DB0DBE" w14:textId="701467E5" w:rsidR="004B457E" w:rsidRDefault="00B93B77" w:rsidP="00B4092A">
      <w:pPr>
        <w:spacing w:after="0" w:line="276" w:lineRule="auto"/>
        <w:jc w:val="both"/>
        <w:rPr>
          <w:rFonts w:cs="Times New Roman"/>
          <w:sz w:val="24"/>
          <w:szCs w:val="24"/>
        </w:rPr>
      </w:pPr>
      <w:r>
        <w:rPr>
          <w:rFonts w:cs="Times New Roman"/>
          <w:sz w:val="24"/>
          <w:szCs w:val="24"/>
        </w:rPr>
        <w:t>At the close of the day</w:t>
      </w:r>
      <w:r w:rsidR="004B457E" w:rsidRPr="002F6296">
        <w:rPr>
          <w:rFonts w:cs="Times New Roman"/>
          <w:sz w:val="24"/>
          <w:szCs w:val="24"/>
        </w:rPr>
        <w:t xml:space="preserve">, Nguyen The Phuong, Vice Minister of Planning and Investment, </w:t>
      </w:r>
      <w:r w:rsidR="00EF3106">
        <w:rPr>
          <w:rFonts w:cs="Times New Roman"/>
          <w:sz w:val="24"/>
          <w:szCs w:val="24"/>
        </w:rPr>
        <w:t xml:space="preserve">presented Viet Nam’s VNR by </w:t>
      </w:r>
      <w:r w:rsidR="004B457E" w:rsidRPr="002F6296">
        <w:rPr>
          <w:rFonts w:cs="Times New Roman"/>
          <w:sz w:val="24"/>
          <w:szCs w:val="24"/>
        </w:rPr>
        <w:t>highlight</w:t>
      </w:r>
      <w:r w:rsidR="00EF3106">
        <w:rPr>
          <w:rFonts w:cs="Times New Roman"/>
          <w:sz w:val="24"/>
          <w:szCs w:val="24"/>
        </w:rPr>
        <w:t>ing</w:t>
      </w:r>
      <w:r w:rsidR="004B457E" w:rsidRPr="002F6296">
        <w:rPr>
          <w:rFonts w:cs="Times New Roman"/>
          <w:sz w:val="24"/>
          <w:szCs w:val="24"/>
        </w:rPr>
        <w:t xml:space="preserve"> that efforts are made to integrate pe</w:t>
      </w:r>
      <w:r w:rsidR="00D97D32">
        <w:rPr>
          <w:rFonts w:cs="Times New Roman"/>
          <w:sz w:val="24"/>
          <w:szCs w:val="24"/>
        </w:rPr>
        <w:t>rsons</w:t>
      </w:r>
      <w:r w:rsidR="004B457E" w:rsidRPr="002F6296">
        <w:rPr>
          <w:rFonts w:cs="Times New Roman"/>
          <w:sz w:val="24"/>
          <w:szCs w:val="24"/>
        </w:rPr>
        <w:t xml:space="preserve"> with disabilities in society and </w:t>
      </w:r>
      <w:r w:rsidR="00F94318">
        <w:rPr>
          <w:rFonts w:cs="Times New Roman"/>
          <w:sz w:val="24"/>
          <w:szCs w:val="24"/>
        </w:rPr>
        <w:t xml:space="preserve">the </w:t>
      </w:r>
      <w:r w:rsidR="004B457E" w:rsidRPr="002F6296">
        <w:rPr>
          <w:rFonts w:cs="Times New Roman"/>
          <w:sz w:val="24"/>
          <w:szCs w:val="24"/>
        </w:rPr>
        <w:t xml:space="preserve">economy of Viet Nam. In public transportation, Nguyen noted that </w:t>
      </w:r>
      <w:r w:rsidR="00DF0509" w:rsidRPr="002F6296">
        <w:rPr>
          <w:rFonts w:cs="Times New Roman"/>
          <w:sz w:val="24"/>
          <w:szCs w:val="24"/>
        </w:rPr>
        <w:t>Viet</w:t>
      </w:r>
      <w:r w:rsidR="004B457E" w:rsidRPr="002F6296">
        <w:rPr>
          <w:rFonts w:cs="Times New Roman"/>
          <w:sz w:val="24"/>
          <w:szCs w:val="24"/>
        </w:rPr>
        <w:t xml:space="preserve"> Nam is making efforts to support </w:t>
      </w:r>
      <w:r w:rsidR="00DF0509">
        <w:rPr>
          <w:rFonts w:cs="Times New Roman"/>
          <w:sz w:val="24"/>
          <w:szCs w:val="24"/>
        </w:rPr>
        <w:t>p</w:t>
      </w:r>
      <w:r w:rsidR="004B457E" w:rsidRPr="002F6296">
        <w:rPr>
          <w:rFonts w:cs="Times New Roman"/>
          <w:sz w:val="24"/>
          <w:szCs w:val="24"/>
        </w:rPr>
        <w:t xml:space="preserve">ersons with </w:t>
      </w:r>
      <w:r w:rsidR="00DF0509">
        <w:rPr>
          <w:rFonts w:cs="Times New Roman"/>
          <w:sz w:val="24"/>
          <w:szCs w:val="24"/>
        </w:rPr>
        <w:t>d</w:t>
      </w:r>
      <w:r w:rsidR="004B457E" w:rsidRPr="002F6296">
        <w:rPr>
          <w:rFonts w:cs="Times New Roman"/>
          <w:sz w:val="24"/>
          <w:szCs w:val="24"/>
        </w:rPr>
        <w:t>isabilities by securing priority seats in the buses</w:t>
      </w:r>
      <w:r w:rsidR="00676861">
        <w:rPr>
          <w:rFonts w:cs="Times New Roman"/>
          <w:sz w:val="24"/>
          <w:szCs w:val="24"/>
        </w:rPr>
        <w:t xml:space="preserve"> for them</w:t>
      </w:r>
      <w:r w:rsidR="004B457E" w:rsidRPr="002F6296">
        <w:rPr>
          <w:rFonts w:cs="Times New Roman"/>
          <w:sz w:val="24"/>
          <w:szCs w:val="24"/>
        </w:rPr>
        <w:t xml:space="preserve">. During the discussions on Viet Nam’s VNR presentation, Australia welcomed </w:t>
      </w:r>
      <w:r w:rsidR="00A72A23">
        <w:rPr>
          <w:rFonts w:cs="Times New Roman"/>
          <w:sz w:val="24"/>
          <w:szCs w:val="24"/>
        </w:rPr>
        <w:t xml:space="preserve">the </w:t>
      </w:r>
      <w:r w:rsidR="00036456">
        <w:rPr>
          <w:rFonts w:cs="Times New Roman"/>
          <w:sz w:val="24"/>
          <w:szCs w:val="24"/>
        </w:rPr>
        <w:t>State</w:t>
      </w:r>
      <w:r w:rsidR="00A72A23">
        <w:rPr>
          <w:rFonts w:cs="Times New Roman"/>
          <w:sz w:val="24"/>
          <w:szCs w:val="24"/>
        </w:rPr>
        <w:t>’s</w:t>
      </w:r>
      <w:r w:rsidR="004B457E" w:rsidRPr="002F6296">
        <w:rPr>
          <w:rFonts w:cs="Times New Roman"/>
          <w:sz w:val="24"/>
          <w:szCs w:val="24"/>
        </w:rPr>
        <w:t xml:space="preserve"> efforts to ensure </w:t>
      </w:r>
      <w:r w:rsidR="00A71005" w:rsidRPr="002F6296">
        <w:rPr>
          <w:rFonts w:cs="Times New Roman"/>
          <w:sz w:val="24"/>
          <w:szCs w:val="24"/>
        </w:rPr>
        <w:t xml:space="preserve">the </w:t>
      </w:r>
      <w:r w:rsidR="004B457E" w:rsidRPr="002F6296">
        <w:rPr>
          <w:rFonts w:cs="Times New Roman"/>
          <w:sz w:val="24"/>
          <w:szCs w:val="24"/>
        </w:rPr>
        <w:t xml:space="preserve">inclusion of </w:t>
      </w:r>
      <w:r w:rsidR="0055557A">
        <w:rPr>
          <w:rFonts w:cs="Times New Roman"/>
          <w:sz w:val="24"/>
          <w:szCs w:val="24"/>
        </w:rPr>
        <w:t>marginalized</w:t>
      </w:r>
      <w:r w:rsidR="004B457E" w:rsidRPr="002F6296">
        <w:rPr>
          <w:rFonts w:cs="Times New Roman"/>
          <w:sz w:val="24"/>
          <w:szCs w:val="24"/>
        </w:rPr>
        <w:t xml:space="preserve"> groups such as </w:t>
      </w:r>
      <w:r w:rsidR="0055557A">
        <w:rPr>
          <w:rFonts w:cs="Times New Roman"/>
          <w:sz w:val="24"/>
          <w:szCs w:val="24"/>
        </w:rPr>
        <w:t>p</w:t>
      </w:r>
      <w:r w:rsidR="004B457E" w:rsidRPr="002F6296">
        <w:rPr>
          <w:rFonts w:cs="Times New Roman"/>
          <w:sz w:val="24"/>
          <w:szCs w:val="24"/>
        </w:rPr>
        <w:t xml:space="preserve">ersons with </w:t>
      </w:r>
      <w:r w:rsidR="0055557A">
        <w:rPr>
          <w:rFonts w:cs="Times New Roman"/>
          <w:sz w:val="24"/>
          <w:szCs w:val="24"/>
        </w:rPr>
        <w:t>d</w:t>
      </w:r>
      <w:r w:rsidR="004B457E" w:rsidRPr="002F6296">
        <w:rPr>
          <w:rFonts w:cs="Times New Roman"/>
          <w:sz w:val="24"/>
          <w:szCs w:val="24"/>
        </w:rPr>
        <w:t xml:space="preserve">isabilities. However, the NGO </w:t>
      </w:r>
      <w:r w:rsidR="00C406D5">
        <w:rPr>
          <w:rFonts w:cs="Times New Roman"/>
          <w:sz w:val="24"/>
          <w:szCs w:val="24"/>
        </w:rPr>
        <w:t>M</w:t>
      </w:r>
      <w:r w:rsidR="004B457E" w:rsidRPr="002F6296">
        <w:rPr>
          <w:rFonts w:cs="Times New Roman"/>
          <w:sz w:val="24"/>
          <w:szCs w:val="24"/>
        </w:rPr>
        <w:t xml:space="preserve">ajor </w:t>
      </w:r>
      <w:r w:rsidR="00C406D5">
        <w:rPr>
          <w:rFonts w:cs="Times New Roman"/>
          <w:sz w:val="24"/>
          <w:szCs w:val="24"/>
        </w:rPr>
        <w:t>G</w:t>
      </w:r>
      <w:r w:rsidR="004B457E" w:rsidRPr="002F6296">
        <w:rPr>
          <w:rFonts w:cs="Times New Roman"/>
          <w:sz w:val="24"/>
          <w:szCs w:val="24"/>
        </w:rPr>
        <w:t xml:space="preserve">roup highlighted that these efforts were insufficient to address violence and abuse in relation to discrimination and access to public health care infrastructure and services. </w:t>
      </w:r>
    </w:p>
    <w:p w14:paraId="287390F6" w14:textId="77777777" w:rsidR="00216D0C" w:rsidRPr="00B4092A" w:rsidRDefault="00216D0C" w:rsidP="00B4092A">
      <w:pPr>
        <w:spacing w:after="0" w:line="276" w:lineRule="auto"/>
        <w:jc w:val="both"/>
        <w:rPr>
          <w:rFonts w:cs="Times New Roman"/>
          <w:b/>
          <w:sz w:val="24"/>
          <w:szCs w:val="24"/>
        </w:rPr>
      </w:pPr>
    </w:p>
    <w:p w14:paraId="287865D6" w14:textId="2D04A6CC" w:rsidR="00216D0C" w:rsidRDefault="00216D0C" w:rsidP="00FF73DA">
      <w:pPr>
        <w:pStyle w:val="Heading1"/>
      </w:pPr>
      <w:bookmarkStart w:id="43" w:name="_Toc531264894"/>
      <w:r>
        <w:t>Tuesday, 17</w:t>
      </w:r>
      <w:r w:rsidRPr="00FF73DA">
        <w:rPr>
          <w:vertAlign w:val="superscript"/>
        </w:rPr>
        <w:t>th</w:t>
      </w:r>
      <w:r>
        <w:t xml:space="preserve"> July 2018</w:t>
      </w:r>
      <w:bookmarkEnd w:id="43"/>
    </w:p>
    <w:p w14:paraId="2FAAF2B0" w14:textId="4628CD43" w:rsidR="004B457E" w:rsidRPr="00036456" w:rsidRDefault="00953CBA" w:rsidP="00FF73DA">
      <w:pPr>
        <w:pStyle w:val="Heading2"/>
      </w:pPr>
      <w:bookmarkStart w:id="44" w:name="_Toc531264895"/>
      <w:r w:rsidRPr="00011EF9">
        <w:t>Albania, Latvia, Niger, Sudan</w:t>
      </w:r>
      <w:bookmarkEnd w:id="44"/>
    </w:p>
    <w:p w14:paraId="5FF2FD87" w14:textId="032973B3" w:rsidR="000124EA" w:rsidRPr="00FB6F05" w:rsidRDefault="00A94948" w:rsidP="00FB6F05">
      <w:pPr>
        <w:spacing w:line="240" w:lineRule="auto"/>
        <w:rPr>
          <w:rFonts w:cstheme="minorHAnsi"/>
          <w:color w:val="000000" w:themeColor="text1"/>
          <w:sz w:val="24"/>
          <w:szCs w:val="24"/>
        </w:rPr>
      </w:pPr>
      <w:r w:rsidRPr="00A94948">
        <w:rPr>
          <w:rFonts w:cstheme="minorHAnsi"/>
          <w:color w:val="000000" w:themeColor="text1"/>
          <w:sz w:val="24"/>
          <w:szCs w:val="24"/>
        </w:rPr>
        <w:t xml:space="preserve">While delivering Sudan’s VNR, </w:t>
      </w:r>
      <w:proofErr w:type="spellStart"/>
      <w:r w:rsidRPr="00A94948">
        <w:rPr>
          <w:rFonts w:cstheme="minorHAnsi"/>
          <w:color w:val="000000" w:themeColor="text1"/>
          <w:sz w:val="24"/>
          <w:szCs w:val="24"/>
        </w:rPr>
        <w:t>Nasreldin</w:t>
      </w:r>
      <w:proofErr w:type="spellEnd"/>
      <w:r w:rsidRPr="00A94948">
        <w:rPr>
          <w:rFonts w:cstheme="minorHAnsi"/>
          <w:color w:val="000000" w:themeColor="text1"/>
          <w:sz w:val="24"/>
          <w:szCs w:val="24"/>
        </w:rPr>
        <w:t xml:space="preserve"> Ibrahim </w:t>
      </w:r>
      <w:proofErr w:type="spellStart"/>
      <w:r w:rsidRPr="00A94948">
        <w:rPr>
          <w:rFonts w:cstheme="minorHAnsi"/>
          <w:color w:val="000000" w:themeColor="text1"/>
          <w:sz w:val="24"/>
          <w:szCs w:val="24"/>
        </w:rPr>
        <w:t>Shulgami</w:t>
      </w:r>
      <w:proofErr w:type="spellEnd"/>
      <w:r w:rsidRPr="00A94948">
        <w:rPr>
          <w:rFonts w:cstheme="minorHAnsi"/>
          <w:color w:val="000000" w:themeColor="text1"/>
          <w:sz w:val="24"/>
          <w:szCs w:val="24"/>
        </w:rPr>
        <w:t>, a civil society representative</w:t>
      </w:r>
      <w:r>
        <w:rPr>
          <w:rFonts w:cstheme="minorHAnsi"/>
          <w:color w:val="000000" w:themeColor="text1"/>
          <w:sz w:val="24"/>
          <w:szCs w:val="24"/>
        </w:rPr>
        <w:t>,</w:t>
      </w:r>
      <w:r w:rsidRPr="00A94948">
        <w:rPr>
          <w:rFonts w:cstheme="minorHAnsi"/>
          <w:color w:val="000000" w:themeColor="text1"/>
          <w:sz w:val="24"/>
          <w:szCs w:val="24"/>
        </w:rPr>
        <w:t xml:space="preserve"> s</w:t>
      </w:r>
      <w:r>
        <w:rPr>
          <w:rFonts w:cstheme="minorHAnsi"/>
          <w:color w:val="000000" w:themeColor="text1"/>
          <w:sz w:val="24"/>
          <w:szCs w:val="24"/>
        </w:rPr>
        <w:t>tated</w:t>
      </w:r>
      <w:r w:rsidRPr="00A94948">
        <w:rPr>
          <w:rFonts w:cstheme="minorHAnsi"/>
          <w:color w:val="000000" w:themeColor="text1"/>
          <w:sz w:val="24"/>
          <w:szCs w:val="24"/>
        </w:rPr>
        <w:t xml:space="preserve"> that civil society efforts started in 2015 when the SDGs and the </w:t>
      </w:r>
      <w:r w:rsidR="00437FB4">
        <w:rPr>
          <w:rFonts w:cstheme="minorHAnsi"/>
          <w:color w:val="000000" w:themeColor="text1"/>
          <w:sz w:val="24"/>
          <w:szCs w:val="24"/>
        </w:rPr>
        <w:t>2030 Agenda were adopted</w:t>
      </w:r>
      <w:r w:rsidRPr="00A94948">
        <w:rPr>
          <w:rFonts w:cstheme="minorHAnsi"/>
          <w:color w:val="000000" w:themeColor="text1"/>
          <w:sz w:val="24"/>
          <w:szCs w:val="24"/>
        </w:rPr>
        <w:t xml:space="preserve">. </w:t>
      </w:r>
      <w:r w:rsidR="00EB61A9">
        <w:rPr>
          <w:rFonts w:cstheme="minorHAnsi"/>
          <w:color w:val="000000" w:themeColor="text1"/>
          <w:sz w:val="24"/>
          <w:szCs w:val="24"/>
        </w:rPr>
        <w:t>He noted that</w:t>
      </w:r>
      <w:r w:rsidRPr="00A94948">
        <w:rPr>
          <w:rFonts w:cstheme="minorHAnsi"/>
          <w:color w:val="000000" w:themeColor="text1"/>
          <w:sz w:val="24"/>
          <w:szCs w:val="24"/>
        </w:rPr>
        <w:t xml:space="preserve"> the VNR process was a great opportunity for NGOs to highlight their role in implementing and monitoring SDGs.  </w:t>
      </w:r>
      <w:r w:rsidR="00941323">
        <w:rPr>
          <w:rFonts w:cstheme="minorHAnsi"/>
          <w:color w:val="000000" w:themeColor="text1"/>
          <w:sz w:val="24"/>
          <w:szCs w:val="24"/>
        </w:rPr>
        <w:t>He added that i</w:t>
      </w:r>
      <w:r w:rsidRPr="00A94948">
        <w:rPr>
          <w:rFonts w:cstheme="minorHAnsi"/>
          <w:color w:val="000000" w:themeColor="text1"/>
          <w:sz w:val="24"/>
          <w:szCs w:val="24"/>
        </w:rPr>
        <w:t>t is also a good opportunity to strengthen partnership and trust with government</w:t>
      </w:r>
      <w:r w:rsidR="00862B0C">
        <w:rPr>
          <w:rFonts w:cstheme="minorHAnsi"/>
          <w:color w:val="000000" w:themeColor="text1"/>
          <w:sz w:val="24"/>
          <w:szCs w:val="24"/>
        </w:rPr>
        <w:t>s</w:t>
      </w:r>
      <w:r w:rsidR="00DE7151">
        <w:rPr>
          <w:rFonts w:cstheme="minorHAnsi"/>
          <w:color w:val="000000" w:themeColor="text1"/>
          <w:sz w:val="24"/>
          <w:szCs w:val="24"/>
        </w:rPr>
        <w:t>, noting that the</w:t>
      </w:r>
      <w:r w:rsidRPr="00A94948">
        <w:rPr>
          <w:rFonts w:cstheme="minorHAnsi"/>
          <w:color w:val="000000" w:themeColor="text1"/>
          <w:sz w:val="24"/>
          <w:szCs w:val="24"/>
        </w:rPr>
        <w:t xml:space="preserve"> 2018 </w:t>
      </w:r>
      <w:r w:rsidR="006B01E2">
        <w:rPr>
          <w:rFonts w:cstheme="minorHAnsi"/>
          <w:color w:val="000000" w:themeColor="text1"/>
          <w:sz w:val="24"/>
          <w:szCs w:val="24"/>
        </w:rPr>
        <w:t xml:space="preserve">VNR </w:t>
      </w:r>
      <w:r w:rsidRPr="00A94948">
        <w:rPr>
          <w:rFonts w:cstheme="minorHAnsi"/>
          <w:color w:val="000000" w:themeColor="text1"/>
          <w:sz w:val="24"/>
          <w:szCs w:val="24"/>
        </w:rPr>
        <w:t xml:space="preserve">process engaged a large number of NGOs, </w:t>
      </w:r>
      <w:r w:rsidR="00DA33B4">
        <w:rPr>
          <w:rFonts w:cstheme="minorHAnsi"/>
          <w:color w:val="000000" w:themeColor="text1"/>
          <w:sz w:val="24"/>
          <w:szCs w:val="24"/>
        </w:rPr>
        <w:t xml:space="preserve">including </w:t>
      </w:r>
      <w:r w:rsidRPr="00A94948">
        <w:rPr>
          <w:rFonts w:cstheme="minorHAnsi"/>
          <w:color w:val="000000" w:themeColor="text1"/>
          <w:sz w:val="24"/>
          <w:szCs w:val="24"/>
        </w:rPr>
        <w:lastRenderedPageBreak/>
        <w:t xml:space="preserve">5,000 NGOs in Sudan at national and sub-national levels.  These </w:t>
      </w:r>
      <w:r w:rsidR="00B92B76">
        <w:rPr>
          <w:rFonts w:cstheme="minorHAnsi"/>
          <w:color w:val="000000" w:themeColor="text1"/>
          <w:sz w:val="24"/>
          <w:szCs w:val="24"/>
        </w:rPr>
        <w:t>NGOs came</w:t>
      </w:r>
      <w:r w:rsidRPr="00A94948">
        <w:rPr>
          <w:rFonts w:cstheme="minorHAnsi"/>
          <w:color w:val="000000" w:themeColor="text1"/>
          <w:sz w:val="24"/>
          <w:szCs w:val="24"/>
        </w:rPr>
        <w:t xml:space="preserve"> from different specialization</w:t>
      </w:r>
      <w:r w:rsidR="00B92B76">
        <w:rPr>
          <w:rFonts w:cstheme="minorHAnsi"/>
          <w:color w:val="000000" w:themeColor="text1"/>
          <w:sz w:val="24"/>
          <w:szCs w:val="24"/>
        </w:rPr>
        <w:t>s</w:t>
      </w:r>
      <w:r w:rsidRPr="00A94948">
        <w:rPr>
          <w:rFonts w:cstheme="minorHAnsi"/>
          <w:color w:val="000000" w:themeColor="text1"/>
          <w:sz w:val="24"/>
          <w:szCs w:val="24"/>
        </w:rPr>
        <w:t xml:space="preserve"> </w:t>
      </w:r>
      <w:r w:rsidR="000C0550">
        <w:rPr>
          <w:rFonts w:cstheme="minorHAnsi"/>
          <w:color w:val="000000" w:themeColor="text1"/>
          <w:sz w:val="24"/>
          <w:szCs w:val="24"/>
        </w:rPr>
        <w:t xml:space="preserve">such as </w:t>
      </w:r>
      <w:r w:rsidRPr="00A94948">
        <w:rPr>
          <w:rFonts w:cstheme="minorHAnsi"/>
          <w:color w:val="000000" w:themeColor="text1"/>
          <w:sz w:val="24"/>
          <w:szCs w:val="24"/>
        </w:rPr>
        <w:t xml:space="preserve">education, health, environment, consumer protection, public protection, and so on.  </w:t>
      </w:r>
      <w:r w:rsidR="0013048E">
        <w:rPr>
          <w:rFonts w:cstheme="minorHAnsi"/>
          <w:color w:val="000000" w:themeColor="text1"/>
          <w:sz w:val="24"/>
          <w:szCs w:val="24"/>
        </w:rPr>
        <w:t xml:space="preserve">This process </w:t>
      </w:r>
      <w:r w:rsidRPr="00A94948">
        <w:rPr>
          <w:rFonts w:cstheme="minorHAnsi"/>
          <w:color w:val="000000" w:themeColor="text1"/>
          <w:sz w:val="24"/>
          <w:szCs w:val="24"/>
        </w:rPr>
        <w:t xml:space="preserve">also ensured the engagement of youth, women, </w:t>
      </w:r>
      <w:r w:rsidR="00FB6F05">
        <w:rPr>
          <w:rFonts w:cstheme="minorHAnsi"/>
          <w:color w:val="000000" w:themeColor="text1"/>
          <w:sz w:val="24"/>
          <w:szCs w:val="24"/>
        </w:rPr>
        <w:t xml:space="preserve">the </w:t>
      </w:r>
      <w:r w:rsidRPr="00A94948">
        <w:rPr>
          <w:rFonts w:cstheme="minorHAnsi"/>
          <w:color w:val="000000" w:themeColor="text1"/>
          <w:sz w:val="24"/>
          <w:szCs w:val="24"/>
        </w:rPr>
        <w:t>private sector and persons with disabilit</w:t>
      </w:r>
      <w:r w:rsidR="0013048E">
        <w:rPr>
          <w:rFonts w:cstheme="minorHAnsi"/>
          <w:color w:val="000000" w:themeColor="text1"/>
          <w:sz w:val="24"/>
          <w:szCs w:val="24"/>
        </w:rPr>
        <w:t>ies</w:t>
      </w:r>
      <w:r w:rsidRPr="00A94948">
        <w:rPr>
          <w:rFonts w:cstheme="minorHAnsi"/>
          <w:color w:val="000000" w:themeColor="text1"/>
          <w:sz w:val="24"/>
          <w:szCs w:val="24"/>
        </w:rPr>
        <w:t>. NGO participation has raised commitment</w:t>
      </w:r>
      <w:r w:rsidR="001B0490">
        <w:rPr>
          <w:rFonts w:cstheme="minorHAnsi"/>
          <w:color w:val="000000" w:themeColor="text1"/>
          <w:sz w:val="24"/>
          <w:szCs w:val="24"/>
        </w:rPr>
        <w:t>s</w:t>
      </w:r>
      <w:r w:rsidRPr="00A94948">
        <w:rPr>
          <w:rFonts w:cstheme="minorHAnsi"/>
          <w:color w:val="000000" w:themeColor="text1"/>
          <w:sz w:val="24"/>
          <w:szCs w:val="24"/>
        </w:rPr>
        <w:t xml:space="preserve"> toward</w:t>
      </w:r>
      <w:r w:rsidR="001B0490">
        <w:rPr>
          <w:rFonts w:cstheme="minorHAnsi"/>
          <w:color w:val="000000" w:themeColor="text1"/>
          <w:sz w:val="24"/>
          <w:szCs w:val="24"/>
        </w:rPr>
        <w:t>s</w:t>
      </w:r>
      <w:r w:rsidRPr="00A94948">
        <w:rPr>
          <w:rFonts w:cstheme="minorHAnsi"/>
          <w:color w:val="000000" w:themeColor="text1"/>
          <w:sz w:val="24"/>
          <w:szCs w:val="24"/>
        </w:rPr>
        <w:t xml:space="preserve"> SDGs</w:t>
      </w:r>
      <w:r w:rsidR="001B0490">
        <w:rPr>
          <w:rFonts w:cstheme="minorHAnsi"/>
          <w:color w:val="000000" w:themeColor="text1"/>
          <w:sz w:val="24"/>
          <w:szCs w:val="24"/>
        </w:rPr>
        <w:t xml:space="preserve">, </w:t>
      </w:r>
      <w:r w:rsidRPr="00A94948">
        <w:rPr>
          <w:rFonts w:cstheme="minorHAnsi"/>
          <w:color w:val="000000" w:themeColor="text1"/>
          <w:sz w:val="24"/>
          <w:szCs w:val="24"/>
        </w:rPr>
        <w:t>especially towards awareness raising, advocacy, capacity building, data collection, and implementation with a special focus on SDG</w:t>
      </w:r>
      <w:r w:rsidR="005F7E9D">
        <w:rPr>
          <w:rFonts w:cstheme="minorHAnsi"/>
          <w:color w:val="000000" w:themeColor="text1"/>
          <w:sz w:val="24"/>
          <w:szCs w:val="24"/>
        </w:rPr>
        <w:t xml:space="preserve"> </w:t>
      </w:r>
      <w:r w:rsidRPr="00A94948">
        <w:rPr>
          <w:rFonts w:cstheme="minorHAnsi"/>
          <w:color w:val="000000" w:themeColor="text1"/>
          <w:sz w:val="24"/>
          <w:szCs w:val="24"/>
        </w:rPr>
        <w:t>accelerators identified in the VNR,</w:t>
      </w:r>
      <w:r w:rsidR="005F4977">
        <w:rPr>
          <w:rFonts w:cstheme="minorHAnsi"/>
          <w:color w:val="000000" w:themeColor="text1"/>
          <w:sz w:val="24"/>
          <w:szCs w:val="24"/>
        </w:rPr>
        <w:t xml:space="preserve"> such as</w:t>
      </w:r>
      <w:r w:rsidRPr="00A94948">
        <w:rPr>
          <w:rFonts w:cstheme="minorHAnsi"/>
          <w:color w:val="000000" w:themeColor="text1"/>
          <w:sz w:val="24"/>
          <w:szCs w:val="24"/>
        </w:rPr>
        <w:t xml:space="preserve"> peace, agriculture and social developme</w:t>
      </w:r>
      <w:r w:rsidR="00670204">
        <w:rPr>
          <w:rFonts w:cstheme="minorHAnsi"/>
          <w:color w:val="000000" w:themeColor="text1"/>
          <w:sz w:val="24"/>
          <w:szCs w:val="24"/>
        </w:rPr>
        <w:t>n</w:t>
      </w:r>
      <w:r w:rsidRPr="00A94948">
        <w:rPr>
          <w:rFonts w:cstheme="minorHAnsi"/>
          <w:color w:val="000000" w:themeColor="text1"/>
          <w:sz w:val="24"/>
          <w:szCs w:val="24"/>
        </w:rPr>
        <w:t xml:space="preserve">t. </w:t>
      </w:r>
    </w:p>
    <w:p w14:paraId="7BB4C731" w14:textId="54811F7D" w:rsidR="00A5493C" w:rsidRPr="00FF73DA" w:rsidRDefault="004B457E" w:rsidP="00FF73DA">
      <w:r w:rsidRPr="002F6296">
        <w:rPr>
          <w:rFonts w:cs="Times New Roman"/>
          <w:sz w:val="24"/>
          <w:szCs w:val="24"/>
        </w:rPr>
        <w:t>Following the</w:t>
      </w:r>
      <w:r w:rsidR="00044BE4">
        <w:rPr>
          <w:rFonts w:cs="Times New Roman"/>
          <w:sz w:val="24"/>
          <w:szCs w:val="24"/>
        </w:rPr>
        <w:t xml:space="preserve"> VNR</w:t>
      </w:r>
      <w:r w:rsidRPr="002F6296">
        <w:rPr>
          <w:rFonts w:cs="Times New Roman"/>
          <w:sz w:val="24"/>
          <w:szCs w:val="24"/>
        </w:rPr>
        <w:t xml:space="preserve"> presentation</w:t>
      </w:r>
      <w:r w:rsidR="00044BE4">
        <w:rPr>
          <w:rFonts w:cs="Times New Roman"/>
          <w:sz w:val="24"/>
          <w:szCs w:val="24"/>
        </w:rPr>
        <w:t xml:space="preserve"> of Niger</w:t>
      </w:r>
      <w:r w:rsidRPr="002F6296">
        <w:rPr>
          <w:rFonts w:cs="Times New Roman"/>
          <w:sz w:val="24"/>
          <w:szCs w:val="24"/>
        </w:rPr>
        <w:t xml:space="preserve">, </w:t>
      </w:r>
      <w:proofErr w:type="spellStart"/>
      <w:r w:rsidRPr="002F6296">
        <w:rPr>
          <w:rFonts w:cs="Times New Roman"/>
          <w:sz w:val="24"/>
          <w:szCs w:val="24"/>
        </w:rPr>
        <w:t>Idriss</w:t>
      </w:r>
      <w:proofErr w:type="spellEnd"/>
      <w:r w:rsidR="00397AD6">
        <w:rPr>
          <w:rFonts w:cs="Times New Roman"/>
          <w:sz w:val="24"/>
          <w:szCs w:val="24"/>
        </w:rPr>
        <w:t xml:space="preserve"> </w:t>
      </w:r>
      <w:proofErr w:type="spellStart"/>
      <w:r w:rsidRPr="002F6296">
        <w:rPr>
          <w:rFonts w:cs="Times New Roman"/>
          <w:sz w:val="24"/>
          <w:szCs w:val="24"/>
        </w:rPr>
        <w:t>Alzouma</w:t>
      </w:r>
      <w:proofErr w:type="spellEnd"/>
      <w:r w:rsidR="00397AD6">
        <w:rPr>
          <w:rFonts w:cs="Times New Roman"/>
          <w:sz w:val="24"/>
          <w:szCs w:val="24"/>
        </w:rPr>
        <w:t xml:space="preserve"> </w:t>
      </w:r>
      <w:proofErr w:type="spellStart"/>
      <w:r w:rsidRPr="002F6296">
        <w:rPr>
          <w:rFonts w:cs="Times New Roman"/>
          <w:sz w:val="24"/>
          <w:szCs w:val="24"/>
        </w:rPr>
        <w:t>Maiga</w:t>
      </w:r>
      <w:proofErr w:type="spellEnd"/>
      <w:r w:rsidR="00211EF3">
        <w:rPr>
          <w:rFonts w:cs="Times New Roman"/>
          <w:sz w:val="24"/>
          <w:szCs w:val="24"/>
        </w:rPr>
        <w:t>, President of ADF and WAFOD,</w:t>
      </w:r>
      <w:r w:rsidRPr="002F6296">
        <w:rPr>
          <w:rFonts w:cs="Times New Roman"/>
          <w:sz w:val="24"/>
          <w:szCs w:val="24"/>
        </w:rPr>
        <w:t xml:space="preserve"> asked the Government of Niger: “What steps will Niger take to ensure </w:t>
      </w:r>
      <w:r w:rsidR="00F5152E">
        <w:rPr>
          <w:rFonts w:cs="Times New Roman"/>
          <w:sz w:val="24"/>
          <w:szCs w:val="24"/>
        </w:rPr>
        <w:t xml:space="preserve">the </w:t>
      </w:r>
      <w:r w:rsidRPr="002F6296">
        <w:rPr>
          <w:rFonts w:cs="Times New Roman"/>
          <w:sz w:val="24"/>
          <w:szCs w:val="24"/>
        </w:rPr>
        <w:t xml:space="preserve">CSO participation in all their diversity, including organizations of women, youth and persons with disabilities within the national reviews and evaluation of all development programs, in line with national and international legal and regulatory instruments? </w:t>
      </w:r>
      <w:r w:rsidR="00DD0B7E" w:rsidRPr="002F6296">
        <w:rPr>
          <w:rFonts w:cs="Times New Roman"/>
          <w:sz w:val="24"/>
          <w:szCs w:val="24"/>
        </w:rPr>
        <w:t>Will states commit to increas</w:t>
      </w:r>
      <w:r w:rsidR="003D546E">
        <w:rPr>
          <w:rFonts w:cs="Times New Roman"/>
          <w:sz w:val="24"/>
          <w:szCs w:val="24"/>
        </w:rPr>
        <w:t>ing</w:t>
      </w:r>
      <w:r w:rsidRPr="002F6296">
        <w:rPr>
          <w:rFonts w:cs="Times New Roman"/>
          <w:sz w:val="24"/>
          <w:szCs w:val="24"/>
        </w:rPr>
        <w:t xml:space="preserve"> budgets to support the most-vulnerable populations?”</w:t>
      </w:r>
      <w:r w:rsidR="00A5493C">
        <w:rPr>
          <w:rFonts w:cs="Times New Roman"/>
          <w:sz w:val="24"/>
          <w:szCs w:val="24"/>
        </w:rPr>
        <w:t xml:space="preserve"> </w:t>
      </w:r>
      <w:hyperlink r:id="rId21" w:tgtFrame="_blank" w:history="1">
        <w:r w:rsidR="0010100F" w:rsidRPr="00FF73DA">
          <w:rPr>
            <w:rStyle w:val="Hyperlink"/>
            <w:rFonts w:cstheme="minorHAnsi"/>
            <w:b/>
            <w:bCs/>
            <w:sz w:val="24"/>
            <w:shd w:val="clear" w:color="auto" w:fill="FFFFFF"/>
          </w:rPr>
          <w:t>Click here to read the collective statement with questions.</w:t>
        </w:r>
      </w:hyperlink>
      <w:r w:rsidR="0010100F" w:rsidRPr="00FF73DA">
        <w:rPr>
          <w:rFonts w:ascii="Georgia" w:hAnsi="Georgia"/>
          <w:color w:val="222222"/>
          <w:sz w:val="24"/>
          <w:shd w:val="clear" w:color="auto" w:fill="FFFFFF"/>
        </w:rPr>
        <w:t> </w:t>
      </w:r>
    </w:p>
    <w:p w14:paraId="723F6D4A" w14:textId="501F1549" w:rsidR="00C9640A" w:rsidRPr="00FF73DA" w:rsidRDefault="004B457E" w:rsidP="00FF73DA">
      <w:pPr>
        <w:rPr>
          <w:rFonts w:ascii="Times New Roman" w:eastAsia="Times New Roman" w:hAnsi="Times New Roman" w:cs="Times New Roman"/>
          <w:sz w:val="24"/>
          <w:szCs w:val="24"/>
          <w:lang w:val="en-US"/>
        </w:rPr>
      </w:pPr>
      <w:r w:rsidRPr="002F6296">
        <w:rPr>
          <w:rFonts w:cs="Times New Roman"/>
          <w:sz w:val="24"/>
          <w:szCs w:val="24"/>
        </w:rPr>
        <w:t xml:space="preserve"> </w:t>
      </w:r>
      <w:r w:rsidR="00CC4D57">
        <w:rPr>
          <w:rFonts w:cs="Times New Roman"/>
          <w:sz w:val="24"/>
          <w:szCs w:val="24"/>
        </w:rPr>
        <w:t xml:space="preserve">In addition, </w:t>
      </w:r>
      <w:r w:rsidR="00F945F5">
        <w:rPr>
          <w:rFonts w:cs="Times New Roman"/>
          <w:sz w:val="24"/>
          <w:szCs w:val="24"/>
        </w:rPr>
        <w:t>t</w:t>
      </w:r>
      <w:r w:rsidR="008D33B3" w:rsidRPr="002F6296">
        <w:rPr>
          <w:rFonts w:cs="Times New Roman"/>
          <w:sz w:val="24"/>
          <w:szCs w:val="24"/>
        </w:rPr>
        <w:t xml:space="preserve">he </w:t>
      </w:r>
      <w:r w:rsidR="008D33B3">
        <w:rPr>
          <w:rFonts w:cs="Times New Roman"/>
          <w:sz w:val="24"/>
          <w:szCs w:val="24"/>
        </w:rPr>
        <w:t>W</w:t>
      </w:r>
      <w:r w:rsidR="008D33B3" w:rsidRPr="002F6296">
        <w:rPr>
          <w:rFonts w:cs="Times New Roman"/>
          <w:sz w:val="24"/>
          <w:szCs w:val="24"/>
        </w:rPr>
        <w:t xml:space="preserve">omen’s </w:t>
      </w:r>
      <w:r w:rsidR="008D33B3">
        <w:rPr>
          <w:rFonts w:cs="Times New Roman"/>
          <w:sz w:val="24"/>
          <w:szCs w:val="24"/>
        </w:rPr>
        <w:t>M</w:t>
      </w:r>
      <w:r w:rsidR="008D33B3" w:rsidRPr="002F6296">
        <w:rPr>
          <w:rFonts w:cs="Times New Roman"/>
          <w:sz w:val="24"/>
          <w:szCs w:val="24"/>
        </w:rPr>
        <w:t xml:space="preserve">ajor </w:t>
      </w:r>
      <w:r w:rsidR="008D33B3">
        <w:rPr>
          <w:rFonts w:cs="Times New Roman"/>
          <w:sz w:val="24"/>
          <w:szCs w:val="24"/>
        </w:rPr>
        <w:t>G</w:t>
      </w:r>
      <w:r w:rsidR="008D33B3" w:rsidRPr="002F6296">
        <w:rPr>
          <w:rFonts w:cs="Times New Roman"/>
          <w:sz w:val="24"/>
          <w:szCs w:val="24"/>
        </w:rPr>
        <w:t xml:space="preserve">roup </w:t>
      </w:r>
      <w:r w:rsidR="008D33B3">
        <w:rPr>
          <w:rFonts w:cs="Times New Roman"/>
          <w:sz w:val="24"/>
          <w:szCs w:val="24"/>
        </w:rPr>
        <w:t>highlighted that the</w:t>
      </w:r>
      <w:r w:rsidR="008D33B3" w:rsidRPr="002F6296">
        <w:rPr>
          <w:rFonts w:cs="Times New Roman"/>
          <w:sz w:val="24"/>
          <w:szCs w:val="24"/>
        </w:rPr>
        <w:t xml:space="preserve"> negative perception of pe</w:t>
      </w:r>
      <w:r w:rsidR="008D33B3">
        <w:rPr>
          <w:rFonts w:cs="Times New Roman"/>
          <w:sz w:val="24"/>
          <w:szCs w:val="24"/>
        </w:rPr>
        <w:t>rsons</w:t>
      </w:r>
      <w:r w:rsidR="008D33B3" w:rsidRPr="002F6296">
        <w:rPr>
          <w:rFonts w:cs="Times New Roman"/>
          <w:sz w:val="24"/>
          <w:szCs w:val="24"/>
        </w:rPr>
        <w:t xml:space="preserve"> with disabilit</w:t>
      </w:r>
      <w:r w:rsidR="008D33B3">
        <w:rPr>
          <w:rFonts w:cs="Times New Roman"/>
          <w:sz w:val="24"/>
          <w:szCs w:val="24"/>
        </w:rPr>
        <w:t>ies</w:t>
      </w:r>
      <w:r w:rsidR="008D33B3" w:rsidRPr="002F6296">
        <w:rPr>
          <w:rFonts w:cs="Times New Roman"/>
          <w:sz w:val="24"/>
          <w:szCs w:val="24"/>
        </w:rPr>
        <w:t xml:space="preserve"> is one of the most </w:t>
      </w:r>
      <w:r w:rsidR="008D33B3">
        <w:rPr>
          <w:rFonts w:cs="Times New Roman"/>
          <w:sz w:val="24"/>
          <w:szCs w:val="24"/>
        </w:rPr>
        <w:t>significant</w:t>
      </w:r>
      <w:r w:rsidR="008D33B3" w:rsidRPr="002F6296">
        <w:rPr>
          <w:rFonts w:cs="Times New Roman"/>
          <w:sz w:val="24"/>
          <w:szCs w:val="24"/>
        </w:rPr>
        <w:t xml:space="preserve"> barriers to the inclusion of these people in society</w:t>
      </w:r>
      <w:r w:rsidR="008D33B3">
        <w:rPr>
          <w:rFonts w:cs="Times New Roman"/>
          <w:sz w:val="24"/>
          <w:szCs w:val="24"/>
        </w:rPr>
        <w:t>,</w:t>
      </w:r>
      <w:r w:rsidR="008D33B3" w:rsidRPr="002F6296">
        <w:rPr>
          <w:rFonts w:cs="Times New Roman"/>
          <w:sz w:val="24"/>
          <w:szCs w:val="24"/>
        </w:rPr>
        <w:t xml:space="preserve"> according to the </w:t>
      </w:r>
      <w:r w:rsidR="000849EB" w:rsidRPr="00FF73DA">
        <w:rPr>
          <w:rFonts w:eastAsia="Times New Roman" w:cstheme="minorHAnsi"/>
          <w:bCs/>
          <w:color w:val="000000" w:themeColor="text1"/>
          <w:sz w:val="24"/>
          <w:szCs w:val="24"/>
          <w:shd w:val="clear" w:color="auto" w:fill="FFFFFF"/>
          <w:lang w:val="en-US"/>
        </w:rPr>
        <w:t xml:space="preserve">Fédération </w:t>
      </w:r>
      <w:proofErr w:type="spellStart"/>
      <w:r w:rsidR="000849EB" w:rsidRPr="00FF73DA">
        <w:rPr>
          <w:rFonts w:eastAsia="Times New Roman" w:cstheme="minorHAnsi"/>
          <w:bCs/>
          <w:color w:val="000000" w:themeColor="text1"/>
          <w:sz w:val="24"/>
          <w:szCs w:val="24"/>
          <w:shd w:val="clear" w:color="auto" w:fill="FFFFFF"/>
          <w:lang w:val="en-US"/>
        </w:rPr>
        <w:t>Nigerienne</w:t>
      </w:r>
      <w:proofErr w:type="spellEnd"/>
      <w:r w:rsidR="000849EB" w:rsidRPr="00FF73DA">
        <w:rPr>
          <w:rFonts w:eastAsia="Times New Roman" w:cstheme="minorHAnsi"/>
          <w:bCs/>
          <w:color w:val="000000" w:themeColor="text1"/>
          <w:sz w:val="24"/>
          <w:szCs w:val="24"/>
          <w:shd w:val="clear" w:color="auto" w:fill="FFFFFF"/>
          <w:lang w:val="en-US"/>
        </w:rPr>
        <w:t xml:space="preserve"> des</w:t>
      </w:r>
      <w:r w:rsidR="000849EB" w:rsidRPr="00FF73DA">
        <w:rPr>
          <w:rFonts w:eastAsia="Times New Roman" w:cstheme="minorHAnsi"/>
          <w:color w:val="000000" w:themeColor="text1"/>
          <w:sz w:val="24"/>
          <w:szCs w:val="24"/>
          <w:shd w:val="clear" w:color="auto" w:fill="FFFFFF"/>
          <w:lang w:val="en-US"/>
        </w:rPr>
        <w:t> </w:t>
      </w:r>
      <w:proofErr w:type="spellStart"/>
      <w:r w:rsidR="000849EB" w:rsidRPr="00FF73DA">
        <w:rPr>
          <w:rFonts w:eastAsia="Times New Roman" w:cstheme="minorHAnsi"/>
          <w:color w:val="000000" w:themeColor="text1"/>
          <w:sz w:val="24"/>
          <w:szCs w:val="24"/>
          <w:shd w:val="clear" w:color="auto" w:fill="FFFFFF"/>
          <w:lang w:val="en-US"/>
        </w:rPr>
        <w:t>Personnes</w:t>
      </w:r>
      <w:proofErr w:type="spellEnd"/>
      <w:r w:rsidR="000849EB" w:rsidRPr="00FF73DA">
        <w:rPr>
          <w:rFonts w:eastAsia="Times New Roman" w:cstheme="minorHAnsi"/>
          <w:color w:val="000000" w:themeColor="text1"/>
          <w:sz w:val="24"/>
          <w:szCs w:val="24"/>
          <w:shd w:val="clear" w:color="auto" w:fill="FFFFFF"/>
          <w:lang w:val="en-US"/>
        </w:rPr>
        <w:t xml:space="preserve"> </w:t>
      </w:r>
      <w:proofErr w:type="spellStart"/>
      <w:r w:rsidR="000849EB" w:rsidRPr="00FF73DA">
        <w:rPr>
          <w:rFonts w:eastAsia="Times New Roman" w:cstheme="minorHAnsi"/>
          <w:color w:val="000000" w:themeColor="text1"/>
          <w:sz w:val="24"/>
          <w:szCs w:val="24"/>
          <w:shd w:val="clear" w:color="auto" w:fill="FFFFFF"/>
          <w:lang w:val="en-US"/>
        </w:rPr>
        <w:t>Handicapées</w:t>
      </w:r>
      <w:proofErr w:type="spellEnd"/>
      <w:r w:rsidR="000849EB" w:rsidRPr="00FF73DA">
        <w:rPr>
          <w:rFonts w:eastAsia="Times New Roman" w:cstheme="minorHAnsi"/>
          <w:color w:val="000000" w:themeColor="text1"/>
          <w:sz w:val="24"/>
          <w:szCs w:val="24"/>
          <w:shd w:val="clear" w:color="auto" w:fill="FFFFFF"/>
          <w:lang w:val="en-US"/>
        </w:rPr>
        <w:t xml:space="preserve"> (FNPH)</w:t>
      </w:r>
      <w:r w:rsidR="000849EB">
        <w:rPr>
          <w:rFonts w:ascii="Times New Roman" w:eastAsia="Times New Roman" w:hAnsi="Times New Roman" w:cs="Times New Roman"/>
          <w:sz w:val="24"/>
          <w:szCs w:val="24"/>
          <w:lang w:val="en-US"/>
        </w:rPr>
        <w:t xml:space="preserve"> r</w:t>
      </w:r>
      <w:proofErr w:type="spellStart"/>
      <w:r w:rsidR="008D33B3" w:rsidRPr="002F6296">
        <w:rPr>
          <w:rFonts w:cs="Times New Roman"/>
          <w:sz w:val="24"/>
          <w:szCs w:val="24"/>
        </w:rPr>
        <w:t>eport</w:t>
      </w:r>
      <w:proofErr w:type="spellEnd"/>
      <w:r w:rsidR="008D33B3" w:rsidRPr="002F6296">
        <w:rPr>
          <w:rFonts w:cs="Times New Roman"/>
          <w:sz w:val="24"/>
          <w:szCs w:val="24"/>
        </w:rPr>
        <w:t xml:space="preserve"> on the implementation of SDGs in Niger.  </w:t>
      </w:r>
      <w:r w:rsidR="008D33B3">
        <w:rPr>
          <w:rFonts w:cs="Times New Roman"/>
          <w:sz w:val="24"/>
          <w:szCs w:val="24"/>
        </w:rPr>
        <w:t xml:space="preserve">The Women’s Major Group asked the </w:t>
      </w:r>
      <w:r w:rsidR="00176297">
        <w:rPr>
          <w:rFonts w:cs="Times New Roman"/>
          <w:sz w:val="24"/>
          <w:szCs w:val="24"/>
        </w:rPr>
        <w:t>G</w:t>
      </w:r>
      <w:r w:rsidR="008D33B3">
        <w:rPr>
          <w:rFonts w:cs="Times New Roman"/>
          <w:sz w:val="24"/>
          <w:szCs w:val="24"/>
        </w:rPr>
        <w:t xml:space="preserve">overnment </w:t>
      </w:r>
      <w:r w:rsidR="00176297">
        <w:rPr>
          <w:rFonts w:cs="Times New Roman"/>
          <w:sz w:val="24"/>
          <w:szCs w:val="24"/>
        </w:rPr>
        <w:t xml:space="preserve">of Niger </w:t>
      </w:r>
      <w:r w:rsidR="008D33B3">
        <w:rPr>
          <w:rFonts w:cs="Times New Roman"/>
          <w:sz w:val="24"/>
          <w:szCs w:val="24"/>
        </w:rPr>
        <w:t xml:space="preserve">to discuss </w:t>
      </w:r>
      <w:r w:rsidR="008D33B3" w:rsidRPr="002F6296">
        <w:rPr>
          <w:rFonts w:cs="Times New Roman"/>
          <w:sz w:val="24"/>
          <w:szCs w:val="24"/>
        </w:rPr>
        <w:t xml:space="preserve">what new measures the </w:t>
      </w:r>
      <w:r w:rsidR="005F1C4E">
        <w:rPr>
          <w:rFonts w:cs="Times New Roman"/>
          <w:sz w:val="24"/>
          <w:szCs w:val="24"/>
        </w:rPr>
        <w:t xml:space="preserve">State </w:t>
      </w:r>
      <w:r w:rsidR="008D33B3">
        <w:rPr>
          <w:rFonts w:cs="Times New Roman"/>
          <w:sz w:val="24"/>
          <w:szCs w:val="24"/>
        </w:rPr>
        <w:t xml:space="preserve">would </w:t>
      </w:r>
      <w:r w:rsidR="008D33B3" w:rsidRPr="002F6296">
        <w:rPr>
          <w:rFonts w:cs="Times New Roman"/>
          <w:sz w:val="24"/>
          <w:szCs w:val="24"/>
        </w:rPr>
        <w:t>take to change the negative perception of communities and promote a better understanding of disability</w:t>
      </w:r>
      <w:r w:rsidR="008D33B3">
        <w:rPr>
          <w:rFonts w:cs="Times New Roman"/>
          <w:sz w:val="24"/>
          <w:szCs w:val="24"/>
        </w:rPr>
        <w:t>.</w:t>
      </w:r>
    </w:p>
    <w:p w14:paraId="4BC43D24" w14:textId="7949F322" w:rsidR="004B457E" w:rsidRDefault="004B457E" w:rsidP="002F6296">
      <w:pPr>
        <w:spacing w:line="276" w:lineRule="auto"/>
        <w:jc w:val="both"/>
        <w:rPr>
          <w:rFonts w:cs="Times New Roman"/>
          <w:sz w:val="24"/>
          <w:szCs w:val="24"/>
        </w:rPr>
      </w:pPr>
      <w:proofErr w:type="spellStart"/>
      <w:r w:rsidRPr="002F6296">
        <w:rPr>
          <w:rFonts w:cs="Times New Roman"/>
          <w:sz w:val="24"/>
          <w:szCs w:val="24"/>
        </w:rPr>
        <w:t>Aïchatou</w:t>
      </w:r>
      <w:proofErr w:type="spellEnd"/>
      <w:r w:rsidR="00397AD6">
        <w:rPr>
          <w:rFonts w:cs="Times New Roman"/>
          <w:sz w:val="24"/>
          <w:szCs w:val="24"/>
        </w:rPr>
        <w:t xml:space="preserve"> </w:t>
      </w:r>
      <w:proofErr w:type="spellStart"/>
      <w:r w:rsidRPr="002F6296">
        <w:rPr>
          <w:rFonts w:cs="Times New Roman"/>
          <w:sz w:val="24"/>
          <w:szCs w:val="24"/>
        </w:rPr>
        <w:t>Boulama</w:t>
      </w:r>
      <w:proofErr w:type="spellEnd"/>
      <w:r w:rsidR="00397AD6">
        <w:rPr>
          <w:rFonts w:cs="Times New Roman"/>
          <w:sz w:val="24"/>
          <w:szCs w:val="24"/>
        </w:rPr>
        <w:t xml:space="preserve"> </w:t>
      </w:r>
      <w:proofErr w:type="spellStart"/>
      <w:r w:rsidRPr="002F6296">
        <w:rPr>
          <w:rFonts w:cs="Times New Roman"/>
          <w:sz w:val="24"/>
          <w:szCs w:val="24"/>
        </w:rPr>
        <w:t>Kané</w:t>
      </w:r>
      <w:proofErr w:type="spellEnd"/>
      <w:r w:rsidRPr="002F6296">
        <w:rPr>
          <w:rFonts w:cs="Times New Roman"/>
          <w:sz w:val="24"/>
          <w:szCs w:val="24"/>
        </w:rPr>
        <w:t>, Minister of Planning of Niger</w:t>
      </w:r>
      <w:r w:rsidR="00E86875">
        <w:rPr>
          <w:rFonts w:cs="Times New Roman"/>
          <w:sz w:val="24"/>
          <w:szCs w:val="24"/>
        </w:rPr>
        <w:t>,</w:t>
      </w:r>
      <w:r w:rsidRPr="002F6296">
        <w:rPr>
          <w:rFonts w:cs="Times New Roman"/>
          <w:sz w:val="24"/>
          <w:szCs w:val="24"/>
        </w:rPr>
        <w:t xml:space="preserve"> said that Niger has set </w:t>
      </w:r>
      <w:r w:rsidR="00DB43A7" w:rsidRPr="002F6296">
        <w:rPr>
          <w:rFonts w:cs="Times New Roman"/>
          <w:sz w:val="24"/>
          <w:szCs w:val="24"/>
        </w:rPr>
        <w:t>up specific measures which take</w:t>
      </w:r>
      <w:r w:rsidRPr="002F6296">
        <w:rPr>
          <w:rFonts w:cs="Times New Roman"/>
          <w:sz w:val="24"/>
          <w:szCs w:val="24"/>
        </w:rPr>
        <w:t xml:space="preserve"> into account all the stakeholders in implementing their strategy for sustainable de</w:t>
      </w:r>
      <w:r w:rsidR="00DB43A7" w:rsidRPr="002F6296">
        <w:rPr>
          <w:rFonts w:cs="Times New Roman"/>
          <w:sz w:val="24"/>
          <w:szCs w:val="24"/>
        </w:rPr>
        <w:t>velopment and inclusive growth</w:t>
      </w:r>
      <w:r w:rsidR="00CF73E5">
        <w:rPr>
          <w:rFonts w:cs="Times New Roman"/>
          <w:sz w:val="24"/>
          <w:szCs w:val="24"/>
        </w:rPr>
        <w:t>.</w:t>
      </w:r>
      <w:r w:rsidRPr="002F6296">
        <w:rPr>
          <w:rFonts w:cs="Times New Roman"/>
          <w:sz w:val="24"/>
          <w:szCs w:val="24"/>
        </w:rPr>
        <w:t xml:space="preserve"> </w:t>
      </w:r>
      <w:r w:rsidR="00CF73E5">
        <w:rPr>
          <w:rFonts w:cs="Times New Roman"/>
          <w:sz w:val="24"/>
          <w:szCs w:val="24"/>
        </w:rPr>
        <w:t>R</w:t>
      </w:r>
      <w:r w:rsidRPr="002F6296">
        <w:rPr>
          <w:rFonts w:cs="Times New Roman"/>
          <w:sz w:val="24"/>
          <w:szCs w:val="24"/>
        </w:rPr>
        <w:t xml:space="preserve">egarding </w:t>
      </w:r>
      <w:r w:rsidR="00923C72">
        <w:rPr>
          <w:rFonts w:cs="Times New Roman"/>
          <w:sz w:val="24"/>
          <w:szCs w:val="24"/>
        </w:rPr>
        <w:t xml:space="preserve">the </w:t>
      </w:r>
      <w:r w:rsidRPr="002F6296">
        <w:rPr>
          <w:rFonts w:cs="Times New Roman"/>
          <w:sz w:val="24"/>
          <w:szCs w:val="24"/>
        </w:rPr>
        <w:t xml:space="preserve">negative perception of </w:t>
      </w:r>
      <w:r w:rsidR="00F80690" w:rsidRPr="002F6296">
        <w:rPr>
          <w:rFonts w:cs="Times New Roman"/>
          <w:sz w:val="24"/>
          <w:szCs w:val="24"/>
        </w:rPr>
        <w:t>p</w:t>
      </w:r>
      <w:r w:rsidR="00F80690">
        <w:rPr>
          <w:rFonts w:cs="Times New Roman"/>
          <w:sz w:val="24"/>
          <w:szCs w:val="24"/>
        </w:rPr>
        <w:t>ersons</w:t>
      </w:r>
      <w:r w:rsidR="00F80690" w:rsidRPr="002F6296">
        <w:rPr>
          <w:rFonts w:cs="Times New Roman"/>
          <w:sz w:val="24"/>
          <w:szCs w:val="24"/>
        </w:rPr>
        <w:t xml:space="preserve"> </w:t>
      </w:r>
      <w:r w:rsidR="0074237D" w:rsidRPr="002F6296">
        <w:rPr>
          <w:rFonts w:cs="Times New Roman"/>
          <w:sz w:val="24"/>
          <w:szCs w:val="24"/>
        </w:rPr>
        <w:t xml:space="preserve">with disabilities </w:t>
      </w:r>
      <w:r w:rsidR="00CF73E5">
        <w:rPr>
          <w:rFonts w:cs="Times New Roman"/>
          <w:sz w:val="24"/>
          <w:szCs w:val="24"/>
        </w:rPr>
        <w:t>h</w:t>
      </w:r>
      <w:r w:rsidR="0074237D" w:rsidRPr="002F6296">
        <w:rPr>
          <w:rFonts w:cs="Times New Roman"/>
          <w:sz w:val="24"/>
          <w:szCs w:val="24"/>
        </w:rPr>
        <w:t xml:space="preserve">e </w:t>
      </w:r>
      <w:r w:rsidR="00397AD6" w:rsidRPr="002F6296">
        <w:rPr>
          <w:rFonts w:cs="Times New Roman"/>
          <w:sz w:val="24"/>
          <w:szCs w:val="24"/>
        </w:rPr>
        <w:t>s</w:t>
      </w:r>
      <w:r w:rsidR="00A51168">
        <w:rPr>
          <w:rFonts w:cs="Times New Roman"/>
          <w:sz w:val="24"/>
          <w:szCs w:val="24"/>
        </w:rPr>
        <w:t>tated</w:t>
      </w:r>
      <w:r w:rsidR="00397AD6" w:rsidRPr="002F6296">
        <w:rPr>
          <w:rFonts w:cs="Times New Roman"/>
          <w:sz w:val="24"/>
          <w:szCs w:val="24"/>
        </w:rPr>
        <w:t xml:space="preserve"> that</w:t>
      </w:r>
      <w:r w:rsidRPr="002F6296">
        <w:rPr>
          <w:rFonts w:cs="Times New Roman"/>
          <w:sz w:val="24"/>
          <w:szCs w:val="24"/>
        </w:rPr>
        <w:t xml:space="preserve"> they need to take it seriously in order to remedy it.   </w:t>
      </w:r>
    </w:p>
    <w:p w14:paraId="2AADA688" w14:textId="0993208D" w:rsidR="00DB7587" w:rsidRPr="00FF73DA" w:rsidRDefault="00DB7587" w:rsidP="00FF73DA">
      <w:r>
        <w:rPr>
          <w:rFonts w:cs="Times New Roman"/>
          <w:sz w:val="24"/>
          <w:szCs w:val="24"/>
        </w:rPr>
        <w:t xml:space="preserve">Following the VNR presentation of Latvia, </w:t>
      </w:r>
      <w:proofErr w:type="spellStart"/>
      <w:r w:rsidRPr="002F6296">
        <w:rPr>
          <w:rFonts w:cs="Times New Roman"/>
          <w:sz w:val="24"/>
          <w:szCs w:val="24"/>
        </w:rPr>
        <w:t>Idriss</w:t>
      </w:r>
      <w:proofErr w:type="spellEnd"/>
      <w:r>
        <w:rPr>
          <w:rFonts w:cs="Times New Roman"/>
          <w:sz w:val="24"/>
          <w:szCs w:val="24"/>
        </w:rPr>
        <w:t xml:space="preserve"> </w:t>
      </w:r>
      <w:proofErr w:type="spellStart"/>
      <w:r w:rsidRPr="002F6296">
        <w:rPr>
          <w:rFonts w:cs="Times New Roman"/>
          <w:sz w:val="24"/>
          <w:szCs w:val="24"/>
        </w:rPr>
        <w:t>Alzouma</w:t>
      </w:r>
      <w:proofErr w:type="spellEnd"/>
      <w:r>
        <w:rPr>
          <w:rFonts w:cs="Times New Roman"/>
          <w:sz w:val="24"/>
          <w:szCs w:val="24"/>
        </w:rPr>
        <w:t xml:space="preserve"> </w:t>
      </w:r>
      <w:proofErr w:type="spellStart"/>
      <w:r w:rsidRPr="002F6296">
        <w:rPr>
          <w:rFonts w:cs="Times New Roman"/>
          <w:sz w:val="24"/>
          <w:szCs w:val="24"/>
        </w:rPr>
        <w:t>Maiga</w:t>
      </w:r>
      <w:proofErr w:type="spellEnd"/>
      <w:r>
        <w:rPr>
          <w:rFonts w:cs="Times New Roman"/>
          <w:sz w:val="24"/>
          <w:szCs w:val="24"/>
        </w:rPr>
        <w:t>, President of ADF and WAFOD, asked</w:t>
      </w:r>
      <w:r w:rsidRPr="002F6296">
        <w:rPr>
          <w:rFonts w:cs="Times New Roman"/>
          <w:sz w:val="24"/>
          <w:szCs w:val="24"/>
        </w:rPr>
        <w:t xml:space="preserve"> </w:t>
      </w:r>
      <w:r>
        <w:rPr>
          <w:rFonts w:cs="Times New Roman"/>
          <w:sz w:val="24"/>
          <w:szCs w:val="24"/>
        </w:rPr>
        <w:t xml:space="preserve">the Government of </w:t>
      </w:r>
      <w:r w:rsidRPr="002F6296">
        <w:rPr>
          <w:rFonts w:cs="Times New Roman"/>
          <w:sz w:val="24"/>
          <w:szCs w:val="24"/>
        </w:rPr>
        <w:t xml:space="preserve">Latvia </w:t>
      </w:r>
      <w:r>
        <w:rPr>
          <w:rFonts w:cs="Times New Roman"/>
          <w:sz w:val="24"/>
          <w:szCs w:val="24"/>
        </w:rPr>
        <w:t xml:space="preserve">about </w:t>
      </w:r>
      <w:r w:rsidRPr="002F6296">
        <w:rPr>
          <w:rFonts w:cs="Times New Roman"/>
          <w:sz w:val="24"/>
          <w:szCs w:val="24"/>
        </w:rPr>
        <w:t>what legal instruments the State w</w:t>
      </w:r>
      <w:r w:rsidR="00415126">
        <w:rPr>
          <w:rFonts w:cs="Times New Roman"/>
          <w:sz w:val="24"/>
          <w:szCs w:val="24"/>
        </w:rPr>
        <w:t>ould</w:t>
      </w:r>
      <w:r w:rsidRPr="002F6296">
        <w:rPr>
          <w:rFonts w:cs="Times New Roman"/>
          <w:sz w:val="24"/>
          <w:szCs w:val="24"/>
        </w:rPr>
        <w:t xml:space="preserve"> use to re-establish and expand the civic space in the country to reflect full diversity, including young people and </w:t>
      </w:r>
      <w:r>
        <w:rPr>
          <w:rFonts w:cs="Times New Roman"/>
          <w:sz w:val="24"/>
          <w:szCs w:val="24"/>
        </w:rPr>
        <w:t>persons with disabilities</w:t>
      </w:r>
      <w:r w:rsidRPr="002F6296">
        <w:rPr>
          <w:rFonts w:cs="Times New Roman"/>
          <w:sz w:val="24"/>
          <w:szCs w:val="24"/>
        </w:rPr>
        <w:t xml:space="preserve"> in the national planning and development system so that they will be on an equal footing with other partners</w:t>
      </w:r>
      <w:r>
        <w:rPr>
          <w:rFonts w:cs="Times New Roman"/>
          <w:sz w:val="24"/>
          <w:szCs w:val="24"/>
        </w:rPr>
        <w:t>.</w:t>
      </w:r>
      <w:r w:rsidR="00BD1CEA">
        <w:rPr>
          <w:rFonts w:cs="Times New Roman"/>
          <w:sz w:val="24"/>
          <w:szCs w:val="24"/>
        </w:rPr>
        <w:t xml:space="preserve"> </w:t>
      </w:r>
      <w:hyperlink r:id="rId22" w:tgtFrame="_blank" w:history="1">
        <w:r w:rsidR="00E13631" w:rsidRPr="00FF73DA">
          <w:rPr>
            <w:rStyle w:val="Hyperlink"/>
            <w:rFonts w:cstheme="minorHAnsi"/>
            <w:b/>
            <w:bCs/>
            <w:sz w:val="24"/>
            <w:shd w:val="clear" w:color="auto" w:fill="FFFFFF"/>
          </w:rPr>
          <w:t>Click here to read the collective statement with questions.</w:t>
        </w:r>
      </w:hyperlink>
      <w:r w:rsidR="00E13631" w:rsidRPr="00FF73DA">
        <w:rPr>
          <w:rFonts w:cstheme="minorHAnsi"/>
          <w:color w:val="222222"/>
          <w:sz w:val="24"/>
          <w:shd w:val="clear" w:color="auto" w:fill="FFFFFF"/>
        </w:rPr>
        <w:t> </w:t>
      </w:r>
    </w:p>
    <w:p w14:paraId="6A84219E" w14:textId="61C56B48" w:rsidR="00DB7587" w:rsidRPr="002F6296" w:rsidRDefault="00DB7587" w:rsidP="002F6296">
      <w:pPr>
        <w:spacing w:line="276" w:lineRule="auto"/>
        <w:jc w:val="both"/>
        <w:rPr>
          <w:rFonts w:cs="Times New Roman"/>
          <w:sz w:val="24"/>
          <w:szCs w:val="24"/>
        </w:rPr>
      </w:pPr>
      <w:r w:rsidRPr="002F6296">
        <w:rPr>
          <w:rFonts w:cs="Times New Roman"/>
          <w:sz w:val="24"/>
          <w:szCs w:val="24"/>
        </w:rPr>
        <w:t xml:space="preserve">Responding to questions from </w:t>
      </w:r>
      <w:r>
        <w:rPr>
          <w:rFonts w:cs="Times New Roman"/>
          <w:sz w:val="24"/>
          <w:szCs w:val="24"/>
        </w:rPr>
        <w:t xml:space="preserve">the </w:t>
      </w:r>
      <w:r w:rsidRPr="002F6296">
        <w:rPr>
          <w:rFonts w:cs="Times New Roman"/>
          <w:sz w:val="24"/>
          <w:szCs w:val="24"/>
        </w:rPr>
        <w:t xml:space="preserve">Stakeholder </w:t>
      </w:r>
      <w:r>
        <w:rPr>
          <w:rFonts w:cs="Times New Roman"/>
          <w:sz w:val="24"/>
          <w:szCs w:val="24"/>
        </w:rPr>
        <w:t>G</w:t>
      </w:r>
      <w:r w:rsidRPr="002F6296">
        <w:rPr>
          <w:rFonts w:cs="Times New Roman"/>
          <w:sz w:val="24"/>
          <w:szCs w:val="24"/>
        </w:rPr>
        <w:t xml:space="preserve">roup of Persons with Disabilities, </w:t>
      </w:r>
      <w:proofErr w:type="spellStart"/>
      <w:r w:rsidR="00335009">
        <w:rPr>
          <w:rFonts w:cs="Times New Roman"/>
          <w:sz w:val="24"/>
          <w:szCs w:val="24"/>
        </w:rPr>
        <w:t>Arvils</w:t>
      </w:r>
      <w:proofErr w:type="spellEnd"/>
      <w:r w:rsidR="00335009">
        <w:rPr>
          <w:rFonts w:cs="Times New Roman"/>
          <w:sz w:val="24"/>
          <w:szCs w:val="24"/>
        </w:rPr>
        <w:t xml:space="preserve"> </w:t>
      </w:r>
      <w:proofErr w:type="spellStart"/>
      <w:r w:rsidRPr="00FF73DA">
        <w:rPr>
          <w:rFonts w:cs="Times New Roman"/>
          <w:sz w:val="24"/>
          <w:szCs w:val="24"/>
        </w:rPr>
        <w:t>Ašeradens</w:t>
      </w:r>
      <w:proofErr w:type="spellEnd"/>
      <w:r w:rsidR="00253735">
        <w:rPr>
          <w:rFonts w:cs="Times New Roman"/>
          <w:sz w:val="24"/>
          <w:szCs w:val="24"/>
        </w:rPr>
        <w:t>, Minister for Economics and Deputy Prime Minister,</w:t>
      </w:r>
      <w:r w:rsidRPr="002F6296">
        <w:rPr>
          <w:rFonts w:cs="Times New Roman"/>
          <w:sz w:val="24"/>
          <w:szCs w:val="24"/>
        </w:rPr>
        <w:t xml:space="preserve"> noted that in order to ensure that people at risk of poverty benefit from medical service</w:t>
      </w:r>
      <w:r w:rsidR="00EA29C3">
        <w:rPr>
          <w:rFonts w:cs="Times New Roman"/>
          <w:sz w:val="24"/>
          <w:szCs w:val="24"/>
        </w:rPr>
        <w:t>s</w:t>
      </w:r>
      <w:r w:rsidR="003C3A96">
        <w:rPr>
          <w:rFonts w:cs="Times New Roman"/>
          <w:sz w:val="24"/>
          <w:szCs w:val="24"/>
        </w:rPr>
        <w:t xml:space="preserve"> </w:t>
      </w:r>
      <w:r w:rsidRPr="002F6296">
        <w:rPr>
          <w:rFonts w:cs="Times New Roman"/>
          <w:sz w:val="24"/>
          <w:szCs w:val="24"/>
        </w:rPr>
        <w:t xml:space="preserve">Latvia </w:t>
      </w:r>
      <w:r w:rsidR="003C3A96">
        <w:rPr>
          <w:rFonts w:cs="Times New Roman"/>
          <w:sz w:val="24"/>
          <w:szCs w:val="24"/>
        </w:rPr>
        <w:t xml:space="preserve">has </w:t>
      </w:r>
      <w:r w:rsidRPr="002F6296">
        <w:rPr>
          <w:rFonts w:cs="Times New Roman"/>
          <w:sz w:val="24"/>
          <w:szCs w:val="24"/>
        </w:rPr>
        <w:t>developed different kind</w:t>
      </w:r>
      <w:r>
        <w:rPr>
          <w:rFonts w:cs="Times New Roman"/>
          <w:sz w:val="24"/>
          <w:szCs w:val="24"/>
        </w:rPr>
        <w:t>s</w:t>
      </w:r>
      <w:r w:rsidRPr="002F6296">
        <w:rPr>
          <w:rFonts w:cs="Times New Roman"/>
          <w:sz w:val="24"/>
          <w:szCs w:val="24"/>
        </w:rPr>
        <w:t xml:space="preserve"> of system</w:t>
      </w:r>
      <w:r>
        <w:rPr>
          <w:rFonts w:cs="Times New Roman"/>
          <w:sz w:val="24"/>
          <w:szCs w:val="24"/>
        </w:rPr>
        <w:t>s</w:t>
      </w:r>
      <w:r w:rsidRPr="002F6296">
        <w:rPr>
          <w:rFonts w:cs="Times New Roman"/>
          <w:sz w:val="24"/>
          <w:szCs w:val="24"/>
        </w:rPr>
        <w:t xml:space="preserve"> to target different groups of people</w:t>
      </w:r>
      <w:r>
        <w:rPr>
          <w:rFonts w:cs="Times New Roman"/>
          <w:sz w:val="24"/>
          <w:szCs w:val="24"/>
        </w:rPr>
        <w:t>,</w:t>
      </w:r>
      <w:r w:rsidRPr="002F6296">
        <w:rPr>
          <w:rFonts w:cs="Times New Roman"/>
          <w:sz w:val="24"/>
          <w:szCs w:val="24"/>
        </w:rPr>
        <w:t xml:space="preserve"> including </w:t>
      </w:r>
      <w:r w:rsidR="003C3A96">
        <w:rPr>
          <w:rFonts w:cs="Times New Roman"/>
          <w:sz w:val="24"/>
          <w:szCs w:val="24"/>
        </w:rPr>
        <w:t>person</w:t>
      </w:r>
      <w:r w:rsidRPr="002F6296">
        <w:rPr>
          <w:rFonts w:cs="Times New Roman"/>
          <w:sz w:val="24"/>
          <w:szCs w:val="24"/>
        </w:rPr>
        <w:t>s with disabilities</w:t>
      </w:r>
      <w:r w:rsidR="003C3A96">
        <w:rPr>
          <w:rFonts w:cs="Times New Roman"/>
          <w:sz w:val="24"/>
          <w:szCs w:val="24"/>
        </w:rPr>
        <w:t>, to ensure that those included in Latvia’s social system have full access to the medical system.</w:t>
      </w:r>
    </w:p>
    <w:p w14:paraId="426A6C0A" w14:textId="11157C4C" w:rsidR="004B457E" w:rsidRPr="00FF73DA" w:rsidRDefault="00512F90" w:rsidP="00FF73DA">
      <w:pPr>
        <w:pStyle w:val="Heading2"/>
      </w:pPr>
      <w:bookmarkStart w:id="45" w:name="_Toc531264896"/>
      <w:r w:rsidRPr="00FF73DA">
        <w:t>Armenia, Ireland, Namibia, Jamaica, State of Palestine</w:t>
      </w:r>
      <w:bookmarkEnd w:id="45"/>
    </w:p>
    <w:p w14:paraId="07BF8CEF" w14:textId="77777777" w:rsidR="004B457E" w:rsidRPr="00613C54" w:rsidRDefault="004B457E" w:rsidP="00613C54">
      <w:pPr>
        <w:spacing w:after="0"/>
        <w:rPr>
          <w:b/>
          <w:sz w:val="24"/>
          <w:szCs w:val="24"/>
        </w:rPr>
      </w:pPr>
      <w:r w:rsidRPr="00613C54">
        <w:rPr>
          <w:b/>
          <w:sz w:val="24"/>
          <w:szCs w:val="24"/>
        </w:rPr>
        <w:t>Ireland</w:t>
      </w:r>
    </w:p>
    <w:p w14:paraId="5A8E635F" w14:textId="636D8765" w:rsidR="004B457E" w:rsidRPr="002F6296" w:rsidRDefault="004B457E" w:rsidP="00941891">
      <w:pPr>
        <w:spacing w:after="0" w:line="276" w:lineRule="auto"/>
        <w:jc w:val="both"/>
        <w:rPr>
          <w:rFonts w:cs="Times New Roman"/>
          <w:sz w:val="24"/>
          <w:szCs w:val="24"/>
        </w:rPr>
      </w:pPr>
      <w:r w:rsidRPr="002F6296">
        <w:rPr>
          <w:rFonts w:cs="Times New Roman"/>
          <w:sz w:val="24"/>
          <w:szCs w:val="24"/>
        </w:rPr>
        <w:t xml:space="preserve">Presenting the VNR for </w:t>
      </w:r>
      <w:r w:rsidRPr="00C17C2E">
        <w:rPr>
          <w:rFonts w:cs="Times New Roman"/>
          <w:sz w:val="24"/>
          <w:szCs w:val="24"/>
        </w:rPr>
        <w:t>Ireland</w:t>
      </w:r>
      <w:r w:rsidRPr="002F6296">
        <w:rPr>
          <w:rFonts w:cs="Times New Roman"/>
          <w:sz w:val="24"/>
          <w:szCs w:val="24"/>
        </w:rPr>
        <w:t xml:space="preserve">, Denis </w:t>
      </w:r>
      <w:proofErr w:type="spellStart"/>
      <w:r w:rsidRPr="002F6296">
        <w:rPr>
          <w:rFonts w:cs="Times New Roman"/>
          <w:sz w:val="24"/>
          <w:szCs w:val="24"/>
        </w:rPr>
        <w:t>Naughten</w:t>
      </w:r>
      <w:proofErr w:type="spellEnd"/>
      <w:r w:rsidRPr="002F6296">
        <w:rPr>
          <w:rFonts w:cs="Times New Roman"/>
          <w:sz w:val="24"/>
          <w:szCs w:val="24"/>
        </w:rPr>
        <w:t>, Minister for Communications, Climate Action and Environment, Lauren Flanagan, youth delegate, and Paul Dockery, youth delegate, highlighted that addressing</w:t>
      </w:r>
      <w:r w:rsidR="0074237D" w:rsidRPr="002F6296">
        <w:rPr>
          <w:rFonts w:cs="Times New Roman"/>
          <w:sz w:val="24"/>
          <w:szCs w:val="24"/>
        </w:rPr>
        <w:t xml:space="preserve"> </w:t>
      </w:r>
      <w:r w:rsidRPr="002F6296">
        <w:rPr>
          <w:rFonts w:cs="Times New Roman"/>
          <w:sz w:val="24"/>
          <w:szCs w:val="24"/>
        </w:rPr>
        <w:t xml:space="preserve">poverty and inequality both nationally and internationally were two of the most important </w:t>
      </w:r>
      <w:r w:rsidR="00666CA5">
        <w:rPr>
          <w:rFonts w:cs="Times New Roman"/>
          <w:sz w:val="24"/>
          <w:szCs w:val="24"/>
        </w:rPr>
        <w:t>g</w:t>
      </w:r>
      <w:r w:rsidRPr="002F6296">
        <w:rPr>
          <w:rFonts w:cs="Times New Roman"/>
          <w:sz w:val="24"/>
          <w:szCs w:val="24"/>
        </w:rPr>
        <w:t xml:space="preserve">oals for the young people </w:t>
      </w:r>
      <w:r w:rsidR="008F52E1">
        <w:rPr>
          <w:rFonts w:cs="Times New Roman"/>
          <w:sz w:val="24"/>
          <w:szCs w:val="24"/>
        </w:rPr>
        <w:t>they</w:t>
      </w:r>
      <w:r w:rsidRPr="002F6296">
        <w:rPr>
          <w:rFonts w:cs="Times New Roman"/>
          <w:sz w:val="24"/>
          <w:szCs w:val="24"/>
        </w:rPr>
        <w:t xml:space="preserve"> spoke to, particularly for </w:t>
      </w:r>
      <w:r w:rsidR="00F26717">
        <w:rPr>
          <w:rFonts w:cs="Times New Roman"/>
          <w:sz w:val="24"/>
          <w:szCs w:val="24"/>
        </w:rPr>
        <w:t>marginalized</w:t>
      </w:r>
      <w:r w:rsidR="00F26717" w:rsidRPr="002F6296">
        <w:rPr>
          <w:rFonts w:cs="Times New Roman"/>
          <w:sz w:val="24"/>
          <w:szCs w:val="24"/>
        </w:rPr>
        <w:t xml:space="preserve"> </w:t>
      </w:r>
      <w:r w:rsidRPr="002F6296">
        <w:rPr>
          <w:rFonts w:cs="Times New Roman"/>
          <w:sz w:val="24"/>
          <w:szCs w:val="24"/>
        </w:rPr>
        <w:t xml:space="preserve">communities </w:t>
      </w:r>
      <w:r w:rsidR="00D97583">
        <w:rPr>
          <w:rFonts w:cs="Times New Roman"/>
          <w:sz w:val="24"/>
          <w:szCs w:val="24"/>
        </w:rPr>
        <w:t>such as</w:t>
      </w:r>
      <w:r w:rsidR="00D97583" w:rsidRPr="002F6296">
        <w:rPr>
          <w:rFonts w:cs="Times New Roman"/>
          <w:sz w:val="24"/>
          <w:szCs w:val="24"/>
        </w:rPr>
        <w:t xml:space="preserve"> </w:t>
      </w:r>
      <w:r w:rsidRPr="002F6296">
        <w:rPr>
          <w:rFonts w:cs="Times New Roman"/>
          <w:sz w:val="24"/>
          <w:szCs w:val="24"/>
        </w:rPr>
        <w:t>refugees, ethnic minorities, p</w:t>
      </w:r>
      <w:r w:rsidR="006861C6">
        <w:rPr>
          <w:rFonts w:cs="Times New Roman"/>
          <w:sz w:val="24"/>
          <w:szCs w:val="24"/>
        </w:rPr>
        <w:t>ersons</w:t>
      </w:r>
      <w:r w:rsidRPr="002F6296">
        <w:rPr>
          <w:rFonts w:cs="Times New Roman"/>
          <w:sz w:val="24"/>
          <w:szCs w:val="24"/>
        </w:rPr>
        <w:t xml:space="preserve"> with disabilities and women. In order to address poverty experienced by young people, there were calls for greater action to be taken in providing better </w:t>
      </w:r>
      <w:r w:rsidRPr="002F6296">
        <w:rPr>
          <w:rFonts w:cs="Times New Roman"/>
          <w:sz w:val="24"/>
          <w:szCs w:val="24"/>
        </w:rPr>
        <w:lastRenderedPageBreak/>
        <w:t xml:space="preserve">access to decent jobs with proper remuneration, including at </w:t>
      </w:r>
      <w:r w:rsidR="0074237D" w:rsidRPr="002F6296">
        <w:rPr>
          <w:rFonts w:cs="Times New Roman"/>
          <w:sz w:val="24"/>
          <w:szCs w:val="24"/>
        </w:rPr>
        <w:t xml:space="preserve">the </w:t>
      </w:r>
      <w:r w:rsidRPr="002F6296">
        <w:rPr>
          <w:rFonts w:cs="Times New Roman"/>
          <w:sz w:val="24"/>
          <w:szCs w:val="24"/>
        </w:rPr>
        <w:t>UN level. Although young people felt that Goal 1 would be the most difficult to achieve</w:t>
      </w:r>
      <w:r w:rsidR="00C76248">
        <w:rPr>
          <w:rFonts w:cs="Times New Roman"/>
          <w:sz w:val="24"/>
          <w:szCs w:val="24"/>
        </w:rPr>
        <w:t>,</w:t>
      </w:r>
      <w:r w:rsidRPr="002F6296">
        <w:rPr>
          <w:rFonts w:cs="Times New Roman"/>
          <w:sz w:val="24"/>
          <w:szCs w:val="24"/>
        </w:rPr>
        <w:t xml:space="preserve"> </w:t>
      </w:r>
      <w:r w:rsidR="00C76248">
        <w:rPr>
          <w:rFonts w:cs="Times New Roman"/>
          <w:sz w:val="24"/>
          <w:szCs w:val="24"/>
        </w:rPr>
        <w:t>they</w:t>
      </w:r>
      <w:r w:rsidR="00C76248" w:rsidRPr="002F6296">
        <w:rPr>
          <w:rFonts w:cs="Times New Roman"/>
          <w:sz w:val="24"/>
          <w:szCs w:val="24"/>
        </w:rPr>
        <w:t xml:space="preserve"> </w:t>
      </w:r>
      <w:r w:rsidRPr="002F6296">
        <w:rPr>
          <w:rFonts w:cs="Times New Roman"/>
          <w:sz w:val="24"/>
          <w:szCs w:val="24"/>
        </w:rPr>
        <w:t>felt it would have the greatest impact and call for strong leadership in eradicating poverty.</w:t>
      </w:r>
    </w:p>
    <w:p w14:paraId="23871658" w14:textId="77777777" w:rsidR="00E10756" w:rsidRDefault="00E10756" w:rsidP="00E10756">
      <w:pPr>
        <w:spacing w:after="0"/>
        <w:rPr>
          <w:b/>
          <w:sz w:val="24"/>
          <w:szCs w:val="24"/>
        </w:rPr>
      </w:pPr>
    </w:p>
    <w:p w14:paraId="1070F7DA" w14:textId="77777777" w:rsidR="004B457E" w:rsidRPr="00E10756" w:rsidRDefault="004B457E" w:rsidP="00E10756">
      <w:pPr>
        <w:spacing w:after="0"/>
        <w:rPr>
          <w:b/>
          <w:sz w:val="24"/>
          <w:szCs w:val="24"/>
        </w:rPr>
      </w:pPr>
      <w:r w:rsidRPr="00E10756">
        <w:rPr>
          <w:b/>
          <w:sz w:val="24"/>
          <w:szCs w:val="24"/>
        </w:rPr>
        <w:t>Namibia</w:t>
      </w:r>
    </w:p>
    <w:p w14:paraId="58E11D6B" w14:textId="298A5E72" w:rsidR="004B457E" w:rsidRDefault="004B457E" w:rsidP="00994E9A">
      <w:pPr>
        <w:spacing w:after="0" w:line="276" w:lineRule="auto"/>
        <w:jc w:val="both"/>
        <w:rPr>
          <w:rFonts w:cs="Times New Roman"/>
          <w:sz w:val="24"/>
          <w:szCs w:val="24"/>
        </w:rPr>
      </w:pPr>
      <w:r w:rsidRPr="002F6296">
        <w:rPr>
          <w:rFonts w:cs="Times New Roman"/>
          <w:sz w:val="24"/>
          <w:szCs w:val="24"/>
        </w:rPr>
        <w:t xml:space="preserve">Presenting the VNR for </w:t>
      </w:r>
      <w:r w:rsidRPr="00C17C2E">
        <w:rPr>
          <w:rFonts w:cs="Times New Roman"/>
          <w:sz w:val="24"/>
          <w:szCs w:val="24"/>
        </w:rPr>
        <w:t>Namibia</w:t>
      </w:r>
      <w:r w:rsidRPr="002F6296">
        <w:rPr>
          <w:rFonts w:cs="Times New Roman"/>
          <w:sz w:val="24"/>
          <w:szCs w:val="24"/>
        </w:rPr>
        <w:t xml:space="preserve">, </w:t>
      </w:r>
      <w:proofErr w:type="spellStart"/>
      <w:r w:rsidRPr="002F6296">
        <w:rPr>
          <w:rFonts w:cs="Times New Roman"/>
          <w:sz w:val="24"/>
          <w:szCs w:val="24"/>
        </w:rPr>
        <w:t>Obeth</w:t>
      </w:r>
      <w:proofErr w:type="spellEnd"/>
      <w:r w:rsidR="00397AD6">
        <w:rPr>
          <w:rFonts w:cs="Times New Roman"/>
          <w:sz w:val="24"/>
          <w:szCs w:val="24"/>
        </w:rPr>
        <w:t xml:space="preserve"> </w:t>
      </w:r>
      <w:proofErr w:type="spellStart"/>
      <w:r w:rsidRPr="002F6296">
        <w:rPr>
          <w:rFonts w:cs="Times New Roman"/>
          <w:sz w:val="24"/>
          <w:szCs w:val="24"/>
        </w:rPr>
        <w:t>Kandjoze</w:t>
      </w:r>
      <w:proofErr w:type="spellEnd"/>
      <w:r w:rsidRPr="002F6296">
        <w:rPr>
          <w:rFonts w:cs="Times New Roman"/>
          <w:sz w:val="24"/>
          <w:szCs w:val="24"/>
        </w:rPr>
        <w:t xml:space="preserve">, Minister of Economic Planning and Director-General of the National Planning Commission, highlighted that although poverty and inequalities remain high in the country, the government has increased </w:t>
      </w:r>
      <w:r w:rsidR="00BE75F2">
        <w:rPr>
          <w:rFonts w:cs="Times New Roman"/>
          <w:sz w:val="24"/>
          <w:szCs w:val="24"/>
        </w:rPr>
        <w:t xml:space="preserve">the </w:t>
      </w:r>
      <w:r w:rsidRPr="002F6296">
        <w:rPr>
          <w:rFonts w:cs="Times New Roman"/>
          <w:sz w:val="24"/>
          <w:szCs w:val="24"/>
        </w:rPr>
        <w:t>coverage and</w:t>
      </w:r>
      <w:r w:rsidR="00BE75F2">
        <w:rPr>
          <w:rFonts w:cs="Times New Roman"/>
          <w:sz w:val="24"/>
          <w:szCs w:val="24"/>
        </w:rPr>
        <w:t xml:space="preserve"> </w:t>
      </w:r>
      <w:r w:rsidRPr="002F6296">
        <w:rPr>
          <w:rFonts w:cs="Times New Roman"/>
          <w:sz w:val="24"/>
          <w:szCs w:val="24"/>
        </w:rPr>
        <w:t xml:space="preserve">value of </w:t>
      </w:r>
      <w:r w:rsidR="000877FA">
        <w:rPr>
          <w:rFonts w:cs="Times New Roman"/>
          <w:sz w:val="24"/>
          <w:szCs w:val="24"/>
        </w:rPr>
        <w:t>s</w:t>
      </w:r>
      <w:r w:rsidRPr="002F6296">
        <w:rPr>
          <w:rFonts w:cs="Times New Roman"/>
          <w:sz w:val="24"/>
          <w:szCs w:val="24"/>
        </w:rPr>
        <w:t xml:space="preserve">ocial </w:t>
      </w:r>
      <w:r w:rsidR="000877FA">
        <w:rPr>
          <w:rFonts w:cs="Times New Roman"/>
          <w:sz w:val="24"/>
          <w:szCs w:val="24"/>
        </w:rPr>
        <w:t>p</w:t>
      </w:r>
      <w:r w:rsidRPr="002F6296">
        <w:rPr>
          <w:rFonts w:cs="Times New Roman"/>
          <w:sz w:val="24"/>
          <w:szCs w:val="24"/>
        </w:rPr>
        <w:t xml:space="preserve">rotection </w:t>
      </w:r>
      <w:r w:rsidR="000877FA">
        <w:rPr>
          <w:rFonts w:cs="Times New Roman"/>
          <w:sz w:val="24"/>
          <w:szCs w:val="24"/>
        </w:rPr>
        <w:t>g</w:t>
      </w:r>
      <w:r w:rsidRPr="002F6296">
        <w:rPr>
          <w:rFonts w:cs="Times New Roman"/>
          <w:sz w:val="24"/>
          <w:szCs w:val="24"/>
        </w:rPr>
        <w:t>rants which cover old</w:t>
      </w:r>
      <w:r w:rsidR="008C3AB5">
        <w:rPr>
          <w:rFonts w:cs="Times New Roman"/>
          <w:sz w:val="24"/>
          <w:szCs w:val="24"/>
        </w:rPr>
        <w:t>er persons</w:t>
      </w:r>
      <w:r w:rsidRPr="002F6296">
        <w:rPr>
          <w:rFonts w:cs="Times New Roman"/>
          <w:sz w:val="24"/>
          <w:szCs w:val="24"/>
        </w:rPr>
        <w:t>, orphans, war</w:t>
      </w:r>
      <w:r w:rsidR="00A26DF1">
        <w:rPr>
          <w:rFonts w:cs="Times New Roman"/>
          <w:sz w:val="24"/>
          <w:szCs w:val="24"/>
        </w:rPr>
        <w:t xml:space="preserve"> </w:t>
      </w:r>
      <w:r w:rsidRPr="002F6296">
        <w:rPr>
          <w:rFonts w:cs="Times New Roman"/>
          <w:sz w:val="24"/>
          <w:szCs w:val="24"/>
        </w:rPr>
        <w:t xml:space="preserve">veterans, school children, </w:t>
      </w:r>
      <w:r w:rsidR="00302388">
        <w:rPr>
          <w:rFonts w:cs="Times New Roman"/>
          <w:sz w:val="24"/>
          <w:szCs w:val="24"/>
        </w:rPr>
        <w:t>p</w:t>
      </w:r>
      <w:r w:rsidRPr="002F6296">
        <w:rPr>
          <w:rFonts w:cs="Times New Roman"/>
          <w:sz w:val="24"/>
          <w:szCs w:val="24"/>
        </w:rPr>
        <w:t xml:space="preserve">ersons with </w:t>
      </w:r>
      <w:r w:rsidR="00302388">
        <w:rPr>
          <w:rFonts w:cs="Times New Roman"/>
          <w:sz w:val="24"/>
          <w:szCs w:val="24"/>
        </w:rPr>
        <w:t>d</w:t>
      </w:r>
      <w:r w:rsidRPr="002F6296">
        <w:rPr>
          <w:rFonts w:cs="Times New Roman"/>
          <w:sz w:val="24"/>
          <w:szCs w:val="24"/>
        </w:rPr>
        <w:t xml:space="preserve">isabilities and other </w:t>
      </w:r>
      <w:r w:rsidR="00BD08F0">
        <w:rPr>
          <w:rFonts w:cs="Times New Roman"/>
          <w:sz w:val="24"/>
          <w:szCs w:val="24"/>
        </w:rPr>
        <w:t>marginalized group</w:t>
      </w:r>
      <w:r w:rsidR="00DD63BD">
        <w:rPr>
          <w:rFonts w:cs="Times New Roman"/>
          <w:sz w:val="24"/>
          <w:szCs w:val="24"/>
        </w:rPr>
        <w:t>s</w:t>
      </w:r>
      <w:r w:rsidRPr="002F6296">
        <w:rPr>
          <w:rFonts w:cs="Times New Roman"/>
          <w:sz w:val="24"/>
          <w:szCs w:val="24"/>
        </w:rPr>
        <w:t>.</w:t>
      </w:r>
      <w:r w:rsidR="00ED0641">
        <w:rPr>
          <w:rFonts w:cs="Times New Roman"/>
          <w:sz w:val="24"/>
          <w:szCs w:val="24"/>
        </w:rPr>
        <w:t xml:space="preserve"> In terms of ensuring inclusive and equitable quality education, Namibia has achieved universal access to primary education and all targets in that respect have been met under the Millennium Development Goals.</w:t>
      </w:r>
    </w:p>
    <w:p w14:paraId="7E90F2B8" w14:textId="77777777" w:rsidR="00DD63BD" w:rsidRPr="002F6296" w:rsidRDefault="00DD63BD" w:rsidP="00994E9A">
      <w:pPr>
        <w:spacing w:after="0" w:line="276" w:lineRule="auto"/>
        <w:jc w:val="both"/>
        <w:rPr>
          <w:rFonts w:cs="Times New Roman"/>
          <w:sz w:val="24"/>
          <w:szCs w:val="24"/>
        </w:rPr>
      </w:pPr>
    </w:p>
    <w:p w14:paraId="4F3266B0" w14:textId="0C8E45C4" w:rsidR="004B457E" w:rsidRPr="00FF73DA" w:rsidRDefault="004B457E" w:rsidP="00FF73DA">
      <w:pPr>
        <w:rPr>
          <w:rFonts w:cstheme="minorHAnsi"/>
          <w:bCs/>
          <w:color w:val="0000FF"/>
          <w:sz w:val="24"/>
          <w:shd w:val="clear" w:color="auto" w:fill="FFFFFF"/>
        </w:rPr>
      </w:pPr>
      <w:r w:rsidRPr="002F6296">
        <w:rPr>
          <w:rFonts w:cs="Times New Roman"/>
          <w:sz w:val="24"/>
          <w:szCs w:val="24"/>
        </w:rPr>
        <w:t>Following Namibia’s presentation, Alexandre</w:t>
      </w:r>
      <w:r w:rsidR="00397AD6">
        <w:rPr>
          <w:rFonts w:cs="Times New Roman"/>
          <w:sz w:val="24"/>
          <w:szCs w:val="24"/>
        </w:rPr>
        <w:t xml:space="preserve"> </w:t>
      </w:r>
      <w:proofErr w:type="spellStart"/>
      <w:r w:rsidRPr="002F6296">
        <w:rPr>
          <w:rFonts w:cs="Times New Roman"/>
          <w:sz w:val="24"/>
          <w:szCs w:val="24"/>
        </w:rPr>
        <w:t>Bloxs</w:t>
      </w:r>
      <w:proofErr w:type="spellEnd"/>
      <w:r w:rsidRPr="002F6296">
        <w:rPr>
          <w:rFonts w:cs="Times New Roman"/>
          <w:sz w:val="24"/>
          <w:szCs w:val="24"/>
        </w:rPr>
        <w:t xml:space="preserve">, </w:t>
      </w:r>
      <w:r w:rsidR="00DD63BD">
        <w:rPr>
          <w:rFonts w:cs="Times New Roman"/>
          <w:sz w:val="24"/>
          <w:szCs w:val="24"/>
        </w:rPr>
        <w:t>European Disability Forum</w:t>
      </w:r>
      <w:r w:rsidRPr="002F6296">
        <w:rPr>
          <w:rFonts w:cs="Times New Roman"/>
          <w:sz w:val="24"/>
          <w:szCs w:val="24"/>
        </w:rPr>
        <w:t xml:space="preserve">, </w:t>
      </w:r>
      <w:r w:rsidR="00DE2291" w:rsidRPr="002F6296">
        <w:rPr>
          <w:rFonts w:cs="Times New Roman"/>
          <w:sz w:val="24"/>
          <w:szCs w:val="24"/>
        </w:rPr>
        <w:t xml:space="preserve">asked the Government of Namibia </w:t>
      </w:r>
      <w:r w:rsidRPr="002F6296">
        <w:rPr>
          <w:rFonts w:cs="Times New Roman"/>
          <w:sz w:val="24"/>
          <w:szCs w:val="24"/>
        </w:rPr>
        <w:t>in International Sign</w:t>
      </w:r>
      <w:r w:rsidR="003A5E1B">
        <w:rPr>
          <w:rFonts w:cs="Times New Roman"/>
          <w:sz w:val="24"/>
          <w:szCs w:val="24"/>
        </w:rPr>
        <w:t xml:space="preserve"> language</w:t>
      </w:r>
      <w:r w:rsidRPr="002F6296">
        <w:rPr>
          <w:rFonts w:cs="Times New Roman"/>
          <w:sz w:val="24"/>
          <w:szCs w:val="24"/>
        </w:rPr>
        <w:t>: “</w:t>
      </w:r>
      <w:r w:rsidR="00830D69">
        <w:rPr>
          <w:rFonts w:cs="Times New Roman"/>
          <w:sz w:val="24"/>
          <w:szCs w:val="24"/>
        </w:rPr>
        <w:t>H</w:t>
      </w:r>
      <w:r w:rsidRPr="002F6296">
        <w:rPr>
          <w:rFonts w:cs="Times New Roman"/>
          <w:sz w:val="24"/>
          <w:szCs w:val="24"/>
        </w:rPr>
        <w:t>ow does Namibia commit to carry out Article 5 of the UN Convention on the Rights of Persons with Disabilities that all persons are entitled to equal protection and equal benefit of the law?”</w:t>
      </w:r>
      <w:r w:rsidR="00DF7DDE" w:rsidRPr="00FF73DA">
        <w:rPr>
          <w:rFonts w:cstheme="minorHAnsi"/>
          <w:sz w:val="28"/>
          <w:szCs w:val="24"/>
        </w:rPr>
        <w:t xml:space="preserve"> </w:t>
      </w:r>
      <w:hyperlink r:id="rId23" w:tgtFrame="_blank" w:history="1">
        <w:r w:rsidR="008462DA" w:rsidRPr="00FF73DA">
          <w:rPr>
            <w:rStyle w:val="Hyperlink"/>
            <w:rFonts w:cstheme="minorHAnsi"/>
            <w:bCs/>
            <w:sz w:val="24"/>
            <w:shd w:val="clear" w:color="auto" w:fill="FFFFFF"/>
          </w:rPr>
          <w:t>Click here to read his full statement.</w:t>
        </w:r>
      </w:hyperlink>
    </w:p>
    <w:p w14:paraId="5B9A5F74" w14:textId="5A00EABB" w:rsidR="004B457E" w:rsidRPr="002F6296" w:rsidRDefault="004B457E" w:rsidP="002F6296">
      <w:pPr>
        <w:spacing w:line="276" w:lineRule="auto"/>
        <w:jc w:val="both"/>
        <w:rPr>
          <w:rFonts w:cs="Times New Roman"/>
          <w:sz w:val="24"/>
          <w:szCs w:val="24"/>
        </w:rPr>
      </w:pPr>
      <w:r w:rsidRPr="002F6296">
        <w:rPr>
          <w:rFonts w:cs="Times New Roman"/>
          <w:sz w:val="24"/>
          <w:szCs w:val="24"/>
        </w:rPr>
        <w:t>In respon</w:t>
      </w:r>
      <w:r w:rsidR="00476EE6" w:rsidRPr="002F6296">
        <w:rPr>
          <w:rFonts w:cs="Times New Roman"/>
          <w:sz w:val="24"/>
          <w:szCs w:val="24"/>
        </w:rPr>
        <w:t xml:space="preserve">se, </w:t>
      </w:r>
      <w:proofErr w:type="spellStart"/>
      <w:r w:rsidR="00476EE6" w:rsidRPr="002F6296">
        <w:rPr>
          <w:rFonts w:cs="Times New Roman"/>
          <w:sz w:val="24"/>
          <w:szCs w:val="24"/>
        </w:rPr>
        <w:t>Obeth</w:t>
      </w:r>
      <w:proofErr w:type="spellEnd"/>
      <w:r w:rsidR="00397AD6">
        <w:rPr>
          <w:rFonts w:cs="Times New Roman"/>
          <w:sz w:val="24"/>
          <w:szCs w:val="24"/>
        </w:rPr>
        <w:t xml:space="preserve"> </w:t>
      </w:r>
      <w:proofErr w:type="spellStart"/>
      <w:r w:rsidR="00476EE6" w:rsidRPr="002F6296">
        <w:rPr>
          <w:rFonts w:cs="Times New Roman"/>
          <w:sz w:val="24"/>
          <w:szCs w:val="24"/>
        </w:rPr>
        <w:t>Kandjoze</w:t>
      </w:r>
      <w:proofErr w:type="spellEnd"/>
      <w:r w:rsidR="00617FA0">
        <w:rPr>
          <w:rFonts w:cs="Times New Roman"/>
          <w:sz w:val="24"/>
          <w:szCs w:val="24"/>
        </w:rPr>
        <w:t>, Minister of Mining and Energy,</w:t>
      </w:r>
      <w:r w:rsidR="00476EE6" w:rsidRPr="002F6296">
        <w:rPr>
          <w:rFonts w:cs="Times New Roman"/>
          <w:sz w:val="24"/>
          <w:szCs w:val="24"/>
        </w:rPr>
        <w:t xml:space="preserve"> stated that </w:t>
      </w:r>
      <w:r w:rsidR="00493B6F">
        <w:rPr>
          <w:rFonts w:cs="Times New Roman"/>
          <w:sz w:val="24"/>
          <w:szCs w:val="24"/>
        </w:rPr>
        <w:t>p</w:t>
      </w:r>
      <w:r w:rsidRPr="002F6296">
        <w:rPr>
          <w:rFonts w:cs="Times New Roman"/>
          <w:sz w:val="24"/>
          <w:szCs w:val="24"/>
        </w:rPr>
        <w:t xml:space="preserve">ersons with </w:t>
      </w:r>
      <w:r w:rsidR="00493B6F">
        <w:rPr>
          <w:rFonts w:cs="Times New Roman"/>
          <w:sz w:val="24"/>
          <w:szCs w:val="24"/>
        </w:rPr>
        <w:t>d</w:t>
      </w:r>
      <w:r w:rsidRPr="002F6296">
        <w:rPr>
          <w:rFonts w:cs="Times New Roman"/>
          <w:sz w:val="24"/>
          <w:szCs w:val="24"/>
        </w:rPr>
        <w:t xml:space="preserve">isabilities have representation and participation in all higher offices. The </w:t>
      </w:r>
      <w:r w:rsidR="00510743">
        <w:rPr>
          <w:rFonts w:cs="Times New Roman"/>
          <w:sz w:val="24"/>
          <w:szCs w:val="24"/>
        </w:rPr>
        <w:t>previous</w:t>
      </w:r>
      <w:r w:rsidR="00510743" w:rsidRPr="002F6296">
        <w:rPr>
          <w:rFonts w:cs="Times New Roman"/>
          <w:sz w:val="24"/>
          <w:szCs w:val="24"/>
        </w:rPr>
        <w:t xml:space="preserve"> </w:t>
      </w:r>
      <w:r w:rsidRPr="002F6296">
        <w:rPr>
          <w:rFonts w:cs="Times New Roman"/>
          <w:sz w:val="24"/>
          <w:szCs w:val="24"/>
        </w:rPr>
        <w:t>government also set</w:t>
      </w:r>
      <w:r w:rsidR="0053230B">
        <w:rPr>
          <w:rFonts w:cs="Times New Roman"/>
          <w:sz w:val="24"/>
          <w:szCs w:val="24"/>
        </w:rPr>
        <w:t xml:space="preserve"> </w:t>
      </w:r>
      <w:r w:rsidRPr="002F6296">
        <w:rPr>
          <w:rFonts w:cs="Times New Roman"/>
          <w:sz w:val="24"/>
          <w:szCs w:val="24"/>
        </w:rPr>
        <w:t>up a ministry under the office of the vice president that deals with all disability issue</w:t>
      </w:r>
      <w:r w:rsidR="004764C4">
        <w:rPr>
          <w:rFonts w:cs="Times New Roman"/>
          <w:sz w:val="24"/>
          <w:szCs w:val="24"/>
        </w:rPr>
        <w:t>s</w:t>
      </w:r>
      <w:r w:rsidRPr="002F6296">
        <w:rPr>
          <w:rFonts w:cs="Times New Roman"/>
          <w:sz w:val="24"/>
          <w:szCs w:val="24"/>
        </w:rPr>
        <w:t xml:space="preserve">. </w:t>
      </w:r>
      <w:r w:rsidR="00E619D4" w:rsidRPr="002F6296">
        <w:rPr>
          <w:rFonts w:cs="Times New Roman"/>
          <w:sz w:val="24"/>
          <w:szCs w:val="24"/>
        </w:rPr>
        <w:t>Pe</w:t>
      </w:r>
      <w:r w:rsidR="00E619D4">
        <w:rPr>
          <w:rFonts w:cs="Times New Roman"/>
          <w:sz w:val="24"/>
          <w:szCs w:val="24"/>
        </w:rPr>
        <w:t>rsons</w:t>
      </w:r>
      <w:r w:rsidR="00E619D4" w:rsidRPr="002F6296">
        <w:rPr>
          <w:rFonts w:cs="Times New Roman"/>
          <w:sz w:val="24"/>
          <w:szCs w:val="24"/>
        </w:rPr>
        <w:t xml:space="preserve"> </w:t>
      </w:r>
      <w:r w:rsidRPr="002F6296">
        <w:rPr>
          <w:rFonts w:cs="Times New Roman"/>
          <w:sz w:val="24"/>
          <w:szCs w:val="24"/>
        </w:rPr>
        <w:t>with disabilit</w:t>
      </w:r>
      <w:r w:rsidR="00E619D4">
        <w:rPr>
          <w:rFonts w:cs="Times New Roman"/>
          <w:sz w:val="24"/>
          <w:szCs w:val="24"/>
        </w:rPr>
        <w:t>ies</w:t>
      </w:r>
      <w:r w:rsidRPr="002F6296">
        <w:rPr>
          <w:rFonts w:cs="Times New Roman"/>
          <w:sz w:val="24"/>
          <w:szCs w:val="24"/>
        </w:rPr>
        <w:t xml:space="preserve"> are also participants in the social grants, so there is a serious recognition and a very new drive to include </w:t>
      </w:r>
      <w:r w:rsidR="006B09BA">
        <w:rPr>
          <w:rFonts w:cs="Times New Roman"/>
          <w:sz w:val="24"/>
          <w:szCs w:val="24"/>
        </w:rPr>
        <w:t>p</w:t>
      </w:r>
      <w:r w:rsidRPr="002F6296">
        <w:rPr>
          <w:rFonts w:cs="Times New Roman"/>
          <w:sz w:val="24"/>
          <w:szCs w:val="24"/>
        </w:rPr>
        <w:t xml:space="preserve">ersons with </w:t>
      </w:r>
      <w:r w:rsidR="006B09BA">
        <w:rPr>
          <w:rFonts w:cs="Times New Roman"/>
          <w:sz w:val="24"/>
          <w:szCs w:val="24"/>
        </w:rPr>
        <w:t>d</w:t>
      </w:r>
      <w:r w:rsidRPr="002F6296">
        <w:rPr>
          <w:rFonts w:cs="Times New Roman"/>
          <w:sz w:val="24"/>
          <w:szCs w:val="24"/>
        </w:rPr>
        <w:t xml:space="preserve">isabilities.  </w:t>
      </w:r>
      <w:r w:rsidR="000570DE">
        <w:rPr>
          <w:rFonts w:cs="Times New Roman"/>
          <w:sz w:val="24"/>
          <w:szCs w:val="24"/>
        </w:rPr>
        <w:t>He noted that w</w:t>
      </w:r>
      <w:r w:rsidRPr="002F6296">
        <w:rPr>
          <w:rFonts w:cs="Times New Roman"/>
          <w:sz w:val="24"/>
          <w:szCs w:val="24"/>
        </w:rPr>
        <w:t xml:space="preserve">hile Namibia may not have </w:t>
      </w:r>
      <w:r w:rsidR="008549F6">
        <w:rPr>
          <w:rFonts w:cs="Times New Roman"/>
          <w:sz w:val="24"/>
          <w:szCs w:val="24"/>
        </w:rPr>
        <w:t>a</w:t>
      </w:r>
      <w:r w:rsidR="008549F6" w:rsidRPr="002F6296">
        <w:rPr>
          <w:rFonts w:cs="Times New Roman"/>
          <w:sz w:val="24"/>
          <w:szCs w:val="24"/>
        </w:rPr>
        <w:t xml:space="preserve"> </w:t>
      </w:r>
      <w:r w:rsidRPr="002F6296">
        <w:rPr>
          <w:rFonts w:cs="Times New Roman"/>
          <w:sz w:val="24"/>
          <w:szCs w:val="24"/>
        </w:rPr>
        <w:t xml:space="preserve">history of including </w:t>
      </w:r>
      <w:r w:rsidR="00BE749D">
        <w:rPr>
          <w:rFonts w:cs="Times New Roman"/>
          <w:sz w:val="24"/>
          <w:szCs w:val="24"/>
        </w:rPr>
        <w:t>p</w:t>
      </w:r>
      <w:r w:rsidRPr="002F6296">
        <w:rPr>
          <w:rFonts w:cs="Times New Roman"/>
          <w:sz w:val="24"/>
          <w:szCs w:val="24"/>
        </w:rPr>
        <w:t xml:space="preserve">ersons with </w:t>
      </w:r>
      <w:r w:rsidR="00BE749D">
        <w:rPr>
          <w:rFonts w:cs="Times New Roman"/>
          <w:sz w:val="24"/>
          <w:szCs w:val="24"/>
        </w:rPr>
        <w:t>d</w:t>
      </w:r>
      <w:r w:rsidRPr="002F6296">
        <w:rPr>
          <w:rFonts w:cs="Times New Roman"/>
          <w:sz w:val="24"/>
          <w:szCs w:val="24"/>
        </w:rPr>
        <w:t xml:space="preserve">isabilities, there are serious efforts underway </w:t>
      </w:r>
      <w:r w:rsidR="00F6313F">
        <w:rPr>
          <w:rFonts w:cs="Times New Roman"/>
          <w:sz w:val="24"/>
          <w:szCs w:val="24"/>
        </w:rPr>
        <w:t xml:space="preserve">to do so. </w:t>
      </w:r>
      <w:r w:rsidR="0043627D">
        <w:rPr>
          <w:rFonts w:cs="Times New Roman"/>
          <w:sz w:val="24"/>
          <w:szCs w:val="24"/>
        </w:rPr>
        <w:t>He concluded by stating that t</w:t>
      </w:r>
      <w:r w:rsidRPr="002F6296">
        <w:rPr>
          <w:rFonts w:cs="Times New Roman"/>
          <w:sz w:val="24"/>
          <w:szCs w:val="24"/>
        </w:rPr>
        <w:t>here is a deputy minister that handles the rights</w:t>
      </w:r>
      <w:r w:rsidR="00C80144">
        <w:rPr>
          <w:rFonts w:cs="Times New Roman"/>
          <w:sz w:val="24"/>
          <w:szCs w:val="24"/>
        </w:rPr>
        <w:t xml:space="preserve"> of persons with disabilities</w:t>
      </w:r>
      <w:r w:rsidRPr="002F6296">
        <w:rPr>
          <w:rFonts w:cs="Times New Roman"/>
          <w:sz w:val="24"/>
          <w:szCs w:val="24"/>
        </w:rPr>
        <w:t xml:space="preserve"> under the program that deals with disability.  </w:t>
      </w:r>
    </w:p>
    <w:p w14:paraId="4C4CC619" w14:textId="77777777" w:rsidR="004B457E" w:rsidRPr="00E10756" w:rsidRDefault="004B457E" w:rsidP="00E10756">
      <w:pPr>
        <w:spacing w:after="0"/>
        <w:rPr>
          <w:b/>
          <w:sz w:val="24"/>
          <w:szCs w:val="24"/>
        </w:rPr>
      </w:pPr>
      <w:r w:rsidRPr="00E10756">
        <w:rPr>
          <w:b/>
          <w:sz w:val="24"/>
          <w:szCs w:val="24"/>
        </w:rPr>
        <w:t>Jamaica</w:t>
      </w:r>
    </w:p>
    <w:p w14:paraId="38588892" w14:textId="13EAFD1F" w:rsidR="004B457E" w:rsidRDefault="004B457E" w:rsidP="00C073FE">
      <w:pPr>
        <w:spacing w:after="0" w:line="276" w:lineRule="auto"/>
        <w:jc w:val="both"/>
        <w:rPr>
          <w:rFonts w:cs="Times New Roman"/>
          <w:sz w:val="24"/>
          <w:szCs w:val="24"/>
        </w:rPr>
      </w:pPr>
      <w:r w:rsidRPr="002F6296">
        <w:rPr>
          <w:rFonts w:cs="Times New Roman"/>
          <w:sz w:val="24"/>
          <w:szCs w:val="24"/>
        </w:rPr>
        <w:t xml:space="preserve">Presenting the VNR for </w:t>
      </w:r>
      <w:r w:rsidRPr="00C17C2E">
        <w:rPr>
          <w:rFonts w:cs="Times New Roman"/>
          <w:sz w:val="24"/>
          <w:szCs w:val="24"/>
        </w:rPr>
        <w:t>Jamaica</w:t>
      </w:r>
      <w:r w:rsidRPr="002F6296">
        <w:rPr>
          <w:rFonts w:cs="Times New Roman"/>
          <w:sz w:val="24"/>
          <w:szCs w:val="24"/>
        </w:rPr>
        <w:t xml:space="preserve">, </w:t>
      </w:r>
      <w:proofErr w:type="spellStart"/>
      <w:r w:rsidRPr="002F6296">
        <w:rPr>
          <w:rFonts w:cs="Times New Roman"/>
          <w:sz w:val="24"/>
          <w:szCs w:val="24"/>
        </w:rPr>
        <w:t>Pearnel</w:t>
      </w:r>
      <w:proofErr w:type="spellEnd"/>
      <w:r w:rsidRPr="002F6296">
        <w:rPr>
          <w:rFonts w:cs="Times New Roman"/>
          <w:sz w:val="24"/>
          <w:szCs w:val="24"/>
        </w:rPr>
        <w:t xml:space="preserve"> Charles Jr., Minister of State, Ministry of Foreign Affairs and Foreign Trade, said that critical to the advancement of the national development agenda is the promotion of increased institutional coordination at the national and sub-national levels for policy coherence, coupled with targeted communication and advocacy, particularly for </w:t>
      </w:r>
      <w:r w:rsidR="008E2151">
        <w:rPr>
          <w:rFonts w:cs="Times New Roman"/>
          <w:sz w:val="24"/>
          <w:szCs w:val="24"/>
        </w:rPr>
        <w:t xml:space="preserve">vulnerable </w:t>
      </w:r>
      <w:r w:rsidRPr="002F6296">
        <w:rPr>
          <w:rFonts w:cs="Times New Roman"/>
          <w:sz w:val="24"/>
          <w:szCs w:val="24"/>
        </w:rPr>
        <w:t xml:space="preserve">groups, including persons with disabilities, </w:t>
      </w:r>
      <w:r w:rsidR="00EB1DA9">
        <w:rPr>
          <w:rFonts w:cs="Times New Roman"/>
          <w:sz w:val="24"/>
          <w:szCs w:val="24"/>
        </w:rPr>
        <w:t xml:space="preserve">older persons, </w:t>
      </w:r>
      <w:r w:rsidRPr="002F6296">
        <w:rPr>
          <w:rFonts w:cs="Times New Roman"/>
          <w:sz w:val="24"/>
          <w:szCs w:val="24"/>
        </w:rPr>
        <w:t>women and children</w:t>
      </w:r>
      <w:r w:rsidR="00EE2278">
        <w:rPr>
          <w:rFonts w:cs="Times New Roman"/>
          <w:sz w:val="24"/>
          <w:szCs w:val="24"/>
        </w:rPr>
        <w:t>. Jamaica stated their</w:t>
      </w:r>
      <w:r w:rsidRPr="002F6296">
        <w:rPr>
          <w:rFonts w:cs="Times New Roman"/>
          <w:sz w:val="24"/>
          <w:szCs w:val="24"/>
        </w:rPr>
        <w:t xml:space="preserve"> </w:t>
      </w:r>
      <w:r w:rsidR="00EE2278">
        <w:rPr>
          <w:rFonts w:cs="Times New Roman"/>
          <w:sz w:val="24"/>
          <w:szCs w:val="24"/>
        </w:rPr>
        <w:t xml:space="preserve">commitment </w:t>
      </w:r>
      <w:r w:rsidRPr="002F6296">
        <w:rPr>
          <w:rFonts w:cs="Times New Roman"/>
          <w:sz w:val="24"/>
          <w:szCs w:val="24"/>
        </w:rPr>
        <w:t xml:space="preserve">to ensuring that no one is left behind. </w:t>
      </w:r>
    </w:p>
    <w:p w14:paraId="67C1B8C7" w14:textId="77777777" w:rsidR="00EE2278" w:rsidRPr="002F6296" w:rsidRDefault="00EE2278" w:rsidP="00C073FE">
      <w:pPr>
        <w:spacing w:after="0" w:line="276" w:lineRule="auto"/>
        <w:jc w:val="both"/>
        <w:rPr>
          <w:rFonts w:cs="Times New Roman"/>
          <w:sz w:val="24"/>
          <w:szCs w:val="24"/>
        </w:rPr>
      </w:pPr>
    </w:p>
    <w:p w14:paraId="2F13D1C4" w14:textId="546649ED" w:rsidR="004B457E" w:rsidRPr="002F6296" w:rsidRDefault="004B457E" w:rsidP="002F6296">
      <w:pPr>
        <w:spacing w:line="276" w:lineRule="auto"/>
        <w:jc w:val="both"/>
        <w:rPr>
          <w:rFonts w:cs="Times New Roman"/>
          <w:sz w:val="24"/>
          <w:szCs w:val="24"/>
        </w:rPr>
      </w:pPr>
      <w:r w:rsidRPr="002F6296">
        <w:rPr>
          <w:rFonts w:cs="Times New Roman"/>
          <w:sz w:val="24"/>
          <w:szCs w:val="24"/>
        </w:rPr>
        <w:t xml:space="preserve">Speaking on behalf of and representing vulnerable and marginalized communities, including </w:t>
      </w:r>
      <w:r w:rsidR="00190C0A">
        <w:rPr>
          <w:rFonts w:cs="Times New Roman"/>
          <w:sz w:val="24"/>
          <w:szCs w:val="24"/>
        </w:rPr>
        <w:t>grassroots</w:t>
      </w:r>
      <w:r w:rsidRPr="002F6296">
        <w:rPr>
          <w:rFonts w:cs="Times New Roman"/>
          <w:sz w:val="24"/>
          <w:szCs w:val="24"/>
        </w:rPr>
        <w:t xml:space="preserve"> women, LGBT</w:t>
      </w:r>
      <w:r w:rsidR="009B081E">
        <w:rPr>
          <w:rFonts w:cs="Times New Roman"/>
          <w:sz w:val="24"/>
          <w:szCs w:val="24"/>
        </w:rPr>
        <w:t>Q</w:t>
      </w:r>
      <w:r w:rsidRPr="002F6296">
        <w:rPr>
          <w:rFonts w:cs="Times New Roman"/>
          <w:sz w:val="24"/>
          <w:szCs w:val="24"/>
        </w:rPr>
        <w:t xml:space="preserve">I people, </w:t>
      </w:r>
      <w:r w:rsidR="00644A5D">
        <w:rPr>
          <w:rFonts w:cs="Times New Roman"/>
          <w:sz w:val="24"/>
          <w:szCs w:val="24"/>
        </w:rPr>
        <w:t>persons</w:t>
      </w:r>
      <w:r w:rsidRPr="002F6296">
        <w:rPr>
          <w:rFonts w:cs="Times New Roman"/>
          <w:sz w:val="24"/>
          <w:szCs w:val="24"/>
        </w:rPr>
        <w:t xml:space="preserve"> with disabilities and young people, </w:t>
      </w:r>
      <w:r w:rsidR="00BB7959" w:rsidRPr="002F6296">
        <w:rPr>
          <w:rFonts w:cs="Times New Roman"/>
          <w:sz w:val="24"/>
          <w:szCs w:val="24"/>
        </w:rPr>
        <w:t xml:space="preserve">a </w:t>
      </w:r>
      <w:r w:rsidR="00FF19F5">
        <w:rPr>
          <w:rFonts w:cs="Times New Roman"/>
          <w:sz w:val="24"/>
          <w:szCs w:val="24"/>
        </w:rPr>
        <w:t>representative</w:t>
      </w:r>
      <w:r w:rsidR="00FF19F5" w:rsidRPr="002F6296">
        <w:rPr>
          <w:rFonts w:cs="Times New Roman"/>
          <w:sz w:val="24"/>
          <w:szCs w:val="24"/>
        </w:rPr>
        <w:t xml:space="preserve"> </w:t>
      </w:r>
      <w:r w:rsidRPr="002F6296">
        <w:rPr>
          <w:rFonts w:cs="Times New Roman"/>
          <w:sz w:val="24"/>
          <w:szCs w:val="24"/>
        </w:rPr>
        <w:t xml:space="preserve">from </w:t>
      </w:r>
      <w:r w:rsidR="00E03EC6">
        <w:rPr>
          <w:rFonts w:cs="Times New Roman"/>
          <w:sz w:val="24"/>
          <w:szCs w:val="24"/>
        </w:rPr>
        <w:t>the W</w:t>
      </w:r>
      <w:r w:rsidRPr="002F6296">
        <w:rPr>
          <w:rFonts w:cs="Times New Roman"/>
          <w:sz w:val="24"/>
          <w:szCs w:val="24"/>
        </w:rPr>
        <w:t xml:space="preserve">omen's </w:t>
      </w:r>
      <w:r w:rsidR="00E03EC6">
        <w:rPr>
          <w:rFonts w:cs="Times New Roman"/>
          <w:sz w:val="24"/>
          <w:szCs w:val="24"/>
        </w:rPr>
        <w:t>M</w:t>
      </w:r>
      <w:r w:rsidRPr="002F6296">
        <w:rPr>
          <w:rFonts w:cs="Times New Roman"/>
          <w:sz w:val="24"/>
          <w:szCs w:val="24"/>
        </w:rPr>
        <w:t xml:space="preserve">ajor </w:t>
      </w:r>
      <w:r w:rsidR="00E03EC6">
        <w:rPr>
          <w:rFonts w:cs="Times New Roman"/>
          <w:sz w:val="24"/>
          <w:szCs w:val="24"/>
        </w:rPr>
        <w:t>G</w:t>
      </w:r>
      <w:r w:rsidR="004F5FEF" w:rsidRPr="002F6296">
        <w:rPr>
          <w:rFonts w:cs="Times New Roman"/>
          <w:sz w:val="24"/>
          <w:szCs w:val="24"/>
        </w:rPr>
        <w:t xml:space="preserve">roup </w:t>
      </w:r>
      <w:r w:rsidR="00F97FD8">
        <w:rPr>
          <w:rFonts w:cs="Times New Roman"/>
          <w:sz w:val="24"/>
          <w:szCs w:val="24"/>
        </w:rPr>
        <w:t>addressed</w:t>
      </w:r>
      <w:r w:rsidR="00F97FD8" w:rsidRPr="002F6296">
        <w:rPr>
          <w:rFonts w:cs="Times New Roman"/>
          <w:sz w:val="24"/>
          <w:szCs w:val="24"/>
        </w:rPr>
        <w:t xml:space="preserve"> </w:t>
      </w:r>
      <w:r w:rsidR="004F5FEF" w:rsidRPr="002F6296">
        <w:rPr>
          <w:rFonts w:cs="Times New Roman"/>
          <w:sz w:val="24"/>
          <w:szCs w:val="24"/>
        </w:rPr>
        <w:t>Jamaica’s delegation</w:t>
      </w:r>
      <w:r w:rsidR="00534D1D">
        <w:rPr>
          <w:rFonts w:cs="Times New Roman"/>
          <w:sz w:val="24"/>
          <w:szCs w:val="24"/>
        </w:rPr>
        <w:t xml:space="preserve"> </w:t>
      </w:r>
      <w:r w:rsidR="00F97FD8">
        <w:rPr>
          <w:rFonts w:cs="Times New Roman"/>
          <w:sz w:val="24"/>
          <w:szCs w:val="24"/>
        </w:rPr>
        <w:t xml:space="preserve">by stating that </w:t>
      </w:r>
      <w:r w:rsidR="00534D1D">
        <w:rPr>
          <w:rFonts w:cs="Times New Roman"/>
          <w:sz w:val="24"/>
          <w:szCs w:val="24"/>
        </w:rPr>
        <w:t>b</w:t>
      </w:r>
      <w:r w:rsidRPr="002F6296">
        <w:rPr>
          <w:rFonts w:cs="Times New Roman"/>
          <w:sz w:val="24"/>
          <w:szCs w:val="24"/>
        </w:rPr>
        <w:t xml:space="preserve">y nature, vulnerable and marginalized people are resilient.  </w:t>
      </w:r>
      <w:r w:rsidR="00E01B2E">
        <w:rPr>
          <w:rFonts w:cs="Times New Roman"/>
          <w:sz w:val="24"/>
          <w:szCs w:val="24"/>
        </w:rPr>
        <w:t>The representative noted that g</w:t>
      </w:r>
      <w:r w:rsidRPr="002F6296">
        <w:rPr>
          <w:rFonts w:cs="Times New Roman"/>
          <w:sz w:val="24"/>
          <w:szCs w:val="24"/>
        </w:rPr>
        <w:t>rassroots women, LGBT</w:t>
      </w:r>
      <w:r w:rsidR="00DD2EE0">
        <w:rPr>
          <w:rFonts w:cs="Times New Roman"/>
          <w:sz w:val="24"/>
          <w:szCs w:val="24"/>
        </w:rPr>
        <w:t>Q</w:t>
      </w:r>
      <w:r w:rsidRPr="002F6296">
        <w:rPr>
          <w:rFonts w:cs="Times New Roman"/>
          <w:sz w:val="24"/>
          <w:szCs w:val="24"/>
        </w:rPr>
        <w:t>I people, young people</w:t>
      </w:r>
      <w:r w:rsidR="006C6CB7">
        <w:rPr>
          <w:rFonts w:cs="Times New Roman"/>
          <w:sz w:val="24"/>
          <w:szCs w:val="24"/>
        </w:rPr>
        <w:t xml:space="preserve"> and</w:t>
      </w:r>
      <w:r w:rsidRPr="002F6296">
        <w:rPr>
          <w:rFonts w:cs="Times New Roman"/>
          <w:sz w:val="24"/>
          <w:szCs w:val="24"/>
        </w:rPr>
        <w:t xml:space="preserve"> </w:t>
      </w:r>
      <w:r w:rsidR="000A35C0">
        <w:rPr>
          <w:rFonts w:cs="Times New Roman"/>
          <w:sz w:val="24"/>
          <w:szCs w:val="24"/>
        </w:rPr>
        <w:t>persons</w:t>
      </w:r>
      <w:r w:rsidRPr="002F6296">
        <w:rPr>
          <w:rFonts w:cs="Times New Roman"/>
          <w:sz w:val="24"/>
          <w:szCs w:val="24"/>
        </w:rPr>
        <w:t xml:space="preserve"> with disabilities are resilient, and as a community and people interested in realizing </w:t>
      </w:r>
      <w:r w:rsidR="00E7597B">
        <w:rPr>
          <w:rFonts w:cs="Times New Roman"/>
          <w:sz w:val="24"/>
          <w:szCs w:val="24"/>
        </w:rPr>
        <w:t>V</w:t>
      </w:r>
      <w:r w:rsidRPr="002F6296">
        <w:rPr>
          <w:rFonts w:cs="Times New Roman"/>
          <w:sz w:val="24"/>
          <w:szCs w:val="24"/>
        </w:rPr>
        <w:t>ision 2030,</w:t>
      </w:r>
      <w:r w:rsidR="00B8636A">
        <w:rPr>
          <w:rFonts w:cs="Times New Roman"/>
          <w:sz w:val="24"/>
          <w:szCs w:val="24"/>
        </w:rPr>
        <w:t xml:space="preserve"> </w:t>
      </w:r>
      <w:r w:rsidR="005E545B">
        <w:rPr>
          <w:rFonts w:cs="Times New Roman"/>
          <w:sz w:val="24"/>
          <w:szCs w:val="24"/>
        </w:rPr>
        <w:t xml:space="preserve">the representative </w:t>
      </w:r>
      <w:r w:rsidRPr="002F6296">
        <w:rPr>
          <w:rFonts w:cs="Times New Roman"/>
          <w:sz w:val="24"/>
          <w:szCs w:val="24"/>
        </w:rPr>
        <w:t>invite</w:t>
      </w:r>
      <w:r w:rsidR="00B8636A">
        <w:rPr>
          <w:rFonts w:cs="Times New Roman"/>
          <w:sz w:val="24"/>
          <w:szCs w:val="24"/>
        </w:rPr>
        <w:t>d</w:t>
      </w:r>
      <w:r w:rsidRPr="002F6296">
        <w:rPr>
          <w:rFonts w:cs="Times New Roman"/>
          <w:sz w:val="24"/>
          <w:szCs w:val="24"/>
        </w:rPr>
        <w:t xml:space="preserve"> the </w:t>
      </w:r>
      <w:r w:rsidR="00562C58">
        <w:rPr>
          <w:rFonts w:cs="Times New Roman"/>
          <w:sz w:val="24"/>
          <w:szCs w:val="24"/>
        </w:rPr>
        <w:t>Government of Jamaica</w:t>
      </w:r>
      <w:r w:rsidRPr="002F6296">
        <w:rPr>
          <w:rFonts w:cs="Times New Roman"/>
          <w:sz w:val="24"/>
          <w:szCs w:val="24"/>
        </w:rPr>
        <w:t xml:space="preserve"> to engage </w:t>
      </w:r>
      <w:r w:rsidR="009B4974">
        <w:rPr>
          <w:rFonts w:cs="Times New Roman"/>
          <w:sz w:val="24"/>
          <w:szCs w:val="24"/>
        </w:rPr>
        <w:t>them</w:t>
      </w:r>
      <w:r w:rsidRPr="002F6296">
        <w:rPr>
          <w:rFonts w:cs="Times New Roman"/>
          <w:sz w:val="24"/>
          <w:szCs w:val="24"/>
        </w:rPr>
        <w:t xml:space="preserve">.  </w:t>
      </w:r>
      <w:r w:rsidR="00A0706A">
        <w:rPr>
          <w:rFonts w:cs="Times New Roman"/>
          <w:sz w:val="24"/>
          <w:szCs w:val="24"/>
        </w:rPr>
        <w:t>The representative went on to ask the State about its</w:t>
      </w:r>
      <w:r w:rsidRPr="002F6296">
        <w:rPr>
          <w:rFonts w:cs="Times New Roman"/>
          <w:sz w:val="24"/>
          <w:szCs w:val="24"/>
        </w:rPr>
        <w:t xml:space="preserve"> plans to ensure funding and other partnership opportunities are given to NGOs, particularly grassroots women and other vulnerable groups such as LGBT</w:t>
      </w:r>
      <w:r w:rsidR="00A0706A">
        <w:rPr>
          <w:rFonts w:cs="Times New Roman"/>
          <w:sz w:val="24"/>
          <w:szCs w:val="24"/>
        </w:rPr>
        <w:t>Q</w:t>
      </w:r>
      <w:r w:rsidRPr="002F6296">
        <w:rPr>
          <w:rFonts w:cs="Times New Roman"/>
          <w:sz w:val="24"/>
          <w:szCs w:val="24"/>
        </w:rPr>
        <w:t>I people and youth organization</w:t>
      </w:r>
      <w:r w:rsidR="002118A1">
        <w:rPr>
          <w:rFonts w:cs="Times New Roman"/>
          <w:sz w:val="24"/>
          <w:szCs w:val="24"/>
        </w:rPr>
        <w:t>s</w:t>
      </w:r>
      <w:r w:rsidR="007753EF">
        <w:rPr>
          <w:rFonts w:cs="Times New Roman"/>
          <w:sz w:val="24"/>
          <w:szCs w:val="24"/>
        </w:rPr>
        <w:t>,</w:t>
      </w:r>
      <w:r w:rsidR="002118A1">
        <w:rPr>
          <w:rFonts w:cs="Times New Roman"/>
          <w:sz w:val="24"/>
          <w:szCs w:val="24"/>
        </w:rPr>
        <w:t xml:space="preserve"> </w:t>
      </w:r>
      <w:r w:rsidRPr="002F6296">
        <w:rPr>
          <w:rFonts w:cs="Times New Roman"/>
          <w:sz w:val="24"/>
          <w:szCs w:val="24"/>
        </w:rPr>
        <w:t>to implement programs on the ground</w:t>
      </w:r>
      <w:r w:rsidR="001C3D10">
        <w:rPr>
          <w:rFonts w:cs="Times New Roman"/>
          <w:sz w:val="24"/>
          <w:szCs w:val="24"/>
        </w:rPr>
        <w:t>.</w:t>
      </w:r>
      <w:r w:rsidRPr="002F6296">
        <w:rPr>
          <w:rFonts w:cs="Times New Roman"/>
          <w:sz w:val="24"/>
          <w:szCs w:val="24"/>
        </w:rPr>
        <w:t xml:space="preserve"> </w:t>
      </w:r>
    </w:p>
    <w:p w14:paraId="266322AC" w14:textId="676BF260" w:rsidR="004B457E" w:rsidRPr="002F6296" w:rsidRDefault="004B457E" w:rsidP="002F6296">
      <w:pPr>
        <w:spacing w:line="276" w:lineRule="auto"/>
        <w:jc w:val="both"/>
        <w:rPr>
          <w:rFonts w:cs="Times New Roman"/>
          <w:sz w:val="24"/>
          <w:szCs w:val="24"/>
        </w:rPr>
      </w:pPr>
      <w:r w:rsidRPr="002F6296">
        <w:rPr>
          <w:rFonts w:cs="Times New Roman"/>
          <w:sz w:val="24"/>
          <w:szCs w:val="24"/>
        </w:rPr>
        <w:lastRenderedPageBreak/>
        <w:t xml:space="preserve">Responding to questions on plans to ensure funding and plans to develop engagement, </w:t>
      </w:r>
      <w:proofErr w:type="spellStart"/>
      <w:r w:rsidRPr="002F6296">
        <w:rPr>
          <w:rFonts w:cs="Times New Roman"/>
          <w:sz w:val="24"/>
          <w:szCs w:val="24"/>
        </w:rPr>
        <w:t>Pearnel</w:t>
      </w:r>
      <w:proofErr w:type="spellEnd"/>
      <w:r w:rsidRPr="002F6296">
        <w:rPr>
          <w:rFonts w:cs="Times New Roman"/>
          <w:sz w:val="24"/>
          <w:szCs w:val="24"/>
        </w:rPr>
        <w:t xml:space="preserve"> Charles said that Jamaica has prioritized engagement with </w:t>
      </w:r>
      <w:r w:rsidR="007B4865" w:rsidRPr="002F6296">
        <w:rPr>
          <w:rFonts w:cs="Times New Roman"/>
          <w:sz w:val="24"/>
          <w:szCs w:val="24"/>
        </w:rPr>
        <w:t xml:space="preserve">a </w:t>
      </w:r>
      <w:r w:rsidRPr="002F6296">
        <w:rPr>
          <w:rFonts w:cs="Times New Roman"/>
          <w:sz w:val="24"/>
          <w:szCs w:val="24"/>
        </w:rPr>
        <w:t>multi-stakeholder and multi</w:t>
      </w:r>
      <w:r w:rsidR="00397AD6">
        <w:rPr>
          <w:rFonts w:cs="Times New Roman"/>
          <w:sz w:val="24"/>
          <w:szCs w:val="24"/>
        </w:rPr>
        <w:t>-</w:t>
      </w:r>
      <w:r w:rsidRPr="002F6296">
        <w:rPr>
          <w:rFonts w:cs="Times New Roman"/>
          <w:sz w:val="24"/>
          <w:szCs w:val="24"/>
        </w:rPr>
        <w:t>sector approach.</w:t>
      </w:r>
    </w:p>
    <w:p w14:paraId="4435EB7D" w14:textId="333E4895" w:rsidR="004B457E" w:rsidRPr="00820358" w:rsidRDefault="004B457E" w:rsidP="00820358">
      <w:pPr>
        <w:spacing w:after="0"/>
        <w:rPr>
          <w:b/>
          <w:sz w:val="24"/>
          <w:szCs w:val="24"/>
        </w:rPr>
      </w:pPr>
      <w:r w:rsidRPr="00820358">
        <w:rPr>
          <w:b/>
          <w:sz w:val="24"/>
          <w:szCs w:val="24"/>
        </w:rPr>
        <w:t>State of Palestine</w:t>
      </w:r>
    </w:p>
    <w:p w14:paraId="6397ED6E" w14:textId="7C8ABC05" w:rsidR="004B457E" w:rsidRPr="002F6296" w:rsidRDefault="004B457E" w:rsidP="006A19D4">
      <w:pPr>
        <w:spacing w:after="0" w:line="276" w:lineRule="auto"/>
        <w:jc w:val="both"/>
        <w:rPr>
          <w:rFonts w:cs="Times New Roman"/>
          <w:b/>
          <w:sz w:val="24"/>
          <w:szCs w:val="24"/>
        </w:rPr>
      </w:pPr>
      <w:r w:rsidRPr="002F6296">
        <w:rPr>
          <w:rFonts w:cs="Times New Roman"/>
          <w:sz w:val="24"/>
          <w:szCs w:val="24"/>
        </w:rPr>
        <w:t xml:space="preserve">Presenting the VNR for </w:t>
      </w:r>
      <w:r w:rsidRPr="00115672">
        <w:rPr>
          <w:rFonts w:cs="Times New Roman"/>
          <w:sz w:val="24"/>
          <w:szCs w:val="24"/>
        </w:rPr>
        <w:t>the State of Palestine</w:t>
      </w:r>
      <w:r w:rsidRPr="002F6296">
        <w:rPr>
          <w:rFonts w:cs="Times New Roman"/>
          <w:sz w:val="24"/>
          <w:szCs w:val="24"/>
        </w:rPr>
        <w:t>, Riyad Mansour, Permanent Observer of the State of Palestine to the UN</w:t>
      </w:r>
      <w:r w:rsidR="008729EA">
        <w:rPr>
          <w:rFonts w:cs="Times New Roman"/>
          <w:sz w:val="24"/>
          <w:szCs w:val="24"/>
        </w:rPr>
        <w:t>,</w:t>
      </w:r>
      <w:r w:rsidRPr="002F6296">
        <w:rPr>
          <w:rFonts w:cs="Times New Roman"/>
          <w:sz w:val="24"/>
          <w:szCs w:val="24"/>
        </w:rPr>
        <w:t xml:space="preserve"> stated that more than half of the population live under </w:t>
      </w:r>
      <w:r w:rsidR="00E06E98" w:rsidRPr="002F6296">
        <w:rPr>
          <w:rFonts w:cs="Times New Roman"/>
          <w:sz w:val="24"/>
          <w:szCs w:val="24"/>
        </w:rPr>
        <w:t xml:space="preserve">the </w:t>
      </w:r>
      <w:r w:rsidRPr="002F6296">
        <w:rPr>
          <w:rFonts w:cs="Times New Roman"/>
          <w:sz w:val="24"/>
          <w:szCs w:val="24"/>
        </w:rPr>
        <w:t>poverty line in Gaza and 80% of them rely on humanitarian assistance. To address this, the government provides cash assistance to 110,000 families and implements an economic empowerment initiative for marginalized groups of people</w:t>
      </w:r>
      <w:r w:rsidR="00EE6E47">
        <w:rPr>
          <w:rFonts w:cs="Times New Roman"/>
          <w:sz w:val="24"/>
          <w:szCs w:val="24"/>
        </w:rPr>
        <w:t xml:space="preserve">, </w:t>
      </w:r>
      <w:r w:rsidRPr="002F6296">
        <w:rPr>
          <w:rFonts w:cs="Times New Roman"/>
          <w:sz w:val="24"/>
          <w:szCs w:val="24"/>
        </w:rPr>
        <w:t xml:space="preserve">especially for </w:t>
      </w:r>
      <w:r w:rsidR="00EE6E47">
        <w:rPr>
          <w:rFonts w:cs="Times New Roman"/>
          <w:sz w:val="24"/>
          <w:szCs w:val="24"/>
        </w:rPr>
        <w:t>p</w:t>
      </w:r>
      <w:r w:rsidRPr="002F6296">
        <w:rPr>
          <w:rFonts w:cs="Times New Roman"/>
          <w:sz w:val="24"/>
          <w:szCs w:val="24"/>
        </w:rPr>
        <w:t xml:space="preserve">ersons with disabilities.  </w:t>
      </w:r>
    </w:p>
    <w:p w14:paraId="567C78B0" w14:textId="74C9FC2D" w:rsidR="004B457E" w:rsidRPr="00FF73DA" w:rsidRDefault="006B7D66" w:rsidP="00FF73DA">
      <w:pPr>
        <w:pStyle w:val="Heading2"/>
      </w:pPr>
      <w:bookmarkStart w:id="46" w:name="_Toc531264897"/>
      <w:r w:rsidRPr="00FF73DA">
        <w:t>Togo and Bhutan</w:t>
      </w:r>
      <w:bookmarkEnd w:id="46"/>
    </w:p>
    <w:p w14:paraId="002EEF14" w14:textId="77777777" w:rsidR="004B457E" w:rsidRPr="00B575A8" w:rsidRDefault="004B457E" w:rsidP="00B575A8">
      <w:pPr>
        <w:spacing w:after="0"/>
        <w:rPr>
          <w:b/>
          <w:sz w:val="24"/>
          <w:szCs w:val="24"/>
        </w:rPr>
      </w:pPr>
      <w:r w:rsidRPr="00B575A8">
        <w:rPr>
          <w:b/>
          <w:sz w:val="24"/>
          <w:szCs w:val="24"/>
        </w:rPr>
        <w:t>Bhutan</w:t>
      </w:r>
    </w:p>
    <w:p w14:paraId="5F7BE85E" w14:textId="27734B15" w:rsidR="00B575A8" w:rsidRPr="00B575A8" w:rsidRDefault="004B457E" w:rsidP="00B575A8">
      <w:pPr>
        <w:spacing w:after="0" w:line="276" w:lineRule="auto"/>
        <w:jc w:val="both"/>
        <w:rPr>
          <w:rFonts w:cs="Times New Roman"/>
          <w:sz w:val="24"/>
          <w:szCs w:val="24"/>
        </w:rPr>
      </w:pPr>
      <w:r w:rsidRPr="002F6296">
        <w:rPr>
          <w:rFonts w:cs="Times New Roman"/>
          <w:sz w:val="24"/>
          <w:szCs w:val="24"/>
        </w:rPr>
        <w:t xml:space="preserve">Presenting the VNR for Bhutan, </w:t>
      </w:r>
      <w:proofErr w:type="spellStart"/>
      <w:r w:rsidRPr="002F6296">
        <w:rPr>
          <w:rFonts w:cs="Times New Roman"/>
          <w:sz w:val="24"/>
          <w:szCs w:val="24"/>
        </w:rPr>
        <w:t>Lyonpo</w:t>
      </w:r>
      <w:proofErr w:type="spellEnd"/>
      <w:r w:rsidR="00397AD6">
        <w:rPr>
          <w:rFonts w:cs="Times New Roman"/>
          <w:sz w:val="24"/>
          <w:szCs w:val="24"/>
        </w:rPr>
        <w:t xml:space="preserve"> </w:t>
      </w:r>
      <w:proofErr w:type="spellStart"/>
      <w:r w:rsidRPr="002F6296">
        <w:rPr>
          <w:rFonts w:cs="Times New Roman"/>
          <w:sz w:val="24"/>
          <w:szCs w:val="24"/>
        </w:rPr>
        <w:t>Namgay</w:t>
      </w:r>
      <w:proofErr w:type="spellEnd"/>
      <w:r w:rsidR="00397AD6">
        <w:rPr>
          <w:rFonts w:cs="Times New Roman"/>
          <w:sz w:val="24"/>
          <w:szCs w:val="24"/>
        </w:rPr>
        <w:t xml:space="preserve"> </w:t>
      </w:r>
      <w:proofErr w:type="spellStart"/>
      <w:r w:rsidRPr="002F6296">
        <w:rPr>
          <w:rFonts w:cs="Times New Roman"/>
          <w:sz w:val="24"/>
          <w:szCs w:val="24"/>
        </w:rPr>
        <w:t>Dorji</w:t>
      </w:r>
      <w:proofErr w:type="spellEnd"/>
      <w:r w:rsidRPr="002F6296">
        <w:rPr>
          <w:rFonts w:cs="Times New Roman"/>
          <w:sz w:val="24"/>
          <w:szCs w:val="24"/>
        </w:rPr>
        <w:t xml:space="preserve">, Minister of Finance, and </w:t>
      </w:r>
      <w:proofErr w:type="spellStart"/>
      <w:r w:rsidRPr="002F6296">
        <w:rPr>
          <w:rFonts w:cs="Times New Roman"/>
          <w:sz w:val="24"/>
          <w:szCs w:val="24"/>
        </w:rPr>
        <w:t>Thinley</w:t>
      </w:r>
      <w:proofErr w:type="spellEnd"/>
      <w:r w:rsidR="00397AD6">
        <w:rPr>
          <w:rFonts w:cs="Times New Roman"/>
          <w:sz w:val="24"/>
          <w:szCs w:val="24"/>
        </w:rPr>
        <w:t xml:space="preserve"> </w:t>
      </w:r>
      <w:proofErr w:type="spellStart"/>
      <w:r w:rsidRPr="002F6296">
        <w:rPr>
          <w:rFonts w:cs="Times New Roman"/>
          <w:sz w:val="24"/>
          <w:szCs w:val="24"/>
        </w:rPr>
        <w:t>Namgyel</w:t>
      </w:r>
      <w:proofErr w:type="spellEnd"/>
      <w:r w:rsidRPr="002F6296">
        <w:rPr>
          <w:rFonts w:cs="Times New Roman"/>
          <w:sz w:val="24"/>
          <w:szCs w:val="24"/>
        </w:rPr>
        <w:t>, Secretary, Gross National Happiness Commission</w:t>
      </w:r>
      <w:r w:rsidR="00D46E89">
        <w:rPr>
          <w:rFonts w:cs="Times New Roman"/>
          <w:sz w:val="24"/>
          <w:szCs w:val="24"/>
        </w:rPr>
        <w:t>,</w:t>
      </w:r>
      <w:r w:rsidRPr="002F6296">
        <w:rPr>
          <w:rFonts w:cs="Times New Roman"/>
          <w:sz w:val="24"/>
          <w:szCs w:val="24"/>
        </w:rPr>
        <w:t xml:space="preserve"> highlighted inadequate disability</w:t>
      </w:r>
      <w:r w:rsidR="00FA25EE">
        <w:rPr>
          <w:rFonts w:cs="Times New Roman"/>
          <w:sz w:val="24"/>
          <w:szCs w:val="24"/>
        </w:rPr>
        <w:t>-</w:t>
      </w:r>
      <w:r w:rsidRPr="002F6296">
        <w:rPr>
          <w:rFonts w:cs="Times New Roman"/>
          <w:sz w:val="24"/>
          <w:szCs w:val="24"/>
        </w:rPr>
        <w:t>friendly infrastructure and public spaces as one of th</w:t>
      </w:r>
      <w:r w:rsidR="008B7764">
        <w:rPr>
          <w:rFonts w:cs="Times New Roman"/>
          <w:sz w:val="24"/>
          <w:szCs w:val="24"/>
        </w:rPr>
        <w:t xml:space="preserve">e </w:t>
      </w:r>
      <w:r w:rsidRPr="002F6296">
        <w:rPr>
          <w:rFonts w:cs="Times New Roman"/>
          <w:sz w:val="24"/>
          <w:szCs w:val="24"/>
        </w:rPr>
        <w:t xml:space="preserve">challenges in implementing </w:t>
      </w:r>
      <w:r w:rsidR="008B7764">
        <w:rPr>
          <w:rFonts w:cs="Times New Roman"/>
          <w:sz w:val="24"/>
          <w:szCs w:val="24"/>
        </w:rPr>
        <w:t>G</w:t>
      </w:r>
      <w:r w:rsidRPr="002F6296">
        <w:rPr>
          <w:rFonts w:cs="Times New Roman"/>
          <w:sz w:val="24"/>
          <w:szCs w:val="24"/>
        </w:rPr>
        <w:t xml:space="preserve">oal 11. </w:t>
      </w:r>
    </w:p>
    <w:p w14:paraId="2F8E5A28" w14:textId="5982B7BC" w:rsidR="004B457E" w:rsidRPr="006847E7" w:rsidRDefault="000C1807" w:rsidP="00FF73DA">
      <w:pPr>
        <w:pStyle w:val="Heading2"/>
      </w:pPr>
      <w:bookmarkStart w:id="47" w:name="_Toc531264898"/>
      <w:r w:rsidRPr="00FF73DA">
        <w:t>Uruguay, Sri Lanka, Switzerland, Australia</w:t>
      </w:r>
      <w:bookmarkEnd w:id="47"/>
    </w:p>
    <w:p w14:paraId="03257B9D" w14:textId="77777777" w:rsidR="004B457E" w:rsidRPr="00B575A8" w:rsidRDefault="004B457E" w:rsidP="00B575A8">
      <w:pPr>
        <w:spacing w:after="0"/>
        <w:rPr>
          <w:b/>
          <w:sz w:val="24"/>
          <w:szCs w:val="24"/>
        </w:rPr>
      </w:pPr>
      <w:r w:rsidRPr="00B575A8">
        <w:rPr>
          <w:b/>
          <w:sz w:val="24"/>
          <w:szCs w:val="24"/>
        </w:rPr>
        <w:t>Australia</w:t>
      </w:r>
    </w:p>
    <w:p w14:paraId="5003E9A9" w14:textId="10FDE7FF" w:rsidR="004B457E" w:rsidRDefault="004B457E" w:rsidP="0004272B">
      <w:pPr>
        <w:spacing w:after="0" w:line="276" w:lineRule="auto"/>
        <w:jc w:val="both"/>
        <w:rPr>
          <w:rFonts w:cs="Times New Roman"/>
          <w:sz w:val="24"/>
          <w:szCs w:val="24"/>
        </w:rPr>
      </w:pPr>
      <w:r w:rsidRPr="002F6296">
        <w:rPr>
          <w:rFonts w:cs="Times New Roman"/>
          <w:sz w:val="24"/>
          <w:szCs w:val="24"/>
        </w:rPr>
        <w:t xml:space="preserve">Presenting the VNR for </w:t>
      </w:r>
      <w:r w:rsidRPr="00115672">
        <w:rPr>
          <w:rFonts w:cs="Times New Roman"/>
          <w:sz w:val="24"/>
          <w:szCs w:val="24"/>
        </w:rPr>
        <w:t>Australia,</w:t>
      </w:r>
      <w:r w:rsidRPr="002F6296">
        <w:rPr>
          <w:rFonts w:cs="Times New Roman"/>
          <w:sz w:val="24"/>
          <w:szCs w:val="24"/>
        </w:rPr>
        <w:t xml:space="preserve"> Gillian Bird,</w:t>
      </w:r>
      <w:r w:rsidR="00112BD8" w:rsidRPr="002F6296">
        <w:rPr>
          <w:rFonts w:cs="Times New Roman"/>
          <w:sz w:val="24"/>
          <w:szCs w:val="24"/>
        </w:rPr>
        <w:t xml:space="preserve"> Permanent</w:t>
      </w:r>
      <w:r w:rsidRPr="002F6296">
        <w:rPr>
          <w:rFonts w:cs="Times New Roman"/>
          <w:sz w:val="24"/>
          <w:szCs w:val="24"/>
        </w:rPr>
        <w:t xml:space="preserve"> Representative of Australia to the UN</w:t>
      </w:r>
      <w:r w:rsidR="0000539D">
        <w:rPr>
          <w:rFonts w:cs="Times New Roman"/>
          <w:sz w:val="24"/>
          <w:szCs w:val="24"/>
        </w:rPr>
        <w:t>,</w:t>
      </w:r>
      <w:r w:rsidRPr="002F6296">
        <w:rPr>
          <w:rFonts w:cs="Times New Roman"/>
          <w:sz w:val="24"/>
          <w:szCs w:val="24"/>
        </w:rPr>
        <w:t xml:space="preserve"> highlighted that Australia’s </w:t>
      </w:r>
      <w:r w:rsidR="0078118A">
        <w:rPr>
          <w:rFonts w:cs="Times New Roman"/>
          <w:sz w:val="24"/>
          <w:szCs w:val="24"/>
        </w:rPr>
        <w:t xml:space="preserve">Voluntary National Review </w:t>
      </w:r>
      <w:r w:rsidRPr="002F6296">
        <w:rPr>
          <w:rFonts w:cs="Times New Roman"/>
          <w:sz w:val="24"/>
          <w:szCs w:val="24"/>
        </w:rPr>
        <w:t xml:space="preserve">reflected on the efforts to support people who still face barriers to full inclusion. These include </w:t>
      </w:r>
      <w:r w:rsidR="001E0BC7">
        <w:rPr>
          <w:rFonts w:cs="Times New Roman"/>
          <w:sz w:val="24"/>
          <w:szCs w:val="24"/>
        </w:rPr>
        <w:t>the Aboriginal and Torres strait islander people, those from culturally and linguistically diverse backgrounds, women, girls, transsexual, gay, and bisexual persons, youth, older persons, persons with disabilities, and those living in remote and rural locations</w:t>
      </w:r>
      <w:r w:rsidRPr="002F6296">
        <w:rPr>
          <w:rFonts w:cs="Times New Roman"/>
          <w:sz w:val="24"/>
          <w:szCs w:val="24"/>
        </w:rPr>
        <w:t>.</w:t>
      </w:r>
    </w:p>
    <w:p w14:paraId="5C0F6E4E" w14:textId="77777777" w:rsidR="006E3D34" w:rsidRPr="002F6296" w:rsidRDefault="006E3D34" w:rsidP="0004272B">
      <w:pPr>
        <w:spacing w:after="0" w:line="276" w:lineRule="auto"/>
        <w:jc w:val="both"/>
        <w:rPr>
          <w:rFonts w:cs="Times New Roman"/>
          <w:sz w:val="24"/>
          <w:szCs w:val="24"/>
        </w:rPr>
      </w:pPr>
    </w:p>
    <w:p w14:paraId="4127D801" w14:textId="3563FA3D" w:rsidR="004B457E" w:rsidRPr="002F6296" w:rsidRDefault="004B457E" w:rsidP="002F6296">
      <w:pPr>
        <w:spacing w:line="276" w:lineRule="auto"/>
        <w:jc w:val="both"/>
        <w:rPr>
          <w:rFonts w:cs="Times New Roman"/>
          <w:sz w:val="24"/>
          <w:szCs w:val="24"/>
        </w:rPr>
      </w:pPr>
      <w:r w:rsidRPr="002F6296">
        <w:rPr>
          <w:rFonts w:cs="Times New Roman"/>
          <w:sz w:val="24"/>
          <w:szCs w:val="24"/>
        </w:rPr>
        <w:t>Following Australia’s presentation,</w:t>
      </w:r>
      <w:r w:rsidR="00AB600B">
        <w:rPr>
          <w:rFonts w:cs="Times New Roman"/>
          <w:sz w:val="24"/>
          <w:szCs w:val="24"/>
        </w:rPr>
        <w:t xml:space="preserve"> a</w:t>
      </w:r>
      <w:r w:rsidRPr="002F6296">
        <w:rPr>
          <w:rFonts w:cs="Times New Roman"/>
          <w:sz w:val="24"/>
          <w:szCs w:val="24"/>
        </w:rPr>
        <w:t xml:space="preserve"> representative of civil society from </w:t>
      </w:r>
      <w:r w:rsidR="00167F0D">
        <w:rPr>
          <w:rFonts w:cs="Times New Roman"/>
          <w:sz w:val="24"/>
          <w:szCs w:val="24"/>
        </w:rPr>
        <w:t>N</w:t>
      </w:r>
      <w:r w:rsidRPr="002F6296">
        <w:rPr>
          <w:rFonts w:cs="Times New Roman"/>
          <w:sz w:val="24"/>
          <w:szCs w:val="24"/>
        </w:rPr>
        <w:t xml:space="preserve">onviolence </w:t>
      </w:r>
      <w:r w:rsidR="00167F0D">
        <w:rPr>
          <w:rFonts w:cs="Times New Roman"/>
          <w:sz w:val="24"/>
          <w:szCs w:val="24"/>
        </w:rPr>
        <w:t>I</w:t>
      </w:r>
      <w:r w:rsidRPr="002F6296">
        <w:rPr>
          <w:rFonts w:cs="Times New Roman"/>
          <w:sz w:val="24"/>
          <w:szCs w:val="24"/>
        </w:rPr>
        <w:t xml:space="preserve">nternational delivered the following </w:t>
      </w:r>
      <w:r w:rsidR="00ED25CA">
        <w:rPr>
          <w:rFonts w:cs="Times New Roman"/>
          <w:sz w:val="24"/>
          <w:szCs w:val="24"/>
        </w:rPr>
        <w:t>remarks</w:t>
      </w:r>
      <w:r w:rsidR="00ED25CA" w:rsidRPr="002F6296">
        <w:rPr>
          <w:rFonts w:cs="Times New Roman"/>
          <w:sz w:val="24"/>
          <w:szCs w:val="24"/>
        </w:rPr>
        <w:t xml:space="preserve"> </w:t>
      </w:r>
      <w:r w:rsidRPr="002F6296">
        <w:rPr>
          <w:rFonts w:cs="Times New Roman"/>
          <w:sz w:val="24"/>
          <w:szCs w:val="24"/>
        </w:rPr>
        <w:t xml:space="preserve">on behalf of </w:t>
      </w:r>
      <w:r w:rsidR="0047413C">
        <w:rPr>
          <w:rFonts w:cs="Times New Roman"/>
          <w:sz w:val="24"/>
          <w:szCs w:val="24"/>
        </w:rPr>
        <w:t>M</w:t>
      </w:r>
      <w:r w:rsidRPr="002F6296">
        <w:rPr>
          <w:rFonts w:cs="Times New Roman"/>
          <w:sz w:val="24"/>
          <w:szCs w:val="24"/>
        </w:rPr>
        <w:t xml:space="preserve">ajor </w:t>
      </w:r>
      <w:r w:rsidR="0047413C">
        <w:rPr>
          <w:rFonts w:cs="Times New Roman"/>
          <w:sz w:val="24"/>
          <w:szCs w:val="24"/>
        </w:rPr>
        <w:t>G</w:t>
      </w:r>
      <w:r w:rsidRPr="002F6296">
        <w:rPr>
          <w:rFonts w:cs="Times New Roman"/>
          <w:sz w:val="24"/>
          <w:szCs w:val="24"/>
        </w:rPr>
        <w:t xml:space="preserve">roups and other </w:t>
      </w:r>
      <w:r w:rsidR="0047413C">
        <w:rPr>
          <w:rFonts w:cs="Times New Roman"/>
          <w:sz w:val="24"/>
          <w:szCs w:val="24"/>
        </w:rPr>
        <w:t>S</w:t>
      </w:r>
      <w:r w:rsidRPr="002F6296">
        <w:rPr>
          <w:rFonts w:cs="Times New Roman"/>
          <w:sz w:val="24"/>
          <w:szCs w:val="24"/>
        </w:rPr>
        <w:t xml:space="preserve">takeholders. </w:t>
      </w:r>
      <w:r w:rsidR="00DE0B70">
        <w:rPr>
          <w:rFonts w:cs="Times New Roman"/>
          <w:sz w:val="24"/>
          <w:szCs w:val="24"/>
        </w:rPr>
        <w:t xml:space="preserve">The representative stated that </w:t>
      </w:r>
      <w:r w:rsidRPr="002F6296">
        <w:rPr>
          <w:rFonts w:cs="Times New Roman"/>
          <w:sz w:val="24"/>
          <w:szCs w:val="24"/>
        </w:rPr>
        <w:t xml:space="preserve">Australian civil society has welcomed the opportunities to contribute to the </w:t>
      </w:r>
      <w:r w:rsidR="00DE0B70">
        <w:rPr>
          <w:rFonts w:cs="Times New Roman"/>
          <w:sz w:val="24"/>
          <w:szCs w:val="24"/>
        </w:rPr>
        <w:t>V</w:t>
      </w:r>
      <w:r w:rsidRPr="002F6296">
        <w:rPr>
          <w:rFonts w:cs="Times New Roman"/>
          <w:sz w:val="24"/>
          <w:szCs w:val="24"/>
        </w:rPr>
        <w:t xml:space="preserve">oluntary </w:t>
      </w:r>
      <w:r w:rsidR="00DE0B70">
        <w:rPr>
          <w:rFonts w:cs="Times New Roman"/>
          <w:sz w:val="24"/>
          <w:szCs w:val="24"/>
        </w:rPr>
        <w:t>N</w:t>
      </w:r>
      <w:r w:rsidRPr="002F6296">
        <w:rPr>
          <w:rFonts w:cs="Times New Roman"/>
          <w:sz w:val="24"/>
          <w:szCs w:val="24"/>
        </w:rPr>
        <w:t xml:space="preserve">ational </w:t>
      </w:r>
      <w:r w:rsidR="00DE0B70">
        <w:rPr>
          <w:rFonts w:cs="Times New Roman"/>
          <w:sz w:val="24"/>
          <w:szCs w:val="24"/>
        </w:rPr>
        <w:t>R</w:t>
      </w:r>
      <w:r w:rsidRPr="002F6296">
        <w:rPr>
          <w:rFonts w:cs="Times New Roman"/>
          <w:sz w:val="24"/>
          <w:szCs w:val="24"/>
        </w:rPr>
        <w:t>eview process and welcome</w:t>
      </w:r>
      <w:r w:rsidR="00725BB8">
        <w:rPr>
          <w:rFonts w:cs="Times New Roman"/>
          <w:sz w:val="24"/>
          <w:szCs w:val="24"/>
        </w:rPr>
        <w:t>d</w:t>
      </w:r>
      <w:r w:rsidRPr="002F6296">
        <w:rPr>
          <w:rFonts w:cs="Times New Roman"/>
          <w:sz w:val="24"/>
          <w:szCs w:val="24"/>
        </w:rPr>
        <w:t xml:space="preserve"> Australia</w:t>
      </w:r>
      <w:r w:rsidR="00B83E53">
        <w:rPr>
          <w:rFonts w:cs="Times New Roman"/>
          <w:sz w:val="24"/>
          <w:szCs w:val="24"/>
        </w:rPr>
        <w:t>n</w:t>
      </w:r>
      <w:r w:rsidRPr="002F6296">
        <w:rPr>
          <w:rFonts w:cs="Times New Roman"/>
          <w:sz w:val="24"/>
          <w:szCs w:val="24"/>
        </w:rPr>
        <w:t xml:space="preserve"> action towards SDG realization</w:t>
      </w:r>
      <w:r w:rsidR="00BF735A">
        <w:rPr>
          <w:rFonts w:cs="Times New Roman"/>
          <w:sz w:val="24"/>
          <w:szCs w:val="24"/>
        </w:rPr>
        <w:t>,</w:t>
      </w:r>
      <w:r w:rsidRPr="002F6296">
        <w:rPr>
          <w:rFonts w:cs="Times New Roman"/>
          <w:sz w:val="24"/>
          <w:szCs w:val="24"/>
        </w:rPr>
        <w:t xml:space="preserve"> including the implementation of a national disability insurance scheme</w:t>
      </w:r>
      <w:r w:rsidR="00BB57FF">
        <w:rPr>
          <w:rFonts w:cs="Times New Roman"/>
          <w:sz w:val="24"/>
          <w:szCs w:val="24"/>
        </w:rPr>
        <w:t xml:space="preserve"> and</w:t>
      </w:r>
      <w:r w:rsidRPr="002F6296">
        <w:rPr>
          <w:rFonts w:cs="Times New Roman"/>
          <w:sz w:val="24"/>
          <w:szCs w:val="24"/>
        </w:rPr>
        <w:t xml:space="preserve"> the passage of gender equality legislation.</w:t>
      </w:r>
      <w:r w:rsidR="00B62BAF">
        <w:rPr>
          <w:rFonts w:cs="Times New Roman"/>
          <w:sz w:val="24"/>
          <w:szCs w:val="24"/>
        </w:rPr>
        <w:t xml:space="preserve"> They</w:t>
      </w:r>
      <w:r w:rsidRPr="002F6296">
        <w:rPr>
          <w:rFonts w:cs="Times New Roman"/>
          <w:sz w:val="24"/>
          <w:szCs w:val="24"/>
        </w:rPr>
        <w:t xml:space="preserve"> ask</w:t>
      </w:r>
      <w:r w:rsidR="00B62BAF">
        <w:rPr>
          <w:rFonts w:cs="Times New Roman"/>
          <w:sz w:val="24"/>
          <w:szCs w:val="24"/>
        </w:rPr>
        <w:t>ed</w:t>
      </w:r>
      <w:r w:rsidRPr="002F6296">
        <w:rPr>
          <w:rFonts w:cs="Times New Roman"/>
          <w:sz w:val="24"/>
          <w:szCs w:val="24"/>
        </w:rPr>
        <w:t xml:space="preserve"> the </w:t>
      </w:r>
      <w:r w:rsidR="00457384">
        <w:rPr>
          <w:rFonts w:cs="Times New Roman"/>
          <w:sz w:val="24"/>
          <w:szCs w:val="24"/>
        </w:rPr>
        <w:t>G</w:t>
      </w:r>
      <w:r w:rsidRPr="002F6296">
        <w:rPr>
          <w:rFonts w:cs="Times New Roman"/>
          <w:sz w:val="24"/>
          <w:szCs w:val="24"/>
        </w:rPr>
        <w:t xml:space="preserve">overnment </w:t>
      </w:r>
      <w:r w:rsidR="00457384">
        <w:rPr>
          <w:rFonts w:cs="Times New Roman"/>
          <w:sz w:val="24"/>
          <w:szCs w:val="24"/>
        </w:rPr>
        <w:t xml:space="preserve">of Australia </w:t>
      </w:r>
      <w:r w:rsidRPr="002F6296">
        <w:rPr>
          <w:rFonts w:cs="Times New Roman"/>
          <w:sz w:val="24"/>
          <w:szCs w:val="24"/>
        </w:rPr>
        <w:t xml:space="preserve">to promote SDG awareness and engagement throughout the Australian community. </w:t>
      </w:r>
      <w:r w:rsidR="008A547A">
        <w:rPr>
          <w:rFonts w:cs="Times New Roman"/>
          <w:sz w:val="24"/>
          <w:szCs w:val="24"/>
        </w:rPr>
        <w:t>In addition, they</w:t>
      </w:r>
      <w:r w:rsidRPr="002F6296">
        <w:rPr>
          <w:rFonts w:cs="Times New Roman"/>
          <w:sz w:val="24"/>
          <w:szCs w:val="24"/>
        </w:rPr>
        <w:t xml:space="preserve"> highlight</w:t>
      </w:r>
      <w:r w:rsidR="008A547A">
        <w:rPr>
          <w:rFonts w:cs="Times New Roman"/>
          <w:sz w:val="24"/>
          <w:szCs w:val="24"/>
        </w:rPr>
        <w:t>ed</w:t>
      </w:r>
      <w:r w:rsidRPr="002F6296">
        <w:rPr>
          <w:rFonts w:cs="Times New Roman"/>
          <w:sz w:val="24"/>
          <w:szCs w:val="24"/>
        </w:rPr>
        <w:t xml:space="preserve"> the following areas where Australia's leadership through committed action and resourcing c</w:t>
      </w:r>
      <w:r w:rsidR="003707EB">
        <w:rPr>
          <w:rFonts w:cs="Times New Roman"/>
          <w:sz w:val="24"/>
          <w:szCs w:val="24"/>
        </w:rPr>
        <w:t>ould</w:t>
      </w:r>
      <w:r w:rsidRPr="002F6296">
        <w:rPr>
          <w:rFonts w:cs="Times New Roman"/>
          <w:sz w:val="24"/>
          <w:szCs w:val="24"/>
        </w:rPr>
        <w:t xml:space="preserve"> play a substantial role in achieving the SDGs. </w:t>
      </w:r>
      <w:r w:rsidR="00BC50AD">
        <w:rPr>
          <w:rFonts w:cs="Times New Roman"/>
          <w:sz w:val="24"/>
          <w:szCs w:val="24"/>
        </w:rPr>
        <w:t>First</w:t>
      </w:r>
      <w:r w:rsidRPr="002F6296">
        <w:rPr>
          <w:rFonts w:cs="Times New Roman"/>
          <w:sz w:val="24"/>
          <w:szCs w:val="24"/>
        </w:rPr>
        <w:t xml:space="preserve">, </w:t>
      </w:r>
      <w:r w:rsidR="00530E4E">
        <w:rPr>
          <w:rFonts w:cs="Times New Roman"/>
          <w:sz w:val="24"/>
          <w:szCs w:val="24"/>
        </w:rPr>
        <w:t xml:space="preserve">by </w:t>
      </w:r>
      <w:r w:rsidRPr="002F6296">
        <w:rPr>
          <w:rFonts w:cs="Times New Roman"/>
          <w:sz w:val="24"/>
          <w:szCs w:val="24"/>
        </w:rPr>
        <w:t>rebuilding the aid budget to reach 7% of GNI by 2030.</w:t>
      </w:r>
      <w:r w:rsidR="00655C76">
        <w:rPr>
          <w:rFonts w:cs="Times New Roman"/>
          <w:sz w:val="24"/>
          <w:szCs w:val="24"/>
        </w:rPr>
        <w:t xml:space="preserve"> </w:t>
      </w:r>
      <w:r w:rsidR="008A3B72">
        <w:rPr>
          <w:rFonts w:cs="Times New Roman"/>
          <w:sz w:val="24"/>
          <w:szCs w:val="24"/>
        </w:rPr>
        <w:t>Second</w:t>
      </w:r>
      <w:r w:rsidRPr="002F6296">
        <w:rPr>
          <w:rFonts w:cs="Times New Roman"/>
          <w:sz w:val="24"/>
          <w:szCs w:val="24"/>
        </w:rPr>
        <w:t xml:space="preserve">, </w:t>
      </w:r>
      <w:r w:rsidR="00530E4E">
        <w:rPr>
          <w:rFonts w:cs="Times New Roman"/>
          <w:sz w:val="24"/>
          <w:szCs w:val="24"/>
        </w:rPr>
        <w:t xml:space="preserve">by </w:t>
      </w:r>
      <w:r w:rsidRPr="002F6296">
        <w:rPr>
          <w:rFonts w:cs="Times New Roman"/>
          <w:sz w:val="24"/>
          <w:szCs w:val="24"/>
        </w:rPr>
        <w:t xml:space="preserve">contributing </w:t>
      </w:r>
      <w:r w:rsidR="00D232A8">
        <w:rPr>
          <w:rFonts w:cs="Times New Roman"/>
          <w:sz w:val="24"/>
          <w:szCs w:val="24"/>
        </w:rPr>
        <w:t>their</w:t>
      </w:r>
      <w:r w:rsidR="00D232A8" w:rsidRPr="002F6296">
        <w:rPr>
          <w:rFonts w:cs="Times New Roman"/>
          <w:sz w:val="24"/>
          <w:szCs w:val="24"/>
        </w:rPr>
        <w:t xml:space="preserve"> </w:t>
      </w:r>
      <w:r w:rsidRPr="002F6296">
        <w:rPr>
          <w:rFonts w:cs="Times New Roman"/>
          <w:sz w:val="24"/>
          <w:szCs w:val="24"/>
        </w:rPr>
        <w:t>fair share, 2.4%</w:t>
      </w:r>
      <w:r w:rsidR="00C71744">
        <w:rPr>
          <w:rFonts w:cs="Times New Roman"/>
          <w:sz w:val="24"/>
          <w:szCs w:val="24"/>
        </w:rPr>
        <w:t>,</w:t>
      </w:r>
      <w:r w:rsidRPr="002F6296">
        <w:rPr>
          <w:rFonts w:cs="Times New Roman"/>
          <w:sz w:val="24"/>
          <w:szCs w:val="24"/>
        </w:rPr>
        <w:t xml:space="preserve"> of global climate finance by 2020.</w:t>
      </w:r>
      <w:r w:rsidR="00750D17">
        <w:rPr>
          <w:rFonts w:cs="Times New Roman"/>
          <w:sz w:val="24"/>
          <w:szCs w:val="24"/>
        </w:rPr>
        <w:t xml:space="preserve"> </w:t>
      </w:r>
      <w:r w:rsidRPr="002F6296">
        <w:rPr>
          <w:rFonts w:cs="Times New Roman"/>
          <w:sz w:val="24"/>
          <w:szCs w:val="24"/>
        </w:rPr>
        <w:t>T</w:t>
      </w:r>
      <w:r w:rsidR="000054DE">
        <w:rPr>
          <w:rFonts w:cs="Times New Roman"/>
          <w:sz w:val="24"/>
          <w:szCs w:val="24"/>
        </w:rPr>
        <w:t>hird</w:t>
      </w:r>
      <w:r w:rsidRPr="002F6296">
        <w:rPr>
          <w:rFonts w:cs="Times New Roman"/>
          <w:sz w:val="24"/>
          <w:szCs w:val="24"/>
        </w:rPr>
        <w:t xml:space="preserve">, </w:t>
      </w:r>
      <w:r w:rsidR="0015297F">
        <w:rPr>
          <w:rFonts w:cs="Times New Roman"/>
          <w:sz w:val="24"/>
          <w:szCs w:val="24"/>
        </w:rPr>
        <w:t xml:space="preserve">by </w:t>
      </w:r>
      <w:r w:rsidRPr="002F6296">
        <w:rPr>
          <w:rFonts w:cs="Times New Roman"/>
          <w:sz w:val="24"/>
          <w:szCs w:val="24"/>
        </w:rPr>
        <w:t>lifting spending on water and sanitation to the average of 4.6% of the aid budget. Four</w:t>
      </w:r>
      <w:r w:rsidR="005421A3">
        <w:rPr>
          <w:rFonts w:cs="Times New Roman"/>
          <w:sz w:val="24"/>
          <w:szCs w:val="24"/>
        </w:rPr>
        <w:t>th</w:t>
      </w:r>
      <w:r w:rsidRPr="002F6296">
        <w:rPr>
          <w:rFonts w:cs="Times New Roman"/>
          <w:sz w:val="24"/>
          <w:szCs w:val="24"/>
        </w:rPr>
        <w:t xml:space="preserve">, </w:t>
      </w:r>
      <w:r w:rsidR="005421A3">
        <w:rPr>
          <w:rFonts w:cs="Times New Roman"/>
          <w:sz w:val="24"/>
          <w:szCs w:val="24"/>
        </w:rPr>
        <w:t xml:space="preserve">by </w:t>
      </w:r>
      <w:r w:rsidRPr="002F6296">
        <w:rPr>
          <w:rFonts w:cs="Times New Roman"/>
          <w:sz w:val="24"/>
          <w:szCs w:val="24"/>
        </w:rPr>
        <w:t>increasing direct funding support for women's rights organizations. Fi</w:t>
      </w:r>
      <w:r w:rsidR="00873450">
        <w:rPr>
          <w:rFonts w:cs="Times New Roman"/>
          <w:sz w:val="24"/>
          <w:szCs w:val="24"/>
        </w:rPr>
        <w:t>fth</w:t>
      </w:r>
      <w:r w:rsidRPr="002F6296">
        <w:rPr>
          <w:rFonts w:cs="Times New Roman"/>
          <w:sz w:val="24"/>
          <w:szCs w:val="24"/>
        </w:rPr>
        <w:t xml:space="preserve">, </w:t>
      </w:r>
      <w:r w:rsidR="00873450">
        <w:rPr>
          <w:rFonts w:cs="Times New Roman"/>
          <w:sz w:val="24"/>
          <w:szCs w:val="24"/>
        </w:rPr>
        <w:t xml:space="preserve">by </w:t>
      </w:r>
      <w:r w:rsidRPr="002F6296">
        <w:rPr>
          <w:rFonts w:cs="Times New Roman"/>
          <w:sz w:val="24"/>
          <w:szCs w:val="24"/>
        </w:rPr>
        <w:t>targeting budget for preventing violence against children</w:t>
      </w:r>
      <w:r w:rsidR="00750D17">
        <w:rPr>
          <w:rFonts w:cs="Times New Roman"/>
          <w:sz w:val="24"/>
          <w:szCs w:val="24"/>
        </w:rPr>
        <w:t>.</w:t>
      </w:r>
      <w:r w:rsidRPr="002F6296">
        <w:rPr>
          <w:rFonts w:cs="Times New Roman"/>
          <w:sz w:val="24"/>
          <w:szCs w:val="24"/>
        </w:rPr>
        <w:t xml:space="preserve"> </w:t>
      </w:r>
      <w:r w:rsidR="00750D17">
        <w:rPr>
          <w:rFonts w:cs="Times New Roman"/>
          <w:sz w:val="24"/>
          <w:szCs w:val="24"/>
        </w:rPr>
        <w:t>S</w:t>
      </w:r>
      <w:r w:rsidRPr="002F6296">
        <w:rPr>
          <w:rFonts w:cs="Times New Roman"/>
          <w:sz w:val="24"/>
          <w:szCs w:val="24"/>
        </w:rPr>
        <w:t>ix</w:t>
      </w:r>
      <w:r w:rsidR="00331557">
        <w:rPr>
          <w:rFonts w:cs="Times New Roman"/>
          <w:sz w:val="24"/>
          <w:szCs w:val="24"/>
        </w:rPr>
        <w:t>th</w:t>
      </w:r>
      <w:r w:rsidRPr="002F6296">
        <w:rPr>
          <w:rFonts w:cs="Times New Roman"/>
          <w:sz w:val="24"/>
          <w:szCs w:val="24"/>
        </w:rPr>
        <w:t xml:space="preserve">, </w:t>
      </w:r>
      <w:r w:rsidR="00331557">
        <w:rPr>
          <w:rFonts w:cs="Times New Roman"/>
          <w:sz w:val="24"/>
          <w:szCs w:val="24"/>
        </w:rPr>
        <w:t xml:space="preserve">by </w:t>
      </w:r>
      <w:r w:rsidRPr="002F6296">
        <w:rPr>
          <w:rFonts w:cs="Times New Roman"/>
          <w:sz w:val="24"/>
          <w:szCs w:val="24"/>
        </w:rPr>
        <w:t>continuing leadership on the disability inclusive development, including setting a disability inclusion target within the aid performance work.</w:t>
      </w:r>
    </w:p>
    <w:p w14:paraId="30968684" w14:textId="77777777" w:rsidR="004B457E" w:rsidRPr="002109BC" w:rsidRDefault="004B457E" w:rsidP="002109BC">
      <w:pPr>
        <w:spacing w:after="0"/>
        <w:rPr>
          <w:b/>
          <w:sz w:val="24"/>
          <w:szCs w:val="24"/>
        </w:rPr>
      </w:pPr>
      <w:r w:rsidRPr="002109BC">
        <w:rPr>
          <w:b/>
          <w:sz w:val="24"/>
          <w:szCs w:val="24"/>
        </w:rPr>
        <w:t>Switzerland</w:t>
      </w:r>
    </w:p>
    <w:p w14:paraId="19B33BDD" w14:textId="3363C2EA" w:rsidR="004B457E" w:rsidRDefault="004B457E" w:rsidP="00056921">
      <w:pPr>
        <w:spacing w:after="0" w:line="276" w:lineRule="auto"/>
        <w:jc w:val="both"/>
        <w:rPr>
          <w:rFonts w:cs="Times New Roman"/>
          <w:sz w:val="24"/>
          <w:szCs w:val="24"/>
        </w:rPr>
      </w:pPr>
      <w:r w:rsidRPr="002F6296">
        <w:rPr>
          <w:rFonts w:cs="Times New Roman"/>
          <w:sz w:val="24"/>
          <w:szCs w:val="24"/>
        </w:rPr>
        <w:lastRenderedPageBreak/>
        <w:t>Presenting the VNR for</w:t>
      </w:r>
      <w:r w:rsidRPr="00115672">
        <w:rPr>
          <w:rFonts w:cs="Times New Roman"/>
          <w:sz w:val="24"/>
          <w:szCs w:val="24"/>
        </w:rPr>
        <w:t xml:space="preserve"> Switzerland</w:t>
      </w:r>
      <w:r w:rsidRPr="002F6296">
        <w:rPr>
          <w:rFonts w:cs="Times New Roman"/>
          <w:sz w:val="24"/>
          <w:szCs w:val="24"/>
        </w:rPr>
        <w:t>, Sophie Neuhaus</w:t>
      </w:r>
      <w:r w:rsidR="006C2E91">
        <w:rPr>
          <w:rFonts w:cs="Times New Roman"/>
          <w:sz w:val="24"/>
          <w:szCs w:val="24"/>
        </w:rPr>
        <w:t>,</w:t>
      </w:r>
      <w:r w:rsidRPr="002F6296">
        <w:rPr>
          <w:rFonts w:cs="Times New Roman"/>
          <w:sz w:val="24"/>
          <w:szCs w:val="24"/>
        </w:rPr>
        <w:t xml:space="preserve"> National Youth Cou</w:t>
      </w:r>
      <w:r w:rsidR="00112BD8" w:rsidRPr="002F6296">
        <w:rPr>
          <w:rFonts w:cs="Times New Roman"/>
          <w:sz w:val="24"/>
          <w:szCs w:val="24"/>
        </w:rPr>
        <w:t>ncil of Switzerland</w:t>
      </w:r>
      <w:r w:rsidR="006C2E91">
        <w:rPr>
          <w:rFonts w:cs="Times New Roman"/>
          <w:sz w:val="24"/>
          <w:szCs w:val="24"/>
        </w:rPr>
        <w:t>,</w:t>
      </w:r>
      <w:r w:rsidR="00112BD8" w:rsidRPr="002F6296">
        <w:rPr>
          <w:rFonts w:cs="Times New Roman"/>
          <w:sz w:val="24"/>
          <w:szCs w:val="24"/>
        </w:rPr>
        <w:t xml:space="preserve"> stated that</w:t>
      </w:r>
      <w:r w:rsidRPr="002F6296">
        <w:rPr>
          <w:rFonts w:cs="Times New Roman"/>
          <w:sz w:val="24"/>
          <w:szCs w:val="24"/>
        </w:rPr>
        <w:t xml:space="preserve"> leav</w:t>
      </w:r>
      <w:r w:rsidR="006C2E91">
        <w:rPr>
          <w:rFonts w:cs="Times New Roman"/>
          <w:sz w:val="24"/>
          <w:szCs w:val="24"/>
        </w:rPr>
        <w:t>ing</w:t>
      </w:r>
      <w:r w:rsidRPr="002F6296">
        <w:rPr>
          <w:rFonts w:cs="Times New Roman"/>
          <w:sz w:val="24"/>
          <w:szCs w:val="24"/>
        </w:rPr>
        <w:t xml:space="preserve"> no one behind is the most important demand of the 2030 </w:t>
      </w:r>
      <w:r w:rsidR="00AC4204">
        <w:rPr>
          <w:rFonts w:cs="Times New Roman"/>
          <w:sz w:val="24"/>
          <w:szCs w:val="24"/>
        </w:rPr>
        <w:t>A</w:t>
      </w:r>
      <w:r w:rsidRPr="002F6296">
        <w:rPr>
          <w:rFonts w:cs="Times New Roman"/>
          <w:sz w:val="24"/>
          <w:szCs w:val="24"/>
        </w:rPr>
        <w:t xml:space="preserve">genda. </w:t>
      </w:r>
      <w:r w:rsidR="00AC4204">
        <w:rPr>
          <w:rFonts w:cs="Times New Roman"/>
          <w:sz w:val="24"/>
          <w:szCs w:val="24"/>
        </w:rPr>
        <w:t>She highlight</w:t>
      </w:r>
      <w:r w:rsidR="00EF6393">
        <w:rPr>
          <w:rFonts w:cs="Times New Roman"/>
          <w:sz w:val="24"/>
          <w:szCs w:val="24"/>
        </w:rPr>
        <w:t>ed</w:t>
      </w:r>
      <w:r w:rsidR="00AC4204">
        <w:rPr>
          <w:rFonts w:cs="Times New Roman"/>
          <w:sz w:val="24"/>
          <w:szCs w:val="24"/>
        </w:rPr>
        <w:t xml:space="preserve"> that </w:t>
      </w:r>
      <w:r w:rsidR="00B10BBF">
        <w:rPr>
          <w:rFonts w:cs="Times New Roman"/>
          <w:sz w:val="24"/>
          <w:szCs w:val="24"/>
        </w:rPr>
        <w:t>we cannot</w:t>
      </w:r>
      <w:r w:rsidRPr="002F6296">
        <w:rPr>
          <w:rFonts w:cs="Times New Roman"/>
          <w:sz w:val="24"/>
          <w:szCs w:val="24"/>
        </w:rPr>
        <w:t xml:space="preserve"> enjoy wealth while others live in want and </w:t>
      </w:r>
      <w:r w:rsidR="00485C99">
        <w:rPr>
          <w:rFonts w:cs="Times New Roman"/>
          <w:sz w:val="24"/>
          <w:szCs w:val="24"/>
        </w:rPr>
        <w:t xml:space="preserve">that we </w:t>
      </w:r>
      <w:r w:rsidRPr="002F6296">
        <w:rPr>
          <w:rFonts w:cs="Times New Roman"/>
          <w:sz w:val="24"/>
          <w:szCs w:val="24"/>
        </w:rPr>
        <w:t>cannot be satisfied with progress that raises average incomes but leaves many behind. As indicators make clear, inequality is on the rise in Switzerl</w:t>
      </w:r>
      <w:r w:rsidR="00724A20" w:rsidRPr="002F6296">
        <w:rPr>
          <w:rFonts w:cs="Times New Roman"/>
          <w:sz w:val="24"/>
          <w:szCs w:val="24"/>
        </w:rPr>
        <w:t xml:space="preserve">and while some </w:t>
      </w:r>
      <w:r w:rsidR="00091A54">
        <w:rPr>
          <w:rFonts w:cs="Times New Roman"/>
          <w:sz w:val="24"/>
          <w:szCs w:val="24"/>
        </w:rPr>
        <w:t xml:space="preserve">groups </w:t>
      </w:r>
      <w:r w:rsidR="00724A20" w:rsidRPr="002F6296">
        <w:rPr>
          <w:rFonts w:cs="Times New Roman"/>
          <w:sz w:val="24"/>
          <w:szCs w:val="24"/>
        </w:rPr>
        <w:t>are excluded al</w:t>
      </w:r>
      <w:r w:rsidRPr="002F6296">
        <w:rPr>
          <w:rFonts w:cs="Times New Roman"/>
          <w:sz w:val="24"/>
          <w:szCs w:val="24"/>
        </w:rPr>
        <w:t>together. She</w:t>
      </w:r>
      <w:r w:rsidR="0072276C" w:rsidRPr="002F6296">
        <w:rPr>
          <w:rFonts w:cs="Times New Roman"/>
          <w:sz w:val="24"/>
          <w:szCs w:val="24"/>
        </w:rPr>
        <w:t>,</w:t>
      </w:r>
      <w:r w:rsidRPr="002F6296">
        <w:rPr>
          <w:rFonts w:cs="Times New Roman"/>
          <w:sz w:val="24"/>
          <w:szCs w:val="24"/>
        </w:rPr>
        <w:t xml:space="preserve"> therefore</w:t>
      </w:r>
      <w:r w:rsidR="0072276C" w:rsidRPr="002F6296">
        <w:rPr>
          <w:rFonts w:cs="Times New Roman"/>
          <w:sz w:val="24"/>
          <w:szCs w:val="24"/>
        </w:rPr>
        <w:t>,</w:t>
      </w:r>
      <w:r w:rsidRPr="002F6296">
        <w:rPr>
          <w:rFonts w:cs="Times New Roman"/>
          <w:sz w:val="24"/>
          <w:szCs w:val="24"/>
        </w:rPr>
        <w:t xml:space="preserve"> recommended that the next Swiss VNR should focus more closely on the most </w:t>
      </w:r>
      <w:r w:rsidR="0000629D">
        <w:rPr>
          <w:rFonts w:cs="Times New Roman"/>
          <w:sz w:val="24"/>
          <w:szCs w:val="24"/>
        </w:rPr>
        <w:t>vulnerable</w:t>
      </w:r>
      <w:r w:rsidR="00BB07D8">
        <w:rPr>
          <w:rFonts w:cs="Times New Roman"/>
          <w:sz w:val="24"/>
          <w:szCs w:val="24"/>
        </w:rPr>
        <w:t xml:space="preserve"> by </w:t>
      </w:r>
      <w:r w:rsidRPr="002F6296">
        <w:rPr>
          <w:rFonts w:cs="Times New Roman"/>
          <w:sz w:val="24"/>
          <w:szCs w:val="24"/>
        </w:rPr>
        <w:t>considering gender</w:t>
      </w:r>
      <w:r w:rsidR="003C053E">
        <w:rPr>
          <w:rFonts w:cs="Times New Roman"/>
          <w:sz w:val="24"/>
          <w:szCs w:val="24"/>
        </w:rPr>
        <w:t xml:space="preserve"> and</w:t>
      </w:r>
      <w:r w:rsidRPr="002F6296">
        <w:rPr>
          <w:rFonts w:cs="Times New Roman"/>
          <w:sz w:val="24"/>
          <w:szCs w:val="24"/>
        </w:rPr>
        <w:t xml:space="preserve"> young people, and assess</w:t>
      </w:r>
      <w:r w:rsidR="003C053E">
        <w:rPr>
          <w:rFonts w:cs="Times New Roman"/>
          <w:sz w:val="24"/>
          <w:szCs w:val="24"/>
        </w:rPr>
        <w:t>ing</w:t>
      </w:r>
      <w:r w:rsidRPr="002F6296">
        <w:rPr>
          <w:rFonts w:cs="Times New Roman"/>
          <w:sz w:val="24"/>
          <w:szCs w:val="24"/>
        </w:rPr>
        <w:t xml:space="preserve"> the situation of pe</w:t>
      </w:r>
      <w:r w:rsidR="00A674F5">
        <w:rPr>
          <w:rFonts w:cs="Times New Roman"/>
          <w:sz w:val="24"/>
          <w:szCs w:val="24"/>
        </w:rPr>
        <w:t>rsons</w:t>
      </w:r>
      <w:r w:rsidRPr="002F6296">
        <w:rPr>
          <w:rFonts w:cs="Times New Roman"/>
          <w:sz w:val="24"/>
          <w:szCs w:val="24"/>
        </w:rPr>
        <w:t xml:space="preserve"> with disabilities, </w:t>
      </w:r>
      <w:r w:rsidR="003E741F">
        <w:rPr>
          <w:rFonts w:cs="Times New Roman"/>
          <w:sz w:val="24"/>
          <w:szCs w:val="24"/>
        </w:rPr>
        <w:t>migrants</w:t>
      </w:r>
      <w:r w:rsidR="00E977A6">
        <w:rPr>
          <w:rFonts w:cs="Times New Roman"/>
          <w:sz w:val="24"/>
          <w:szCs w:val="24"/>
        </w:rPr>
        <w:t>,</w:t>
      </w:r>
      <w:r w:rsidRPr="002F6296">
        <w:rPr>
          <w:rFonts w:cs="Times New Roman"/>
          <w:sz w:val="24"/>
          <w:szCs w:val="24"/>
        </w:rPr>
        <w:t xml:space="preserve"> and other marginalized and disadvantaged groups.</w:t>
      </w:r>
    </w:p>
    <w:p w14:paraId="00F0B44E" w14:textId="77777777" w:rsidR="00E977A6" w:rsidRPr="002F6296" w:rsidRDefault="00E977A6" w:rsidP="00056921">
      <w:pPr>
        <w:spacing w:after="0" w:line="276" w:lineRule="auto"/>
        <w:jc w:val="both"/>
        <w:rPr>
          <w:rFonts w:cs="Times New Roman"/>
          <w:sz w:val="24"/>
          <w:szCs w:val="24"/>
        </w:rPr>
      </w:pPr>
    </w:p>
    <w:p w14:paraId="0C0C52D2" w14:textId="0DF7F7A3" w:rsidR="004B457E" w:rsidRPr="00FF73DA" w:rsidRDefault="004B457E" w:rsidP="00FF73DA">
      <w:r w:rsidRPr="002F6296">
        <w:rPr>
          <w:rFonts w:cs="Times New Roman"/>
          <w:sz w:val="24"/>
          <w:szCs w:val="24"/>
        </w:rPr>
        <w:t xml:space="preserve">Following Switzerland’s presentation, Ana </w:t>
      </w:r>
      <w:proofErr w:type="spellStart"/>
      <w:r w:rsidRPr="002F6296">
        <w:rPr>
          <w:rFonts w:cs="Times New Roman"/>
          <w:sz w:val="24"/>
          <w:szCs w:val="24"/>
        </w:rPr>
        <w:t>P</w:t>
      </w:r>
      <w:r w:rsidR="00BC5DEA">
        <w:rPr>
          <w:rFonts w:cs="Times New Roman"/>
          <w:sz w:val="24"/>
          <w:szCs w:val="24"/>
        </w:rPr>
        <w:t>e</w:t>
      </w:r>
      <w:r w:rsidRPr="002F6296">
        <w:rPr>
          <w:rFonts w:cs="Times New Roman"/>
          <w:sz w:val="24"/>
          <w:szCs w:val="24"/>
        </w:rPr>
        <w:t>l</w:t>
      </w:r>
      <w:r w:rsidR="00BC5DEA" w:rsidRPr="00685A2A">
        <w:rPr>
          <w:rFonts w:cs="Times New Roman"/>
          <w:sz w:val="24"/>
          <w:szCs w:val="24"/>
        </w:rPr>
        <w:t>á</w:t>
      </w:r>
      <w:r w:rsidR="00BC5DEA">
        <w:rPr>
          <w:rFonts w:cs="Times New Roman"/>
          <w:sz w:val="24"/>
          <w:szCs w:val="24"/>
        </w:rPr>
        <w:t>e</w:t>
      </w:r>
      <w:r w:rsidRPr="002F6296">
        <w:rPr>
          <w:rFonts w:cs="Times New Roman"/>
          <w:sz w:val="24"/>
          <w:szCs w:val="24"/>
        </w:rPr>
        <w:t>z</w:t>
      </w:r>
      <w:proofErr w:type="spellEnd"/>
      <w:r w:rsidR="00397AD6">
        <w:rPr>
          <w:rFonts w:cs="Times New Roman"/>
          <w:sz w:val="24"/>
          <w:szCs w:val="24"/>
        </w:rPr>
        <w:t xml:space="preserve"> </w:t>
      </w:r>
      <w:proofErr w:type="spellStart"/>
      <w:r w:rsidRPr="002F6296">
        <w:rPr>
          <w:rFonts w:cs="Times New Roman"/>
          <w:sz w:val="24"/>
          <w:szCs w:val="24"/>
        </w:rPr>
        <w:t>Narváez</w:t>
      </w:r>
      <w:proofErr w:type="spellEnd"/>
      <w:r w:rsidRPr="002F6296">
        <w:rPr>
          <w:rFonts w:cs="Times New Roman"/>
          <w:sz w:val="24"/>
          <w:szCs w:val="24"/>
        </w:rPr>
        <w:t xml:space="preserve">, Vice-President of the European Disability Forum and member of the UN Committee on the Elimination of Discrimination against Women (CEDAW), asked the </w:t>
      </w:r>
      <w:r w:rsidR="002F0A68">
        <w:rPr>
          <w:rFonts w:cs="Times New Roman"/>
          <w:sz w:val="24"/>
          <w:szCs w:val="24"/>
        </w:rPr>
        <w:t>G</w:t>
      </w:r>
      <w:r w:rsidRPr="002F6296">
        <w:rPr>
          <w:rFonts w:cs="Times New Roman"/>
          <w:sz w:val="24"/>
          <w:szCs w:val="24"/>
        </w:rPr>
        <w:t>overnment of Switzerland</w:t>
      </w:r>
      <w:r w:rsidR="00001986">
        <w:rPr>
          <w:rFonts w:cs="Times New Roman"/>
          <w:sz w:val="24"/>
          <w:szCs w:val="24"/>
        </w:rPr>
        <w:t>:</w:t>
      </w:r>
      <w:r w:rsidRPr="002F6296">
        <w:rPr>
          <w:rFonts w:cs="Times New Roman"/>
          <w:sz w:val="24"/>
          <w:szCs w:val="24"/>
        </w:rPr>
        <w:t xml:space="preserve"> “How is Switzerland guaranteeing an inclusive and participatory process for the future Agenda 2030 process, that includes all, also persons with disabilities and sign language users?</w:t>
      </w:r>
      <w:r w:rsidR="00D83DF9" w:rsidRPr="002F6296">
        <w:rPr>
          <w:rFonts w:cs="Times New Roman"/>
          <w:sz w:val="24"/>
          <w:szCs w:val="24"/>
        </w:rPr>
        <w:t>”;</w:t>
      </w:r>
      <w:r w:rsidR="007F5695">
        <w:rPr>
          <w:rFonts w:cs="Times New Roman"/>
          <w:sz w:val="24"/>
          <w:szCs w:val="24"/>
        </w:rPr>
        <w:t xml:space="preserve"> </w:t>
      </w:r>
      <w:r w:rsidRPr="002F6296">
        <w:rPr>
          <w:rFonts w:cs="Times New Roman"/>
          <w:sz w:val="24"/>
          <w:szCs w:val="24"/>
        </w:rPr>
        <w:t xml:space="preserve">“How will the government tackle the much larger gap as compared with </w:t>
      </w:r>
      <w:proofErr w:type="spellStart"/>
      <w:r w:rsidRPr="002F6296">
        <w:rPr>
          <w:rFonts w:cs="Times New Roman"/>
          <w:sz w:val="24"/>
          <w:szCs w:val="24"/>
        </w:rPr>
        <w:t>neighboring</w:t>
      </w:r>
      <w:proofErr w:type="spellEnd"/>
      <w:r w:rsidRPr="002F6296">
        <w:rPr>
          <w:rFonts w:cs="Times New Roman"/>
          <w:sz w:val="24"/>
          <w:szCs w:val="24"/>
        </w:rPr>
        <w:t xml:space="preserve"> states with regard to the real life situation and specific needs of persons with disabilities, such as physical and societal barriers, the non-existence of communication access in sign language, which is a prerequisite to participating in social and political processes, </w:t>
      </w:r>
      <w:r w:rsidR="00D83DF9" w:rsidRPr="002F6296">
        <w:rPr>
          <w:rFonts w:cs="Times New Roman"/>
          <w:sz w:val="24"/>
          <w:szCs w:val="24"/>
        </w:rPr>
        <w:t>etc.</w:t>
      </w:r>
      <w:r w:rsidRPr="002F6296">
        <w:rPr>
          <w:rFonts w:cs="Times New Roman"/>
          <w:sz w:val="24"/>
          <w:szCs w:val="24"/>
        </w:rPr>
        <w:t xml:space="preserve">?”; </w:t>
      </w:r>
      <w:r w:rsidR="0068646C">
        <w:rPr>
          <w:rFonts w:cs="Times New Roman"/>
          <w:sz w:val="24"/>
          <w:szCs w:val="24"/>
        </w:rPr>
        <w:t xml:space="preserve">and </w:t>
      </w:r>
      <w:r w:rsidRPr="002F6296">
        <w:rPr>
          <w:rFonts w:cs="Times New Roman"/>
          <w:sz w:val="24"/>
          <w:szCs w:val="24"/>
        </w:rPr>
        <w:t>“Will the Swiss Federal Administration systematically collect data disaggregated by different types of disabilities as required by the CRPD?”</w:t>
      </w:r>
      <w:r w:rsidR="002159E0" w:rsidRPr="00D549AB">
        <w:rPr>
          <w:rFonts w:cstheme="minorHAnsi"/>
          <w:sz w:val="24"/>
          <w:szCs w:val="24"/>
        </w:rPr>
        <w:t xml:space="preserve"> </w:t>
      </w:r>
      <w:hyperlink r:id="rId24" w:tgtFrame="_blank" w:history="1">
        <w:r w:rsidR="00B75291" w:rsidRPr="00FF73DA">
          <w:rPr>
            <w:rStyle w:val="Hyperlink"/>
            <w:rFonts w:cstheme="minorHAnsi"/>
            <w:b/>
            <w:bCs/>
            <w:sz w:val="24"/>
            <w:szCs w:val="24"/>
            <w:shd w:val="clear" w:color="auto" w:fill="FFFFFF"/>
          </w:rPr>
          <w:t>Click here to read the full statement.</w:t>
        </w:r>
      </w:hyperlink>
    </w:p>
    <w:p w14:paraId="4FD20B58" w14:textId="18AE5F37" w:rsidR="004B457E" w:rsidRPr="002F6296" w:rsidRDefault="004B457E" w:rsidP="002F6296">
      <w:pPr>
        <w:spacing w:line="276" w:lineRule="auto"/>
        <w:jc w:val="both"/>
        <w:rPr>
          <w:rFonts w:cs="Times New Roman"/>
          <w:sz w:val="24"/>
          <w:szCs w:val="24"/>
        </w:rPr>
      </w:pPr>
      <w:r w:rsidRPr="002F6296">
        <w:rPr>
          <w:rFonts w:cs="Times New Roman"/>
          <w:sz w:val="24"/>
          <w:szCs w:val="24"/>
        </w:rPr>
        <w:t xml:space="preserve">Doris </w:t>
      </w:r>
      <w:proofErr w:type="spellStart"/>
      <w:r w:rsidRPr="002F6296">
        <w:rPr>
          <w:rFonts w:cs="Times New Roman"/>
          <w:sz w:val="24"/>
          <w:szCs w:val="24"/>
        </w:rPr>
        <w:t>Leuthard</w:t>
      </w:r>
      <w:proofErr w:type="spellEnd"/>
      <w:r w:rsidRPr="002F6296">
        <w:rPr>
          <w:rFonts w:cs="Times New Roman"/>
          <w:sz w:val="24"/>
          <w:szCs w:val="24"/>
        </w:rPr>
        <w:t xml:space="preserve">, Minister of the Environment, Transport, Energy and Communications, highlighted that Switzerland still has to improve regarding </w:t>
      </w:r>
      <w:r w:rsidR="002B54D9">
        <w:rPr>
          <w:rFonts w:cs="Times New Roman"/>
          <w:sz w:val="24"/>
          <w:szCs w:val="24"/>
        </w:rPr>
        <w:t>p</w:t>
      </w:r>
      <w:r w:rsidRPr="002F6296">
        <w:rPr>
          <w:rFonts w:cs="Times New Roman"/>
          <w:sz w:val="24"/>
          <w:szCs w:val="24"/>
        </w:rPr>
        <w:t xml:space="preserve">ersons with </w:t>
      </w:r>
      <w:r w:rsidR="002B54D9">
        <w:rPr>
          <w:rFonts w:cs="Times New Roman"/>
          <w:sz w:val="24"/>
          <w:szCs w:val="24"/>
        </w:rPr>
        <w:t>disabilities</w:t>
      </w:r>
      <w:r w:rsidR="00324C4D">
        <w:rPr>
          <w:rFonts w:cs="Times New Roman"/>
          <w:sz w:val="24"/>
          <w:szCs w:val="24"/>
        </w:rPr>
        <w:t>.</w:t>
      </w:r>
      <w:r w:rsidRPr="002F6296">
        <w:rPr>
          <w:rFonts w:cs="Times New Roman"/>
          <w:sz w:val="24"/>
          <w:szCs w:val="24"/>
        </w:rPr>
        <w:t xml:space="preserve"> </w:t>
      </w:r>
      <w:r w:rsidR="00324C4D">
        <w:rPr>
          <w:rFonts w:cs="Times New Roman"/>
          <w:sz w:val="24"/>
          <w:szCs w:val="24"/>
        </w:rPr>
        <w:t>F</w:t>
      </w:r>
      <w:r w:rsidRPr="002F6296">
        <w:rPr>
          <w:rFonts w:cs="Times New Roman"/>
          <w:sz w:val="24"/>
          <w:szCs w:val="24"/>
        </w:rPr>
        <w:t>or instance</w:t>
      </w:r>
      <w:r w:rsidR="003F5F3D" w:rsidRPr="002F6296">
        <w:rPr>
          <w:rFonts w:cs="Times New Roman"/>
          <w:sz w:val="24"/>
          <w:szCs w:val="24"/>
        </w:rPr>
        <w:t>,</w:t>
      </w:r>
      <w:r w:rsidRPr="002F6296">
        <w:rPr>
          <w:rFonts w:cs="Times New Roman"/>
          <w:sz w:val="24"/>
          <w:szCs w:val="24"/>
        </w:rPr>
        <w:t xml:space="preserve"> access for persons with disabilities is not yet 100% guaranteed. S</w:t>
      </w:r>
      <w:r w:rsidR="007F5695">
        <w:rPr>
          <w:rFonts w:cs="Times New Roman"/>
          <w:sz w:val="24"/>
          <w:szCs w:val="24"/>
        </w:rPr>
        <w:t>he noted that S</w:t>
      </w:r>
      <w:r w:rsidRPr="002F6296">
        <w:rPr>
          <w:rFonts w:cs="Times New Roman"/>
          <w:sz w:val="24"/>
          <w:szCs w:val="24"/>
        </w:rPr>
        <w:t xml:space="preserve">witzerland has </w:t>
      </w:r>
      <w:r w:rsidR="00377E00">
        <w:rPr>
          <w:rFonts w:cs="Times New Roman"/>
          <w:sz w:val="24"/>
          <w:szCs w:val="24"/>
        </w:rPr>
        <w:t>underway</w:t>
      </w:r>
      <w:r w:rsidRPr="002F6296">
        <w:rPr>
          <w:rFonts w:cs="Times New Roman"/>
          <w:sz w:val="24"/>
          <w:szCs w:val="24"/>
        </w:rPr>
        <w:t xml:space="preserve"> strategies to include</w:t>
      </w:r>
      <w:r w:rsidR="003F5F3D" w:rsidRPr="002F6296">
        <w:rPr>
          <w:rFonts w:cs="Times New Roman"/>
          <w:sz w:val="24"/>
          <w:szCs w:val="24"/>
        </w:rPr>
        <w:t xml:space="preserve"> everyone and guarantee that</w:t>
      </w:r>
      <w:r w:rsidRPr="002F6296">
        <w:rPr>
          <w:rFonts w:cs="Times New Roman"/>
          <w:sz w:val="24"/>
          <w:szCs w:val="24"/>
        </w:rPr>
        <w:t xml:space="preserve"> </w:t>
      </w:r>
      <w:r w:rsidR="00E910F9">
        <w:rPr>
          <w:rFonts w:cs="Times New Roman"/>
          <w:sz w:val="24"/>
          <w:szCs w:val="24"/>
        </w:rPr>
        <w:t>persons with disabilities</w:t>
      </w:r>
      <w:r w:rsidRPr="002F6296">
        <w:rPr>
          <w:rFonts w:cs="Times New Roman"/>
          <w:sz w:val="24"/>
          <w:szCs w:val="24"/>
        </w:rPr>
        <w:t xml:space="preserve"> can be member</w:t>
      </w:r>
      <w:r w:rsidR="00E910F9">
        <w:rPr>
          <w:rFonts w:cs="Times New Roman"/>
          <w:sz w:val="24"/>
          <w:szCs w:val="24"/>
        </w:rPr>
        <w:t>s</w:t>
      </w:r>
      <w:r w:rsidRPr="002F6296">
        <w:rPr>
          <w:rFonts w:cs="Times New Roman"/>
          <w:sz w:val="24"/>
          <w:szCs w:val="24"/>
        </w:rPr>
        <w:t xml:space="preserve"> of this participatory process. </w:t>
      </w:r>
    </w:p>
    <w:p w14:paraId="480A0CA1" w14:textId="77777777" w:rsidR="004B457E" w:rsidRPr="002109BC" w:rsidRDefault="004B457E" w:rsidP="002109BC">
      <w:pPr>
        <w:spacing w:after="0"/>
        <w:rPr>
          <w:b/>
          <w:sz w:val="24"/>
          <w:szCs w:val="24"/>
        </w:rPr>
      </w:pPr>
      <w:r w:rsidRPr="002109BC">
        <w:rPr>
          <w:b/>
          <w:sz w:val="24"/>
          <w:szCs w:val="24"/>
        </w:rPr>
        <w:t>Uruguay</w:t>
      </w:r>
    </w:p>
    <w:p w14:paraId="44935847" w14:textId="589E9A1C" w:rsidR="004B457E" w:rsidRDefault="004B457E" w:rsidP="00410266">
      <w:pPr>
        <w:spacing w:after="0" w:line="276" w:lineRule="auto"/>
        <w:jc w:val="both"/>
        <w:rPr>
          <w:rFonts w:cs="Times New Roman"/>
          <w:sz w:val="24"/>
          <w:szCs w:val="24"/>
        </w:rPr>
      </w:pPr>
      <w:r w:rsidRPr="002F6296">
        <w:rPr>
          <w:rFonts w:cs="Times New Roman"/>
          <w:sz w:val="24"/>
          <w:szCs w:val="24"/>
        </w:rPr>
        <w:t xml:space="preserve">Following </w:t>
      </w:r>
      <w:r w:rsidRPr="00115672">
        <w:rPr>
          <w:rFonts w:eastAsia="Times New Roman" w:cs="Times New Roman"/>
          <w:bCs/>
          <w:sz w:val="24"/>
          <w:szCs w:val="24"/>
          <w:lang w:eastAsia="en-GB"/>
        </w:rPr>
        <w:t>Uruguay’s</w:t>
      </w:r>
      <w:r w:rsidRPr="002F6296">
        <w:rPr>
          <w:rFonts w:eastAsia="Times New Roman" w:cs="Times New Roman"/>
          <w:bCs/>
          <w:sz w:val="24"/>
          <w:szCs w:val="24"/>
          <w:lang w:eastAsia="en-GB"/>
        </w:rPr>
        <w:t xml:space="preserve"> presentation,</w:t>
      </w:r>
      <w:r w:rsidR="00EA0797">
        <w:rPr>
          <w:rFonts w:cs="Times New Roman"/>
          <w:sz w:val="24"/>
          <w:szCs w:val="24"/>
        </w:rPr>
        <w:t xml:space="preserve"> a</w:t>
      </w:r>
      <w:r w:rsidRPr="002F6296">
        <w:rPr>
          <w:rFonts w:cs="Times New Roman"/>
          <w:sz w:val="24"/>
          <w:szCs w:val="24"/>
        </w:rPr>
        <w:t xml:space="preserve"> representative of civil society from</w:t>
      </w:r>
      <w:r w:rsidR="00EA0797">
        <w:rPr>
          <w:rFonts w:cs="Times New Roman"/>
          <w:sz w:val="24"/>
          <w:szCs w:val="24"/>
        </w:rPr>
        <w:t xml:space="preserve"> the I</w:t>
      </w:r>
      <w:r w:rsidRPr="002F6296">
        <w:rPr>
          <w:rFonts w:cs="Times New Roman"/>
          <w:sz w:val="24"/>
          <w:szCs w:val="24"/>
        </w:rPr>
        <w:t xml:space="preserve">nternational </w:t>
      </w:r>
      <w:r w:rsidR="00EA0797">
        <w:rPr>
          <w:rFonts w:cs="Times New Roman"/>
          <w:sz w:val="24"/>
          <w:szCs w:val="24"/>
        </w:rPr>
        <w:t>T</w:t>
      </w:r>
      <w:r w:rsidRPr="002F6296">
        <w:rPr>
          <w:rFonts w:cs="Times New Roman"/>
          <w:sz w:val="24"/>
          <w:szCs w:val="24"/>
        </w:rPr>
        <w:t xml:space="preserve">rade </w:t>
      </w:r>
      <w:r w:rsidR="00EA0797">
        <w:rPr>
          <w:rFonts w:cs="Times New Roman"/>
          <w:sz w:val="24"/>
          <w:szCs w:val="24"/>
        </w:rPr>
        <w:t>U</w:t>
      </w:r>
      <w:r w:rsidRPr="002F6296">
        <w:rPr>
          <w:rFonts w:cs="Times New Roman"/>
          <w:sz w:val="24"/>
          <w:szCs w:val="24"/>
        </w:rPr>
        <w:t xml:space="preserve">nion </w:t>
      </w:r>
      <w:r w:rsidR="00EA0797">
        <w:rPr>
          <w:rFonts w:cs="Times New Roman"/>
          <w:sz w:val="24"/>
          <w:szCs w:val="24"/>
        </w:rPr>
        <w:t>C</w:t>
      </w:r>
      <w:r w:rsidRPr="002F6296">
        <w:rPr>
          <w:rFonts w:cs="Times New Roman"/>
          <w:sz w:val="24"/>
          <w:szCs w:val="24"/>
        </w:rPr>
        <w:t xml:space="preserve">onfederation delivered </w:t>
      </w:r>
      <w:r w:rsidR="00EA0797">
        <w:rPr>
          <w:rFonts w:cs="Times New Roman"/>
          <w:sz w:val="24"/>
          <w:szCs w:val="24"/>
        </w:rPr>
        <w:t>a</w:t>
      </w:r>
      <w:r w:rsidR="00EA0797" w:rsidRPr="002F6296">
        <w:rPr>
          <w:rFonts w:cs="Times New Roman"/>
          <w:sz w:val="24"/>
          <w:szCs w:val="24"/>
        </w:rPr>
        <w:t xml:space="preserve"> </w:t>
      </w:r>
      <w:r w:rsidRPr="002F6296">
        <w:rPr>
          <w:rFonts w:cs="Times New Roman"/>
          <w:sz w:val="24"/>
          <w:szCs w:val="24"/>
        </w:rPr>
        <w:t>statement on behalf of</w:t>
      </w:r>
      <w:r w:rsidR="00EA0797">
        <w:rPr>
          <w:rFonts w:cs="Times New Roman"/>
          <w:sz w:val="24"/>
          <w:szCs w:val="24"/>
        </w:rPr>
        <w:t xml:space="preserve"> M</w:t>
      </w:r>
      <w:r w:rsidRPr="002F6296">
        <w:rPr>
          <w:rFonts w:cs="Times New Roman"/>
          <w:sz w:val="24"/>
          <w:szCs w:val="24"/>
        </w:rPr>
        <w:t xml:space="preserve">ajor </w:t>
      </w:r>
      <w:r w:rsidR="00EA0797">
        <w:rPr>
          <w:rFonts w:cs="Times New Roman"/>
          <w:sz w:val="24"/>
          <w:szCs w:val="24"/>
        </w:rPr>
        <w:t>G</w:t>
      </w:r>
      <w:r w:rsidRPr="002F6296">
        <w:rPr>
          <w:rFonts w:cs="Times New Roman"/>
          <w:sz w:val="24"/>
          <w:szCs w:val="24"/>
        </w:rPr>
        <w:t xml:space="preserve">roups and other </w:t>
      </w:r>
      <w:r w:rsidR="00EA0797">
        <w:rPr>
          <w:rFonts w:cs="Times New Roman"/>
          <w:sz w:val="24"/>
          <w:szCs w:val="24"/>
        </w:rPr>
        <w:t>S</w:t>
      </w:r>
      <w:r w:rsidRPr="002F6296">
        <w:rPr>
          <w:rFonts w:cs="Times New Roman"/>
          <w:sz w:val="24"/>
          <w:szCs w:val="24"/>
        </w:rPr>
        <w:t xml:space="preserve">takeholders </w:t>
      </w:r>
      <w:r w:rsidR="00D4500B">
        <w:rPr>
          <w:rFonts w:cs="Times New Roman"/>
          <w:sz w:val="24"/>
          <w:szCs w:val="24"/>
        </w:rPr>
        <w:t>by</w:t>
      </w:r>
      <w:r w:rsidRPr="002F6296">
        <w:rPr>
          <w:rFonts w:cs="Times New Roman"/>
          <w:sz w:val="24"/>
          <w:szCs w:val="24"/>
        </w:rPr>
        <w:t xml:space="preserve"> ask</w:t>
      </w:r>
      <w:r w:rsidR="00D4500B">
        <w:rPr>
          <w:rFonts w:cs="Times New Roman"/>
          <w:sz w:val="24"/>
          <w:szCs w:val="24"/>
        </w:rPr>
        <w:t>ing</w:t>
      </w:r>
      <w:r w:rsidRPr="002F6296">
        <w:rPr>
          <w:rFonts w:cs="Times New Roman"/>
          <w:sz w:val="24"/>
          <w:szCs w:val="24"/>
        </w:rPr>
        <w:t xml:space="preserve"> </w:t>
      </w:r>
      <w:r w:rsidR="00ED62DF">
        <w:rPr>
          <w:rFonts w:cs="Times New Roman"/>
          <w:sz w:val="24"/>
          <w:szCs w:val="24"/>
        </w:rPr>
        <w:t xml:space="preserve">the </w:t>
      </w:r>
      <w:r w:rsidRPr="002F6296">
        <w:rPr>
          <w:rFonts w:cs="Times New Roman"/>
          <w:sz w:val="24"/>
          <w:szCs w:val="24"/>
        </w:rPr>
        <w:t xml:space="preserve">Uruguay delegation the following questions. </w:t>
      </w:r>
      <w:r w:rsidR="00487F65">
        <w:rPr>
          <w:rFonts w:cs="Times New Roman"/>
          <w:sz w:val="24"/>
          <w:szCs w:val="24"/>
        </w:rPr>
        <w:t>First, w</w:t>
      </w:r>
      <w:r w:rsidRPr="002F6296">
        <w:rPr>
          <w:rFonts w:cs="Times New Roman"/>
          <w:sz w:val="24"/>
          <w:szCs w:val="24"/>
        </w:rPr>
        <w:t xml:space="preserve">hat has the </w:t>
      </w:r>
      <w:r w:rsidR="00A44362">
        <w:rPr>
          <w:rFonts w:cs="Times New Roman"/>
          <w:sz w:val="24"/>
          <w:szCs w:val="24"/>
        </w:rPr>
        <w:t>S</w:t>
      </w:r>
      <w:r w:rsidRPr="002F6296">
        <w:rPr>
          <w:rFonts w:cs="Times New Roman"/>
          <w:sz w:val="24"/>
          <w:szCs w:val="24"/>
        </w:rPr>
        <w:t xml:space="preserve">tate done to guarantee </w:t>
      </w:r>
      <w:r w:rsidR="00861D0D" w:rsidRPr="002F6296">
        <w:rPr>
          <w:rFonts w:cs="Times New Roman"/>
          <w:sz w:val="24"/>
          <w:szCs w:val="24"/>
        </w:rPr>
        <w:t xml:space="preserve">an </w:t>
      </w:r>
      <w:r w:rsidRPr="002F6296">
        <w:rPr>
          <w:rFonts w:cs="Times New Roman"/>
          <w:sz w:val="24"/>
          <w:szCs w:val="24"/>
        </w:rPr>
        <w:t xml:space="preserve">adequate participation of human rights? </w:t>
      </w:r>
      <w:r w:rsidR="00DC4DF7">
        <w:rPr>
          <w:rFonts w:cs="Times New Roman"/>
          <w:sz w:val="24"/>
          <w:szCs w:val="24"/>
        </w:rPr>
        <w:t>Second, o</w:t>
      </w:r>
      <w:r w:rsidRPr="002F6296">
        <w:rPr>
          <w:rFonts w:cs="Times New Roman"/>
          <w:sz w:val="24"/>
          <w:szCs w:val="24"/>
        </w:rPr>
        <w:t xml:space="preserve">n the 2030 </w:t>
      </w:r>
      <w:r w:rsidR="00FD1065">
        <w:rPr>
          <w:rFonts w:cs="Times New Roman"/>
          <w:sz w:val="24"/>
          <w:szCs w:val="24"/>
        </w:rPr>
        <w:t>A</w:t>
      </w:r>
      <w:r w:rsidRPr="002F6296">
        <w:rPr>
          <w:rFonts w:cs="Times New Roman"/>
          <w:sz w:val="24"/>
          <w:szCs w:val="24"/>
        </w:rPr>
        <w:t xml:space="preserve">genda, what are the specific initiatives that Uruguay is taking to focus on the social groups that are facing major discrimination or are particularly </w:t>
      </w:r>
      <w:r w:rsidR="00C17C2E">
        <w:rPr>
          <w:rFonts w:cs="Times New Roman"/>
          <w:sz w:val="24"/>
          <w:szCs w:val="24"/>
        </w:rPr>
        <w:t>vulnerable, i</w:t>
      </w:r>
      <w:r w:rsidRPr="002F6296">
        <w:rPr>
          <w:rFonts w:cs="Times New Roman"/>
          <w:sz w:val="24"/>
          <w:szCs w:val="24"/>
        </w:rPr>
        <w:t>n particular, women, young people, and indigenous communities, the elderly, persons with disabilities, and the LGBT</w:t>
      </w:r>
      <w:r w:rsidR="00DB58DF">
        <w:rPr>
          <w:rFonts w:cs="Times New Roman"/>
          <w:sz w:val="24"/>
          <w:szCs w:val="24"/>
        </w:rPr>
        <w:t>QI</w:t>
      </w:r>
      <w:r w:rsidRPr="002F6296">
        <w:rPr>
          <w:rFonts w:cs="Times New Roman"/>
          <w:sz w:val="24"/>
          <w:szCs w:val="24"/>
        </w:rPr>
        <w:t xml:space="preserve"> population? </w:t>
      </w:r>
      <w:r w:rsidR="00C032B7">
        <w:rPr>
          <w:rFonts w:cs="Times New Roman"/>
          <w:sz w:val="24"/>
          <w:szCs w:val="24"/>
        </w:rPr>
        <w:t xml:space="preserve">Lastly, </w:t>
      </w:r>
      <w:r w:rsidR="00AC2705">
        <w:rPr>
          <w:rFonts w:cs="Times New Roman"/>
          <w:sz w:val="24"/>
          <w:szCs w:val="24"/>
        </w:rPr>
        <w:t>w</w:t>
      </w:r>
      <w:r w:rsidRPr="002F6296">
        <w:rPr>
          <w:rFonts w:cs="Times New Roman"/>
          <w:sz w:val="24"/>
          <w:szCs w:val="24"/>
        </w:rPr>
        <w:t xml:space="preserve">hat progress </w:t>
      </w:r>
      <w:r w:rsidR="00CE2450">
        <w:rPr>
          <w:rFonts w:cs="Times New Roman"/>
          <w:sz w:val="24"/>
          <w:szCs w:val="24"/>
        </w:rPr>
        <w:t>has been</w:t>
      </w:r>
      <w:r w:rsidRPr="002F6296">
        <w:rPr>
          <w:rFonts w:cs="Times New Roman"/>
          <w:sz w:val="24"/>
          <w:szCs w:val="24"/>
        </w:rPr>
        <w:t xml:space="preserve"> made in inclusive education, in particular, when it comes to gender equality education? </w:t>
      </w:r>
    </w:p>
    <w:p w14:paraId="2C8B5ED0" w14:textId="77777777" w:rsidR="00BC1744" w:rsidRPr="002F6296" w:rsidRDefault="00BC1744" w:rsidP="00410266">
      <w:pPr>
        <w:spacing w:after="0" w:line="276" w:lineRule="auto"/>
        <w:jc w:val="both"/>
        <w:rPr>
          <w:rFonts w:cs="Times New Roman"/>
          <w:sz w:val="24"/>
          <w:szCs w:val="24"/>
        </w:rPr>
      </w:pPr>
    </w:p>
    <w:p w14:paraId="63AE62D3" w14:textId="6B018048" w:rsidR="004B457E" w:rsidRPr="002F6296" w:rsidRDefault="004B457E" w:rsidP="00C14A0C">
      <w:pPr>
        <w:spacing w:after="0" w:line="276" w:lineRule="auto"/>
        <w:jc w:val="both"/>
        <w:rPr>
          <w:rFonts w:cs="Times New Roman"/>
          <w:sz w:val="24"/>
          <w:szCs w:val="24"/>
        </w:rPr>
      </w:pPr>
      <w:r w:rsidRPr="002F6296">
        <w:rPr>
          <w:rFonts w:cs="Times New Roman"/>
          <w:sz w:val="24"/>
          <w:szCs w:val="24"/>
        </w:rPr>
        <w:t xml:space="preserve">Responding to </w:t>
      </w:r>
      <w:r w:rsidR="00BC1744">
        <w:rPr>
          <w:rFonts w:cs="Times New Roman"/>
          <w:sz w:val="24"/>
          <w:szCs w:val="24"/>
        </w:rPr>
        <w:t xml:space="preserve">this </w:t>
      </w:r>
      <w:r w:rsidRPr="002F6296">
        <w:rPr>
          <w:rFonts w:cs="Times New Roman"/>
          <w:sz w:val="24"/>
          <w:szCs w:val="24"/>
        </w:rPr>
        <w:t xml:space="preserve">question from civil society, Álvaro García Rodríguez, Director of the </w:t>
      </w:r>
      <w:r w:rsidR="00F9714B">
        <w:rPr>
          <w:rFonts w:cs="Times New Roman"/>
          <w:sz w:val="24"/>
          <w:szCs w:val="24"/>
        </w:rPr>
        <w:t>O</w:t>
      </w:r>
      <w:r w:rsidRPr="002F6296">
        <w:rPr>
          <w:rFonts w:cs="Times New Roman"/>
          <w:sz w:val="24"/>
          <w:szCs w:val="24"/>
        </w:rPr>
        <w:t xml:space="preserve">ffice of </w:t>
      </w:r>
      <w:r w:rsidR="00F9714B">
        <w:rPr>
          <w:rFonts w:cs="Times New Roman"/>
          <w:sz w:val="24"/>
          <w:szCs w:val="24"/>
        </w:rPr>
        <w:t>P</w:t>
      </w:r>
      <w:r w:rsidRPr="002F6296">
        <w:rPr>
          <w:rFonts w:cs="Times New Roman"/>
          <w:sz w:val="24"/>
          <w:szCs w:val="24"/>
        </w:rPr>
        <w:t xml:space="preserve">lanning and </w:t>
      </w:r>
      <w:r w:rsidR="00F9714B">
        <w:rPr>
          <w:rFonts w:cs="Times New Roman"/>
          <w:sz w:val="24"/>
          <w:szCs w:val="24"/>
        </w:rPr>
        <w:t>B</w:t>
      </w:r>
      <w:r w:rsidRPr="002F6296">
        <w:rPr>
          <w:rFonts w:cs="Times New Roman"/>
          <w:sz w:val="24"/>
          <w:szCs w:val="24"/>
        </w:rPr>
        <w:t>udge</w:t>
      </w:r>
      <w:r w:rsidR="00F9714B">
        <w:rPr>
          <w:rFonts w:cs="Times New Roman"/>
          <w:sz w:val="24"/>
          <w:szCs w:val="24"/>
        </w:rPr>
        <w:t>t,</w:t>
      </w:r>
      <w:r w:rsidRPr="002F6296">
        <w:rPr>
          <w:rFonts w:cs="Times New Roman"/>
          <w:sz w:val="24"/>
          <w:szCs w:val="24"/>
        </w:rPr>
        <w:t xml:space="preserve"> said </w:t>
      </w:r>
      <w:r w:rsidRPr="00137387">
        <w:rPr>
          <w:rFonts w:cs="Times New Roman"/>
          <w:sz w:val="24"/>
          <w:szCs w:val="24"/>
        </w:rPr>
        <w:t xml:space="preserve">that Uruguay is ensuring that the policies are implemented to </w:t>
      </w:r>
      <w:r w:rsidR="00137387">
        <w:rPr>
          <w:rFonts w:cs="Times New Roman"/>
          <w:sz w:val="24"/>
          <w:szCs w:val="24"/>
        </w:rPr>
        <w:t xml:space="preserve">ensure </w:t>
      </w:r>
      <w:r w:rsidRPr="00137387">
        <w:rPr>
          <w:rFonts w:cs="Times New Roman"/>
          <w:sz w:val="24"/>
          <w:szCs w:val="24"/>
        </w:rPr>
        <w:t xml:space="preserve">appropriate protection for all of the </w:t>
      </w:r>
      <w:r w:rsidR="00970CCB">
        <w:rPr>
          <w:rFonts w:cs="Times New Roman"/>
          <w:sz w:val="24"/>
          <w:szCs w:val="24"/>
        </w:rPr>
        <w:t>marginalized</w:t>
      </w:r>
      <w:r w:rsidR="00970CCB" w:rsidRPr="00137387">
        <w:rPr>
          <w:rFonts w:cs="Times New Roman"/>
          <w:sz w:val="24"/>
          <w:szCs w:val="24"/>
        </w:rPr>
        <w:t xml:space="preserve"> </w:t>
      </w:r>
      <w:r w:rsidRPr="00137387">
        <w:rPr>
          <w:rFonts w:cs="Times New Roman"/>
          <w:sz w:val="24"/>
          <w:szCs w:val="24"/>
        </w:rPr>
        <w:t>groups that were mentioned.</w:t>
      </w:r>
    </w:p>
    <w:p w14:paraId="341219FC" w14:textId="77777777" w:rsidR="002109BC" w:rsidRDefault="002109BC" w:rsidP="00C14A0C">
      <w:pPr>
        <w:pStyle w:val="Heading2"/>
        <w:spacing w:before="0" w:beforeAutospacing="0" w:after="0" w:afterAutospacing="0"/>
        <w:rPr>
          <w:shd w:val="clear" w:color="auto" w:fill="FFFFFF"/>
        </w:rPr>
      </w:pPr>
    </w:p>
    <w:p w14:paraId="357BB083" w14:textId="33A34929" w:rsidR="004B457E" w:rsidRPr="00FF73DA" w:rsidRDefault="00EF7725" w:rsidP="00FF73DA">
      <w:pPr>
        <w:pStyle w:val="Heading2"/>
      </w:pPr>
      <w:bookmarkStart w:id="48" w:name="_Toc531264899"/>
      <w:r w:rsidRPr="00FF73DA">
        <w:t>Andorra, Canada, Dominican Republic, Egypt, Lao PDR, Senegal</w:t>
      </w:r>
      <w:bookmarkEnd w:id="48"/>
    </w:p>
    <w:p w14:paraId="652F74DE" w14:textId="77777777" w:rsidR="004B457E" w:rsidRPr="002109BC" w:rsidRDefault="004B457E" w:rsidP="00C14A0C">
      <w:pPr>
        <w:spacing w:after="0"/>
        <w:rPr>
          <w:b/>
          <w:sz w:val="24"/>
          <w:szCs w:val="24"/>
        </w:rPr>
      </w:pPr>
      <w:r w:rsidRPr="002109BC">
        <w:rPr>
          <w:b/>
          <w:sz w:val="24"/>
          <w:szCs w:val="24"/>
        </w:rPr>
        <w:t>Andorra</w:t>
      </w:r>
    </w:p>
    <w:p w14:paraId="68A35C56" w14:textId="0D08CD82" w:rsidR="004B457E" w:rsidRDefault="004B457E" w:rsidP="00410266">
      <w:pPr>
        <w:spacing w:after="0" w:line="276" w:lineRule="auto"/>
        <w:jc w:val="both"/>
        <w:rPr>
          <w:rFonts w:cs="Times New Roman"/>
          <w:sz w:val="24"/>
          <w:szCs w:val="24"/>
        </w:rPr>
      </w:pPr>
      <w:r w:rsidRPr="002F6296">
        <w:rPr>
          <w:rFonts w:cs="Times New Roman"/>
          <w:sz w:val="24"/>
          <w:szCs w:val="24"/>
        </w:rPr>
        <w:lastRenderedPageBreak/>
        <w:t xml:space="preserve">Presenting the VNR for </w:t>
      </w:r>
      <w:r w:rsidRPr="00115672">
        <w:rPr>
          <w:rFonts w:cs="Times New Roman"/>
          <w:sz w:val="24"/>
          <w:szCs w:val="24"/>
        </w:rPr>
        <w:t>Andorra,</w:t>
      </w:r>
      <w:r w:rsidRPr="002F6296">
        <w:rPr>
          <w:rFonts w:cs="Times New Roman"/>
          <w:sz w:val="24"/>
          <w:szCs w:val="24"/>
        </w:rPr>
        <w:t xml:space="preserve"> Maria </w:t>
      </w:r>
      <w:proofErr w:type="spellStart"/>
      <w:r w:rsidRPr="002F6296">
        <w:rPr>
          <w:rFonts w:cs="Times New Roman"/>
          <w:sz w:val="24"/>
          <w:szCs w:val="24"/>
        </w:rPr>
        <w:t>Ubach</w:t>
      </w:r>
      <w:proofErr w:type="spellEnd"/>
      <w:r w:rsidRPr="002F6296">
        <w:rPr>
          <w:rFonts w:cs="Times New Roman"/>
          <w:sz w:val="24"/>
          <w:szCs w:val="24"/>
        </w:rPr>
        <w:t xml:space="preserve"> Font, Minister of Foreign Affairs, Silvia </w:t>
      </w:r>
      <w:proofErr w:type="spellStart"/>
      <w:r w:rsidRPr="002F6296">
        <w:rPr>
          <w:rFonts w:cs="Times New Roman"/>
          <w:sz w:val="24"/>
          <w:szCs w:val="24"/>
        </w:rPr>
        <w:t>Calvó</w:t>
      </w:r>
      <w:proofErr w:type="spellEnd"/>
      <w:r w:rsidR="00397AD6">
        <w:rPr>
          <w:rFonts w:cs="Times New Roman"/>
          <w:sz w:val="24"/>
          <w:szCs w:val="24"/>
        </w:rPr>
        <w:t xml:space="preserve"> </w:t>
      </w:r>
      <w:proofErr w:type="spellStart"/>
      <w:r w:rsidRPr="002F6296">
        <w:rPr>
          <w:rFonts w:cs="Times New Roman"/>
          <w:sz w:val="24"/>
          <w:szCs w:val="24"/>
        </w:rPr>
        <w:t>Armengol</w:t>
      </w:r>
      <w:proofErr w:type="spellEnd"/>
      <w:r w:rsidRPr="002F6296">
        <w:rPr>
          <w:rFonts w:cs="Times New Roman"/>
          <w:sz w:val="24"/>
          <w:szCs w:val="24"/>
        </w:rPr>
        <w:t xml:space="preserve">, Minister of the Environment, Agriculture and Sustainability, and </w:t>
      </w:r>
      <w:proofErr w:type="spellStart"/>
      <w:r w:rsidRPr="002F6296">
        <w:rPr>
          <w:rFonts w:cs="Times New Roman"/>
          <w:sz w:val="24"/>
          <w:szCs w:val="24"/>
        </w:rPr>
        <w:t>Jaume</w:t>
      </w:r>
      <w:proofErr w:type="spellEnd"/>
      <w:r w:rsidR="00397AD6">
        <w:rPr>
          <w:rFonts w:cs="Times New Roman"/>
          <w:sz w:val="24"/>
          <w:szCs w:val="24"/>
        </w:rPr>
        <w:t xml:space="preserve"> </w:t>
      </w:r>
      <w:proofErr w:type="spellStart"/>
      <w:r w:rsidRPr="002F6296">
        <w:rPr>
          <w:rFonts w:cs="Times New Roman"/>
          <w:sz w:val="24"/>
          <w:szCs w:val="24"/>
        </w:rPr>
        <w:t>Esteve</w:t>
      </w:r>
      <w:proofErr w:type="spellEnd"/>
      <w:r w:rsidRPr="002F6296">
        <w:rPr>
          <w:rFonts w:cs="Times New Roman"/>
          <w:sz w:val="24"/>
          <w:szCs w:val="24"/>
        </w:rPr>
        <w:t>, President of the Andorran Mountai</w:t>
      </w:r>
      <w:r w:rsidR="00503C0D" w:rsidRPr="002F6296">
        <w:rPr>
          <w:rFonts w:cs="Times New Roman"/>
          <w:sz w:val="24"/>
          <w:szCs w:val="24"/>
        </w:rPr>
        <w:t>neering Federation</w:t>
      </w:r>
      <w:r w:rsidR="000F63D1">
        <w:rPr>
          <w:rFonts w:cs="Times New Roman"/>
          <w:sz w:val="24"/>
          <w:szCs w:val="24"/>
        </w:rPr>
        <w:t>,</w:t>
      </w:r>
      <w:r w:rsidR="00503C0D" w:rsidRPr="002F6296">
        <w:rPr>
          <w:rFonts w:cs="Times New Roman"/>
          <w:sz w:val="24"/>
          <w:szCs w:val="24"/>
        </w:rPr>
        <w:t xml:space="preserve"> stated that </w:t>
      </w:r>
      <w:r w:rsidRPr="002F6296">
        <w:rPr>
          <w:rFonts w:cs="Times New Roman"/>
          <w:sz w:val="24"/>
          <w:szCs w:val="24"/>
        </w:rPr>
        <w:t xml:space="preserve">Andorra wanted to ensure that sustainable development is ever present by aligning themselves with the Himalaya </w:t>
      </w:r>
      <w:r w:rsidR="00A93E6E">
        <w:rPr>
          <w:rFonts w:cs="Times New Roman"/>
          <w:sz w:val="24"/>
          <w:szCs w:val="24"/>
        </w:rPr>
        <w:t>P</w:t>
      </w:r>
      <w:r w:rsidRPr="002F6296">
        <w:rPr>
          <w:rFonts w:cs="Times New Roman"/>
          <w:sz w:val="24"/>
          <w:szCs w:val="24"/>
        </w:rPr>
        <w:t>roject in 2017 and the UNICEF project for children with disabilities in Bhutan in 2018.</w:t>
      </w:r>
    </w:p>
    <w:p w14:paraId="0711FCE4" w14:textId="77777777" w:rsidR="00AD2453" w:rsidRPr="002F6296" w:rsidRDefault="00AD2453" w:rsidP="00410266">
      <w:pPr>
        <w:spacing w:after="0" w:line="276" w:lineRule="auto"/>
        <w:jc w:val="both"/>
        <w:rPr>
          <w:rFonts w:cs="Times New Roman"/>
          <w:sz w:val="24"/>
          <w:szCs w:val="24"/>
        </w:rPr>
      </w:pPr>
    </w:p>
    <w:p w14:paraId="5E1A3A77" w14:textId="18218E11" w:rsidR="004B457E" w:rsidRPr="002F6296" w:rsidRDefault="004B457E" w:rsidP="002F6296">
      <w:pPr>
        <w:spacing w:line="276" w:lineRule="auto"/>
        <w:jc w:val="both"/>
        <w:rPr>
          <w:rFonts w:cs="Times New Roman"/>
          <w:sz w:val="24"/>
          <w:szCs w:val="24"/>
        </w:rPr>
      </w:pPr>
      <w:r w:rsidRPr="002F6296">
        <w:rPr>
          <w:rFonts w:cs="Times New Roman"/>
          <w:sz w:val="24"/>
          <w:szCs w:val="24"/>
        </w:rPr>
        <w:t xml:space="preserve">Following Andorra’s presentation, the </w:t>
      </w:r>
      <w:r w:rsidR="00AD2453">
        <w:rPr>
          <w:rFonts w:cs="Times New Roman"/>
          <w:sz w:val="24"/>
          <w:szCs w:val="24"/>
        </w:rPr>
        <w:t>S</w:t>
      </w:r>
      <w:r w:rsidRPr="002F6296">
        <w:rPr>
          <w:rFonts w:cs="Times New Roman"/>
          <w:sz w:val="24"/>
          <w:szCs w:val="24"/>
        </w:rPr>
        <w:t xml:space="preserve">takeholder </w:t>
      </w:r>
      <w:r w:rsidR="00AD2453">
        <w:rPr>
          <w:rFonts w:cs="Times New Roman"/>
          <w:sz w:val="24"/>
          <w:szCs w:val="24"/>
        </w:rPr>
        <w:t>G</w:t>
      </w:r>
      <w:r w:rsidRPr="002F6296">
        <w:rPr>
          <w:rFonts w:cs="Times New Roman"/>
          <w:sz w:val="24"/>
          <w:szCs w:val="24"/>
        </w:rPr>
        <w:t xml:space="preserve">roup on </w:t>
      </w:r>
      <w:r w:rsidR="00AD2453">
        <w:rPr>
          <w:rFonts w:cs="Times New Roman"/>
          <w:sz w:val="24"/>
          <w:szCs w:val="24"/>
        </w:rPr>
        <w:t>A</w:t>
      </w:r>
      <w:r w:rsidRPr="002F6296">
        <w:rPr>
          <w:rFonts w:cs="Times New Roman"/>
          <w:sz w:val="24"/>
          <w:szCs w:val="24"/>
        </w:rPr>
        <w:t>g</w:t>
      </w:r>
      <w:r w:rsidR="00AD2453">
        <w:rPr>
          <w:rFonts w:cs="Times New Roman"/>
          <w:sz w:val="24"/>
          <w:szCs w:val="24"/>
        </w:rPr>
        <w:t>e</w:t>
      </w:r>
      <w:r w:rsidRPr="002F6296">
        <w:rPr>
          <w:rFonts w:cs="Times New Roman"/>
          <w:sz w:val="24"/>
          <w:szCs w:val="24"/>
        </w:rPr>
        <w:t>ing asked</w:t>
      </w:r>
      <w:r w:rsidR="00D82A73" w:rsidRPr="002F6296">
        <w:rPr>
          <w:rFonts w:cs="Times New Roman"/>
          <w:sz w:val="24"/>
          <w:szCs w:val="24"/>
        </w:rPr>
        <w:t>:</w:t>
      </w:r>
      <w:r w:rsidR="00036415">
        <w:rPr>
          <w:rFonts w:cs="Times New Roman"/>
          <w:sz w:val="24"/>
          <w:szCs w:val="24"/>
        </w:rPr>
        <w:t xml:space="preserve"> </w:t>
      </w:r>
      <w:r w:rsidR="00D82A73" w:rsidRPr="002F6296">
        <w:rPr>
          <w:rFonts w:cs="Times New Roman"/>
          <w:sz w:val="24"/>
          <w:szCs w:val="24"/>
        </w:rPr>
        <w:t>“</w:t>
      </w:r>
      <w:r w:rsidRPr="002F6296">
        <w:rPr>
          <w:rFonts w:cs="Times New Roman"/>
          <w:sz w:val="24"/>
          <w:szCs w:val="24"/>
        </w:rPr>
        <w:t>What specific strategies and programs will Andorra commit to improve education and employment for persons with disabilities and older persons, locally and globally?</w:t>
      </w:r>
      <w:r w:rsidR="00D82A73" w:rsidRPr="002F6296">
        <w:rPr>
          <w:rFonts w:cs="Times New Roman"/>
          <w:sz w:val="24"/>
          <w:szCs w:val="24"/>
        </w:rPr>
        <w:t>”</w:t>
      </w:r>
    </w:p>
    <w:p w14:paraId="2F41BE4C" w14:textId="5C5F3A8E" w:rsidR="009E484F" w:rsidRPr="00BA1BA9" w:rsidRDefault="004B457E" w:rsidP="00BA1BA9">
      <w:pPr>
        <w:spacing w:line="276" w:lineRule="auto"/>
        <w:jc w:val="both"/>
        <w:rPr>
          <w:rFonts w:cs="Times New Roman"/>
          <w:sz w:val="24"/>
          <w:szCs w:val="24"/>
        </w:rPr>
      </w:pPr>
      <w:r w:rsidRPr="002F6296">
        <w:rPr>
          <w:rFonts w:cs="Times New Roman"/>
          <w:sz w:val="24"/>
          <w:szCs w:val="24"/>
        </w:rPr>
        <w:t>In response</w:t>
      </w:r>
      <w:r w:rsidR="00D82A73" w:rsidRPr="002F6296">
        <w:rPr>
          <w:rFonts w:cs="Times New Roman"/>
          <w:sz w:val="24"/>
          <w:szCs w:val="24"/>
        </w:rPr>
        <w:t>,</w:t>
      </w:r>
      <w:r w:rsidRPr="002F6296">
        <w:rPr>
          <w:rFonts w:cs="Times New Roman"/>
          <w:sz w:val="24"/>
          <w:szCs w:val="24"/>
        </w:rPr>
        <w:t xml:space="preserve"> Maria </w:t>
      </w:r>
      <w:proofErr w:type="spellStart"/>
      <w:r w:rsidRPr="002F6296">
        <w:rPr>
          <w:rFonts w:cs="Times New Roman"/>
          <w:sz w:val="24"/>
          <w:szCs w:val="24"/>
        </w:rPr>
        <w:t>Ubach</w:t>
      </w:r>
      <w:proofErr w:type="spellEnd"/>
      <w:r w:rsidRPr="002F6296">
        <w:rPr>
          <w:rFonts w:cs="Times New Roman"/>
          <w:sz w:val="24"/>
          <w:szCs w:val="24"/>
        </w:rPr>
        <w:t xml:space="preserve"> Font, Minister</w:t>
      </w:r>
      <w:r w:rsidR="00D82A73" w:rsidRPr="002F6296">
        <w:rPr>
          <w:rFonts w:cs="Times New Roman"/>
          <w:sz w:val="24"/>
          <w:szCs w:val="24"/>
        </w:rPr>
        <w:t xml:space="preserve"> of Foreign Affairs</w:t>
      </w:r>
      <w:r w:rsidR="00BE1554">
        <w:rPr>
          <w:rFonts w:cs="Times New Roman"/>
          <w:sz w:val="24"/>
          <w:szCs w:val="24"/>
        </w:rPr>
        <w:t>,</w:t>
      </w:r>
      <w:r w:rsidR="00D82A73" w:rsidRPr="002F6296">
        <w:rPr>
          <w:rFonts w:cs="Times New Roman"/>
          <w:sz w:val="24"/>
          <w:szCs w:val="24"/>
        </w:rPr>
        <w:t xml:space="preserve"> stated that</w:t>
      </w:r>
      <w:r w:rsidRPr="002F6296">
        <w:rPr>
          <w:rFonts w:cs="Times New Roman"/>
          <w:sz w:val="24"/>
          <w:szCs w:val="24"/>
        </w:rPr>
        <w:t xml:space="preserve"> the education system in Andorra is inclusive, which works to include all new arrivals, children of vulnerable situations, and also pe</w:t>
      </w:r>
      <w:r w:rsidR="00D351D1">
        <w:rPr>
          <w:rFonts w:cs="Times New Roman"/>
          <w:sz w:val="24"/>
          <w:szCs w:val="24"/>
        </w:rPr>
        <w:t>rsons</w:t>
      </w:r>
      <w:r w:rsidRPr="002F6296">
        <w:rPr>
          <w:rFonts w:cs="Times New Roman"/>
          <w:sz w:val="24"/>
          <w:szCs w:val="24"/>
        </w:rPr>
        <w:t xml:space="preserve"> with disabilities.  S</w:t>
      </w:r>
      <w:r w:rsidR="00E94881">
        <w:rPr>
          <w:rFonts w:cs="Times New Roman"/>
          <w:sz w:val="24"/>
          <w:szCs w:val="24"/>
        </w:rPr>
        <w:t>he noted that</w:t>
      </w:r>
      <w:r w:rsidRPr="002F6296">
        <w:rPr>
          <w:rFonts w:cs="Times New Roman"/>
          <w:sz w:val="24"/>
          <w:szCs w:val="24"/>
        </w:rPr>
        <w:t xml:space="preserve"> from that point of view, the </w:t>
      </w:r>
      <w:r w:rsidR="00011380">
        <w:rPr>
          <w:rFonts w:cs="Times New Roman"/>
          <w:sz w:val="24"/>
          <w:szCs w:val="24"/>
        </w:rPr>
        <w:t>Government of Andorra</w:t>
      </w:r>
      <w:r w:rsidRPr="002F6296">
        <w:rPr>
          <w:rFonts w:cs="Times New Roman"/>
          <w:sz w:val="24"/>
          <w:szCs w:val="24"/>
        </w:rPr>
        <w:t xml:space="preserve"> is working extremely hard to ensure that children with disabilities can be fully integrated into the education system.</w:t>
      </w:r>
    </w:p>
    <w:p w14:paraId="082E4600" w14:textId="77777777" w:rsidR="004B457E" w:rsidRPr="009E484F" w:rsidRDefault="004B457E" w:rsidP="009E484F">
      <w:pPr>
        <w:spacing w:after="0"/>
        <w:rPr>
          <w:b/>
          <w:sz w:val="24"/>
          <w:szCs w:val="24"/>
        </w:rPr>
      </w:pPr>
      <w:r w:rsidRPr="009E484F">
        <w:rPr>
          <w:b/>
          <w:sz w:val="24"/>
          <w:szCs w:val="24"/>
        </w:rPr>
        <w:t>Canada</w:t>
      </w:r>
    </w:p>
    <w:p w14:paraId="7240200D" w14:textId="255F7F13" w:rsidR="009E484F" w:rsidRDefault="004B457E" w:rsidP="00483778">
      <w:pPr>
        <w:spacing w:after="0" w:line="276" w:lineRule="auto"/>
        <w:jc w:val="both"/>
        <w:rPr>
          <w:rFonts w:cs="Times New Roman"/>
          <w:sz w:val="24"/>
          <w:szCs w:val="24"/>
        </w:rPr>
      </w:pPr>
      <w:r w:rsidRPr="002F6296">
        <w:rPr>
          <w:rFonts w:cs="Times New Roman"/>
          <w:sz w:val="24"/>
          <w:szCs w:val="24"/>
        </w:rPr>
        <w:t xml:space="preserve">Presenting the VNR </w:t>
      </w:r>
      <w:r w:rsidR="00397AD6" w:rsidRPr="002F6296">
        <w:rPr>
          <w:rFonts w:cs="Times New Roman"/>
          <w:sz w:val="24"/>
          <w:szCs w:val="24"/>
        </w:rPr>
        <w:t>for</w:t>
      </w:r>
      <w:r w:rsidR="00397AD6" w:rsidRPr="00115672">
        <w:rPr>
          <w:rFonts w:cs="Times New Roman"/>
          <w:sz w:val="24"/>
          <w:szCs w:val="24"/>
        </w:rPr>
        <w:t xml:space="preserve"> Canada</w:t>
      </w:r>
      <w:r w:rsidRPr="002F6296">
        <w:rPr>
          <w:rFonts w:cs="Times New Roman"/>
          <w:sz w:val="24"/>
          <w:szCs w:val="24"/>
        </w:rPr>
        <w:t>, Celina Caesar Chavannes, Parliamentary Secretary to the Minister of International Development</w:t>
      </w:r>
      <w:r w:rsidR="003732D9">
        <w:rPr>
          <w:rFonts w:cs="Times New Roman"/>
          <w:sz w:val="24"/>
          <w:szCs w:val="24"/>
        </w:rPr>
        <w:t>,</w:t>
      </w:r>
      <w:r w:rsidRPr="002F6296">
        <w:rPr>
          <w:rFonts w:cs="Times New Roman"/>
          <w:sz w:val="24"/>
          <w:szCs w:val="24"/>
        </w:rPr>
        <w:t xml:space="preserve"> highlighted that as Canada is working domestically to give everyone a fair chance to succeed, Canada's foreign policy is guided by the belief that no one should be left behind.  As such, the government wants to see women and girls involved in policy making so they can contribute to </w:t>
      </w:r>
      <w:r w:rsidR="004D4D76">
        <w:rPr>
          <w:rFonts w:cs="Times New Roman"/>
          <w:sz w:val="24"/>
          <w:szCs w:val="24"/>
        </w:rPr>
        <w:t xml:space="preserve">the </w:t>
      </w:r>
      <w:r w:rsidRPr="002F6296">
        <w:rPr>
          <w:rFonts w:cs="Times New Roman"/>
          <w:sz w:val="24"/>
          <w:szCs w:val="24"/>
        </w:rPr>
        <w:t>programs, services</w:t>
      </w:r>
      <w:r w:rsidR="003732D9">
        <w:rPr>
          <w:rFonts w:cs="Times New Roman"/>
          <w:sz w:val="24"/>
          <w:szCs w:val="24"/>
        </w:rPr>
        <w:t xml:space="preserve"> and</w:t>
      </w:r>
      <w:r w:rsidR="004D4D76">
        <w:rPr>
          <w:rFonts w:cs="Times New Roman"/>
          <w:sz w:val="24"/>
          <w:szCs w:val="24"/>
        </w:rPr>
        <w:t xml:space="preserve"> </w:t>
      </w:r>
      <w:r w:rsidRPr="002F6296">
        <w:rPr>
          <w:rFonts w:cs="Times New Roman"/>
          <w:sz w:val="24"/>
          <w:szCs w:val="24"/>
        </w:rPr>
        <w:t xml:space="preserve">policies that </w:t>
      </w:r>
      <w:r w:rsidR="0009271B">
        <w:rPr>
          <w:rFonts w:cs="Times New Roman"/>
          <w:sz w:val="24"/>
          <w:szCs w:val="24"/>
        </w:rPr>
        <w:t>a</w:t>
      </w:r>
      <w:r w:rsidRPr="002F6296">
        <w:rPr>
          <w:rFonts w:cs="Times New Roman"/>
          <w:sz w:val="24"/>
          <w:szCs w:val="24"/>
        </w:rPr>
        <w:t>ffect their lives.  Canada affirm</w:t>
      </w:r>
      <w:r w:rsidR="006B1C06">
        <w:rPr>
          <w:rFonts w:cs="Times New Roman"/>
          <w:sz w:val="24"/>
          <w:szCs w:val="24"/>
        </w:rPr>
        <w:t>ed</w:t>
      </w:r>
      <w:r w:rsidRPr="002F6296">
        <w:rPr>
          <w:rFonts w:cs="Times New Roman"/>
          <w:sz w:val="24"/>
          <w:szCs w:val="24"/>
        </w:rPr>
        <w:t xml:space="preserve"> its adoption of a rights-based approach and an intersectional lens. This requires the State to accept the various ways in which systems of social categorization</w:t>
      </w:r>
      <w:r w:rsidR="00FE5AF0" w:rsidRPr="00FE5AF0">
        <w:rPr>
          <w:rFonts w:cs="Times New Roman"/>
          <w:sz w:val="24"/>
          <w:szCs w:val="24"/>
        </w:rPr>
        <w:t xml:space="preserve"> </w:t>
      </w:r>
      <w:r w:rsidR="00FE5AF0" w:rsidRPr="002F6296">
        <w:rPr>
          <w:rFonts w:cs="Times New Roman"/>
          <w:sz w:val="24"/>
          <w:szCs w:val="24"/>
        </w:rPr>
        <w:t>intersect with one another</w:t>
      </w:r>
      <w:r w:rsidRPr="002F6296">
        <w:rPr>
          <w:rFonts w:cs="Times New Roman"/>
          <w:sz w:val="24"/>
          <w:szCs w:val="24"/>
        </w:rPr>
        <w:t>, like gender and sexuality, ra</w:t>
      </w:r>
      <w:r w:rsidR="0071182F">
        <w:rPr>
          <w:rFonts w:cs="Times New Roman"/>
          <w:sz w:val="24"/>
          <w:szCs w:val="24"/>
        </w:rPr>
        <w:t>ce</w:t>
      </w:r>
      <w:r w:rsidRPr="002F6296">
        <w:rPr>
          <w:rFonts w:cs="Times New Roman"/>
          <w:sz w:val="24"/>
          <w:szCs w:val="24"/>
        </w:rPr>
        <w:t xml:space="preserve"> and ethnicity, disability and social class, for instance. Canadians </w:t>
      </w:r>
      <w:r w:rsidR="005E3368">
        <w:rPr>
          <w:rFonts w:cs="Times New Roman"/>
          <w:sz w:val="24"/>
          <w:szCs w:val="24"/>
        </w:rPr>
        <w:t xml:space="preserve">expressed </w:t>
      </w:r>
      <w:r w:rsidRPr="002F6296">
        <w:rPr>
          <w:rFonts w:cs="Times New Roman"/>
          <w:sz w:val="24"/>
          <w:szCs w:val="24"/>
        </w:rPr>
        <w:t>pr</w:t>
      </w:r>
      <w:r w:rsidR="005E3368">
        <w:rPr>
          <w:rFonts w:cs="Times New Roman"/>
          <w:sz w:val="24"/>
          <w:szCs w:val="24"/>
        </w:rPr>
        <w:t>ide</w:t>
      </w:r>
      <w:r w:rsidRPr="002F6296">
        <w:rPr>
          <w:rFonts w:cs="Times New Roman"/>
          <w:sz w:val="24"/>
          <w:szCs w:val="24"/>
        </w:rPr>
        <w:t xml:space="preserve"> </w:t>
      </w:r>
      <w:r w:rsidR="005E3368">
        <w:rPr>
          <w:rFonts w:cs="Times New Roman"/>
          <w:sz w:val="24"/>
          <w:szCs w:val="24"/>
        </w:rPr>
        <w:t>for</w:t>
      </w:r>
      <w:r w:rsidRPr="002F6296">
        <w:rPr>
          <w:rFonts w:cs="Times New Roman"/>
          <w:sz w:val="24"/>
          <w:szCs w:val="24"/>
        </w:rPr>
        <w:t xml:space="preserve"> the progress they have made, but they also recognize</w:t>
      </w:r>
      <w:r w:rsidR="00C258E3">
        <w:rPr>
          <w:rFonts w:cs="Times New Roman"/>
          <w:sz w:val="24"/>
          <w:szCs w:val="24"/>
        </w:rPr>
        <w:t>d</w:t>
      </w:r>
      <w:r w:rsidRPr="002F6296">
        <w:rPr>
          <w:rFonts w:cs="Times New Roman"/>
          <w:sz w:val="24"/>
          <w:szCs w:val="24"/>
        </w:rPr>
        <w:t xml:space="preserve"> there </w:t>
      </w:r>
      <w:r w:rsidR="004B6839">
        <w:rPr>
          <w:rFonts w:cs="Times New Roman"/>
          <w:sz w:val="24"/>
          <w:szCs w:val="24"/>
        </w:rPr>
        <w:t>wa</w:t>
      </w:r>
      <w:r w:rsidRPr="002F6296">
        <w:rPr>
          <w:rFonts w:cs="Times New Roman"/>
          <w:sz w:val="24"/>
          <w:szCs w:val="24"/>
        </w:rPr>
        <w:t>s more work to</w:t>
      </w:r>
      <w:r w:rsidR="004B6839">
        <w:rPr>
          <w:rFonts w:cs="Times New Roman"/>
          <w:sz w:val="24"/>
          <w:szCs w:val="24"/>
        </w:rPr>
        <w:t xml:space="preserve"> be done</w:t>
      </w:r>
      <w:r w:rsidRPr="002F6296">
        <w:rPr>
          <w:rFonts w:cs="Times New Roman"/>
          <w:sz w:val="24"/>
          <w:szCs w:val="24"/>
        </w:rPr>
        <w:t xml:space="preserve">.  </w:t>
      </w:r>
      <w:r w:rsidR="006A271D">
        <w:rPr>
          <w:rFonts w:cs="Times New Roman"/>
          <w:sz w:val="24"/>
          <w:szCs w:val="24"/>
        </w:rPr>
        <w:t>She commented that f</w:t>
      </w:r>
      <w:r w:rsidRPr="002F6296">
        <w:rPr>
          <w:rFonts w:cs="Times New Roman"/>
          <w:sz w:val="24"/>
          <w:szCs w:val="24"/>
        </w:rPr>
        <w:t>or too long, underreprese</w:t>
      </w:r>
      <w:r w:rsidR="00B00C61" w:rsidRPr="002F6296">
        <w:rPr>
          <w:rFonts w:cs="Times New Roman"/>
          <w:sz w:val="24"/>
          <w:szCs w:val="24"/>
        </w:rPr>
        <w:t>nted groups, such as women, new</w:t>
      </w:r>
      <w:r w:rsidRPr="002F6296">
        <w:rPr>
          <w:rFonts w:cs="Times New Roman"/>
          <w:sz w:val="24"/>
          <w:szCs w:val="24"/>
        </w:rPr>
        <w:t>comers, indigenous people</w:t>
      </w:r>
      <w:r w:rsidR="00C258E3">
        <w:rPr>
          <w:rFonts w:cs="Times New Roman"/>
          <w:sz w:val="24"/>
          <w:szCs w:val="24"/>
        </w:rPr>
        <w:t>s</w:t>
      </w:r>
      <w:r w:rsidRPr="002F6296">
        <w:rPr>
          <w:rFonts w:cs="Times New Roman"/>
          <w:sz w:val="24"/>
          <w:szCs w:val="24"/>
        </w:rPr>
        <w:t>, pe</w:t>
      </w:r>
      <w:r w:rsidR="00C258E3">
        <w:rPr>
          <w:rFonts w:cs="Times New Roman"/>
          <w:sz w:val="24"/>
          <w:szCs w:val="24"/>
        </w:rPr>
        <w:t>rsons</w:t>
      </w:r>
      <w:r w:rsidRPr="002F6296">
        <w:rPr>
          <w:rFonts w:cs="Times New Roman"/>
          <w:sz w:val="24"/>
          <w:szCs w:val="24"/>
        </w:rPr>
        <w:t xml:space="preserve"> with disabilities, LGBTQ</w:t>
      </w:r>
      <w:r w:rsidR="002D0950">
        <w:rPr>
          <w:rFonts w:cs="Times New Roman"/>
          <w:sz w:val="24"/>
          <w:szCs w:val="24"/>
        </w:rPr>
        <w:t>I</w:t>
      </w:r>
      <w:r w:rsidRPr="002F6296">
        <w:rPr>
          <w:rFonts w:cs="Times New Roman"/>
          <w:sz w:val="24"/>
          <w:szCs w:val="24"/>
        </w:rPr>
        <w:t xml:space="preserve"> communities and others have faced barriers that have held them back and prevented them from fully sharing in Canada's economic</w:t>
      </w:r>
      <w:r w:rsidR="00485C8B">
        <w:rPr>
          <w:rFonts w:cs="Times New Roman"/>
          <w:sz w:val="24"/>
          <w:szCs w:val="24"/>
        </w:rPr>
        <w:t xml:space="preserve"> </w:t>
      </w:r>
      <w:r w:rsidRPr="002F6296">
        <w:rPr>
          <w:rFonts w:cs="Times New Roman"/>
          <w:sz w:val="24"/>
          <w:szCs w:val="24"/>
        </w:rPr>
        <w:t xml:space="preserve">and </w:t>
      </w:r>
      <w:r w:rsidRPr="0096582E">
        <w:rPr>
          <w:rFonts w:cs="Times New Roman"/>
          <w:sz w:val="24"/>
          <w:szCs w:val="24"/>
        </w:rPr>
        <w:t>exceptional process territory.</w:t>
      </w:r>
    </w:p>
    <w:p w14:paraId="211A7974" w14:textId="77777777" w:rsidR="00483778" w:rsidRPr="00483778" w:rsidRDefault="00483778" w:rsidP="00483778">
      <w:pPr>
        <w:spacing w:after="0" w:line="276" w:lineRule="auto"/>
        <w:jc w:val="both"/>
        <w:rPr>
          <w:rFonts w:cs="Times New Roman"/>
          <w:sz w:val="24"/>
          <w:szCs w:val="24"/>
        </w:rPr>
      </w:pPr>
    </w:p>
    <w:p w14:paraId="0FB20BD2" w14:textId="77777777" w:rsidR="004B457E" w:rsidRPr="009E484F" w:rsidRDefault="004B457E" w:rsidP="00483778">
      <w:pPr>
        <w:spacing w:after="0" w:line="276" w:lineRule="auto"/>
        <w:rPr>
          <w:b/>
          <w:sz w:val="24"/>
          <w:szCs w:val="24"/>
        </w:rPr>
      </w:pPr>
      <w:r w:rsidRPr="009E484F">
        <w:rPr>
          <w:b/>
          <w:sz w:val="24"/>
          <w:szCs w:val="24"/>
        </w:rPr>
        <w:t>Dominican Republic</w:t>
      </w:r>
    </w:p>
    <w:p w14:paraId="3C7C1F00" w14:textId="6692B5F4" w:rsidR="004B457E" w:rsidRPr="002F6296" w:rsidRDefault="004B457E" w:rsidP="00410266">
      <w:pPr>
        <w:spacing w:after="0" w:line="276" w:lineRule="auto"/>
        <w:jc w:val="both"/>
        <w:rPr>
          <w:rFonts w:cs="Times New Roman"/>
          <w:sz w:val="24"/>
          <w:szCs w:val="24"/>
        </w:rPr>
      </w:pPr>
      <w:r w:rsidRPr="002F6296">
        <w:rPr>
          <w:rFonts w:cs="Times New Roman"/>
          <w:sz w:val="24"/>
          <w:szCs w:val="24"/>
        </w:rPr>
        <w:t>Following the Dominican Republic</w:t>
      </w:r>
      <w:r w:rsidR="005C57FF">
        <w:rPr>
          <w:rFonts w:cs="Times New Roman"/>
          <w:sz w:val="24"/>
          <w:szCs w:val="24"/>
        </w:rPr>
        <w:t>’s</w:t>
      </w:r>
      <w:r w:rsidR="00C80F05">
        <w:rPr>
          <w:rFonts w:cs="Times New Roman"/>
          <w:sz w:val="24"/>
          <w:szCs w:val="24"/>
        </w:rPr>
        <w:t xml:space="preserve"> </w:t>
      </w:r>
      <w:r w:rsidR="005C57FF">
        <w:rPr>
          <w:rFonts w:cs="Times New Roman"/>
          <w:sz w:val="24"/>
          <w:szCs w:val="24"/>
        </w:rPr>
        <w:t>VNR</w:t>
      </w:r>
      <w:r w:rsidR="003E7940">
        <w:rPr>
          <w:rFonts w:cs="Times New Roman"/>
          <w:sz w:val="24"/>
          <w:szCs w:val="24"/>
        </w:rPr>
        <w:t xml:space="preserve"> presentation</w:t>
      </w:r>
      <w:r w:rsidR="002B6CE3">
        <w:rPr>
          <w:rFonts w:cs="Times New Roman"/>
          <w:sz w:val="24"/>
          <w:szCs w:val="24"/>
        </w:rPr>
        <w:t xml:space="preserve"> by</w:t>
      </w:r>
      <w:r w:rsidRPr="002F6296">
        <w:rPr>
          <w:rFonts w:cs="Times New Roman"/>
          <w:sz w:val="24"/>
          <w:szCs w:val="24"/>
        </w:rPr>
        <w:t xml:space="preserve"> </w:t>
      </w:r>
      <w:proofErr w:type="spellStart"/>
      <w:r w:rsidRPr="002F6296">
        <w:rPr>
          <w:rFonts w:cs="Times New Roman"/>
          <w:sz w:val="24"/>
          <w:szCs w:val="24"/>
        </w:rPr>
        <w:t>Isidoro</w:t>
      </w:r>
      <w:proofErr w:type="spellEnd"/>
      <w:r w:rsidRPr="002F6296">
        <w:rPr>
          <w:rFonts w:cs="Times New Roman"/>
          <w:sz w:val="24"/>
          <w:szCs w:val="24"/>
        </w:rPr>
        <w:t xml:space="preserve"> Santana, Minister of Economy, Planning and Development, a representative </w:t>
      </w:r>
      <w:r w:rsidR="00B13710">
        <w:rPr>
          <w:rFonts w:cs="Times New Roman"/>
          <w:sz w:val="24"/>
          <w:szCs w:val="24"/>
        </w:rPr>
        <w:t xml:space="preserve">from the </w:t>
      </w:r>
      <w:r w:rsidRPr="002F6296">
        <w:rPr>
          <w:rFonts w:cs="Times New Roman"/>
          <w:sz w:val="24"/>
          <w:szCs w:val="24"/>
        </w:rPr>
        <w:t xml:space="preserve">NGO </w:t>
      </w:r>
      <w:r w:rsidR="00B13710">
        <w:rPr>
          <w:rFonts w:cs="Times New Roman"/>
          <w:sz w:val="24"/>
          <w:szCs w:val="24"/>
        </w:rPr>
        <w:t>M</w:t>
      </w:r>
      <w:r w:rsidRPr="002F6296">
        <w:rPr>
          <w:rFonts w:cs="Times New Roman"/>
          <w:sz w:val="24"/>
          <w:szCs w:val="24"/>
        </w:rPr>
        <w:t xml:space="preserve">ajor </w:t>
      </w:r>
      <w:r w:rsidR="00B13710">
        <w:rPr>
          <w:rFonts w:cs="Times New Roman"/>
          <w:sz w:val="24"/>
          <w:szCs w:val="24"/>
        </w:rPr>
        <w:t>G</w:t>
      </w:r>
      <w:r w:rsidRPr="002F6296">
        <w:rPr>
          <w:rFonts w:cs="Times New Roman"/>
          <w:sz w:val="24"/>
          <w:szCs w:val="24"/>
        </w:rPr>
        <w:t xml:space="preserve">roup from the </w:t>
      </w:r>
      <w:r w:rsidR="00376487">
        <w:rPr>
          <w:rFonts w:cs="Times New Roman"/>
          <w:sz w:val="24"/>
          <w:szCs w:val="24"/>
        </w:rPr>
        <w:t>A</w:t>
      </w:r>
      <w:r w:rsidRPr="002F6296">
        <w:rPr>
          <w:rFonts w:cs="Times New Roman"/>
          <w:sz w:val="24"/>
          <w:szCs w:val="24"/>
        </w:rPr>
        <w:t xml:space="preserve">ct </w:t>
      </w:r>
      <w:r w:rsidR="00376487">
        <w:rPr>
          <w:rFonts w:cs="Times New Roman"/>
          <w:sz w:val="24"/>
          <w:szCs w:val="24"/>
        </w:rPr>
        <w:t>A</w:t>
      </w:r>
      <w:r w:rsidRPr="002F6296">
        <w:rPr>
          <w:rFonts w:cs="Times New Roman"/>
          <w:sz w:val="24"/>
          <w:szCs w:val="24"/>
        </w:rPr>
        <w:t>lliance highlighted that there</w:t>
      </w:r>
      <w:r w:rsidR="00E8599A">
        <w:rPr>
          <w:rFonts w:cs="Times New Roman"/>
          <w:sz w:val="24"/>
          <w:szCs w:val="24"/>
        </w:rPr>
        <w:t xml:space="preserve"> i</w:t>
      </w:r>
      <w:r w:rsidRPr="002F6296">
        <w:rPr>
          <w:rFonts w:cs="Times New Roman"/>
          <w:sz w:val="24"/>
          <w:szCs w:val="24"/>
        </w:rPr>
        <w:t xml:space="preserve">s a disability rate of 12.3% in the country, and this group requires particular support for social, educational and labour market integration.  </w:t>
      </w:r>
      <w:r w:rsidR="003606BE">
        <w:rPr>
          <w:rFonts w:cs="Times New Roman"/>
          <w:sz w:val="24"/>
          <w:szCs w:val="24"/>
        </w:rPr>
        <w:t>The representative noted the importance of</w:t>
      </w:r>
      <w:r w:rsidRPr="002F6296">
        <w:rPr>
          <w:rFonts w:cs="Times New Roman"/>
          <w:sz w:val="24"/>
          <w:szCs w:val="24"/>
        </w:rPr>
        <w:t xml:space="preserve"> improv</w:t>
      </w:r>
      <w:r w:rsidR="00A3072F">
        <w:rPr>
          <w:rFonts w:cs="Times New Roman"/>
          <w:sz w:val="24"/>
          <w:szCs w:val="24"/>
        </w:rPr>
        <w:t>ing</w:t>
      </w:r>
      <w:r w:rsidRPr="002F6296">
        <w:rPr>
          <w:rFonts w:cs="Times New Roman"/>
          <w:sz w:val="24"/>
          <w:szCs w:val="24"/>
        </w:rPr>
        <w:t xml:space="preserve"> accessibility and transport for them.  He then asked what actions have been undertaken to implement the 5% work quota for </w:t>
      </w:r>
      <w:r w:rsidR="00570290">
        <w:rPr>
          <w:rFonts w:cs="Times New Roman"/>
          <w:sz w:val="24"/>
          <w:szCs w:val="24"/>
        </w:rPr>
        <w:t>persons with disabilities</w:t>
      </w:r>
      <w:r w:rsidRPr="002F6296">
        <w:rPr>
          <w:rFonts w:cs="Times New Roman"/>
          <w:sz w:val="24"/>
          <w:szCs w:val="24"/>
        </w:rPr>
        <w:t xml:space="preserve"> in the </w:t>
      </w:r>
      <w:r w:rsidR="00570290">
        <w:rPr>
          <w:rFonts w:cs="Times New Roman"/>
          <w:sz w:val="24"/>
          <w:szCs w:val="24"/>
        </w:rPr>
        <w:t>g</w:t>
      </w:r>
      <w:r w:rsidRPr="002F6296">
        <w:rPr>
          <w:rFonts w:cs="Times New Roman"/>
          <w:sz w:val="24"/>
          <w:szCs w:val="24"/>
        </w:rPr>
        <w:t xml:space="preserve">overnment, and 2% in the private sector, pursuant to law 5/13.   </w:t>
      </w:r>
    </w:p>
    <w:p w14:paraId="00BE272F" w14:textId="77777777" w:rsidR="009E484F" w:rsidRDefault="009E484F" w:rsidP="009E484F">
      <w:pPr>
        <w:spacing w:after="0"/>
        <w:rPr>
          <w:b/>
          <w:sz w:val="24"/>
          <w:szCs w:val="24"/>
        </w:rPr>
      </w:pPr>
    </w:p>
    <w:p w14:paraId="19F1E3EF" w14:textId="77777777" w:rsidR="004B457E" w:rsidRPr="009E484F" w:rsidRDefault="004B457E" w:rsidP="009E484F">
      <w:pPr>
        <w:spacing w:after="0"/>
        <w:rPr>
          <w:b/>
          <w:sz w:val="24"/>
          <w:szCs w:val="24"/>
        </w:rPr>
      </w:pPr>
      <w:r w:rsidRPr="009E484F">
        <w:rPr>
          <w:b/>
          <w:sz w:val="24"/>
          <w:szCs w:val="24"/>
        </w:rPr>
        <w:t>Egypt</w:t>
      </w:r>
    </w:p>
    <w:p w14:paraId="6FC20198" w14:textId="18C9DEB8" w:rsidR="009E484F" w:rsidRDefault="004B457E" w:rsidP="00BA1BA9">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 xml:space="preserve">Presenting the VNR for </w:t>
      </w:r>
      <w:r w:rsidRPr="00115672">
        <w:rPr>
          <w:rFonts w:asciiTheme="minorHAnsi" w:hAnsiTheme="minorHAnsi" w:cs="Times New Roman"/>
          <w:sz w:val="24"/>
          <w:szCs w:val="24"/>
        </w:rPr>
        <w:t>Egypt,</w:t>
      </w:r>
      <w:r w:rsidR="00570290">
        <w:rPr>
          <w:rFonts w:asciiTheme="minorHAnsi" w:hAnsiTheme="minorHAnsi" w:cs="Times New Roman"/>
          <w:sz w:val="24"/>
          <w:szCs w:val="24"/>
        </w:rPr>
        <w:t xml:space="preserve"> </w:t>
      </w:r>
      <w:proofErr w:type="spellStart"/>
      <w:r w:rsidRPr="002F6296">
        <w:rPr>
          <w:rFonts w:asciiTheme="minorHAnsi" w:hAnsiTheme="minorHAnsi" w:cs="Times New Roman"/>
          <w:sz w:val="24"/>
          <w:szCs w:val="24"/>
        </w:rPr>
        <w:t>Hala</w:t>
      </w:r>
      <w:proofErr w:type="spellEnd"/>
      <w:r w:rsidRPr="002F6296">
        <w:rPr>
          <w:rFonts w:asciiTheme="minorHAnsi" w:hAnsiTheme="minorHAnsi" w:cs="Times New Roman"/>
          <w:sz w:val="24"/>
          <w:szCs w:val="24"/>
        </w:rPr>
        <w:t xml:space="preserve"> El Said, Minister for Planning, Monitoring, and Administrative Reform, highlighted that following the principle of leave no one behind, the government worked on expanding social safety net coverage using savings accrued from subsidies to empower </w:t>
      </w:r>
      <w:r w:rsidR="00570290">
        <w:rPr>
          <w:rFonts w:asciiTheme="minorHAnsi" w:hAnsiTheme="minorHAnsi" w:cs="Times New Roman"/>
          <w:sz w:val="24"/>
          <w:szCs w:val="24"/>
        </w:rPr>
        <w:t xml:space="preserve">persons with </w:t>
      </w:r>
      <w:r w:rsidR="00570290">
        <w:rPr>
          <w:rFonts w:asciiTheme="minorHAnsi" w:hAnsiTheme="minorHAnsi" w:cs="Times New Roman"/>
          <w:sz w:val="24"/>
          <w:szCs w:val="24"/>
        </w:rPr>
        <w:lastRenderedPageBreak/>
        <w:t>disabilities</w:t>
      </w:r>
      <w:r w:rsidRPr="002F6296">
        <w:rPr>
          <w:rFonts w:asciiTheme="minorHAnsi" w:hAnsiTheme="minorHAnsi" w:cs="Times New Roman"/>
          <w:sz w:val="24"/>
          <w:szCs w:val="24"/>
        </w:rPr>
        <w:t>, low-income families and women</w:t>
      </w:r>
      <w:r w:rsidR="00F0159C">
        <w:rPr>
          <w:rFonts w:asciiTheme="minorHAnsi" w:hAnsiTheme="minorHAnsi" w:cs="Times New Roman"/>
          <w:sz w:val="24"/>
          <w:szCs w:val="24"/>
        </w:rPr>
        <w:t>,</w:t>
      </w:r>
      <w:r w:rsidRPr="002F6296">
        <w:rPr>
          <w:rFonts w:asciiTheme="minorHAnsi" w:hAnsiTheme="minorHAnsi" w:cs="Times New Roman"/>
          <w:sz w:val="24"/>
          <w:szCs w:val="24"/>
        </w:rPr>
        <w:t xml:space="preserve"> in addition to many </w:t>
      </w:r>
      <w:r w:rsidR="00FF4DF6">
        <w:rPr>
          <w:rFonts w:asciiTheme="minorHAnsi" w:hAnsiTheme="minorHAnsi" w:cs="Times New Roman"/>
          <w:sz w:val="24"/>
          <w:szCs w:val="24"/>
        </w:rPr>
        <w:t xml:space="preserve">other </w:t>
      </w:r>
      <w:r w:rsidRPr="002F6296">
        <w:rPr>
          <w:rFonts w:asciiTheme="minorHAnsi" w:hAnsiTheme="minorHAnsi" w:cs="Times New Roman"/>
          <w:sz w:val="24"/>
          <w:szCs w:val="24"/>
        </w:rPr>
        <w:t>programs show</w:t>
      </w:r>
      <w:r w:rsidR="000F7766">
        <w:rPr>
          <w:rFonts w:asciiTheme="minorHAnsi" w:hAnsiTheme="minorHAnsi" w:cs="Times New Roman"/>
          <w:sz w:val="24"/>
          <w:szCs w:val="24"/>
        </w:rPr>
        <w:t>cased</w:t>
      </w:r>
      <w:r w:rsidRPr="002F6296">
        <w:rPr>
          <w:rFonts w:asciiTheme="minorHAnsi" w:hAnsiTheme="minorHAnsi" w:cs="Times New Roman"/>
          <w:sz w:val="24"/>
          <w:szCs w:val="24"/>
        </w:rPr>
        <w:t xml:space="preserve"> in their VNR. </w:t>
      </w:r>
    </w:p>
    <w:p w14:paraId="00C40B49" w14:textId="77777777" w:rsidR="00BA1BA9" w:rsidRPr="00BA1BA9" w:rsidRDefault="00BA1BA9" w:rsidP="00BA1BA9">
      <w:pPr>
        <w:pStyle w:val="PlainText"/>
        <w:spacing w:line="276" w:lineRule="auto"/>
        <w:jc w:val="both"/>
        <w:rPr>
          <w:rFonts w:asciiTheme="minorHAnsi" w:hAnsiTheme="minorHAnsi" w:cs="Times New Roman"/>
          <w:sz w:val="24"/>
          <w:szCs w:val="24"/>
        </w:rPr>
      </w:pPr>
    </w:p>
    <w:p w14:paraId="7BF1B054" w14:textId="77777777" w:rsidR="004B457E" w:rsidRPr="009E484F" w:rsidRDefault="004B457E" w:rsidP="009E484F">
      <w:pPr>
        <w:spacing w:after="0"/>
        <w:rPr>
          <w:b/>
          <w:sz w:val="24"/>
          <w:szCs w:val="24"/>
        </w:rPr>
      </w:pPr>
      <w:r w:rsidRPr="009E484F">
        <w:rPr>
          <w:b/>
          <w:sz w:val="24"/>
          <w:szCs w:val="24"/>
        </w:rPr>
        <w:t>Lao PDR</w:t>
      </w:r>
    </w:p>
    <w:p w14:paraId="28087998" w14:textId="4D6E8264" w:rsidR="00AA7151" w:rsidRDefault="004B457E" w:rsidP="00410266">
      <w:pPr>
        <w:spacing w:after="0" w:line="276" w:lineRule="auto"/>
        <w:jc w:val="both"/>
        <w:rPr>
          <w:rFonts w:cs="Times New Roman"/>
          <w:sz w:val="24"/>
          <w:szCs w:val="24"/>
        </w:rPr>
      </w:pPr>
      <w:r w:rsidRPr="002F6296">
        <w:rPr>
          <w:rFonts w:cs="Times New Roman"/>
          <w:sz w:val="24"/>
          <w:szCs w:val="24"/>
        </w:rPr>
        <w:t xml:space="preserve">Following the </w:t>
      </w:r>
      <w:r w:rsidRPr="00115672">
        <w:rPr>
          <w:rFonts w:cs="Times New Roman"/>
          <w:sz w:val="24"/>
          <w:szCs w:val="24"/>
        </w:rPr>
        <w:t>Lao PDR</w:t>
      </w:r>
      <w:r w:rsidR="00AD3B6A">
        <w:rPr>
          <w:rFonts w:cs="Times New Roman"/>
          <w:sz w:val="24"/>
          <w:szCs w:val="24"/>
        </w:rPr>
        <w:t xml:space="preserve"> VNR presentation by</w:t>
      </w:r>
      <w:r w:rsidRPr="002F6296">
        <w:rPr>
          <w:rFonts w:cs="Times New Roman"/>
          <w:sz w:val="24"/>
          <w:szCs w:val="24"/>
        </w:rPr>
        <w:t xml:space="preserve"> </w:t>
      </w:r>
      <w:proofErr w:type="spellStart"/>
      <w:r w:rsidRPr="002F6296">
        <w:rPr>
          <w:rFonts w:cs="Times New Roman"/>
          <w:sz w:val="24"/>
          <w:szCs w:val="24"/>
        </w:rPr>
        <w:t>Saleumxay</w:t>
      </w:r>
      <w:proofErr w:type="spellEnd"/>
      <w:r w:rsidR="00397AD6">
        <w:rPr>
          <w:rFonts w:cs="Times New Roman"/>
          <w:sz w:val="24"/>
          <w:szCs w:val="24"/>
        </w:rPr>
        <w:t xml:space="preserve"> </w:t>
      </w:r>
      <w:proofErr w:type="spellStart"/>
      <w:r w:rsidRPr="002F6296">
        <w:rPr>
          <w:rFonts w:cs="Times New Roman"/>
          <w:sz w:val="24"/>
          <w:szCs w:val="24"/>
        </w:rPr>
        <w:t>Kommasith</w:t>
      </w:r>
      <w:proofErr w:type="spellEnd"/>
      <w:r w:rsidRPr="002F6296">
        <w:rPr>
          <w:rFonts w:cs="Times New Roman"/>
          <w:sz w:val="24"/>
          <w:szCs w:val="24"/>
        </w:rPr>
        <w:t xml:space="preserve">, Minister of Foreign Affairs, </w:t>
      </w:r>
      <w:bookmarkStart w:id="49" w:name="_Hlk525635784"/>
      <w:r w:rsidRPr="002F6296">
        <w:rPr>
          <w:rFonts w:cs="Times New Roman"/>
          <w:sz w:val="24"/>
          <w:szCs w:val="24"/>
        </w:rPr>
        <w:t xml:space="preserve">a representative of </w:t>
      </w:r>
      <w:r w:rsidR="00997C1A">
        <w:rPr>
          <w:rFonts w:cs="Times New Roman"/>
          <w:sz w:val="24"/>
          <w:szCs w:val="24"/>
        </w:rPr>
        <w:t xml:space="preserve">the </w:t>
      </w:r>
      <w:r w:rsidRPr="002F6296">
        <w:rPr>
          <w:rFonts w:cs="Times New Roman"/>
          <w:sz w:val="24"/>
          <w:szCs w:val="24"/>
        </w:rPr>
        <w:t xml:space="preserve">NGO </w:t>
      </w:r>
      <w:r w:rsidR="00997C1A">
        <w:rPr>
          <w:rFonts w:cs="Times New Roman"/>
          <w:sz w:val="24"/>
          <w:szCs w:val="24"/>
        </w:rPr>
        <w:t>M</w:t>
      </w:r>
      <w:r w:rsidRPr="002F6296">
        <w:rPr>
          <w:rFonts w:cs="Times New Roman"/>
          <w:sz w:val="24"/>
          <w:szCs w:val="24"/>
        </w:rPr>
        <w:t xml:space="preserve">ajor </w:t>
      </w:r>
      <w:r w:rsidR="00997C1A">
        <w:rPr>
          <w:rFonts w:cs="Times New Roman"/>
          <w:sz w:val="24"/>
          <w:szCs w:val="24"/>
        </w:rPr>
        <w:t>G</w:t>
      </w:r>
      <w:r w:rsidRPr="002F6296">
        <w:rPr>
          <w:rFonts w:cs="Times New Roman"/>
          <w:sz w:val="24"/>
          <w:szCs w:val="24"/>
        </w:rPr>
        <w:t xml:space="preserve">roup highlighted that many local </w:t>
      </w:r>
      <w:r w:rsidR="00DC3942">
        <w:rPr>
          <w:rFonts w:cs="Times New Roman"/>
          <w:sz w:val="24"/>
          <w:szCs w:val="24"/>
        </w:rPr>
        <w:t>c</w:t>
      </w:r>
      <w:r w:rsidRPr="002F6296">
        <w:rPr>
          <w:rFonts w:cs="Times New Roman"/>
          <w:sz w:val="24"/>
          <w:szCs w:val="24"/>
        </w:rPr>
        <w:t xml:space="preserve">ivil </w:t>
      </w:r>
      <w:r w:rsidR="00DC3942">
        <w:rPr>
          <w:rFonts w:cs="Times New Roman"/>
          <w:sz w:val="24"/>
          <w:szCs w:val="24"/>
        </w:rPr>
        <w:t>s</w:t>
      </w:r>
      <w:r w:rsidRPr="002F6296">
        <w:rPr>
          <w:rFonts w:cs="Times New Roman"/>
          <w:sz w:val="24"/>
          <w:szCs w:val="24"/>
        </w:rPr>
        <w:t>ociet</w:t>
      </w:r>
      <w:r w:rsidR="00DC3942">
        <w:rPr>
          <w:rFonts w:cs="Times New Roman"/>
          <w:sz w:val="24"/>
          <w:szCs w:val="24"/>
        </w:rPr>
        <w:t>y</w:t>
      </w:r>
      <w:r w:rsidRPr="002F6296">
        <w:rPr>
          <w:rFonts w:cs="Times New Roman"/>
          <w:sz w:val="24"/>
          <w:szCs w:val="24"/>
        </w:rPr>
        <w:t xml:space="preserve"> organizations are deeply embedded in their communities and maintain trusted relationship</w:t>
      </w:r>
      <w:r w:rsidR="00047A5A">
        <w:rPr>
          <w:rFonts w:cs="Times New Roman"/>
          <w:sz w:val="24"/>
          <w:szCs w:val="24"/>
        </w:rPr>
        <w:t>s</w:t>
      </w:r>
      <w:r w:rsidRPr="002F6296">
        <w:rPr>
          <w:rFonts w:cs="Times New Roman"/>
          <w:sz w:val="24"/>
          <w:szCs w:val="24"/>
        </w:rPr>
        <w:t xml:space="preserve"> with those people who are often marginalized</w:t>
      </w:r>
      <w:r w:rsidR="002403DA">
        <w:rPr>
          <w:rFonts w:cs="Times New Roman"/>
          <w:sz w:val="24"/>
          <w:szCs w:val="24"/>
        </w:rPr>
        <w:t>,</w:t>
      </w:r>
      <w:r w:rsidRPr="002F6296">
        <w:rPr>
          <w:rFonts w:cs="Times New Roman"/>
          <w:sz w:val="24"/>
          <w:szCs w:val="24"/>
        </w:rPr>
        <w:t xml:space="preserve"> such as young and older </w:t>
      </w:r>
      <w:r w:rsidR="002403DA">
        <w:rPr>
          <w:rFonts w:cs="Times New Roman"/>
          <w:sz w:val="24"/>
          <w:szCs w:val="24"/>
        </w:rPr>
        <w:t>persons</w:t>
      </w:r>
      <w:r w:rsidRPr="002F6296">
        <w:rPr>
          <w:rFonts w:cs="Times New Roman"/>
          <w:sz w:val="24"/>
          <w:szCs w:val="24"/>
        </w:rPr>
        <w:t xml:space="preserve">, persons with disabilities and other minority groups.  </w:t>
      </w:r>
      <w:r w:rsidR="00BA387F">
        <w:rPr>
          <w:rFonts w:cs="Times New Roman"/>
          <w:sz w:val="24"/>
          <w:szCs w:val="24"/>
        </w:rPr>
        <w:t>He noted that i</w:t>
      </w:r>
      <w:r w:rsidRPr="002F6296">
        <w:rPr>
          <w:rFonts w:cs="Times New Roman"/>
          <w:sz w:val="24"/>
          <w:szCs w:val="24"/>
        </w:rPr>
        <w:t>n order to truly deliver on the core principle of leaving no one behind</w:t>
      </w:r>
      <w:r w:rsidR="00C73FAD">
        <w:rPr>
          <w:rFonts w:cs="Times New Roman"/>
          <w:sz w:val="24"/>
          <w:szCs w:val="24"/>
        </w:rPr>
        <w:t xml:space="preserve">, </w:t>
      </w:r>
      <w:r w:rsidRPr="002F6296">
        <w:rPr>
          <w:rFonts w:cs="Times New Roman"/>
          <w:sz w:val="24"/>
          <w:szCs w:val="24"/>
        </w:rPr>
        <w:t>it</w:t>
      </w:r>
      <w:r w:rsidR="001F6C70">
        <w:rPr>
          <w:rFonts w:cs="Times New Roman"/>
          <w:sz w:val="24"/>
          <w:szCs w:val="24"/>
        </w:rPr>
        <w:t xml:space="preserve"> i</w:t>
      </w:r>
      <w:r w:rsidRPr="002F6296">
        <w:rPr>
          <w:rFonts w:cs="Times New Roman"/>
          <w:sz w:val="24"/>
          <w:szCs w:val="24"/>
        </w:rPr>
        <w:t xml:space="preserve">s crucial that the process is open and inclusive to everybody. </w:t>
      </w:r>
      <w:bookmarkEnd w:id="49"/>
      <w:r w:rsidR="00EF1DDF">
        <w:rPr>
          <w:rFonts w:cs="Times New Roman"/>
          <w:sz w:val="24"/>
          <w:szCs w:val="24"/>
        </w:rPr>
        <w:t>He stated that th</w:t>
      </w:r>
      <w:r w:rsidR="00B45973">
        <w:rPr>
          <w:rFonts w:cs="Times New Roman"/>
          <w:sz w:val="24"/>
          <w:szCs w:val="24"/>
        </w:rPr>
        <w:t>ey</w:t>
      </w:r>
      <w:r w:rsidRPr="002F6296">
        <w:rPr>
          <w:rFonts w:cs="Times New Roman"/>
          <w:sz w:val="24"/>
          <w:szCs w:val="24"/>
        </w:rPr>
        <w:t xml:space="preserve"> also believe that </w:t>
      </w:r>
      <w:r w:rsidR="00310D50">
        <w:rPr>
          <w:rFonts w:cs="Times New Roman"/>
          <w:sz w:val="24"/>
          <w:szCs w:val="24"/>
        </w:rPr>
        <w:t>c</w:t>
      </w:r>
      <w:r w:rsidRPr="002F6296">
        <w:rPr>
          <w:rFonts w:cs="Times New Roman"/>
          <w:sz w:val="24"/>
          <w:szCs w:val="24"/>
        </w:rPr>
        <w:t xml:space="preserve">ivil </w:t>
      </w:r>
      <w:r w:rsidR="00310D50">
        <w:rPr>
          <w:rFonts w:cs="Times New Roman"/>
          <w:sz w:val="24"/>
          <w:szCs w:val="24"/>
        </w:rPr>
        <w:t>s</w:t>
      </w:r>
      <w:r w:rsidRPr="002F6296">
        <w:rPr>
          <w:rFonts w:cs="Times New Roman"/>
          <w:sz w:val="24"/>
          <w:szCs w:val="24"/>
        </w:rPr>
        <w:t xml:space="preserve">ociety organizations were able to contribute additional information for the policy formulation process. </w:t>
      </w:r>
      <w:r w:rsidR="00924CAF">
        <w:rPr>
          <w:rFonts w:cs="Times New Roman"/>
          <w:sz w:val="24"/>
          <w:szCs w:val="24"/>
        </w:rPr>
        <w:t>The representative of the NGO Major Group asked</w:t>
      </w:r>
      <w:r w:rsidRPr="002F6296">
        <w:rPr>
          <w:rFonts w:cs="Times New Roman"/>
          <w:sz w:val="24"/>
          <w:szCs w:val="24"/>
        </w:rPr>
        <w:t xml:space="preserve"> the Government of L</w:t>
      </w:r>
      <w:r w:rsidR="00924CAF">
        <w:rPr>
          <w:rFonts w:cs="Times New Roman"/>
          <w:sz w:val="24"/>
          <w:szCs w:val="24"/>
        </w:rPr>
        <w:t xml:space="preserve">ao </w:t>
      </w:r>
      <w:r w:rsidR="0058503B">
        <w:rPr>
          <w:rFonts w:cs="Times New Roman"/>
          <w:sz w:val="24"/>
          <w:szCs w:val="24"/>
        </w:rPr>
        <w:t xml:space="preserve">PDR </w:t>
      </w:r>
      <w:r w:rsidR="00924CAF">
        <w:rPr>
          <w:rFonts w:cs="Times New Roman"/>
          <w:sz w:val="24"/>
          <w:szCs w:val="24"/>
        </w:rPr>
        <w:t>to</w:t>
      </w:r>
      <w:r w:rsidR="002E157B">
        <w:rPr>
          <w:rFonts w:cs="Times New Roman"/>
          <w:sz w:val="24"/>
          <w:szCs w:val="24"/>
        </w:rPr>
        <w:t xml:space="preserve"> </w:t>
      </w:r>
      <w:r w:rsidRPr="002F6296">
        <w:rPr>
          <w:rFonts w:cs="Times New Roman"/>
          <w:sz w:val="24"/>
          <w:szCs w:val="24"/>
        </w:rPr>
        <w:t xml:space="preserve">clarify more </w:t>
      </w:r>
      <w:r w:rsidR="00DD5888">
        <w:rPr>
          <w:rFonts w:cs="Times New Roman"/>
          <w:sz w:val="24"/>
          <w:szCs w:val="24"/>
        </w:rPr>
        <w:t xml:space="preserve">regarding the </w:t>
      </w:r>
      <w:r w:rsidRPr="002F6296">
        <w:rPr>
          <w:rFonts w:cs="Times New Roman"/>
          <w:sz w:val="24"/>
          <w:szCs w:val="24"/>
        </w:rPr>
        <w:t xml:space="preserve">engagement </w:t>
      </w:r>
      <w:r w:rsidR="00C94ECC">
        <w:rPr>
          <w:rFonts w:cs="Times New Roman"/>
          <w:sz w:val="24"/>
          <w:szCs w:val="24"/>
        </w:rPr>
        <w:t>they have</w:t>
      </w:r>
      <w:r w:rsidR="00C94ECC" w:rsidRPr="002F6296">
        <w:rPr>
          <w:rFonts w:cs="Times New Roman"/>
          <w:sz w:val="24"/>
          <w:szCs w:val="24"/>
        </w:rPr>
        <w:t xml:space="preserve"> </w:t>
      </w:r>
      <w:r w:rsidRPr="002F6296">
        <w:rPr>
          <w:rFonts w:cs="Times New Roman"/>
          <w:sz w:val="24"/>
          <w:szCs w:val="24"/>
        </w:rPr>
        <w:t xml:space="preserve">undertaken and </w:t>
      </w:r>
      <w:r w:rsidR="006600D1">
        <w:rPr>
          <w:rFonts w:cs="Times New Roman"/>
          <w:sz w:val="24"/>
          <w:szCs w:val="24"/>
        </w:rPr>
        <w:t>the</w:t>
      </w:r>
      <w:r w:rsidR="006600D1" w:rsidRPr="002F6296">
        <w:rPr>
          <w:rFonts w:cs="Times New Roman"/>
          <w:sz w:val="24"/>
          <w:szCs w:val="24"/>
        </w:rPr>
        <w:t xml:space="preserve"> </w:t>
      </w:r>
      <w:r w:rsidRPr="002F6296">
        <w:rPr>
          <w:rFonts w:cs="Times New Roman"/>
          <w:sz w:val="24"/>
          <w:szCs w:val="24"/>
        </w:rPr>
        <w:t xml:space="preserve">mechanisms </w:t>
      </w:r>
      <w:r w:rsidR="006600D1">
        <w:rPr>
          <w:rFonts w:cs="Times New Roman"/>
          <w:sz w:val="24"/>
          <w:szCs w:val="24"/>
        </w:rPr>
        <w:t xml:space="preserve">that </w:t>
      </w:r>
      <w:r w:rsidRPr="002F6296">
        <w:rPr>
          <w:rFonts w:cs="Times New Roman"/>
          <w:sz w:val="24"/>
          <w:szCs w:val="24"/>
        </w:rPr>
        <w:t xml:space="preserve">have been put in place to ensure that all voices are </w:t>
      </w:r>
      <w:r w:rsidR="00EB403B" w:rsidRPr="002F6296">
        <w:rPr>
          <w:rFonts w:cs="Times New Roman"/>
          <w:sz w:val="24"/>
          <w:szCs w:val="24"/>
        </w:rPr>
        <w:t>heard</w:t>
      </w:r>
      <w:r w:rsidR="00C94ECC">
        <w:rPr>
          <w:rFonts w:cs="Times New Roman"/>
          <w:sz w:val="24"/>
          <w:szCs w:val="24"/>
        </w:rPr>
        <w:t>.</w:t>
      </w:r>
      <w:r w:rsidRPr="002F6296">
        <w:rPr>
          <w:rFonts w:cs="Times New Roman"/>
          <w:sz w:val="24"/>
          <w:szCs w:val="24"/>
        </w:rPr>
        <w:t xml:space="preserve">  </w:t>
      </w:r>
      <w:r w:rsidR="00C94ECC">
        <w:rPr>
          <w:rFonts w:cs="Times New Roman"/>
          <w:sz w:val="24"/>
          <w:szCs w:val="24"/>
        </w:rPr>
        <w:t>In addition, the</w:t>
      </w:r>
      <w:r w:rsidRPr="002F6296">
        <w:rPr>
          <w:rFonts w:cs="Times New Roman"/>
          <w:sz w:val="24"/>
          <w:szCs w:val="24"/>
        </w:rPr>
        <w:t xml:space="preserve"> Government</w:t>
      </w:r>
      <w:r w:rsidR="00BF2276">
        <w:rPr>
          <w:rFonts w:cs="Times New Roman"/>
          <w:sz w:val="24"/>
          <w:szCs w:val="24"/>
        </w:rPr>
        <w:t xml:space="preserve"> of Lao</w:t>
      </w:r>
      <w:r w:rsidR="006338C9">
        <w:rPr>
          <w:rFonts w:cs="Times New Roman"/>
          <w:sz w:val="24"/>
          <w:szCs w:val="24"/>
        </w:rPr>
        <w:t xml:space="preserve"> PDR</w:t>
      </w:r>
      <w:r w:rsidRPr="002F6296">
        <w:rPr>
          <w:rFonts w:cs="Times New Roman"/>
          <w:sz w:val="24"/>
          <w:szCs w:val="24"/>
        </w:rPr>
        <w:t xml:space="preserve"> </w:t>
      </w:r>
      <w:r w:rsidR="00C94ECC">
        <w:rPr>
          <w:rFonts w:cs="Times New Roman"/>
          <w:sz w:val="24"/>
          <w:szCs w:val="24"/>
        </w:rPr>
        <w:t xml:space="preserve">was asked about its plans </w:t>
      </w:r>
      <w:r w:rsidRPr="002F6296">
        <w:rPr>
          <w:rFonts w:cs="Times New Roman"/>
          <w:sz w:val="24"/>
          <w:szCs w:val="24"/>
        </w:rPr>
        <w:t>to follow-up on the presentation of the VNR at the national and sub-national level, particularly with those social groups that are most often marginalized</w:t>
      </w:r>
      <w:r w:rsidR="00AA7151">
        <w:rPr>
          <w:rFonts w:cs="Times New Roman"/>
          <w:sz w:val="24"/>
          <w:szCs w:val="24"/>
        </w:rPr>
        <w:t>.</w:t>
      </w:r>
    </w:p>
    <w:p w14:paraId="31E9D969" w14:textId="77777777" w:rsidR="00A21CA6" w:rsidRPr="002F6296" w:rsidRDefault="00A21CA6" w:rsidP="00410266">
      <w:pPr>
        <w:spacing w:after="0" w:line="276" w:lineRule="auto"/>
        <w:jc w:val="both"/>
        <w:rPr>
          <w:rFonts w:cs="Times New Roman"/>
          <w:sz w:val="24"/>
          <w:szCs w:val="24"/>
        </w:rPr>
      </w:pPr>
    </w:p>
    <w:p w14:paraId="501A762A" w14:textId="06CF6C20" w:rsidR="004B457E" w:rsidRPr="002F6296" w:rsidRDefault="004B457E" w:rsidP="002F6296">
      <w:pPr>
        <w:spacing w:line="276" w:lineRule="auto"/>
        <w:jc w:val="both"/>
        <w:rPr>
          <w:rFonts w:cs="Times New Roman"/>
          <w:sz w:val="24"/>
          <w:szCs w:val="24"/>
        </w:rPr>
      </w:pPr>
      <w:r w:rsidRPr="002F6296">
        <w:rPr>
          <w:rFonts w:cs="Times New Roman"/>
          <w:sz w:val="24"/>
          <w:szCs w:val="24"/>
        </w:rPr>
        <w:t>Responding to</w:t>
      </w:r>
      <w:r w:rsidR="00AA7151">
        <w:rPr>
          <w:rFonts w:cs="Times New Roman"/>
          <w:sz w:val="24"/>
          <w:szCs w:val="24"/>
        </w:rPr>
        <w:t xml:space="preserve"> the </w:t>
      </w:r>
      <w:r w:rsidRPr="002F6296">
        <w:rPr>
          <w:rFonts w:cs="Times New Roman"/>
          <w:sz w:val="24"/>
          <w:szCs w:val="24"/>
        </w:rPr>
        <w:t xml:space="preserve">question from </w:t>
      </w:r>
      <w:r w:rsidR="00AA7151">
        <w:rPr>
          <w:rFonts w:cs="Times New Roman"/>
          <w:sz w:val="24"/>
          <w:szCs w:val="24"/>
        </w:rPr>
        <w:t xml:space="preserve">the </w:t>
      </w:r>
      <w:r w:rsidRPr="002F6296">
        <w:rPr>
          <w:rFonts w:cs="Times New Roman"/>
          <w:sz w:val="24"/>
          <w:szCs w:val="24"/>
        </w:rPr>
        <w:t xml:space="preserve">NGO </w:t>
      </w:r>
      <w:r w:rsidR="00AA7151">
        <w:rPr>
          <w:rFonts w:cs="Times New Roman"/>
          <w:sz w:val="24"/>
          <w:szCs w:val="24"/>
        </w:rPr>
        <w:t>M</w:t>
      </w:r>
      <w:r w:rsidRPr="002F6296">
        <w:rPr>
          <w:rFonts w:cs="Times New Roman"/>
          <w:sz w:val="24"/>
          <w:szCs w:val="24"/>
        </w:rPr>
        <w:t>ajor</w:t>
      </w:r>
      <w:r w:rsidR="00AA7151">
        <w:rPr>
          <w:rFonts w:cs="Times New Roman"/>
          <w:sz w:val="24"/>
          <w:szCs w:val="24"/>
        </w:rPr>
        <w:t xml:space="preserve"> Group</w:t>
      </w:r>
      <w:r w:rsidRPr="002F6296">
        <w:rPr>
          <w:rFonts w:cs="Times New Roman"/>
          <w:sz w:val="24"/>
          <w:szCs w:val="24"/>
        </w:rPr>
        <w:t xml:space="preserve">, </w:t>
      </w:r>
      <w:proofErr w:type="spellStart"/>
      <w:r w:rsidRPr="002F6296">
        <w:rPr>
          <w:rFonts w:cs="Times New Roman"/>
          <w:sz w:val="24"/>
          <w:szCs w:val="24"/>
        </w:rPr>
        <w:t>Saleumxay</w:t>
      </w:r>
      <w:proofErr w:type="spellEnd"/>
      <w:r w:rsidR="00397AD6">
        <w:rPr>
          <w:rFonts w:cs="Times New Roman"/>
          <w:sz w:val="24"/>
          <w:szCs w:val="24"/>
        </w:rPr>
        <w:t xml:space="preserve"> </w:t>
      </w:r>
      <w:proofErr w:type="spellStart"/>
      <w:r w:rsidRPr="002F6296">
        <w:rPr>
          <w:rFonts w:cs="Times New Roman"/>
          <w:sz w:val="24"/>
          <w:szCs w:val="24"/>
        </w:rPr>
        <w:t>Kommasith</w:t>
      </w:r>
      <w:proofErr w:type="spellEnd"/>
      <w:r w:rsidR="00597A8A">
        <w:rPr>
          <w:rFonts w:cs="Times New Roman"/>
          <w:sz w:val="24"/>
          <w:szCs w:val="24"/>
        </w:rPr>
        <w:t xml:space="preserve">, </w:t>
      </w:r>
      <w:r w:rsidR="00597A8A" w:rsidRPr="002F6296">
        <w:rPr>
          <w:rFonts w:cs="Times New Roman"/>
          <w:sz w:val="24"/>
          <w:szCs w:val="24"/>
        </w:rPr>
        <w:t xml:space="preserve">Minister of Foreign Affairs, </w:t>
      </w:r>
      <w:r w:rsidRPr="002F6296">
        <w:rPr>
          <w:rFonts w:cs="Times New Roman"/>
          <w:sz w:val="24"/>
          <w:szCs w:val="24"/>
        </w:rPr>
        <w:t>said that L</w:t>
      </w:r>
      <w:r w:rsidR="00E36605">
        <w:rPr>
          <w:rFonts w:cs="Times New Roman"/>
          <w:sz w:val="24"/>
          <w:szCs w:val="24"/>
        </w:rPr>
        <w:t>ao</w:t>
      </w:r>
      <w:r w:rsidRPr="002F6296">
        <w:rPr>
          <w:rFonts w:cs="Times New Roman"/>
          <w:sz w:val="24"/>
          <w:szCs w:val="24"/>
        </w:rPr>
        <w:t xml:space="preserve"> </w:t>
      </w:r>
      <w:r w:rsidR="007D46E7">
        <w:rPr>
          <w:rFonts w:cs="Times New Roman"/>
          <w:sz w:val="24"/>
          <w:szCs w:val="24"/>
        </w:rPr>
        <w:t xml:space="preserve">PDR </w:t>
      </w:r>
      <w:r w:rsidRPr="002F6296">
        <w:rPr>
          <w:rFonts w:cs="Times New Roman"/>
          <w:sz w:val="24"/>
          <w:szCs w:val="24"/>
        </w:rPr>
        <w:t xml:space="preserve">has a roundtable process that is participatory.  </w:t>
      </w:r>
      <w:r w:rsidR="00520929">
        <w:rPr>
          <w:rFonts w:cs="Times New Roman"/>
          <w:sz w:val="24"/>
          <w:szCs w:val="24"/>
        </w:rPr>
        <w:t xml:space="preserve">At </w:t>
      </w:r>
      <w:r w:rsidRPr="002F6296">
        <w:rPr>
          <w:rFonts w:cs="Times New Roman"/>
          <w:sz w:val="24"/>
          <w:szCs w:val="24"/>
        </w:rPr>
        <w:t xml:space="preserve">the end of every year, the State organizes a roundtable where it provides a </w:t>
      </w:r>
      <w:r w:rsidR="005E01F0">
        <w:rPr>
          <w:rFonts w:cs="Times New Roman"/>
          <w:sz w:val="24"/>
          <w:szCs w:val="24"/>
        </w:rPr>
        <w:t>platform</w:t>
      </w:r>
      <w:r w:rsidR="005E01F0" w:rsidRPr="002F6296">
        <w:rPr>
          <w:rFonts w:cs="Times New Roman"/>
          <w:sz w:val="24"/>
          <w:szCs w:val="24"/>
        </w:rPr>
        <w:t xml:space="preserve"> </w:t>
      </w:r>
      <w:r w:rsidRPr="002F6296">
        <w:rPr>
          <w:rFonts w:cs="Times New Roman"/>
          <w:sz w:val="24"/>
          <w:szCs w:val="24"/>
        </w:rPr>
        <w:t xml:space="preserve">for interaction between the government, development partners </w:t>
      </w:r>
      <w:r w:rsidR="00F30080">
        <w:rPr>
          <w:rFonts w:cs="Times New Roman"/>
          <w:sz w:val="24"/>
          <w:szCs w:val="24"/>
        </w:rPr>
        <w:t>and civil society groups</w:t>
      </w:r>
      <w:r w:rsidRPr="002F6296">
        <w:rPr>
          <w:rFonts w:cs="Times New Roman"/>
          <w:sz w:val="24"/>
          <w:szCs w:val="24"/>
        </w:rPr>
        <w:t xml:space="preserve"> who are stakeholders in the development agenda</w:t>
      </w:r>
      <w:r w:rsidR="00F3385E">
        <w:rPr>
          <w:rFonts w:cs="Times New Roman"/>
          <w:sz w:val="24"/>
          <w:szCs w:val="24"/>
        </w:rPr>
        <w:t>.</w:t>
      </w:r>
    </w:p>
    <w:p w14:paraId="223412C3" w14:textId="77777777" w:rsidR="004B457E" w:rsidRPr="002F6296" w:rsidRDefault="004B457E" w:rsidP="002F6296">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b/>
          <w:sz w:val="24"/>
          <w:szCs w:val="24"/>
        </w:rPr>
        <w:t>Senegal</w:t>
      </w:r>
    </w:p>
    <w:p w14:paraId="42C083BA" w14:textId="22986925" w:rsidR="00A3638E" w:rsidRDefault="00EB403B" w:rsidP="008B4759">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 xml:space="preserve">Following </w:t>
      </w:r>
      <w:r w:rsidR="004B457E" w:rsidRPr="002F6296">
        <w:rPr>
          <w:rFonts w:asciiTheme="minorHAnsi" w:hAnsiTheme="minorHAnsi" w:cs="Times New Roman"/>
          <w:sz w:val="24"/>
          <w:szCs w:val="24"/>
        </w:rPr>
        <w:t>Senegal</w:t>
      </w:r>
      <w:r w:rsidR="00943305">
        <w:rPr>
          <w:rFonts w:asciiTheme="minorHAnsi" w:hAnsiTheme="minorHAnsi" w:cs="Times New Roman"/>
          <w:sz w:val="24"/>
          <w:szCs w:val="24"/>
        </w:rPr>
        <w:t xml:space="preserve">’s VNR presentation by </w:t>
      </w:r>
      <w:proofErr w:type="spellStart"/>
      <w:r w:rsidR="004B457E" w:rsidRPr="002F6296">
        <w:rPr>
          <w:rFonts w:asciiTheme="minorHAnsi" w:hAnsiTheme="minorHAnsi" w:cs="Times New Roman"/>
          <w:sz w:val="24"/>
          <w:szCs w:val="24"/>
        </w:rPr>
        <w:t>Mame</w:t>
      </w:r>
      <w:proofErr w:type="spellEnd"/>
      <w:r w:rsidR="00397AD6">
        <w:rPr>
          <w:rFonts w:asciiTheme="minorHAnsi" w:hAnsiTheme="minorHAnsi" w:cs="Times New Roman"/>
          <w:sz w:val="24"/>
          <w:szCs w:val="24"/>
        </w:rPr>
        <w:t xml:space="preserve"> </w:t>
      </w:r>
      <w:proofErr w:type="spellStart"/>
      <w:r w:rsidR="004B457E" w:rsidRPr="002F6296">
        <w:rPr>
          <w:rFonts w:asciiTheme="minorHAnsi" w:hAnsiTheme="minorHAnsi" w:cs="Times New Roman"/>
          <w:sz w:val="24"/>
          <w:szCs w:val="24"/>
        </w:rPr>
        <w:t>Thierno</w:t>
      </w:r>
      <w:proofErr w:type="spellEnd"/>
      <w:r w:rsidR="00397AD6">
        <w:rPr>
          <w:rFonts w:asciiTheme="minorHAnsi" w:hAnsiTheme="minorHAnsi" w:cs="Times New Roman"/>
          <w:sz w:val="24"/>
          <w:szCs w:val="24"/>
        </w:rPr>
        <w:t xml:space="preserve"> </w:t>
      </w:r>
      <w:proofErr w:type="spellStart"/>
      <w:r w:rsidR="004B457E" w:rsidRPr="002F6296">
        <w:rPr>
          <w:rFonts w:asciiTheme="minorHAnsi" w:hAnsiTheme="minorHAnsi" w:cs="Times New Roman"/>
          <w:sz w:val="24"/>
          <w:szCs w:val="24"/>
        </w:rPr>
        <w:t>Dieng</w:t>
      </w:r>
      <w:proofErr w:type="spellEnd"/>
      <w:r w:rsidR="004B457E" w:rsidRPr="002F6296">
        <w:rPr>
          <w:rFonts w:asciiTheme="minorHAnsi" w:hAnsiTheme="minorHAnsi" w:cs="Times New Roman"/>
          <w:sz w:val="24"/>
          <w:szCs w:val="24"/>
        </w:rPr>
        <w:t>, Minister of Environment and Sustainable Development,</w:t>
      </w:r>
      <w:r w:rsidR="001E4017">
        <w:rPr>
          <w:rFonts w:asciiTheme="minorHAnsi" w:hAnsiTheme="minorHAnsi" w:cs="Times New Roman"/>
          <w:sz w:val="24"/>
          <w:szCs w:val="24"/>
        </w:rPr>
        <w:t xml:space="preserve"> a</w:t>
      </w:r>
      <w:r w:rsidR="004B457E" w:rsidRPr="002F6296">
        <w:rPr>
          <w:rFonts w:asciiTheme="minorHAnsi" w:hAnsiTheme="minorHAnsi" w:cs="Times New Roman"/>
          <w:sz w:val="24"/>
          <w:szCs w:val="24"/>
        </w:rPr>
        <w:t xml:space="preserve"> representative </w:t>
      </w:r>
      <w:r w:rsidR="00EF69F6">
        <w:rPr>
          <w:rFonts w:asciiTheme="minorHAnsi" w:hAnsiTheme="minorHAnsi" w:cs="Times New Roman"/>
          <w:sz w:val="24"/>
          <w:szCs w:val="24"/>
        </w:rPr>
        <w:t>from</w:t>
      </w:r>
      <w:r w:rsidR="004B457E" w:rsidRPr="002F6296">
        <w:rPr>
          <w:rFonts w:asciiTheme="minorHAnsi" w:hAnsiTheme="minorHAnsi" w:cs="Times New Roman"/>
          <w:sz w:val="24"/>
          <w:szCs w:val="24"/>
        </w:rPr>
        <w:t xml:space="preserve"> </w:t>
      </w:r>
      <w:r w:rsidR="001E4017">
        <w:rPr>
          <w:rFonts w:asciiTheme="minorHAnsi" w:hAnsiTheme="minorHAnsi" w:cs="Times New Roman"/>
          <w:sz w:val="24"/>
          <w:szCs w:val="24"/>
        </w:rPr>
        <w:t>the Major Group for Workers and Trade Unions</w:t>
      </w:r>
      <w:r w:rsidR="004B457E" w:rsidRPr="002F6296">
        <w:rPr>
          <w:rFonts w:asciiTheme="minorHAnsi" w:hAnsiTheme="minorHAnsi" w:cs="Times New Roman"/>
          <w:sz w:val="24"/>
          <w:szCs w:val="24"/>
        </w:rPr>
        <w:t xml:space="preserve"> asked the minister the following questions. On education, how does the </w:t>
      </w:r>
      <w:r w:rsidR="00D755E5">
        <w:rPr>
          <w:rFonts w:asciiTheme="minorHAnsi" w:hAnsiTheme="minorHAnsi" w:cs="Times New Roman"/>
          <w:sz w:val="24"/>
          <w:szCs w:val="24"/>
        </w:rPr>
        <w:t>government</w:t>
      </w:r>
      <w:r w:rsidR="004B457E" w:rsidRPr="002F6296">
        <w:rPr>
          <w:rFonts w:asciiTheme="minorHAnsi" w:hAnsiTheme="minorHAnsi" w:cs="Times New Roman"/>
          <w:sz w:val="24"/>
          <w:szCs w:val="24"/>
        </w:rPr>
        <w:t xml:space="preserve"> intend to implement inclusive education, and what are the specific measures that are taken by the </w:t>
      </w:r>
      <w:r w:rsidR="00D333B6">
        <w:rPr>
          <w:rFonts w:asciiTheme="minorHAnsi" w:hAnsiTheme="minorHAnsi" w:cs="Times New Roman"/>
          <w:sz w:val="24"/>
          <w:szCs w:val="24"/>
        </w:rPr>
        <w:t>government</w:t>
      </w:r>
      <w:r w:rsidR="00D333B6" w:rsidRPr="002F6296">
        <w:rPr>
          <w:rFonts w:asciiTheme="minorHAnsi" w:hAnsiTheme="minorHAnsi" w:cs="Times New Roman"/>
          <w:sz w:val="24"/>
          <w:szCs w:val="24"/>
        </w:rPr>
        <w:t xml:space="preserve"> </w:t>
      </w:r>
      <w:r w:rsidR="004B457E" w:rsidRPr="002F6296">
        <w:rPr>
          <w:rFonts w:asciiTheme="minorHAnsi" w:hAnsiTheme="minorHAnsi" w:cs="Times New Roman"/>
          <w:sz w:val="24"/>
          <w:szCs w:val="24"/>
        </w:rPr>
        <w:t>in order to combat violence again</w:t>
      </w:r>
      <w:r w:rsidR="00D30B78">
        <w:rPr>
          <w:rFonts w:asciiTheme="minorHAnsi" w:hAnsiTheme="minorHAnsi" w:cs="Times New Roman"/>
          <w:sz w:val="24"/>
          <w:szCs w:val="24"/>
        </w:rPr>
        <w:t>st</w:t>
      </w:r>
      <w:r w:rsidR="004B457E" w:rsidRPr="002F6296">
        <w:rPr>
          <w:rFonts w:asciiTheme="minorHAnsi" w:hAnsiTheme="minorHAnsi" w:cs="Times New Roman"/>
          <w:sz w:val="24"/>
          <w:szCs w:val="24"/>
        </w:rPr>
        <w:t xml:space="preserve"> women and </w:t>
      </w:r>
      <w:r w:rsidR="008B5EBB">
        <w:rPr>
          <w:rFonts w:asciiTheme="minorHAnsi" w:hAnsiTheme="minorHAnsi" w:cs="Times New Roman"/>
          <w:sz w:val="24"/>
          <w:szCs w:val="24"/>
        </w:rPr>
        <w:t>persons with disabilities?</w:t>
      </w:r>
      <w:r w:rsidR="004B457E" w:rsidRPr="002F6296">
        <w:rPr>
          <w:rFonts w:asciiTheme="minorHAnsi" w:hAnsiTheme="minorHAnsi" w:cs="Times New Roman"/>
          <w:sz w:val="24"/>
          <w:szCs w:val="24"/>
        </w:rPr>
        <w:t xml:space="preserve">  </w:t>
      </w:r>
      <w:r w:rsidR="00A536EE">
        <w:rPr>
          <w:rFonts w:asciiTheme="minorHAnsi" w:hAnsiTheme="minorHAnsi" w:cs="Times New Roman"/>
          <w:sz w:val="24"/>
          <w:szCs w:val="24"/>
        </w:rPr>
        <w:t>The representative noted the</w:t>
      </w:r>
      <w:r w:rsidR="004B457E" w:rsidRPr="002F6296">
        <w:rPr>
          <w:rFonts w:asciiTheme="minorHAnsi" w:hAnsiTheme="minorHAnsi" w:cs="Times New Roman"/>
          <w:sz w:val="24"/>
          <w:szCs w:val="24"/>
        </w:rPr>
        <w:t xml:space="preserve"> need </w:t>
      </w:r>
      <w:r w:rsidR="00D862CF">
        <w:rPr>
          <w:rFonts w:asciiTheme="minorHAnsi" w:hAnsiTheme="minorHAnsi" w:cs="Times New Roman"/>
          <w:sz w:val="24"/>
          <w:szCs w:val="24"/>
        </w:rPr>
        <w:t xml:space="preserve">for </w:t>
      </w:r>
      <w:r w:rsidR="004B457E" w:rsidRPr="002F6296">
        <w:rPr>
          <w:rFonts w:asciiTheme="minorHAnsi" w:hAnsiTheme="minorHAnsi" w:cs="Times New Roman"/>
          <w:sz w:val="24"/>
          <w:szCs w:val="24"/>
        </w:rPr>
        <w:t>data that is disaggregated when it comes to disability, age</w:t>
      </w:r>
      <w:r w:rsidR="00FA13AD">
        <w:rPr>
          <w:rFonts w:asciiTheme="minorHAnsi" w:hAnsiTheme="minorHAnsi" w:cs="Times New Roman"/>
          <w:sz w:val="24"/>
          <w:szCs w:val="24"/>
        </w:rPr>
        <w:t xml:space="preserve"> </w:t>
      </w:r>
      <w:r w:rsidRPr="002F6296">
        <w:rPr>
          <w:rFonts w:asciiTheme="minorHAnsi" w:hAnsiTheme="minorHAnsi" w:cs="Times New Roman"/>
          <w:sz w:val="24"/>
          <w:szCs w:val="24"/>
        </w:rPr>
        <w:t xml:space="preserve">and </w:t>
      </w:r>
      <w:r w:rsidR="00FA13AD">
        <w:rPr>
          <w:rFonts w:asciiTheme="minorHAnsi" w:hAnsiTheme="minorHAnsi" w:cs="Times New Roman"/>
          <w:sz w:val="24"/>
          <w:szCs w:val="24"/>
        </w:rPr>
        <w:t>gender</w:t>
      </w:r>
      <w:r w:rsidR="00C36308">
        <w:rPr>
          <w:rFonts w:asciiTheme="minorHAnsi" w:hAnsiTheme="minorHAnsi" w:cs="Times New Roman"/>
          <w:sz w:val="24"/>
          <w:szCs w:val="24"/>
        </w:rPr>
        <w:t xml:space="preserve"> and urged</w:t>
      </w:r>
      <w:r w:rsidR="00441861">
        <w:rPr>
          <w:rFonts w:asciiTheme="minorHAnsi" w:hAnsiTheme="minorHAnsi" w:cs="Times New Roman"/>
          <w:sz w:val="24"/>
          <w:szCs w:val="24"/>
        </w:rPr>
        <w:t xml:space="preserve"> the</w:t>
      </w:r>
      <w:r w:rsidR="004B457E" w:rsidRPr="002F6296">
        <w:rPr>
          <w:rFonts w:asciiTheme="minorHAnsi" w:hAnsiTheme="minorHAnsi" w:cs="Times New Roman"/>
          <w:sz w:val="24"/>
          <w:szCs w:val="24"/>
        </w:rPr>
        <w:t xml:space="preserve"> </w:t>
      </w:r>
      <w:r w:rsidR="00983C3B">
        <w:rPr>
          <w:rFonts w:asciiTheme="minorHAnsi" w:hAnsiTheme="minorHAnsi" w:cs="Times New Roman"/>
          <w:sz w:val="24"/>
          <w:szCs w:val="24"/>
        </w:rPr>
        <w:t>g</w:t>
      </w:r>
      <w:r w:rsidR="004B457E" w:rsidRPr="002F6296">
        <w:rPr>
          <w:rFonts w:asciiTheme="minorHAnsi" w:hAnsiTheme="minorHAnsi" w:cs="Times New Roman"/>
          <w:sz w:val="24"/>
          <w:szCs w:val="24"/>
        </w:rPr>
        <w:t xml:space="preserve">overnment to look at social plans to reduce poverty. </w:t>
      </w:r>
      <w:r w:rsidR="00386E60">
        <w:rPr>
          <w:rFonts w:asciiTheme="minorHAnsi" w:hAnsiTheme="minorHAnsi" w:cs="Times New Roman"/>
          <w:sz w:val="24"/>
          <w:szCs w:val="24"/>
        </w:rPr>
        <w:t xml:space="preserve">The representative asked the </w:t>
      </w:r>
      <w:r w:rsidR="00386E60" w:rsidRPr="00FF73DA">
        <w:rPr>
          <w:rFonts w:asciiTheme="minorHAnsi" w:hAnsiTheme="minorHAnsi" w:cs="Times New Roman"/>
          <w:sz w:val="24"/>
          <w:szCs w:val="24"/>
        </w:rPr>
        <w:t>w</w:t>
      </w:r>
      <w:r w:rsidR="004B457E" w:rsidRPr="0046570E">
        <w:rPr>
          <w:rFonts w:asciiTheme="minorHAnsi" w:hAnsiTheme="minorHAnsi" w:cs="Times New Roman"/>
          <w:sz w:val="24"/>
          <w:szCs w:val="24"/>
        </w:rPr>
        <w:t xml:space="preserve">hat measures </w:t>
      </w:r>
      <w:r w:rsidR="00731E04">
        <w:rPr>
          <w:rFonts w:asciiTheme="minorHAnsi" w:hAnsiTheme="minorHAnsi" w:cs="Times New Roman"/>
          <w:sz w:val="24"/>
          <w:szCs w:val="24"/>
        </w:rPr>
        <w:t xml:space="preserve">the </w:t>
      </w:r>
      <w:r w:rsidR="00983C3B">
        <w:rPr>
          <w:rFonts w:asciiTheme="minorHAnsi" w:hAnsiTheme="minorHAnsi" w:cs="Times New Roman"/>
          <w:sz w:val="24"/>
          <w:szCs w:val="24"/>
        </w:rPr>
        <w:t>g</w:t>
      </w:r>
      <w:r w:rsidR="00731E04">
        <w:rPr>
          <w:rFonts w:asciiTheme="minorHAnsi" w:hAnsiTheme="minorHAnsi" w:cs="Times New Roman"/>
          <w:sz w:val="24"/>
          <w:szCs w:val="24"/>
        </w:rPr>
        <w:t>overnment</w:t>
      </w:r>
      <w:r w:rsidR="004B457E" w:rsidRPr="0046570E">
        <w:rPr>
          <w:rFonts w:asciiTheme="minorHAnsi" w:hAnsiTheme="minorHAnsi" w:cs="Times New Roman"/>
          <w:sz w:val="24"/>
          <w:szCs w:val="24"/>
        </w:rPr>
        <w:t xml:space="preserve"> h</w:t>
      </w:r>
      <w:r w:rsidR="00386E60" w:rsidRPr="00FF73DA">
        <w:rPr>
          <w:rFonts w:asciiTheme="minorHAnsi" w:hAnsiTheme="minorHAnsi" w:cs="Times New Roman"/>
          <w:sz w:val="24"/>
          <w:szCs w:val="24"/>
        </w:rPr>
        <w:t>a</w:t>
      </w:r>
      <w:r w:rsidR="00995E85" w:rsidRPr="00FF73DA">
        <w:rPr>
          <w:rFonts w:asciiTheme="minorHAnsi" w:hAnsiTheme="minorHAnsi" w:cs="Times New Roman"/>
          <w:sz w:val="24"/>
          <w:szCs w:val="24"/>
        </w:rPr>
        <w:t>d</w:t>
      </w:r>
      <w:r w:rsidR="004B457E" w:rsidRPr="0046570E">
        <w:rPr>
          <w:rFonts w:asciiTheme="minorHAnsi" w:hAnsiTheme="minorHAnsi" w:cs="Times New Roman"/>
          <w:sz w:val="24"/>
          <w:szCs w:val="24"/>
        </w:rPr>
        <w:t xml:space="preserve"> in mind </w:t>
      </w:r>
      <w:r w:rsidR="006F0B51" w:rsidRPr="0046570E">
        <w:rPr>
          <w:rFonts w:asciiTheme="minorHAnsi" w:hAnsiTheme="minorHAnsi" w:cs="Times New Roman"/>
          <w:sz w:val="24"/>
          <w:szCs w:val="24"/>
        </w:rPr>
        <w:t xml:space="preserve">to </w:t>
      </w:r>
      <w:r w:rsidR="004B457E" w:rsidRPr="0046570E">
        <w:rPr>
          <w:rFonts w:asciiTheme="minorHAnsi" w:hAnsiTheme="minorHAnsi" w:cs="Times New Roman"/>
          <w:sz w:val="24"/>
          <w:szCs w:val="24"/>
        </w:rPr>
        <w:t>better</w:t>
      </w:r>
      <w:r w:rsidR="004B457E" w:rsidRPr="001C5E27">
        <w:rPr>
          <w:rFonts w:asciiTheme="minorHAnsi" w:hAnsiTheme="minorHAnsi" w:cs="Times New Roman"/>
          <w:sz w:val="24"/>
          <w:szCs w:val="24"/>
        </w:rPr>
        <w:t xml:space="preserve"> ensure an approach </w:t>
      </w:r>
      <w:r w:rsidR="00F46A32" w:rsidRPr="00FF73DA">
        <w:rPr>
          <w:rFonts w:asciiTheme="minorHAnsi" w:hAnsiTheme="minorHAnsi" w:cs="Times New Roman"/>
          <w:sz w:val="24"/>
          <w:szCs w:val="24"/>
        </w:rPr>
        <w:t>which included</w:t>
      </w:r>
      <w:r w:rsidR="00F46A32" w:rsidRPr="0046570E">
        <w:rPr>
          <w:rFonts w:asciiTheme="minorHAnsi" w:hAnsiTheme="minorHAnsi" w:cs="Times New Roman"/>
          <w:sz w:val="24"/>
          <w:szCs w:val="24"/>
        </w:rPr>
        <w:t xml:space="preserve"> </w:t>
      </w:r>
      <w:r w:rsidR="004B457E" w:rsidRPr="0046570E">
        <w:rPr>
          <w:rFonts w:asciiTheme="minorHAnsi" w:hAnsiTheme="minorHAnsi" w:cs="Times New Roman"/>
          <w:sz w:val="24"/>
          <w:szCs w:val="24"/>
        </w:rPr>
        <w:t xml:space="preserve">women and </w:t>
      </w:r>
      <w:r w:rsidR="002E62D7" w:rsidRPr="00FF73DA">
        <w:rPr>
          <w:rFonts w:asciiTheme="minorHAnsi" w:hAnsiTheme="minorHAnsi" w:cs="Times New Roman"/>
          <w:sz w:val="24"/>
          <w:szCs w:val="24"/>
        </w:rPr>
        <w:t>persons with disabilities</w:t>
      </w:r>
      <w:r w:rsidR="004B457E" w:rsidRPr="0046570E">
        <w:rPr>
          <w:rFonts w:asciiTheme="minorHAnsi" w:hAnsiTheme="minorHAnsi" w:cs="Times New Roman"/>
          <w:sz w:val="24"/>
          <w:szCs w:val="24"/>
        </w:rPr>
        <w:t>, as well as the union organizations</w:t>
      </w:r>
      <w:r w:rsidR="0046570E">
        <w:rPr>
          <w:rFonts w:asciiTheme="minorHAnsi" w:hAnsiTheme="minorHAnsi" w:cs="Times New Roman"/>
          <w:sz w:val="24"/>
          <w:szCs w:val="24"/>
        </w:rPr>
        <w:t>.</w:t>
      </w:r>
    </w:p>
    <w:p w14:paraId="6E8A5BF2" w14:textId="27388745" w:rsidR="008B4759" w:rsidRDefault="008B4759" w:rsidP="008B4759">
      <w:pPr>
        <w:pStyle w:val="PlainText"/>
        <w:spacing w:line="276" w:lineRule="auto"/>
        <w:jc w:val="both"/>
        <w:rPr>
          <w:rFonts w:asciiTheme="minorHAnsi" w:hAnsiTheme="minorHAnsi" w:cs="Times New Roman"/>
          <w:sz w:val="24"/>
          <w:szCs w:val="24"/>
        </w:rPr>
      </w:pPr>
    </w:p>
    <w:p w14:paraId="3EAA1697" w14:textId="68C27C4D" w:rsidR="00F50377" w:rsidRPr="008B4759" w:rsidRDefault="00F50377" w:rsidP="00FF73DA">
      <w:pPr>
        <w:pStyle w:val="Heading1"/>
      </w:pPr>
      <w:bookmarkStart w:id="50" w:name="_Toc531264900"/>
      <w:r>
        <w:t>Wednesday, 18</w:t>
      </w:r>
      <w:r w:rsidRPr="00FF73DA">
        <w:rPr>
          <w:vertAlign w:val="superscript"/>
        </w:rPr>
        <w:t>th</w:t>
      </w:r>
      <w:r>
        <w:t xml:space="preserve"> July 2</w:t>
      </w:r>
      <w:r w:rsidR="00641CD7">
        <w:t>018</w:t>
      </w:r>
      <w:bookmarkEnd w:id="50"/>
    </w:p>
    <w:p w14:paraId="4CF649E6" w14:textId="42D79E88" w:rsidR="004B457E" w:rsidRPr="00C9640A" w:rsidRDefault="00182FC2" w:rsidP="00FF73DA">
      <w:pPr>
        <w:pStyle w:val="Heading2"/>
      </w:pPr>
      <w:bookmarkStart w:id="51" w:name="_Toc531264901"/>
      <w:r w:rsidRPr="008D33B3">
        <w:t xml:space="preserve">Lebanon, Romania, Bahamas, Hungary, </w:t>
      </w:r>
      <w:r w:rsidRPr="00C9640A">
        <w:t>Malta, Poland, Singapore, Spain, Saudi Arabia</w:t>
      </w:r>
      <w:bookmarkEnd w:id="51"/>
    </w:p>
    <w:p w14:paraId="1F7DE77B" w14:textId="77777777" w:rsidR="004B457E" w:rsidRPr="008B4759" w:rsidRDefault="004B457E" w:rsidP="008B4759">
      <w:pPr>
        <w:pStyle w:val="PlainText"/>
        <w:spacing w:line="276" w:lineRule="auto"/>
        <w:jc w:val="both"/>
        <w:rPr>
          <w:rFonts w:asciiTheme="minorHAnsi" w:hAnsiTheme="minorHAnsi" w:cs="Times New Roman"/>
          <w:b/>
          <w:sz w:val="24"/>
          <w:szCs w:val="24"/>
        </w:rPr>
      </w:pPr>
      <w:r w:rsidRPr="008B4759">
        <w:rPr>
          <w:rFonts w:asciiTheme="minorHAnsi" w:hAnsiTheme="minorHAnsi" w:cs="Times New Roman"/>
          <w:b/>
          <w:sz w:val="24"/>
          <w:szCs w:val="24"/>
        </w:rPr>
        <w:t>Bahamas</w:t>
      </w:r>
    </w:p>
    <w:p w14:paraId="3C2614E1" w14:textId="226EFEAF" w:rsidR="004B457E" w:rsidRPr="002F6296" w:rsidRDefault="004B457E" w:rsidP="002F6296">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 xml:space="preserve">Following the </w:t>
      </w:r>
      <w:r w:rsidR="00621092">
        <w:rPr>
          <w:rFonts w:asciiTheme="minorHAnsi" w:hAnsiTheme="minorHAnsi" w:cs="Times New Roman"/>
          <w:sz w:val="24"/>
          <w:szCs w:val="24"/>
        </w:rPr>
        <w:t xml:space="preserve">VNR presentation by the </w:t>
      </w:r>
      <w:r w:rsidRPr="00115672">
        <w:rPr>
          <w:rFonts w:asciiTheme="minorHAnsi" w:hAnsiTheme="minorHAnsi" w:cs="Times New Roman"/>
          <w:sz w:val="24"/>
          <w:szCs w:val="24"/>
        </w:rPr>
        <w:t>Baham</w:t>
      </w:r>
      <w:r w:rsidR="004F2D3A">
        <w:rPr>
          <w:rFonts w:asciiTheme="minorHAnsi" w:hAnsiTheme="minorHAnsi" w:cs="Times New Roman"/>
          <w:sz w:val="24"/>
          <w:szCs w:val="24"/>
        </w:rPr>
        <w:t>ian</w:t>
      </w:r>
      <w:r w:rsidRPr="002F6296">
        <w:rPr>
          <w:rFonts w:asciiTheme="minorHAnsi" w:hAnsiTheme="minorHAnsi" w:cs="Times New Roman"/>
          <w:sz w:val="24"/>
          <w:szCs w:val="24"/>
        </w:rPr>
        <w:t xml:space="preserve"> Prime Minister</w:t>
      </w:r>
      <w:r w:rsidR="00621092">
        <w:rPr>
          <w:rFonts w:asciiTheme="minorHAnsi" w:hAnsiTheme="minorHAnsi" w:cs="Times New Roman"/>
          <w:sz w:val="24"/>
          <w:szCs w:val="24"/>
        </w:rPr>
        <w:t>,</w:t>
      </w:r>
      <w:r w:rsidRPr="002F6296">
        <w:rPr>
          <w:rFonts w:asciiTheme="minorHAnsi" w:hAnsiTheme="minorHAnsi" w:cs="Times New Roman"/>
          <w:sz w:val="24"/>
          <w:szCs w:val="24"/>
        </w:rPr>
        <w:t xml:space="preserve"> Hubert Alexander </w:t>
      </w:r>
      <w:proofErr w:type="spellStart"/>
      <w:r w:rsidRPr="002F6296">
        <w:rPr>
          <w:rFonts w:asciiTheme="minorHAnsi" w:hAnsiTheme="minorHAnsi" w:cs="Times New Roman"/>
          <w:sz w:val="24"/>
          <w:szCs w:val="24"/>
        </w:rPr>
        <w:t>Minnis</w:t>
      </w:r>
      <w:proofErr w:type="spellEnd"/>
      <w:r w:rsidRPr="002F6296">
        <w:rPr>
          <w:rFonts w:asciiTheme="minorHAnsi" w:hAnsiTheme="minorHAnsi" w:cs="Times New Roman"/>
          <w:sz w:val="24"/>
          <w:szCs w:val="24"/>
        </w:rPr>
        <w:t xml:space="preserve">, </w:t>
      </w:r>
      <w:r w:rsidR="004C1685">
        <w:rPr>
          <w:rFonts w:asciiTheme="minorHAnsi" w:hAnsiTheme="minorHAnsi" w:cs="Times New Roman"/>
          <w:sz w:val="24"/>
          <w:szCs w:val="24"/>
        </w:rPr>
        <w:t xml:space="preserve">a </w:t>
      </w:r>
      <w:r w:rsidRPr="002F6296">
        <w:rPr>
          <w:rFonts w:asciiTheme="minorHAnsi" w:hAnsiTheme="minorHAnsi" w:cs="Times New Roman"/>
          <w:sz w:val="24"/>
          <w:szCs w:val="24"/>
        </w:rPr>
        <w:t xml:space="preserve">representative </w:t>
      </w:r>
      <w:r w:rsidR="002E48D8">
        <w:rPr>
          <w:rFonts w:asciiTheme="minorHAnsi" w:hAnsiTheme="minorHAnsi" w:cs="Times New Roman"/>
          <w:sz w:val="24"/>
          <w:szCs w:val="24"/>
        </w:rPr>
        <w:t>from</w:t>
      </w:r>
      <w:r w:rsidR="004C1685">
        <w:rPr>
          <w:rFonts w:asciiTheme="minorHAnsi" w:hAnsiTheme="minorHAnsi" w:cs="Times New Roman"/>
          <w:sz w:val="24"/>
          <w:szCs w:val="24"/>
        </w:rPr>
        <w:t xml:space="preserve"> the</w:t>
      </w:r>
      <w:r w:rsidRPr="002F6296">
        <w:rPr>
          <w:rFonts w:asciiTheme="minorHAnsi" w:hAnsiTheme="minorHAnsi" w:cs="Times New Roman"/>
          <w:sz w:val="24"/>
          <w:szCs w:val="24"/>
        </w:rPr>
        <w:t xml:space="preserve"> NGO </w:t>
      </w:r>
      <w:r w:rsidR="004C1685">
        <w:rPr>
          <w:rFonts w:asciiTheme="minorHAnsi" w:hAnsiTheme="minorHAnsi" w:cs="Times New Roman"/>
          <w:sz w:val="24"/>
          <w:szCs w:val="24"/>
        </w:rPr>
        <w:t>M</w:t>
      </w:r>
      <w:r w:rsidRPr="002F6296">
        <w:rPr>
          <w:rFonts w:asciiTheme="minorHAnsi" w:hAnsiTheme="minorHAnsi" w:cs="Times New Roman"/>
          <w:sz w:val="24"/>
          <w:szCs w:val="24"/>
        </w:rPr>
        <w:t xml:space="preserve">ajor </w:t>
      </w:r>
      <w:r w:rsidR="004C1685">
        <w:rPr>
          <w:rFonts w:asciiTheme="minorHAnsi" w:hAnsiTheme="minorHAnsi" w:cs="Times New Roman"/>
          <w:sz w:val="24"/>
          <w:szCs w:val="24"/>
        </w:rPr>
        <w:t>G</w:t>
      </w:r>
      <w:r w:rsidRPr="002F6296">
        <w:rPr>
          <w:rFonts w:asciiTheme="minorHAnsi" w:hAnsiTheme="minorHAnsi" w:cs="Times New Roman"/>
          <w:sz w:val="24"/>
          <w:szCs w:val="24"/>
        </w:rPr>
        <w:t xml:space="preserve">roup asked the </w:t>
      </w:r>
      <w:r w:rsidR="00D8255C">
        <w:rPr>
          <w:rFonts w:asciiTheme="minorHAnsi" w:hAnsiTheme="minorHAnsi" w:cs="Times New Roman"/>
          <w:sz w:val="24"/>
          <w:szCs w:val="24"/>
        </w:rPr>
        <w:t>P</w:t>
      </w:r>
      <w:r w:rsidRPr="002F6296">
        <w:rPr>
          <w:rFonts w:asciiTheme="minorHAnsi" w:hAnsiTheme="minorHAnsi" w:cs="Times New Roman"/>
          <w:sz w:val="24"/>
          <w:szCs w:val="24"/>
        </w:rPr>
        <w:t xml:space="preserve">rime </w:t>
      </w:r>
      <w:r w:rsidR="00D8255C">
        <w:rPr>
          <w:rFonts w:asciiTheme="minorHAnsi" w:hAnsiTheme="minorHAnsi" w:cs="Times New Roman"/>
          <w:sz w:val="24"/>
          <w:szCs w:val="24"/>
        </w:rPr>
        <w:t>M</w:t>
      </w:r>
      <w:r w:rsidRPr="002F6296">
        <w:rPr>
          <w:rFonts w:asciiTheme="minorHAnsi" w:hAnsiTheme="minorHAnsi" w:cs="Times New Roman"/>
          <w:sz w:val="24"/>
          <w:szCs w:val="24"/>
        </w:rPr>
        <w:t xml:space="preserve">inister the following questions.  </w:t>
      </w:r>
      <w:r w:rsidR="001C5E27">
        <w:rPr>
          <w:rFonts w:asciiTheme="minorHAnsi" w:hAnsiTheme="minorHAnsi" w:cs="Times New Roman"/>
          <w:sz w:val="24"/>
          <w:szCs w:val="24"/>
        </w:rPr>
        <w:t>First, w</w:t>
      </w:r>
      <w:r w:rsidRPr="002F6296">
        <w:rPr>
          <w:rFonts w:asciiTheme="minorHAnsi" w:hAnsiTheme="minorHAnsi" w:cs="Times New Roman"/>
          <w:sz w:val="24"/>
          <w:szCs w:val="24"/>
        </w:rPr>
        <w:t xml:space="preserve">hat plans does </w:t>
      </w:r>
      <w:r w:rsidR="008838E3">
        <w:rPr>
          <w:rFonts w:asciiTheme="minorHAnsi" w:hAnsiTheme="minorHAnsi" w:cs="Times New Roman"/>
          <w:sz w:val="24"/>
          <w:szCs w:val="24"/>
        </w:rPr>
        <w:t>the</w:t>
      </w:r>
      <w:r w:rsidR="008838E3" w:rsidRPr="002F6296">
        <w:rPr>
          <w:rFonts w:asciiTheme="minorHAnsi" w:hAnsiTheme="minorHAnsi" w:cs="Times New Roman"/>
          <w:sz w:val="24"/>
          <w:szCs w:val="24"/>
        </w:rPr>
        <w:t xml:space="preserve"> </w:t>
      </w:r>
      <w:r w:rsidR="00473AF5">
        <w:rPr>
          <w:rFonts w:asciiTheme="minorHAnsi" w:hAnsiTheme="minorHAnsi" w:cs="Times New Roman"/>
          <w:sz w:val="24"/>
          <w:szCs w:val="24"/>
        </w:rPr>
        <w:t>g</w:t>
      </w:r>
      <w:r w:rsidRPr="002F6296">
        <w:rPr>
          <w:rFonts w:asciiTheme="minorHAnsi" w:hAnsiTheme="minorHAnsi" w:cs="Times New Roman"/>
          <w:sz w:val="24"/>
          <w:szCs w:val="24"/>
        </w:rPr>
        <w:t xml:space="preserve">overnment have to </w:t>
      </w:r>
      <w:r w:rsidR="00397AD6" w:rsidRPr="002F6296">
        <w:rPr>
          <w:rFonts w:asciiTheme="minorHAnsi" w:hAnsiTheme="minorHAnsi" w:cs="Times New Roman"/>
          <w:sz w:val="24"/>
          <w:szCs w:val="24"/>
        </w:rPr>
        <w:t>follow-up</w:t>
      </w:r>
      <w:r w:rsidRPr="002F6296">
        <w:rPr>
          <w:rFonts w:asciiTheme="minorHAnsi" w:hAnsiTheme="minorHAnsi" w:cs="Times New Roman"/>
          <w:sz w:val="24"/>
          <w:szCs w:val="24"/>
        </w:rPr>
        <w:t xml:space="preserve"> the presentation</w:t>
      </w:r>
      <w:r w:rsidR="0045510A" w:rsidRPr="002F6296">
        <w:rPr>
          <w:rFonts w:asciiTheme="minorHAnsi" w:hAnsiTheme="minorHAnsi" w:cs="Times New Roman"/>
          <w:sz w:val="24"/>
          <w:szCs w:val="24"/>
        </w:rPr>
        <w:t xml:space="preserve"> of the VNR at national and sub-</w:t>
      </w:r>
      <w:r w:rsidRPr="002F6296">
        <w:rPr>
          <w:rFonts w:asciiTheme="minorHAnsi" w:hAnsiTheme="minorHAnsi" w:cs="Times New Roman"/>
          <w:sz w:val="24"/>
          <w:szCs w:val="24"/>
        </w:rPr>
        <w:t xml:space="preserve">national levels after the HLPF? </w:t>
      </w:r>
      <w:r w:rsidR="00985D64">
        <w:rPr>
          <w:rFonts w:asciiTheme="minorHAnsi" w:hAnsiTheme="minorHAnsi" w:cs="Times New Roman"/>
          <w:sz w:val="24"/>
          <w:szCs w:val="24"/>
        </w:rPr>
        <w:t>S</w:t>
      </w:r>
      <w:r w:rsidRPr="002F6296">
        <w:rPr>
          <w:rFonts w:asciiTheme="minorHAnsi" w:hAnsiTheme="minorHAnsi" w:cs="Times New Roman"/>
          <w:sz w:val="24"/>
          <w:szCs w:val="24"/>
        </w:rPr>
        <w:t xml:space="preserve">econdly, how </w:t>
      </w:r>
      <w:r w:rsidR="00986125">
        <w:rPr>
          <w:rFonts w:asciiTheme="minorHAnsi" w:hAnsiTheme="minorHAnsi" w:cs="Times New Roman"/>
          <w:sz w:val="24"/>
          <w:szCs w:val="24"/>
        </w:rPr>
        <w:t xml:space="preserve">will the State </w:t>
      </w:r>
      <w:r w:rsidRPr="002F6296">
        <w:rPr>
          <w:rFonts w:asciiTheme="minorHAnsi" w:hAnsiTheme="minorHAnsi" w:cs="Times New Roman"/>
          <w:sz w:val="24"/>
          <w:szCs w:val="24"/>
        </w:rPr>
        <w:t>ensure that data on progress is disaggr</w:t>
      </w:r>
      <w:r w:rsidR="0045510A" w:rsidRPr="002F6296">
        <w:rPr>
          <w:rFonts w:asciiTheme="minorHAnsi" w:hAnsiTheme="minorHAnsi" w:cs="Times New Roman"/>
          <w:sz w:val="24"/>
          <w:szCs w:val="24"/>
        </w:rPr>
        <w:t xml:space="preserve">egated by income, sex, </w:t>
      </w:r>
      <w:r w:rsidRPr="002F6296">
        <w:rPr>
          <w:rFonts w:asciiTheme="minorHAnsi" w:hAnsiTheme="minorHAnsi" w:cs="Times New Roman"/>
          <w:sz w:val="24"/>
          <w:szCs w:val="24"/>
        </w:rPr>
        <w:t xml:space="preserve">race, </w:t>
      </w:r>
      <w:r w:rsidR="00C961C2">
        <w:rPr>
          <w:rFonts w:asciiTheme="minorHAnsi" w:hAnsiTheme="minorHAnsi" w:cs="Times New Roman"/>
          <w:sz w:val="24"/>
          <w:szCs w:val="24"/>
        </w:rPr>
        <w:t>ethnicity</w:t>
      </w:r>
      <w:r w:rsidRPr="002F6296">
        <w:rPr>
          <w:rFonts w:asciiTheme="minorHAnsi" w:hAnsiTheme="minorHAnsi" w:cs="Times New Roman"/>
          <w:sz w:val="24"/>
          <w:szCs w:val="24"/>
        </w:rPr>
        <w:t xml:space="preserve">, migration status, disability and geographic location </w:t>
      </w:r>
      <w:r w:rsidR="00C961C2">
        <w:rPr>
          <w:rFonts w:asciiTheme="minorHAnsi" w:hAnsiTheme="minorHAnsi" w:cs="Times New Roman"/>
          <w:sz w:val="24"/>
          <w:szCs w:val="24"/>
        </w:rPr>
        <w:t xml:space="preserve">among </w:t>
      </w:r>
      <w:r w:rsidRPr="002F6296">
        <w:rPr>
          <w:rFonts w:asciiTheme="minorHAnsi" w:hAnsiTheme="minorHAnsi" w:cs="Times New Roman"/>
          <w:sz w:val="24"/>
          <w:szCs w:val="24"/>
        </w:rPr>
        <w:t>other characteristics</w:t>
      </w:r>
      <w:r w:rsidR="00453014">
        <w:rPr>
          <w:rFonts w:asciiTheme="minorHAnsi" w:hAnsiTheme="minorHAnsi" w:cs="Times New Roman"/>
          <w:sz w:val="24"/>
          <w:szCs w:val="24"/>
        </w:rPr>
        <w:t>,</w:t>
      </w:r>
      <w:r w:rsidRPr="002F6296">
        <w:rPr>
          <w:rFonts w:asciiTheme="minorHAnsi" w:hAnsiTheme="minorHAnsi" w:cs="Times New Roman"/>
          <w:sz w:val="24"/>
          <w:szCs w:val="24"/>
        </w:rPr>
        <w:t xml:space="preserve"> as agreed in the introduction of the SDG indicators.  </w:t>
      </w:r>
    </w:p>
    <w:p w14:paraId="1BFBC240" w14:textId="77777777" w:rsidR="00BE64BF" w:rsidRDefault="00BE64BF" w:rsidP="000514DE">
      <w:pPr>
        <w:pStyle w:val="PlainText"/>
        <w:spacing w:line="276" w:lineRule="auto"/>
        <w:jc w:val="both"/>
        <w:rPr>
          <w:rFonts w:asciiTheme="minorHAnsi" w:hAnsiTheme="minorHAnsi" w:cs="Times New Roman"/>
          <w:b/>
          <w:sz w:val="24"/>
          <w:szCs w:val="24"/>
        </w:rPr>
      </w:pPr>
    </w:p>
    <w:p w14:paraId="2457C1CE"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 xml:space="preserve">Romania </w:t>
      </w:r>
    </w:p>
    <w:p w14:paraId="55B2CA49" w14:textId="029B7AB4" w:rsidR="000514DE" w:rsidRDefault="004B457E" w:rsidP="00BE64BF">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r w:rsidRPr="002F6296">
        <w:rPr>
          <w:rFonts w:asciiTheme="minorHAnsi" w:hAnsiTheme="minorHAnsi" w:cs="Times New Roman"/>
        </w:rPr>
        <w:t>Following</w:t>
      </w:r>
      <w:r w:rsidR="00891D4D">
        <w:rPr>
          <w:rFonts w:asciiTheme="minorHAnsi" w:hAnsiTheme="minorHAnsi" w:cs="Times New Roman"/>
        </w:rPr>
        <w:t xml:space="preserve"> the VNR presentation by</w:t>
      </w:r>
      <w:r w:rsidRPr="002F6296">
        <w:rPr>
          <w:rFonts w:asciiTheme="minorHAnsi" w:hAnsiTheme="minorHAnsi" w:cs="Times New Roman"/>
        </w:rPr>
        <w:t xml:space="preserve"> </w:t>
      </w:r>
      <w:proofErr w:type="spellStart"/>
      <w:r w:rsidRPr="002F6296">
        <w:rPr>
          <w:rFonts w:asciiTheme="minorHAnsi" w:hAnsiTheme="minorHAnsi" w:cs="Times New Roman"/>
        </w:rPr>
        <w:t>Grațiela-Leocadia</w:t>
      </w:r>
      <w:proofErr w:type="spellEnd"/>
      <w:r w:rsidR="00397AD6">
        <w:rPr>
          <w:rFonts w:asciiTheme="minorHAnsi" w:hAnsiTheme="minorHAnsi" w:cs="Times New Roman"/>
        </w:rPr>
        <w:t xml:space="preserve"> </w:t>
      </w:r>
      <w:proofErr w:type="spellStart"/>
      <w:r w:rsidRPr="002F6296">
        <w:rPr>
          <w:rFonts w:asciiTheme="minorHAnsi" w:hAnsiTheme="minorHAnsi" w:cs="Times New Roman"/>
        </w:rPr>
        <w:t>Gavrilescu</w:t>
      </w:r>
      <w:proofErr w:type="spellEnd"/>
      <w:r w:rsidRPr="002F6296">
        <w:rPr>
          <w:rFonts w:asciiTheme="minorHAnsi" w:hAnsiTheme="minorHAnsi" w:cs="Times New Roman"/>
        </w:rPr>
        <w:t xml:space="preserve">, Vice-Prime Minister and Minister of Environment, </w:t>
      </w:r>
      <w:r w:rsidR="002D534E">
        <w:rPr>
          <w:rFonts w:asciiTheme="minorHAnsi" w:hAnsiTheme="minorHAnsi" w:cs="Times New Roman"/>
        </w:rPr>
        <w:t>a</w:t>
      </w:r>
      <w:r w:rsidR="002D534E" w:rsidRPr="002F6296">
        <w:rPr>
          <w:rFonts w:asciiTheme="minorHAnsi" w:hAnsiTheme="minorHAnsi" w:cs="Times New Roman"/>
        </w:rPr>
        <w:t xml:space="preserve"> </w:t>
      </w:r>
      <w:r w:rsidRPr="002F6296">
        <w:rPr>
          <w:rFonts w:asciiTheme="minorHAnsi" w:hAnsiTheme="minorHAnsi" w:cs="Times New Roman"/>
        </w:rPr>
        <w:t xml:space="preserve">representative </w:t>
      </w:r>
      <w:r w:rsidR="00C73A1E">
        <w:rPr>
          <w:rFonts w:asciiTheme="minorHAnsi" w:hAnsiTheme="minorHAnsi" w:cs="Times New Roman"/>
        </w:rPr>
        <w:t>from</w:t>
      </w:r>
      <w:r w:rsidRPr="002F6296">
        <w:rPr>
          <w:rFonts w:asciiTheme="minorHAnsi" w:hAnsiTheme="minorHAnsi" w:cs="Times New Roman"/>
        </w:rPr>
        <w:t xml:space="preserve"> </w:t>
      </w:r>
      <w:r w:rsidR="001D549B">
        <w:rPr>
          <w:rFonts w:asciiTheme="minorHAnsi" w:hAnsiTheme="minorHAnsi" w:cs="Times New Roman"/>
        </w:rPr>
        <w:t>the Major Group for C</w:t>
      </w:r>
      <w:r w:rsidRPr="002F6296">
        <w:rPr>
          <w:rFonts w:asciiTheme="minorHAnsi" w:hAnsiTheme="minorHAnsi" w:cs="Times New Roman"/>
        </w:rPr>
        <w:t xml:space="preserve">hildren and </w:t>
      </w:r>
      <w:r w:rsidR="001D549B">
        <w:rPr>
          <w:rFonts w:asciiTheme="minorHAnsi" w:hAnsiTheme="minorHAnsi" w:cs="Times New Roman"/>
        </w:rPr>
        <w:t>Y</w:t>
      </w:r>
      <w:r w:rsidRPr="002F6296">
        <w:rPr>
          <w:rFonts w:asciiTheme="minorHAnsi" w:hAnsiTheme="minorHAnsi" w:cs="Times New Roman"/>
        </w:rPr>
        <w:t xml:space="preserve">outh highlighted that </w:t>
      </w:r>
      <w:r w:rsidR="00973B0E">
        <w:rPr>
          <w:rFonts w:asciiTheme="minorHAnsi" w:hAnsiTheme="minorHAnsi" w:cs="Times New Roman"/>
        </w:rPr>
        <w:t xml:space="preserve">there is agreement </w:t>
      </w:r>
      <w:r w:rsidRPr="002F6296">
        <w:rPr>
          <w:rFonts w:asciiTheme="minorHAnsi" w:hAnsiTheme="minorHAnsi" w:cs="Times New Roman"/>
        </w:rPr>
        <w:t xml:space="preserve">that the 2030 </w:t>
      </w:r>
      <w:r w:rsidR="00973B0E">
        <w:rPr>
          <w:rFonts w:asciiTheme="minorHAnsi" w:hAnsiTheme="minorHAnsi" w:cs="Times New Roman"/>
        </w:rPr>
        <w:t>A</w:t>
      </w:r>
      <w:r w:rsidRPr="002F6296">
        <w:rPr>
          <w:rFonts w:asciiTheme="minorHAnsi" w:hAnsiTheme="minorHAnsi" w:cs="Times New Roman"/>
        </w:rPr>
        <w:t xml:space="preserve">genda represents an extraordinary opportunity to create equitable progress and ensure the fulfillment of the rights for the most vulnerable and marginalized groups in society.  </w:t>
      </w:r>
      <w:bookmarkStart w:id="52" w:name="_Hlk525772585"/>
      <w:r w:rsidRPr="002F6296">
        <w:rPr>
          <w:rFonts w:asciiTheme="minorHAnsi" w:hAnsiTheme="minorHAnsi" w:cs="Times New Roman"/>
        </w:rPr>
        <w:t xml:space="preserve">While there has been </w:t>
      </w:r>
      <w:r w:rsidR="00A93F6A" w:rsidRPr="002F6296">
        <w:rPr>
          <w:rFonts w:asciiTheme="minorHAnsi" w:hAnsiTheme="minorHAnsi" w:cs="Times New Roman"/>
        </w:rPr>
        <w:t xml:space="preserve">an </w:t>
      </w:r>
      <w:r w:rsidRPr="002F6296">
        <w:rPr>
          <w:rFonts w:asciiTheme="minorHAnsi" w:hAnsiTheme="minorHAnsi" w:cs="Times New Roman"/>
        </w:rPr>
        <w:t xml:space="preserve">improvement in the inclusion of such groups in </w:t>
      </w:r>
      <w:r w:rsidR="00A93F6A" w:rsidRPr="002F6296">
        <w:rPr>
          <w:rFonts w:asciiTheme="minorHAnsi" w:hAnsiTheme="minorHAnsi" w:cs="Times New Roman"/>
        </w:rPr>
        <w:t>decision-making</w:t>
      </w:r>
      <w:r w:rsidRPr="002F6296">
        <w:rPr>
          <w:rFonts w:asciiTheme="minorHAnsi" w:hAnsiTheme="minorHAnsi" w:cs="Times New Roman"/>
        </w:rPr>
        <w:t xml:space="preserve"> process</w:t>
      </w:r>
      <w:r w:rsidR="00536614">
        <w:rPr>
          <w:rFonts w:asciiTheme="minorHAnsi" w:hAnsiTheme="minorHAnsi" w:cs="Times New Roman"/>
        </w:rPr>
        <w:t>es</w:t>
      </w:r>
      <w:r w:rsidRPr="002F6296">
        <w:rPr>
          <w:rFonts w:asciiTheme="minorHAnsi" w:hAnsiTheme="minorHAnsi" w:cs="Times New Roman"/>
        </w:rPr>
        <w:t xml:space="preserve"> and their needs are increasingly recognized in policymaking</w:t>
      </w:r>
      <w:r w:rsidR="00B826F9">
        <w:rPr>
          <w:rFonts w:asciiTheme="minorHAnsi" w:hAnsiTheme="minorHAnsi" w:cs="Times New Roman"/>
        </w:rPr>
        <w:t>,</w:t>
      </w:r>
      <w:r w:rsidRPr="002F6296">
        <w:rPr>
          <w:rFonts w:asciiTheme="minorHAnsi" w:hAnsiTheme="minorHAnsi" w:cs="Times New Roman"/>
        </w:rPr>
        <w:t xml:space="preserve"> </w:t>
      </w:r>
      <w:r w:rsidR="00B826F9">
        <w:rPr>
          <w:rFonts w:asciiTheme="minorHAnsi" w:hAnsiTheme="minorHAnsi" w:cs="Times New Roman"/>
        </w:rPr>
        <w:t>society is</w:t>
      </w:r>
      <w:r w:rsidRPr="002F6296">
        <w:rPr>
          <w:rFonts w:asciiTheme="minorHAnsi" w:hAnsiTheme="minorHAnsi" w:cs="Times New Roman"/>
        </w:rPr>
        <w:t xml:space="preserve"> still far from leaving no one behind</w:t>
      </w:r>
      <w:bookmarkEnd w:id="52"/>
      <w:r w:rsidRPr="002F6296">
        <w:rPr>
          <w:rFonts w:asciiTheme="minorHAnsi" w:hAnsiTheme="minorHAnsi" w:cs="Times New Roman"/>
        </w:rPr>
        <w:t xml:space="preserve">.  </w:t>
      </w:r>
      <w:r w:rsidR="00CC420C">
        <w:rPr>
          <w:rFonts w:asciiTheme="minorHAnsi" w:hAnsiTheme="minorHAnsi" w:cs="Times New Roman"/>
        </w:rPr>
        <w:t>I</w:t>
      </w:r>
      <w:r w:rsidRPr="002F6296">
        <w:rPr>
          <w:rFonts w:asciiTheme="minorHAnsi" w:hAnsiTheme="minorHAnsi" w:cs="Times New Roman"/>
        </w:rPr>
        <w:t xml:space="preserve">n that context, </w:t>
      </w:r>
      <w:r w:rsidR="00F24DCE">
        <w:rPr>
          <w:rFonts w:asciiTheme="minorHAnsi" w:hAnsiTheme="minorHAnsi" w:cs="Times New Roman"/>
        </w:rPr>
        <w:t>the representative noted that</w:t>
      </w:r>
      <w:r w:rsidR="00646C74">
        <w:rPr>
          <w:rFonts w:asciiTheme="minorHAnsi" w:hAnsiTheme="minorHAnsi" w:cs="Times New Roman"/>
        </w:rPr>
        <w:t xml:space="preserve"> </w:t>
      </w:r>
      <w:r w:rsidRPr="002F6296">
        <w:rPr>
          <w:rFonts w:asciiTheme="minorHAnsi" w:hAnsiTheme="minorHAnsi" w:cs="Times New Roman"/>
        </w:rPr>
        <w:t>the Romanian VNR underline</w:t>
      </w:r>
      <w:r w:rsidR="00CC420C">
        <w:rPr>
          <w:rFonts w:asciiTheme="minorHAnsi" w:hAnsiTheme="minorHAnsi" w:cs="Times New Roman"/>
        </w:rPr>
        <w:t>d</w:t>
      </w:r>
      <w:r w:rsidRPr="002F6296">
        <w:rPr>
          <w:rFonts w:asciiTheme="minorHAnsi" w:hAnsiTheme="minorHAnsi" w:cs="Times New Roman"/>
        </w:rPr>
        <w:t xml:space="preserve"> the importance of education for the universal achievement of SDGs, </w:t>
      </w:r>
      <w:r w:rsidR="00580885">
        <w:rPr>
          <w:rFonts w:asciiTheme="minorHAnsi" w:hAnsiTheme="minorHAnsi" w:cs="Times New Roman"/>
        </w:rPr>
        <w:t xml:space="preserve">but the representative </w:t>
      </w:r>
      <w:r w:rsidR="00191319">
        <w:rPr>
          <w:rFonts w:asciiTheme="minorHAnsi" w:hAnsiTheme="minorHAnsi" w:cs="Times New Roman"/>
        </w:rPr>
        <w:t>wanted to know</w:t>
      </w:r>
      <w:r w:rsidR="00580885">
        <w:rPr>
          <w:rFonts w:asciiTheme="minorHAnsi" w:hAnsiTheme="minorHAnsi" w:cs="Times New Roman"/>
        </w:rPr>
        <w:t xml:space="preserve"> </w:t>
      </w:r>
      <w:r w:rsidRPr="002F6296">
        <w:rPr>
          <w:rFonts w:asciiTheme="minorHAnsi" w:hAnsiTheme="minorHAnsi" w:cs="Times New Roman"/>
        </w:rPr>
        <w:t>how Romania</w:t>
      </w:r>
      <w:r w:rsidR="007034CE">
        <w:rPr>
          <w:rFonts w:asciiTheme="minorHAnsi" w:hAnsiTheme="minorHAnsi" w:cs="Times New Roman"/>
        </w:rPr>
        <w:t xml:space="preserve"> </w:t>
      </w:r>
      <w:r w:rsidRPr="002F6296">
        <w:rPr>
          <w:rFonts w:asciiTheme="minorHAnsi" w:hAnsiTheme="minorHAnsi" w:cs="Times New Roman"/>
        </w:rPr>
        <w:t>plann</w:t>
      </w:r>
      <w:r w:rsidR="007034CE">
        <w:rPr>
          <w:rFonts w:asciiTheme="minorHAnsi" w:hAnsiTheme="minorHAnsi" w:cs="Times New Roman"/>
        </w:rPr>
        <w:t>ed</w:t>
      </w:r>
      <w:r w:rsidRPr="002F6296">
        <w:rPr>
          <w:rFonts w:asciiTheme="minorHAnsi" w:hAnsiTheme="minorHAnsi" w:cs="Times New Roman"/>
        </w:rPr>
        <w:t xml:space="preserve"> to make it more inclusive and equitable for children with </w:t>
      </w:r>
      <w:r w:rsidR="00A93F6A" w:rsidRPr="002F6296">
        <w:rPr>
          <w:rFonts w:asciiTheme="minorHAnsi" w:hAnsiTheme="minorHAnsi" w:cs="Times New Roman"/>
        </w:rPr>
        <w:t>disabilities</w:t>
      </w:r>
      <w:r w:rsidR="00580885">
        <w:rPr>
          <w:rFonts w:asciiTheme="minorHAnsi" w:hAnsiTheme="minorHAnsi" w:cs="Times New Roman"/>
        </w:rPr>
        <w:t>.</w:t>
      </w:r>
      <w:r w:rsidRPr="002F6296">
        <w:rPr>
          <w:rFonts w:asciiTheme="minorHAnsi" w:hAnsiTheme="minorHAnsi" w:cs="Times New Roman"/>
        </w:rPr>
        <w:t xml:space="preserve">  Secondly, </w:t>
      </w:r>
      <w:r w:rsidR="00CE7B02">
        <w:rPr>
          <w:rFonts w:asciiTheme="minorHAnsi" w:hAnsiTheme="minorHAnsi" w:cs="Times New Roman"/>
        </w:rPr>
        <w:t xml:space="preserve">the representative noted that </w:t>
      </w:r>
      <w:r w:rsidRPr="002F6296">
        <w:rPr>
          <w:rFonts w:asciiTheme="minorHAnsi" w:hAnsiTheme="minorHAnsi" w:cs="Times New Roman"/>
        </w:rPr>
        <w:t>while the VNR highlight</w:t>
      </w:r>
      <w:r w:rsidR="00D276CC">
        <w:rPr>
          <w:rFonts w:asciiTheme="minorHAnsi" w:hAnsiTheme="minorHAnsi" w:cs="Times New Roman"/>
        </w:rPr>
        <w:t>ed</w:t>
      </w:r>
      <w:r w:rsidRPr="002F6296">
        <w:rPr>
          <w:rFonts w:asciiTheme="minorHAnsi" w:hAnsiTheme="minorHAnsi" w:cs="Times New Roman"/>
        </w:rPr>
        <w:t xml:space="preserve"> the need for additional measures to protect </w:t>
      </w:r>
      <w:r w:rsidR="00D276CC">
        <w:rPr>
          <w:rFonts w:asciiTheme="minorHAnsi" w:hAnsiTheme="minorHAnsi" w:cs="Times New Roman"/>
        </w:rPr>
        <w:t>marginalized</w:t>
      </w:r>
      <w:r w:rsidR="00D276CC" w:rsidRPr="002F6296">
        <w:rPr>
          <w:rFonts w:asciiTheme="minorHAnsi" w:hAnsiTheme="minorHAnsi" w:cs="Times New Roman"/>
        </w:rPr>
        <w:t xml:space="preserve"> </w:t>
      </w:r>
      <w:r w:rsidRPr="002F6296">
        <w:rPr>
          <w:rFonts w:asciiTheme="minorHAnsi" w:hAnsiTheme="minorHAnsi" w:cs="Times New Roman"/>
        </w:rPr>
        <w:t xml:space="preserve">groups in general, it </w:t>
      </w:r>
      <w:r w:rsidR="00CB0655" w:rsidRPr="002F6296">
        <w:rPr>
          <w:rFonts w:asciiTheme="minorHAnsi" w:hAnsiTheme="minorHAnsi" w:cs="Times New Roman"/>
        </w:rPr>
        <w:t>d</w:t>
      </w:r>
      <w:r w:rsidR="00CB0655">
        <w:rPr>
          <w:rFonts w:asciiTheme="minorHAnsi" w:hAnsiTheme="minorHAnsi" w:cs="Times New Roman"/>
        </w:rPr>
        <w:t>id</w:t>
      </w:r>
      <w:r w:rsidR="00CB0655" w:rsidRPr="002F6296">
        <w:rPr>
          <w:rFonts w:asciiTheme="minorHAnsi" w:hAnsiTheme="minorHAnsi" w:cs="Times New Roman"/>
        </w:rPr>
        <w:t xml:space="preserve"> </w:t>
      </w:r>
      <w:r w:rsidRPr="002F6296">
        <w:rPr>
          <w:rFonts w:asciiTheme="minorHAnsi" w:hAnsiTheme="minorHAnsi" w:cs="Times New Roman"/>
        </w:rPr>
        <w:t xml:space="preserve">not address the specific rights violations of groups such as the </w:t>
      </w:r>
      <w:r w:rsidR="00BA762B" w:rsidRPr="00FF73DA">
        <w:rPr>
          <w:rFonts w:asciiTheme="minorHAnsi" w:hAnsiTheme="minorHAnsi" w:cs="Times New Roman"/>
        </w:rPr>
        <w:t xml:space="preserve">LGBTQI </w:t>
      </w:r>
      <w:r w:rsidR="0003169F">
        <w:rPr>
          <w:rFonts w:asciiTheme="minorHAnsi" w:hAnsiTheme="minorHAnsi" w:cs="Times New Roman"/>
        </w:rPr>
        <w:t xml:space="preserve">or </w:t>
      </w:r>
      <w:r w:rsidRPr="002F6296">
        <w:rPr>
          <w:rFonts w:asciiTheme="minorHAnsi" w:hAnsiTheme="minorHAnsi" w:cs="Times New Roman"/>
        </w:rPr>
        <w:t xml:space="preserve">persons with disabilities.  These groups are at increased risk of homelessness and precarious housing due to the social exclusion they experience. </w:t>
      </w:r>
      <w:r w:rsidR="009D09A6">
        <w:rPr>
          <w:rFonts w:asciiTheme="minorHAnsi" w:hAnsiTheme="minorHAnsi" w:cs="Times New Roman"/>
        </w:rPr>
        <w:t>The representative asked if</w:t>
      </w:r>
      <w:r w:rsidRPr="002F6296">
        <w:rPr>
          <w:rFonts w:asciiTheme="minorHAnsi" w:hAnsiTheme="minorHAnsi" w:cs="Times New Roman"/>
        </w:rPr>
        <w:t xml:space="preserve"> there</w:t>
      </w:r>
      <w:r w:rsidR="009D09A6">
        <w:rPr>
          <w:rFonts w:asciiTheme="minorHAnsi" w:hAnsiTheme="minorHAnsi" w:cs="Times New Roman"/>
        </w:rPr>
        <w:t xml:space="preserve"> are</w:t>
      </w:r>
      <w:r w:rsidRPr="002F6296">
        <w:rPr>
          <w:rFonts w:asciiTheme="minorHAnsi" w:hAnsiTheme="minorHAnsi" w:cs="Times New Roman"/>
        </w:rPr>
        <w:t xml:space="preserve"> any measures to target these rights violations of the </w:t>
      </w:r>
      <w:r w:rsidR="00C108FC">
        <w:rPr>
          <w:rFonts w:asciiTheme="minorHAnsi" w:hAnsiTheme="minorHAnsi" w:cs="Times New Roman"/>
        </w:rPr>
        <w:t>afore</w:t>
      </w:r>
      <w:r w:rsidRPr="002F6296">
        <w:rPr>
          <w:rFonts w:asciiTheme="minorHAnsi" w:hAnsiTheme="minorHAnsi" w:cs="Times New Roman"/>
        </w:rPr>
        <w:t>mentioned groups, in Romania</w:t>
      </w:r>
      <w:r w:rsidR="00570C0F">
        <w:rPr>
          <w:rFonts w:asciiTheme="minorHAnsi" w:hAnsiTheme="minorHAnsi" w:cs="Times New Roman"/>
        </w:rPr>
        <w:t>’s</w:t>
      </w:r>
      <w:r w:rsidRPr="002F6296">
        <w:rPr>
          <w:rFonts w:asciiTheme="minorHAnsi" w:hAnsiTheme="minorHAnsi" w:cs="Times New Roman"/>
        </w:rPr>
        <w:t xml:space="preserve"> strategy for the achievement</w:t>
      </w:r>
      <w:r w:rsidR="006C353B">
        <w:rPr>
          <w:rFonts w:asciiTheme="minorHAnsi" w:hAnsiTheme="minorHAnsi" w:cs="Times New Roman"/>
        </w:rPr>
        <w:t xml:space="preserve"> of SDG</w:t>
      </w:r>
      <w:r w:rsidRPr="002F6296">
        <w:rPr>
          <w:rFonts w:asciiTheme="minorHAnsi" w:hAnsiTheme="minorHAnsi" w:cs="Times New Roman"/>
        </w:rPr>
        <w:t xml:space="preserve"> 6, 11, and 15</w:t>
      </w:r>
      <w:r w:rsidR="006C353B">
        <w:rPr>
          <w:rFonts w:asciiTheme="minorHAnsi" w:hAnsiTheme="minorHAnsi" w:cs="Times New Roman"/>
        </w:rPr>
        <w:t>.</w:t>
      </w:r>
    </w:p>
    <w:p w14:paraId="4707332D" w14:textId="77777777" w:rsidR="00BE64BF" w:rsidRDefault="00BE64BF" w:rsidP="00BE64BF">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b/>
        </w:rPr>
      </w:pPr>
    </w:p>
    <w:p w14:paraId="7A432B52"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Malta</w:t>
      </w:r>
    </w:p>
    <w:p w14:paraId="7DE1F128" w14:textId="5C1201AB" w:rsidR="004B457E" w:rsidRDefault="004B457E" w:rsidP="002F6296">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r w:rsidRPr="002F6296">
        <w:rPr>
          <w:rFonts w:asciiTheme="minorHAnsi" w:hAnsiTheme="minorHAnsi" w:cs="Times New Roman"/>
        </w:rPr>
        <w:t xml:space="preserve">Presenting </w:t>
      </w:r>
      <w:r w:rsidRPr="00115672">
        <w:rPr>
          <w:rFonts w:asciiTheme="minorHAnsi" w:hAnsiTheme="minorHAnsi" w:cs="Times New Roman"/>
        </w:rPr>
        <w:t>Malta’</w:t>
      </w:r>
      <w:r w:rsidRPr="002F6296">
        <w:rPr>
          <w:rFonts w:asciiTheme="minorHAnsi" w:hAnsiTheme="minorHAnsi" w:cs="Times New Roman"/>
        </w:rPr>
        <w:t>s VNR, Carmelo Abela, Minister for Foreign Affairs and Trade Promotion</w:t>
      </w:r>
      <w:r w:rsidR="000E1A05">
        <w:rPr>
          <w:rFonts w:asciiTheme="minorHAnsi" w:hAnsiTheme="minorHAnsi" w:cs="Times New Roman"/>
        </w:rPr>
        <w:t>,</w:t>
      </w:r>
      <w:r w:rsidRPr="002F6296">
        <w:rPr>
          <w:rFonts w:asciiTheme="minorHAnsi" w:hAnsiTheme="minorHAnsi" w:cs="Times New Roman"/>
        </w:rPr>
        <w:t xml:space="preserve"> highlighted </w:t>
      </w:r>
      <w:r w:rsidR="00397AD6" w:rsidRPr="002F6296">
        <w:rPr>
          <w:rFonts w:asciiTheme="minorHAnsi" w:hAnsiTheme="minorHAnsi" w:cs="Times New Roman"/>
        </w:rPr>
        <w:t>that Malta</w:t>
      </w:r>
      <w:r w:rsidRPr="002F6296">
        <w:rPr>
          <w:rFonts w:asciiTheme="minorHAnsi" w:hAnsiTheme="minorHAnsi" w:cs="Times New Roman"/>
        </w:rPr>
        <w:t xml:space="preserve"> is sensitive to the rights and needs </w:t>
      </w:r>
      <w:r w:rsidR="000E1A05">
        <w:rPr>
          <w:rFonts w:asciiTheme="minorHAnsi" w:hAnsiTheme="minorHAnsi" w:cs="Times New Roman"/>
        </w:rPr>
        <w:t>of</w:t>
      </w:r>
      <w:r w:rsidR="000E1A05" w:rsidRPr="002F6296">
        <w:rPr>
          <w:rFonts w:asciiTheme="minorHAnsi" w:hAnsiTheme="minorHAnsi" w:cs="Times New Roman"/>
        </w:rPr>
        <w:t xml:space="preserve"> </w:t>
      </w:r>
      <w:r w:rsidRPr="002F6296">
        <w:rPr>
          <w:rFonts w:asciiTheme="minorHAnsi" w:hAnsiTheme="minorHAnsi" w:cs="Times New Roman"/>
        </w:rPr>
        <w:t>persons with disabiliti</w:t>
      </w:r>
      <w:r w:rsidR="002C2DEE" w:rsidRPr="002F6296">
        <w:rPr>
          <w:rFonts w:asciiTheme="minorHAnsi" w:hAnsiTheme="minorHAnsi" w:cs="Times New Roman"/>
        </w:rPr>
        <w:t>es</w:t>
      </w:r>
      <w:r w:rsidR="00587572">
        <w:rPr>
          <w:rFonts w:asciiTheme="minorHAnsi" w:hAnsiTheme="minorHAnsi" w:cs="Times New Roman"/>
        </w:rPr>
        <w:t>.</w:t>
      </w:r>
      <w:r w:rsidR="002C2DEE" w:rsidRPr="002F6296">
        <w:rPr>
          <w:rFonts w:asciiTheme="minorHAnsi" w:hAnsiTheme="minorHAnsi" w:cs="Times New Roman"/>
        </w:rPr>
        <w:t xml:space="preserve"> </w:t>
      </w:r>
      <w:r w:rsidR="00587572">
        <w:rPr>
          <w:rFonts w:asciiTheme="minorHAnsi" w:hAnsiTheme="minorHAnsi" w:cs="Times New Roman"/>
        </w:rPr>
        <w:t>Employers are required</w:t>
      </w:r>
      <w:r w:rsidRPr="002F6296">
        <w:rPr>
          <w:rFonts w:asciiTheme="minorHAnsi" w:hAnsiTheme="minorHAnsi" w:cs="Times New Roman"/>
        </w:rPr>
        <w:t xml:space="preserve"> to ensure that 2% of their workforce is made up of persons with disabilities when the total workforce comprises more than 20 staff.  </w:t>
      </w:r>
      <w:r w:rsidR="0070504C">
        <w:rPr>
          <w:rFonts w:asciiTheme="minorHAnsi" w:hAnsiTheme="minorHAnsi" w:cs="Times New Roman"/>
        </w:rPr>
        <w:t xml:space="preserve"> As an incentive, these employers benefit from a tax reduction.</w:t>
      </w:r>
    </w:p>
    <w:p w14:paraId="1896E075" w14:textId="77777777" w:rsidR="007415DA" w:rsidRPr="002F6296" w:rsidRDefault="007415DA" w:rsidP="002F6296">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p>
    <w:p w14:paraId="67C9CB87" w14:textId="1245C45E" w:rsidR="007F23DA" w:rsidRDefault="007F23DA" w:rsidP="002F6296">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p>
    <w:p w14:paraId="136B6AFB" w14:textId="7E1B4AD8" w:rsidR="007F23DA" w:rsidRPr="00D549AB" w:rsidRDefault="007F23DA" w:rsidP="00FF73DA">
      <w:pPr>
        <w:rPr>
          <w:rFonts w:cstheme="minorHAnsi"/>
        </w:rPr>
      </w:pPr>
      <w:r w:rsidRPr="00FF73DA">
        <w:rPr>
          <w:rFonts w:cstheme="minorHAnsi"/>
          <w:color w:val="000000"/>
          <w:sz w:val="24"/>
          <w:szCs w:val="24"/>
          <w:shd w:val="clear" w:color="auto" w:fill="FFFFFF"/>
        </w:rPr>
        <w:t> </w:t>
      </w:r>
      <w:r w:rsidRPr="00FF73DA">
        <w:rPr>
          <w:rFonts w:cstheme="minorHAnsi"/>
          <w:color w:val="222222"/>
          <w:sz w:val="24"/>
          <w:szCs w:val="24"/>
          <w:shd w:val="clear" w:color="auto" w:fill="FFFFFF"/>
        </w:rPr>
        <w:t>Megan Smith, I</w:t>
      </w:r>
      <w:r>
        <w:rPr>
          <w:rFonts w:cstheme="minorHAnsi"/>
          <w:color w:val="222222"/>
          <w:sz w:val="24"/>
          <w:szCs w:val="24"/>
          <w:shd w:val="clear" w:color="auto" w:fill="FFFFFF"/>
        </w:rPr>
        <w:t xml:space="preserve">nternational </w:t>
      </w:r>
      <w:r w:rsidRPr="00FF73DA">
        <w:rPr>
          <w:rFonts w:cstheme="minorHAnsi"/>
          <w:color w:val="222222"/>
          <w:sz w:val="24"/>
          <w:szCs w:val="24"/>
          <w:shd w:val="clear" w:color="auto" w:fill="FFFFFF"/>
        </w:rPr>
        <w:t>D</w:t>
      </w:r>
      <w:r>
        <w:rPr>
          <w:rFonts w:cstheme="minorHAnsi"/>
          <w:color w:val="222222"/>
          <w:sz w:val="24"/>
          <w:szCs w:val="24"/>
          <w:shd w:val="clear" w:color="auto" w:fill="FFFFFF"/>
        </w:rPr>
        <w:t xml:space="preserve">isability </w:t>
      </w:r>
      <w:r w:rsidRPr="00FF73DA">
        <w:rPr>
          <w:rFonts w:cstheme="minorHAnsi"/>
          <w:color w:val="222222"/>
          <w:sz w:val="24"/>
          <w:szCs w:val="24"/>
          <w:shd w:val="clear" w:color="auto" w:fill="FFFFFF"/>
        </w:rPr>
        <w:t>A</w:t>
      </w:r>
      <w:r>
        <w:rPr>
          <w:rFonts w:cstheme="minorHAnsi"/>
          <w:color w:val="222222"/>
          <w:sz w:val="24"/>
          <w:szCs w:val="24"/>
          <w:shd w:val="clear" w:color="auto" w:fill="FFFFFF"/>
        </w:rPr>
        <w:t>lliance,</w:t>
      </w:r>
      <w:r w:rsidRPr="00FF73DA">
        <w:rPr>
          <w:rFonts w:cstheme="minorHAnsi"/>
          <w:color w:val="222222"/>
          <w:sz w:val="24"/>
          <w:szCs w:val="24"/>
          <w:shd w:val="clear" w:color="auto" w:fill="FFFFFF"/>
        </w:rPr>
        <w:t xml:space="preserve"> asked the Government of </w:t>
      </w:r>
      <w:r w:rsidRPr="00FF73DA">
        <w:rPr>
          <w:rFonts w:cstheme="minorHAnsi"/>
          <w:bCs/>
          <w:color w:val="222222"/>
          <w:sz w:val="24"/>
          <w:szCs w:val="24"/>
          <w:shd w:val="clear" w:color="auto" w:fill="FFFFFF"/>
        </w:rPr>
        <w:t>Malta</w:t>
      </w:r>
      <w:r w:rsidRPr="00FF73DA">
        <w:rPr>
          <w:rFonts w:cstheme="minorHAnsi"/>
          <w:color w:val="222222"/>
          <w:sz w:val="24"/>
          <w:szCs w:val="24"/>
          <w:shd w:val="clear" w:color="auto" w:fill="FFFFFF"/>
        </w:rPr>
        <w:t>: “</w:t>
      </w:r>
      <w:r w:rsidRPr="00FF73DA">
        <w:rPr>
          <w:rFonts w:cstheme="minorHAnsi"/>
          <w:color w:val="000000"/>
          <w:sz w:val="24"/>
          <w:szCs w:val="24"/>
          <w:shd w:val="clear" w:color="auto" w:fill="FFFFFF"/>
        </w:rPr>
        <w:t>What is being done to make sure that Malta provides universal access to persons with disabilities? What do you do to ensure persons with disabilities do not fall into the poverty trap?”</w:t>
      </w:r>
      <w:r w:rsidRPr="00FF73DA">
        <w:rPr>
          <w:rFonts w:cstheme="minorHAnsi"/>
          <w:color w:val="222222"/>
          <w:sz w:val="24"/>
          <w:szCs w:val="24"/>
          <w:shd w:val="clear" w:color="auto" w:fill="FFFFFF"/>
        </w:rPr>
        <w:t> </w:t>
      </w:r>
      <w:hyperlink r:id="rId25" w:tgtFrame="_blank" w:history="1">
        <w:r w:rsidRPr="00FF73DA">
          <w:rPr>
            <w:rStyle w:val="Hyperlink"/>
            <w:rFonts w:cstheme="minorHAnsi"/>
            <w:b/>
            <w:bCs/>
            <w:sz w:val="24"/>
            <w:szCs w:val="24"/>
            <w:shd w:val="clear" w:color="auto" w:fill="FFFFFF"/>
          </w:rPr>
          <w:t>Click here to read the statement with questions.</w:t>
        </w:r>
      </w:hyperlink>
    </w:p>
    <w:p w14:paraId="57910DAF" w14:textId="77777777" w:rsidR="00E35B78" w:rsidRPr="002F6296" w:rsidRDefault="00E35B78" w:rsidP="002F6296">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p>
    <w:p w14:paraId="22783E89" w14:textId="228FB1A2" w:rsidR="004B457E" w:rsidRPr="002F6296" w:rsidRDefault="00E35B78" w:rsidP="002F6296">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r w:rsidRPr="00FF73DA">
        <w:rPr>
          <w:rFonts w:asciiTheme="minorHAnsi" w:hAnsiTheme="minorHAnsi" w:cs="Times New Roman"/>
        </w:rPr>
        <w:t xml:space="preserve">The </w:t>
      </w:r>
      <w:r w:rsidR="00FA77A9">
        <w:rPr>
          <w:rFonts w:asciiTheme="minorHAnsi" w:hAnsiTheme="minorHAnsi" w:cs="Times New Roman"/>
        </w:rPr>
        <w:t>Government of Malta</w:t>
      </w:r>
      <w:r w:rsidRPr="00FF73DA">
        <w:rPr>
          <w:rFonts w:asciiTheme="minorHAnsi" w:hAnsiTheme="minorHAnsi" w:cs="Times New Roman"/>
        </w:rPr>
        <w:t xml:space="preserve"> responded that</w:t>
      </w:r>
      <w:r w:rsidR="004B457E" w:rsidRPr="002F6296">
        <w:rPr>
          <w:rFonts w:asciiTheme="minorHAnsi" w:hAnsiTheme="minorHAnsi" w:cs="Times New Roman"/>
        </w:rPr>
        <w:t xml:space="preserve"> there </w:t>
      </w:r>
      <w:r w:rsidR="00101E26">
        <w:rPr>
          <w:rFonts w:asciiTheme="minorHAnsi" w:hAnsiTheme="minorHAnsi" w:cs="Times New Roman"/>
        </w:rPr>
        <w:t xml:space="preserve">are also </w:t>
      </w:r>
      <w:r w:rsidR="004B457E" w:rsidRPr="002F6296">
        <w:rPr>
          <w:rFonts w:asciiTheme="minorHAnsi" w:hAnsiTheme="minorHAnsi" w:cs="Times New Roman"/>
        </w:rPr>
        <w:t>education</w:t>
      </w:r>
      <w:r w:rsidR="00101E26">
        <w:rPr>
          <w:rFonts w:asciiTheme="minorHAnsi" w:hAnsiTheme="minorHAnsi" w:cs="Times New Roman"/>
        </w:rPr>
        <w:t xml:space="preserve"> initiatives</w:t>
      </w:r>
      <w:r w:rsidR="004B457E" w:rsidRPr="002F6296">
        <w:rPr>
          <w:rFonts w:asciiTheme="minorHAnsi" w:hAnsiTheme="minorHAnsi" w:cs="Times New Roman"/>
        </w:rPr>
        <w:t xml:space="preserve"> </w:t>
      </w:r>
      <w:r w:rsidR="00101E26">
        <w:rPr>
          <w:rFonts w:asciiTheme="minorHAnsi" w:hAnsiTheme="minorHAnsi" w:cs="Times New Roman"/>
        </w:rPr>
        <w:t xml:space="preserve">that have been </w:t>
      </w:r>
      <w:r w:rsidR="00B840C9">
        <w:rPr>
          <w:rFonts w:asciiTheme="minorHAnsi" w:hAnsiTheme="minorHAnsi" w:cs="Times New Roman"/>
        </w:rPr>
        <w:t>under</w:t>
      </w:r>
      <w:r w:rsidR="00101E26">
        <w:rPr>
          <w:rFonts w:asciiTheme="minorHAnsi" w:hAnsiTheme="minorHAnsi" w:cs="Times New Roman"/>
        </w:rPr>
        <w:t>taken</w:t>
      </w:r>
      <w:r w:rsidR="00B840C9">
        <w:rPr>
          <w:rFonts w:asciiTheme="minorHAnsi" w:hAnsiTheme="minorHAnsi" w:cs="Times New Roman"/>
        </w:rPr>
        <w:t xml:space="preserve"> </w:t>
      </w:r>
      <w:r w:rsidR="004B457E" w:rsidRPr="002F6296">
        <w:rPr>
          <w:rFonts w:asciiTheme="minorHAnsi" w:hAnsiTheme="minorHAnsi" w:cs="Times New Roman"/>
        </w:rPr>
        <w:t>when it comes to persons with disabilities</w:t>
      </w:r>
      <w:r w:rsidR="00561CA5">
        <w:rPr>
          <w:rFonts w:asciiTheme="minorHAnsi" w:hAnsiTheme="minorHAnsi" w:cs="Times New Roman"/>
        </w:rPr>
        <w:t>.</w:t>
      </w:r>
      <w:r w:rsidR="004B457E" w:rsidRPr="002F6296">
        <w:rPr>
          <w:rFonts w:asciiTheme="minorHAnsi" w:hAnsiTheme="minorHAnsi" w:cs="Times New Roman"/>
        </w:rPr>
        <w:t xml:space="preserve"> </w:t>
      </w:r>
      <w:r w:rsidR="00393E3C">
        <w:rPr>
          <w:rFonts w:asciiTheme="minorHAnsi" w:hAnsiTheme="minorHAnsi" w:cs="Times New Roman"/>
        </w:rPr>
        <w:t xml:space="preserve">The </w:t>
      </w:r>
      <w:r w:rsidR="000E1CF7">
        <w:rPr>
          <w:rFonts w:asciiTheme="minorHAnsi" w:hAnsiTheme="minorHAnsi" w:cs="Times New Roman"/>
        </w:rPr>
        <w:t xml:space="preserve">Government of Malta </w:t>
      </w:r>
      <w:r w:rsidR="00393E3C">
        <w:rPr>
          <w:rFonts w:asciiTheme="minorHAnsi" w:hAnsiTheme="minorHAnsi" w:cs="Times New Roman"/>
        </w:rPr>
        <w:t>noted that f</w:t>
      </w:r>
      <w:r w:rsidR="00561CA5">
        <w:rPr>
          <w:rFonts w:asciiTheme="minorHAnsi" w:hAnsiTheme="minorHAnsi" w:cs="Times New Roman"/>
        </w:rPr>
        <w:t>u</w:t>
      </w:r>
      <w:r w:rsidR="004B457E" w:rsidRPr="002F6296">
        <w:rPr>
          <w:rFonts w:asciiTheme="minorHAnsi" w:hAnsiTheme="minorHAnsi" w:cs="Times New Roman"/>
        </w:rPr>
        <w:t>ll potential</w:t>
      </w:r>
      <w:r w:rsidR="00561CA5">
        <w:rPr>
          <w:rFonts w:asciiTheme="minorHAnsi" w:hAnsiTheme="minorHAnsi" w:cs="Times New Roman"/>
        </w:rPr>
        <w:t xml:space="preserve"> has not been achieved</w:t>
      </w:r>
      <w:r w:rsidR="004B457E" w:rsidRPr="002F6296">
        <w:rPr>
          <w:rFonts w:asciiTheme="minorHAnsi" w:hAnsiTheme="minorHAnsi" w:cs="Times New Roman"/>
        </w:rPr>
        <w:t xml:space="preserve"> in this regard, but there is training for persons with intellectual disabilit</w:t>
      </w:r>
      <w:r w:rsidR="00561CA5">
        <w:rPr>
          <w:rFonts w:asciiTheme="minorHAnsi" w:hAnsiTheme="minorHAnsi" w:cs="Times New Roman"/>
        </w:rPr>
        <w:t>ies</w:t>
      </w:r>
      <w:r w:rsidR="00484944">
        <w:rPr>
          <w:rFonts w:asciiTheme="minorHAnsi" w:hAnsiTheme="minorHAnsi" w:cs="Times New Roman"/>
        </w:rPr>
        <w:t>.</w:t>
      </w:r>
    </w:p>
    <w:p w14:paraId="7A03D52C" w14:textId="77777777" w:rsidR="000514DE" w:rsidRDefault="000514DE" w:rsidP="000514DE">
      <w:pPr>
        <w:pStyle w:val="PlainText"/>
        <w:spacing w:line="276" w:lineRule="auto"/>
        <w:jc w:val="both"/>
        <w:rPr>
          <w:rFonts w:asciiTheme="minorHAnsi" w:hAnsiTheme="minorHAnsi" w:cs="Times New Roman"/>
          <w:b/>
          <w:sz w:val="24"/>
          <w:szCs w:val="24"/>
        </w:rPr>
      </w:pPr>
    </w:p>
    <w:p w14:paraId="0015FD29"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Poland</w:t>
      </w:r>
    </w:p>
    <w:p w14:paraId="669DD141" w14:textId="743CCAF2" w:rsidR="004B457E" w:rsidRDefault="004B457E" w:rsidP="002F6296">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Following the</w:t>
      </w:r>
      <w:r w:rsidR="0019641B">
        <w:rPr>
          <w:rFonts w:asciiTheme="minorHAnsi" w:hAnsiTheme="minorHAnsi" w:cs="Times New Roman"/>
          <w:sz w:val="24"/>
          <w:szCs w:val="24"/>
        </w:rPr>
        <w:t xml:space="preserve"> Polish VNR presentation by</w:t>
      </w:r>
      <w:r w:rsidRPr="002F6296">
        <w:rPr>
          <w:rFonts w:asciiTheme="minorHAnsi" w:hAnsiTheme="minorHAnsi" w:cs="Times New Roman"/>
          <w:sz w:val="24"/>
          <w:szCs w:val="24"/>
        </w:rPr>
        <w:t xml:space="preserve"> </w:t>
      </w:r>
      <w:r w:rsidR="00455134" w:rsidRPr="002F6296">
        <w:rPr>
          <w:rFonts w:asciiTheme="minorHAnsi" w:hAnsiTheme="minorHAnsi" w:cs="Times New Roman"/>
          <w:sz w:val="24"/>
          <w:szCs w:val="24"/>
        </w:rPr>
        <w:t xml:space="preserve">Jadwiga </w:t>
      </w:r>
      <w:proofErr w:type="spellStart"/>
      <w:r w:rsidR="00455134" w:rsidRPr="002F6296">
        <w:rPr>
          <w:rFonts w:asciiTheme="minorHAnsi" w:hAnsiTheme="minorHAnsi" w:cs="Times New Roman"/>
          <w:sz w:val="24"/>
          <w:szCs w:val="24"/>
        </w:rPr>
        <w:t>Emilewicz</w:t>
      </w:r>
      <w:proofErr w:type="spellEnd"/>
      <w:r w:rsidR="00455134">
        <w:rPr>
          <w:rFonts w:asciiTheme="minorHAnsi" w:hAnsiTheme="minorHAnsi" w:cs="Times New Roman"/>
          <w:sz w:val="24"/>
          <w:szCs w:val="24"/>
        </w:rPr>
        <w:t>,</w:t>
      </w:r>
      <w:r w:rsidR="00455134" w:rsidRPr="002F6296">
        <w:rPr>
          <w:rFonts w:asciiTheme="minorHAnsi" w:hAnsiTheme="minorHAnsi" w:cs="Times New Roman"/>
          <w:sz w:val="24"/>
          <w:szCs w:val="24"/>
        </w:rPr>
        <w:t xml:space="preserve"> </w:t>
      </w:r>
      <w:r w:rsidRPr="002F6296">
        <w:rPr>
          <w:rFonts w:asciiTheme="minorHAnsi" w:hAnsiTheme="minorHAnsi" w:cs="Times New Roman"/>
          <w:sz w:val="24"/>
          <w:szCs w:val="24"/>
        </w:rPr>
        <w:t xml:space="preserve">Minister of Entrepreneurship and Technology, Belarus highlighted that Poland is a donor for sustainable development in </w:t>
      </w:r>
      <w:r w:rsidR="004A602D">
        <w:rPr>
          <w:rFonts w:asciiTheme="minorHAnsi" w:hAnsiTheme="minorHAnsi" w:cs="Times New Roman"/>
          <w:sz w:val="24"/>
          <w:szCs w:val="24"/>
        </w:rPr>
        <w:t>their</w:t>
      </w:r>
      <w:r w:rsidRPr="002F6296">
        <w:rPr>
          <w:rFonts w:asciiTheme="minorHAnsi" w:hAnsiTheme="minorHAnsi" w:cs="Times New Roman"/>
          <w:sz w:val="24"/>
          <w:szCs w:val="24"/>
        </w:rPr>
        <w:t xml:space="preserve"> region and, in particular, it's </w:t>
      </w:r>
      <w:r w:rsidR="0096774D">
        <w:rPr>
          <w:rFonts w:asciiTheme="minorHAnsi" w:hAnsiTheme="minorHAnsi" w:cs="Times New Roman"/>
          <w:sz w:val="24"/>
          <w:szCs w:val="24"/>
        </w:rPr>
        <w:t>important</w:t>
      </w:r>
      <w:r w:rsidRPr="002F6296">
        <w:rPr>
          <w:rFonts w:asciiTheme="minorHAnsi" w:hAnsiTheme="minorHAnsi" w:cs="Times New Roman"/>
          <w:sz w:val="24"/>
          <w:szCs w:val="24"/>
        </w:rPr>
        <w:t xml:space="preserve"> to note that in </w:t>
      </w:r>
      <w:r w:rsidR="001216EB">
        <w:rPr>
          <w:rFonts w:asciiTheme="minorHAnsi" w:hAnsiTheme="minorHAnsi" w:cs="Times New Roman"/>
          <w:sz w:val="24"/>
          <w:szCs w:val="24"/>
        </w:rPr>
        <w:t>their</w:t>
      </w:r>
      <w:r w:rsidR="001216EB" w:rsidRPr="002F6296">
        <w:rPr>
          <w:rFonts w:asciiTheme="minorHAnsi" w:hAnsiTheme="minorHAnsi" w:cs="Times New Roman"/>
          <w:sz w:val="24"/>
          <w:szCs w:val="24"/>
        </w:rPr>
        <w:t xml:space="preserve"> </w:t>
      </w:r>
      <w:r w:rsidRPr="002F6296">
        <w:rPr>
          <w:rFonts w:asciiTheme="minorHAnsi" w:hAnsiTheme="minorHAnsi" w:cs="Times New Roman"/>
          <w:sz w:val="24"/>
          <w:szCs w:val="24"/>
        </w:rPr>
        <w:t xml:space="preserve">cooperation with Poland and several Belarus cities, there are projects underway to support </w:t>
      </w:r>
      <w:r w:rsidR="00616B72" w:rsidRPr="002F6296">
        <w:rPr>
          <w:rFonts w:asciiTheme="minorHAnsi" w:hAnsiTheme="minorHAnsi" w:cs="Times New Roman"/>
          <w:sz w:val="24"/>
          <w:szCs w:val="24"/>
        </w:rPr>
        <w:t>pe</w:t>
      </w:r>
      <w:r w:rsidR="00616B72">
        <w:rPr>
          <w:rFonts w:asciiTheme="minorHAnsi" w:hAnsiTheme="minorHAnsi" w:cs="Times New Roman"/>
          <w:sz w:val="24"/>
          <w:szCs w:val="24"/>
        </w:rPr>
        <w:t>rsons</w:t>
      </w:r>
      <w:r w:rsidR="00616B72" w:rsidRPr="002F6296">
        <w:rPr>
          <w:rFonts w:asciiTheme="minorHAnsi" w:hAnsiTheme="minorHAnsi" w:cs="Times New Roman"/>
          <w:sz w:val="24"/>
          <w:szCs w:val="24"/>
        </w:rPr>
        <w:t xml:space="preserve"> </w:t>
      </w:r>
      <w:r w:rsidRPr="002F6296">
        <w:rPr>
          <w:rFonts w:asciiTheme="minorHAnsi" w:hAnsiTheme="minorHAnsi" w:cs="Times New Roman"/>
          <w:sz w:val="24"/>
          <w:szCs w:val="24"/>
        </w:rPr>
        <w:t>with disabilities to ensure their employment</w:t>
      </w:r>
      <w:r w:rsidR="00B807FA">
        <w:rPr>
          <w:rFonts w:asciiTheme="minorHAnsi" w:hAnsiTheme="minorHAnsi" w:cs="Times New Roman"/>
          <w:sz w:val="24"/>
          <w:szCs w:val="24"/>
        </w:rPr>
        <w:t>, especially</w:t>
      </w:r>
      <w:r w:rsidRPr="002F6296">
        <w:rPr>
          <w:rFonts w:asciiTheme="minorHAnsi" w:hAnsiTheme="minorHAnsi" w:cs="Times New Roman"/>
          <w:sz w:val="24"/>
          <w:szCs w:val="24"/>
        </w:rPr>
        <w:t xml:space="preserve"> the employment of young </w:t>
      </w:r>
      <w:r w:rsidR="00B807FA" w:rsidRPr="002F6296">
        <w:rPr>
          <w:rFonts w:asciiTheme="minorHAnsi" w:hAnsiTheme="minorHAnsi" w:cs="Times New Roman"/>
          <w:sz w:val="24"/>
          <w:szCs w:val="24"/>
        </w:rPr>
        <w:t>pe</w:t>
      </w:r>
      <w:r w:rsidR="00B807FA">
        <w:rPr>
          <w:rFonts w:asciiTheme="minorHAnsi" w:hAnsiTheme="minorHAnsi" w:cs="Times New Roman"/>
          <w:sz w:val="24"/>
          <w:szCs w:val="24"/>
        </w:rPr>
        <w:t>rsons</w:t>
      </w:r>
      <w:r w:rsidR="00B807FA" w:rsidRPr="002F6296">
        <w:rPr>
          <w:rFonts w:asciiTheme="minorHAnsi" w:hAnsiTheme="minorHAnsi" w:cs="Times New Roman"/>
          <w:sz w:val="24"/>
          <w:szCs w:val="24"/>
        </w:rPr>
        <w:t xml:space="preserve"> </w:t>
      </w:r>
      <w:r w:rsidRPr="002F6296">
        <w:rPr>
          <w:rFonts w:asciiTheme="minorHAnsi" w:hAnsiTheme="minorHAnsi" w:cs="Times New Roman"/>
          <w:sz w:val="24"/>
          <w:szCs w:val="24"/>
        </w:rPr>
        <w:t xml:space="preserve">with disabilities.  This </w:t>
      </w:r>
      <w:r w:rsidR="009510E8">
        <w:rPr>
          <w:rFonts w:asciiTheme="minorHAnsi" w:hAnsiTheme="minorHAnsi" w:cs="Times New Roman"/>
          <w:sz w:val="24"/>
          <w:szCs w:val="24"/>
        </w:rPr>
        <w:t xml:space="preserve">has </w:t>
      </w:r>
      <w:r w:rsidRPr="002F6296">
        <w:rPr>
          <w:rFonts w:asciiTheme="minorHAnsi" w:hAnsiTheme="minorHAnsi" w:cs="Times New Roman"/>
          <w:sz w:val="24"/>
          <w:szCs w:val="24"/>
        </w:rPr>
        <w:t>help</w:t>
      </w:r>
      <w:r w:rsidR="009510E8">
        <w:rPr>
          <w:rFonts w:asciiTheme="minorHAnsi" w:hAnsiTheme="minorHAnsi" w:cs="Times New Roman"/>
          <w:sz w:val="24"/>
          <w:szCs w:val="24"/>
        </w:rPr>
        <w:t>ed</w:t>
      </w:r>
      <w:r w:rsidRPr="002F6296">
        <w:rPr>
          <w:rFonts w:asciiTheme="minorHAnsi" w:hAnsiTheme="minorHAnsi" w:cs="Times New Roman"/>
          <w:sz w:val="24"/>
          <w:szCs w:val="24"/>
        </w:rPr>
        <w:t xml:space="preserve"> Belarus and the </w:t>
      </w:r>
      <w:r w:rsidRPr="002F6296">
        <w:rPr>
          <w:rFonts w:asciiTheme="minorHAnsi" w:hAnsiTheme="minorHAnsi" w:cs="Times New Roman"/>
          <w:sz w:val="24"/>
          <w:szCs w:val="24"/>
        </w:rPr>
        <w:lastRenderedPageBreak/>
        <w:t xml:space="preserve">government </w:t>
      </w:r>
      <w:r w:rsidR="003522F9" w:rsidRPr="002F6296">
        <w:rPr>
          <w:rFonts w:asciiTheme="minorHAnsi" w:hAnsiTheme="minorHAnsi" w:cs="Times New Roman"/>
          <w:sz w:val="24"/>
          <w:szCs w:val="24"/>
        </w:rPr>
        <w:t>solve</w:t>
      </w:r>
      <w:r w:rsidRPr="002F6296">
        <w:rPr>
          <w:rFonts w:asciiTheme="minorHAnsi" w:hAnsiTheme="minorHAnsi" w:cs="Times New Roman"/>
          <w:sz w:val="24"/>
          <w:szCs w:val="24"/>
        </w:rPr>
        <w:t xml:space="preserve"> issues, namely those of creations of new jobs and training for </w:t>
      </w:r>
      <w:r w:rsidR="00A60ED5">
        <w:rPr>
          <w:rFonts w:asciiTheme="minorHAnsi" w:hAnsiTheme="minorHAnsi" w:cs="Times New Roman"/>
          <w:sz w:val="24"/>
          <w:szCs w:val="24"/>
        </w:rPr>
        <w:t>persons</w:t>
      </w:r>
      <w:r w:rsidR="00A60ED5" w:rsidRPr="002F6296">
        <w:rPr>
          <w:rFonts w:asciiTheme="minorHAnsi" w:hAnsiTheme="minorHAnsi" w:cs="Times New Roman"/>
          <w:sz w:val="24"/>
          <w:szCs w:val="24"/>
        </w:rPr>
        <w:t xml:space="preserve"> </w:t>
      </w:r>
      <w:r w:rsidRPr="002F6296">
        <w:rPr>
          <w:rFonts w:asciiTheme="minorHAnsi" w:hAnsiTheme="minorHAnsi" w:cs="Times New Roman"/>
          <w:sz w:val="24"/>
          <w:szCs w:val="24"/>
        </w:rPr>
        <w:t>with disabilities. The</w:t>
      </w:r>
      <w:r w:rsidR="006B6B33">
        <w:rPr>
          <w:rFonts w:asciiTheme="minorHAnsi" w:hAnsiTheme="minorHAnsi" w:cs="Times New Roman"/>
          <w:sz w:val="24"/>
          <w:szCs w:val="24"/>
        </w:rPr>
        <w:t xml:space="preserve"> representative of Belarus then</w:t>
      </w:r>
      <w:r w:rsidRPr="002F6296">
        <w:rPr>
          <w:rFonts w:asciiTheme="minorHAnsi" w:hAnsiTheme="minorHAnsi" w:cs="Times New Roman"/>
          <w:sz w:val="24"/>
          <w:szCs w:val="24"/>
        </w:rPr>
        <w:t xml:space="preserve"> asked whether </w:t>
      </w:r>
      <w:r w:rsidR="006B6B33">
        <w:rPr>
          <w:rFonts w:asciiTheme="minorHAnsi" w:hAnsiTheme="minorHAnsi" w:cs="Times New Roman"/>
          <w:sz w:val="24"/>
          <w:szCs w:val="24"/>
        </w:rPr>
        <w:t>Poland would</w:t>
      </w:r>
      <w:r w:rsidR="006B6B33" w:rsidRPr="002F6296">
        <w:rPr>
          <w:rFonts w:asciiTheme="minorHAnsi" w:hAnsiTheme="minorHAnsi" w:cs="Times New Roman"/>
          <w:sz w:val="24"/>
          <w:szCs w:val="24"/>
        </w:rPr>
        <w:t xml:space="preserve"> </w:t>
      </w:r>
      <w:r w:rsidRPr="002F6296">
        <w:rPr>
          <w:rFonts w:asciiTheme="minorHAnsi" w:hAnsiTheme="minorHAnsi" w:cs="Times New Roman"/>
          <w:sz w:val="24"/>
          <w:szCs w:val="24"/>
        </w:rPr>
        <w:t xml:space="preserve">to comply with the UN </w:t>
      </w:r>
      <w:r w:rsidR="006B6B33">
        <w:rPr>
          <w:rFonts w:asciiTheme="minorHAnsi" w:hAnsiTheme="minorHAnsi" w:cs="Times New Roman"/>
          <w:sz w:val="24"/>
          <w:szCs w:val="24"/>
        </w:rPr>
        <w:t>Convention</w:t>
      </w:r>
      <w:r w:rsidR="006B6B33" w:rsidRPr="002F6296">
        <w:rPr>
          <w:rFonts w:asciiTheme="minorHAnsi" w:hAnsiTheme="minorHAnsi" w:cs="Times New Roman"/>
          <w:sz w:val="24"/>
          <w:szCs w:val="24"/>
        </w:rPr>
        <w:t xml:space="preserve"> </w:t>
      </w:r>
      <w:r w:rsidRPr="002F6296">
        <w:rPr>
          <w:rFonts w:asciiTheme="minorHAnsi" w:hAnsiTheme="minorHAnsi" w:cs="Times New Roman"/>
          <w:sz w:val="24"/>
          <w:szCs w:val="24"/>
        </w:rPr>
        <w:t xml:space="preserve">on the </w:t>
      </w:r>
      <w:r w:rsidR="006B6B33">
        <w:rPr>
          <w:rFonts w:asciiTheme="minorHAnsi" w:hAnsiTheme="minorHAnsi" w:cs="Times New Roman"/>
          <w:sz w:val="24"/>
          <w:szCs w:val="24"/>
        </w:rPr>
        <w:t>R</w:t>
      </w:r>
      <w:r w:rsidR="003522F9" w:rsidRPr="002F6296">
        <w:rPr>
          <w:rFonts w:asciiTheme="minorHAnsi" w:hAnsiTheme="minorHAnsi" w:cs="Times New Roman"/>
          <w:sz w:val="24"/>
          <w:szCs w:val="24"/>
        </w:rPr>
        <w:t>ights of</w:t>
      </w:r>
      <w:r w:rsidRPr="002F6296">
        <w:rPr>
          <w:rFonts w:asciiTheme="minorHAnsi" w:hAnsiTheme="minorHAnsi" w:cs="Times New Roman"/>
          <w:sz w:val="24"/>
          <w:szCs w:val="24"/>
        </w:rPr>
        <w:t xml:space="preserve"> </w:t>
      </w:r>
      <w:r w:rsidR="006B6B33">
        <w:rPr>
          <w:rFonts w:asciiTheme="minorHAnsi" w:hAnsiTheme="minorHAnsi" w:cs="Times New Roman"/>
          <w:sz w:val="24"/>
          <w:szCs w:val="24"/>
        </w:rPr>
        <w:t>P</w:t>
      </w:r>
      <w:r w:rsidRPr="002F6296">
        <w:rPr>
          <w:rFonts w:asciiTheme="minorHAnsi" w:hAnsiTheme="minorHAnsi" w:cs="Times New Roman"/>
          <w:sz w:val="24"/>
          <w:szCs w:val="24"/>
        </w:rPr>
        <w:t xml:space="preserve">ersons with </w:t>
      </w:r>
      <w:r w:rsidR="006B6B33">
        <w:rPr>
          <w:rFonts w:asciiTheme="minorHAnsi" w:hAnsiTheme="minorHAnsi" w:cs="Times New Roman"/>
          <w:sz w:val="24"/>
          <w:szCs w:val="24"/>
        </w:rPr>
        <w:t>D</w:t>
      </w:r>
      <w:r w:rsidRPr="002F6296">
        <w:rPr>
          <w:rFonts w:asciiTheme="minorHAnsi" w:hAnsiTheme="minorHAnsi" w:cs="Times New Roman"/>
          <w:sz w:val="24"/>
          <w:szCs w:val="24"/>
        </w:rPr>
        <w:t>isabilities to ensure t</w:t>
      </w:r>
      <w:r w:rsidR="008C721E" w:rsidRPr="002F6296">
        <w:rPr>
          <w:rFonts w:asciiTheme="minorHAnsi" w:hAnsiTheme="minorHAnsi" w:cs="Times New Roman"/>
          <w:sz w:val="24"/>
          <w:szCs w:val="24"/>
        </w:rPr>
        <w:t xml:space="preserve">hat person with disabilities </w:t>
      </w:r>
      <w:r w:rsidR="003F6706">
        <w:rPr>
          <w:rFonts w:asciiTheme="minorHAnsi" w:hAnsiTheme="minorHAnsi" w:cs="Times New Roman"/>
          <w:sz w:val="24"/>
          <w:szCs w:val="24"/>
        </w:rPr>
        <w:t xml:space="preserve">are </w:t>
      </w:r>
      <w:r w:rsidRPr="002F6296">
        <w:rPr>
          <w:rFonts w:asciiTheme="minorHAnsi" w:hAnsiTheme="minorHAnsi" w:cs="Times New Roman"/>
          <w:sz w:val="24"/>
          <w:szCs w:val="24"/>
        </w:rPr>
        <w:t xml:space="preserve">recognized as citizens who have rights.  </w:t>
      </w:r>
    </w:p>
    <w:p w14:paraId="15D471DE" w14:textId="77777777" w:rsidR="003F6706" w:rsidRPr="002F6296" w:rsidRDefault="003F6706" w:rsidP="002F6296">
      <w:pPr>
        <w:pStyle w:val="PlainText"/>
        <w:spacing w:line="276" w:lineRule="auto"/>
        <w:jc w:val="both"/>
        <w:rPr>
          <w:rFonts w:asciiTheme="minorHAnsi" w:hAnsiTheme="minorHAnsi" w:cs="Times New Roman"/>
          <w:sz w:val="24"/>
          <w:szCs w:val="24"/>
        </w:rPr>
      </w:pPr>
    </w:p>
    <w:p w14:paraId="4F718FC4" w14:textId="3C46A48B" w:rsidR="000514DE" w:rsidRDefault="004B457E" w:rsidP="00662DB1">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r w:rsidRPr="002F6296">
        <w:rPr>
          <w:rFonts w:asciiTheme="minorHAnsi" w:hAnsiTheme="minorHAnsi" w:cs="Times New Roman"/>
        </w:rPr>
        <w:t>In response</w:t>
      </w:r>
      <w:r w:rsidR="00A736AD">
        <w:rPr>
          <w:rFonts w:asciiTheme="minorHAnsi" w:hAnsiTheme="minorHAnsi" w:cs="Times New Roman"/>
        </w:rPr>
        <w:t>,</w:t>
      </w:r>
      <w:r w:rsidR="00397AD6">
        <w:rPr>
          <w:rFonts w:asciiTheme="minorHAnsi" w:hAnsiTheme="minorHAnsi" w:cs="Times New Roman"/>
        </w:rPr>
        <w:t xml:space="preserve"> </w:t>
      </w:r>
      <w:r w:rsidRPr="002F6296">
        <w:rPr>
          <w:rFonts w:asciiTheme="minorHAnsi" w:hAnsiTheme="minorHAnsi" w:cs="Times New Roman"/>
        </w:rPr>
        <w:t xml:space="preserve">Jadwiga </w:t>
      </w:r>
      <w:proofErr w:type="spellStart"/>
      <w:r w:rsidRPr="002F6296">
        <w:rPr>
          <w:rFonts w:asciiTheme="minorHAnsi" w:hAnsiTheme="minorHAnsi" w:cs="Times New Roman"/>
        </w:rPr>
        <w:t>Emilewicz</w:t>
      </w:r>
      <w:proofErr w:type="spellEnd"/>
      <w:r w:rsidRPr="002F6296">
        <w:rPr>
          <w:rFonts w:asciiTheme="minorHAnsi" w:hAnsiTheme="minorHAnsi" w:cs="Times New Roman"/>
        </w:rPr>
        <w:t xml:space="preserve"> highlighted that</w:t>
      </w:r>
      <w:r w:rsidR="00397AD6">
        <w:rPr>
          <w:rFonts w:asciiTheme="minorHAnsi" w:hAnsiTheme="minorHAnsi" w:cs="Times New Roman"/>
        </w:rPr>
        <w:t xml:space="preserve"> </w:t>
      </w:r>
      <w:r w:rsidR="00AD17BA" w:rsidRPr="002F6296">
        <w:rPr>
          <w:rFonts w:asciiTheme="minorHAnsi" w:hAnsiTheme="minorHAnsi" w:cs="Times New Roman"/>
        </w:rPr>
        <w:t xml:space="preserve">regarding </w:t>
      </w:r>
      <w:r w:rsidRPr="002F6296">
        <w:rPr>
          <w:rFonts w:asciiTheme="minorHAnsi" w:hAnsiTheme="minorHAnsi" w:cs="Times New Roman"/>
        </w:rPr>
        <w:t>social exclusion</w:t>
      </w:r>
      <w:r w:rsidR="001A4729">
        <w:rPr>
          <w:rFonts w:asciiTheme="minorHAnsi" w:hAnsiTheme="minorHAnsi" w:cs="Times New Roman"/>
        </w:rPr>
        <w:t>,</w:t>
      </w:r>
      <w:r w:rsidR="00A736AD">
        <w:rPr>
          <w:rFonts w:asciiTheme="minorHAnsi" w:hAnsiTheme="minorHAnsi" w:cs="Times New Roman"/>
        </w:rPr>
        <w:t xml:space="preserve"> Poland has</w:t>
      </w:r>
      <w:r w:rsidRPr="002F6296">
        <w:rPr>
          <w:rFonts w:asciiTheme="minorHAnsi" w:hAnsiTheme="minorHAnsi" w:cs="Times New Roman"/>
        </w:rPr>
        <w:t xml:space="preserve"> the 75 plus program and 500 plus program which </w:t>
      </w:r>
      <w:r w:rsidR="001A4729">
        <w:rPr>
          <w:rFonts w:asciiTheme="minorHAnsi" w:hAnsiTheme="minorHAnsi" w:cs="Times New Roman"/>
        </w:rPr>
        <w:t>are geared</w:t>
      </w:r>
      <w:r w:rsidRPr="002F6296">
        <w:rPr>
          <w:rFonts w:asciiTheme="minorHAnsi" w:hAnsiTheme="minorHAnsi" w:cs="Times New Roman"/>
        </w:rPr>
        <w:t xml:space="preserve"> towards poverty but also that </w:t>
      </w:r>
      <w:r w:rsidR="001A4729">
        <w:rPr>
          <w:rFonts w:asciiTheme="minorHAnsi" w:hAnsiTheme="minorHAnsi" w:cs="Times New Roman"/>
        </w:rPr>
        <w:t xml:space="preserve">the </w:t>
      </w:r>
      <w:r w:rsidRPr="002F6296">
        <w:rPr>
          <w:rFonts w:asciiTheme="minorHAnsi" w:hAnsiTheme="minorHAnsi" w:cs="Times New Roman"/>
        </w:rPr>
        <w:t>government</w:t>
      </w:r>
      <w:r w:rsidR="001A4729">
        <w:rPr>
          <w:rFonts w:asciiTheme="minorHAnsi" w:hAnsiTheme="minorHAnsi" w:cs="Times New Roman"/>
        </w:rPr>
        <w:t xml:space="preserve"> </w:t>
      </w:r>
      <w:r w:rsidRPr="002F6296">
        <w:rPr>
          <w:rFonts w:asciiTheme="minorHAnsi" w:hAnsiTheme="minorHAnsi" w:cs="Times New Roman"/>
        </w:rPr>
        <w:t xml:space="preserve">had </w:t>
      </w:r>
      <w:r w:rsidR="001A4729">
        <w:rPr>
          <w:rFonts w:asciiTheme="minorHAnsi" w:hAnsiTheme="minorHAnsi" w:cs="Times New Roman"/>
        </w:rPr>
        <w:t xml:space="preserve">just </w:t>
      </w:r>
      <w:r w:rsidRPr="002F6296">
        <w:rPr>
          <w:rFonts w:asciiTheme="minorHAnsi" w:hAnsiTheme="minorHAnsi" w:cs="Times New Roman"/>
        </w:rPr>
        <w:t>adopted the program</w:t>
      </w:r>
      <w:r w:rsidR="00641716" w:rsidRPr="007E289C">
        <w:rPr>
          <w:rFonts w:asciiTheme="minorHAnsi" w:hAnsiTheme="minorHAnsi" w:cs="Times New Roman"/>
        </w:rPr>
        <w:t>. It</w:t>
      </w:r>
      <w:r w:rsidRPr="007E289C">
        <w:rPr>
          <w:rFonts w:asciiTheme="minorHAnsi" w:hAnsiTheme="minorHAnsi" w:cs="Times New Roman"/>
        </w:rPr>
        <w:t xml:space="preserve"> is dedicated purely towards </w:t>
      </w:r>
      <w:r w:rsidR="00FF014E">
        <w:rPr>
          <w:rFonts w:asciiTheme="minorHAnsi" w:hAnsiTheme="minorHAnsi" w:cs="Times New Roman"/>
        </w:rPr>
        <w:t>“</w:t>
      </w:r>
      <w:r w:rsidRPr="007E289C">
        <w:rPr>
          <w:rFonts w:asciiTheme="minorHAnsi" w:hAnsiTheme="minorHAnsi" w:cs="Times New Roman"/>
        </w:rPr>
        <w:t>capital people</w:t>
      </w:r>
      <w:r w:rsidR="00FF014E">
        <w:rPr>
          <w:rFonts w:asciiTheme="minorHAnsi" w:hAnsiTheme="minorHAnsi" w:cs="Times New Roman"/>
        </w:rPr>
        <w:t>”</w:t>
      </w:r>
      <w:r w:rsidRPr="007E289C">
        <w:rPr>
          <w:rFonts w:asciiTheme="minorHAnsi" w:hAnsiTheme="minorHAnsi" w:cs="Times New Roman"/>
        </w:rPr>
        <w:t xml:space="preserve"> </w:t>
      </w:r>
      <w:r w:rsidRPr="002F6296">
        <w:rPr>
          <w:rFonts w:asciiTheme="minorHAnsi" w:hAnsiTheme="minorHAnsi" w:cs="Times New Roman"/>
        </w:rPr>
        <w:t>which means dedicat</w:t>
      </w:r>
      <w:r w:rsidR="00C5423F">
        <w:rPr>
          <w:rFonts w:asciiTheme="minorHAnsi" w:hAnsiTheme="minorHAnsi" w:cs="Times New Roman"/>
        </w:rPr>
        <w:t>ing a</w:t>
      </w:r>
      <w:r w:rsidR="00352A86">
        <w:rPr>
          <w:rFonts w:asciiTheme="minorHAnsi" w:hAnsiTheme="minorHAnsi" w:cs="Times New Roman"/>
        </w:rPr>
        <w:t xml:space="preserve"> </w:t>
      </w:r>
      <w:bookmarkStart w:id="53" w:name="_GoBack"/>
      <w:bookmarkEnd w:id="53"/>
      <w:r w:rsidRPr="002F6296">
        <w:rPr>
          <w:rFonts w:asciiTheme="minorHAnsi" w:hAnsiTheme="minorHAnsi" w:cs="Times New Roman"/>
        </w:rPr>
        <w:t xml:space="preserve">significant amount of the budget for making social services available for </w:t>
      </w:r>
      <w:r w:rsidR="00D549AB">
        <w:rPr>
          <w:rFonts w:asciiTheme="minorHAnsi" w:hAnsiTheme="minorHAnsi" w:cs="Times New Roman"/>
        </w:rPr>
        <w:t>persons with disabilities.</w:t>
      </w:r>
    </w:p>
    <w:p w14:paraId="52A541EC" w14:textId="77777777" w:rsidR="00662DB1" w:rsidRPr="00662DB1" w:rsidRDefault="00662DB1" w:rsidP="00662DB1">
      <w:pPr>
        <w:pStyle w:val="Normal0"/>
        <w:tabs>
          <w:tab w:val="left" w:pos="317"/>
          <w:tab w:val="left" w:pos="1037"/>
          <w:tab w:val="left" w:pos="1757"/>
          <w:tab w:val="left" w:pos="2477"/>
          <w:tab w:val="left" w:pos="3197"/>
          <w:tab w:val="left" w:pos="3917"/>
          <w:tab w:val="left" w:pos="4637"/>
          <w:tab w:val="left" w:pos="5357"/>
          <w:tab w:val="left" w:pos="6077"/>
        </w:tabs>
        <w:spacing w:line="276" w:lineRule="auto"/>
        <w:ind w:firstLine="0"/>
        <w:jc w:val="both"/>
        <w:rPr>
          <w:rFonts w:asciiTheme="minorHAnsi" w:hAnsiTheme="minorHAnsi" w:cs="Times New Roman"/>
        </w:rPr>
      </w:pPr>
    </w:p>
    <w:p w14:paraId="28DECDE8"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Singapore</w:t>
      </w:r>
    </w:p>
    <w:p w14:paraId="068E0897" w14:textId="7F5FB0AE" w:rsidR="004B457E" w:rsidRDefault="004B457E" w:rsidP="002F6296">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 xml:space="preserve">Presenting </w:t>
      </w:r>
      <w:r w:rsidRPr="00115672">
        <w:rPr>
          <w:rFonts w:asciiTheme="minorHAnsi" w:hAnsiTheme="minorHAnsi" w:cs="Times New Roman"/>
          <w:sz w:val="24"/>
          <w:szCs w:val="24"/>
        </w:rPr>
        <w:t>Singapore’s</w:t>
      </w:r>
      <w:r w:rsidRPr="002F6296">
        <w:rPr>
          <w:rFonts w:asciiTheme="minorHAnsi" w:hAnsiTheme="minorHAnsi" w:cs="Times New Roman"/>
          <w:sz w:val="24"/>
          <w:szCs w:val="24"/>
        </w:rPr>
        <w:t xml:space="preserve"> VNR, </w:t>
      </w:r>
      <w:proofErr w:type="spellStart"/>
      <w:r w:rsidRPr="002F6296">
        <w:rPr>
          <w:rFonts w:asciiTheme="minorHAnsi" w:hAnsiTheme="minorHAnsi" w:cs="Times New Roman"/>
          <w:sz w:val="24"/>
          <w:szCs w:val="24"/>
        </w:rPr>
        <w:t>Masagos</w:t>
      </w:r>
      <w:proofErr w:type="spellEnd"/>
      <w:r w:rsidR="00397AD6">
        <w:rPr>
          <w:rFonts w:asciiTheme="minorHAnsi" w:hAnsiTheme="minorHAnsi" w:cs="Times New Roman"/>
          <w:sz w:val="24"/>
          <w:szCs w:val="24"/>
        </w:rPr>
        <w:t xml:space="preserve"> </w:t>
      </w:r>
      <w:proofErr w:type="spellStart"/>
      <w:r w:rsidRPr="002F6296">
        <w:rPr>
          <w:rFonts w:asciiTheme="minorHAnsi" w:hAnsiTheme="minorHAnsi" w:cs="Times New Roman"/>
          <w:sz w:val="24"/>
          <w:szCs w:val="24"/>
        </w:rPr>
        <w:t>Zulkifli</w:t>
      </w:r>
      <w:proofErr w:type="spellEnd"/>
      <w:r w:rsidRPr="002F6296">
        <w:rPr>
          <w:rFonts w:asciiTheme="minorHAnsi" w:hAnsiTheme="minorHAnsi" w:cs="Times New Roman"/>
          <w:sz w:val="24"/>
          <w:szCs w:val="24"/>
        </w:rPr>
        <w:t xml:space="preserve">, Minister for the Environment and Water Resources, highlighted that on </w:t>
      </w:r>
      <w:r w:rsidR="00BB4163">
        <w:rPr>
          <w:rFonts w:asciiTheme="minorHAnsi" w:hAnsiTheme="minorHAnsi" w:cs="Times New Roman"/>
          <w:sz w:val="24"/>
          <w:szCs w:val="24"/>
        </w:rPr>
        <w:t>G</w:t>
      </w:r>
      <w:r w:rsidRPr="002F6296">
        <w:rPr>
          <w:rFonts w:asciiTheme="minorHAnsi" w:hAnsiTheme="minorHAnsi" w:cs="Times New Roman"/>
          <w:sz w:val="24"/>
          <w:szCs w:val="24"/>
        </w:rPr>
        <w:t xml:space="preserve">oal 11 Singapore has a </w:t>
      </w:r>
      <w:r w:rsidR="00397AD6" w:rsidRPr="002F6296">
        <w:rPr>
          <w:rFonts w:asciiTheme="minorHAnsi" w:hAnsiTheme="minorHAnsi" w:cs="Times New Roman"/>
          <w:sz w:val="24"/>
          <w:szCs w:val="24"/>
        </w:rPr>
        <w:t>five-year</w:t>
      </w:r>
      <w:r w:rsidRPr="002F6296">
        <w:rPr>
          <w:rFonts w:asciiTheme="minorHAnsi" w:hAnsiTheme="minorHAnsi" w:cs="Times New Roman"/>
          <w:sz w:val="24"/>
          <w:szCs w:val="24"/>
        </w:rPr>
        <w:t xml:space="preserve"> master plan to integrate pe</w:t>
      </w:r>
      <w:r w:rsidR="002A4026">
        <w:rPr>
          <w:rFonts w:asciiTheme="minorHAnsi" w:hAnsiTheme="minorHAnsi" w:cs="Times New Roman"/>
          <w:sz w:val="24"/>
          <w:szCs w:val="24"/>
        </w:rPr>
        <w:t>rsons</w:t>
      </w:r>
      <w:r w:rsidRPr="002F6296">
        <w:rPr>
          <w:rFonts w:asciiTheme="minorHAnsi" w:hAnsiTheme="minorHAnsi" w:cs="Times New Roman"/>
          <w:sz w:val="24"/>
          <w:szCs w:val="24"/>
        </w:rPr>
        <w:t xml:space="preserve"> with disabilities into the workforce and society. </w:t>
      </w:r>
    </w:p>
    <w:p w14:paraId="4EECD406" w14:textId="77777777" w:rsidR="00947AD4" w:rsidRPr="002F6296" w:rsidRDefault="00947AD4" w:rsidP="002F6296">
      <w:pPr>
        <w:pStyle w:val="PlainText"/>
        <w:spacing w:line="276" w:lineRule="auto"/>
        <w:jc w:val="both"/>
        <w:rPr>
          <w:rFonts w:asciiTheme="minorHAnsi" w:hAnsiTheme="minorHAnsi" w:cs="Times New Roman"/>
          <w:sz w:val="24"/>
          <w:szCs w:val="24"/>
        </w:rPr>
      </w:pPr>
    </w:p>
    <w:p w14:paraId="11EC2B07" w14:textId="3696A627" w:rsidR="004B457E" w:rsidRPr="002F6296" w:rsidRDefault="004B457E" w:rsidP="002F6296">
      <w:pPr>
        <w:pStyle w:val="PlainText"/>
        <w:spacing w:line="276" w:lineRule="auto"/>
        <w:jc w:val="both"/>
        <w:rPr>
          <w:rFonts w:asciiTheme="minorHAnsi" w:hAnsiTheme="minorHAnsi" w:cs="Times New Roman"/>
          <w:sz w:val="24"/>
          <w:szCs w:val="24"/>
        </w:rPr>
      </w:pPr>
      <w:r w:rsidRPr="002F6296">
        <w:rPr>
          <w:rFonts w:asciiTheme="minorHAnsi" w:hAnsiTheme="minorHAnsi" w:cs="Times New Roman"/>
          <w:sz w:val="24"/>
          <w:szCs w:val="24"/>
        </w:rPr>
        <w:t xml:space="preserve">Following </w:t>
      </w:r>
      <w:r w:rsidRPr="00115672">
        <w:rPr>
          <w:rFonts w:asciiTheme="minorHAnsi" w:hAnsiTheme="minorHAnsi" w:cs="Times New Roman"/>
          <w:sz w:val="24"/>
          <w:szCs w:val="24"/>
        </w:rPr>
        <w:t>Singapore’s</w:t>
      </w:r>
      <w:r w:rsidRPr="002F6296">
        <w:rPr>
          <w:rFonts w:asciiTheme="minorHAnsi" w:hAnsiTheme="minorHAnsi" w:cs="Times New Roman"/>
          <w:sz w:val="24"/>
          <w:szCs w:val="24"/>
        </w:rPr>
        <w:t xml:space="preserve"> presentation, the </w:t>
      </w:r>
      <w:r w:rsidR="00857798">
        <w:rPr>
          <w:rFonts w:asciiTheme="minorHAnsi" w:hAnsiTheme="minorHAnsi" w:cs="Times New Roman"/>
          <w:sz w:val="24"/>
          <w:szCs w:val="24"/>
        </w:rPr>
        <w:t>Stakeholder Group on Ageing</w:t>
      </w:r>
      <w:r w:rsidRPr="002F6296">
        <w:rPr>
          <w:rFonts w:asciiTheme="minorHAnsi" w:hAnsiTheme="minorHAnsi" w:cs="Times New Roman"/>
          <w:sz w:val="24"/>
          <w:szCs w:val="24"/>
        </w:rPr>
        <w:t xml:space="preserve"> welc</w:t>
      </w:r>
      <w:r w:rsidR="00771C7D" w:rsidRPr="002F6296">
        <w:rPr>
          <w:rFonts w:asciiTheme="minorHAnsi" w:hAnsiTheme="minorHAnsi" w:cs="Times New Roman"/>
          <w:sz w:val="24"/>
          <w:szCs w:val="24"/>
        </w:rPr>
        <w:t xml:space="preserve">omed Singapore’s response to </w:t>
      </w:r>
      <w:r w:rsidRPr="002F6296">
        <w:rPr>
          <w:rFonts w:asciiTheme="minorHAnsi" w:hAnsiTheme="minorHAnsi" w:cs="Times New Roman"/>
          <w:sz w:val="24"/>
          <w:szCs w:val="24"/>
        </w:rPr>
        <w:t>older persons and persons with disabilities as central to SDG implementation.  Th</w:t>
      </w:r>
      <w:r w:rsidR="008E29B6">
        <w:rPr>
          <w:rFonts w:asciiTheme="minorHAnsi" w:hAnsiTheme="minorHAnsi" w:cs="Times New Roman"/>
          <w:sz w:val="24"/>
          <w:szCs w:val="24"/>
        </w:rPr>
        <w:t>ey remarked that this</w:t>
      </w:r>
      <w:r w:rsidRPr="002F6296">
        <w:rPr>
          <w:rFonts w:asciiTheme="minorHAnsi" w:hAnsiTheme="minorHAnsi" w:cs="Times New Roman"/>
          <w:sz w:val="24"/>
          <w:szCs w:val="24"/>
        </w:rPr>
        <w:t xml:space="preserve"> is an example to others</w:t>
      </w:r>
      <w:r w:rsidR="0014315D">
        <w:rPr>
          <w:rFonts w:asciiTheme="minorHAnsi" w:hAnsiTheme="minorHAnsi" w:cs="Times New Roman"/>
          <w:sz w:val="24"/>
          <w:szCs w:val="24"/>
        </w:rPr>
        <w:t>,</w:t>
      </w:r>
      <w:r w:rsidRPr="002F6296">
        <w:rPr>
          <w:rFonts w:asciiTheme="minorHAnsi" w:hAnsiTheme="minorHAnsi" w:cs="Times New Roman"/>
          <w:sz w:val="24"/>
          <w:szCs w:val="24"/>
        </w:rPr>
        <w:t xml:space="preserve"> as inadequate visibility has been given to older persons and</w:t>
      </w:r>
      <w:r w:rsidR="00BA0CB7">
        <w:rPr>
          <w:rFonts w:asciiTheme="minorHAnsi" w:hAnsiTheme="minorHAnsi" w:cs="Times New Roman"/>
          <w:sz w:val="24"/>
          <w:szCs w:val="24"/>
        </w:rPr>
        <w:t xml:space="preserve"> persons with</w:t>
      </w:r>
      <w:r w:rsidRPr="002F6296">
        <w:rPr>
          <w:rFonts w:asciiTheme="minorHAnsi" w:hAnsiTheme="minorHAnsi" w:cs="Times New Roman"/>
          <w:sz w:val="24"/>
          <w:szCs w:val="24"/>
        </w:rPr>
        <w:t xml:space="preserve"> disabilities in most national implementation plans.  Given Singapore's progress and demonstrable commitment to older persons, the</w:t>
      </w:r>
      <w:r w:rsidR="00C26A31">
        <w:rPr>
          <w:rFonts w:asciiTheme="minorHAnsi" w:hAnsiTheme="minorHAnsi" w:cs="Times New Roman"/>
          <w:sz w:val="24"/>
          <w:szCs w:val="24"/>
        </w:rPr>
        <w:t xml:space="preserve"> Stakeholder Group on Ageing</w:t>
      </w:r>
      <w:r w:rsidRPr="002F6296">
        <w:rPr>
          <w:rFonts w:asciiTheme="minorHAnsi" w:hAnsiTheme="minorHAnsi" w:cs="Times New Roman"/>
          <w:sz w:val="24"/>
          <w:szCs w:val="24"/>
        </w:rPr>
        <w:t xml:space="preserve"> asked </w:t>
      </w:r>
      <w:r w:rsidR="009B3CD1">
        <w:rPr>
          <w:rFonts w:asciiTheme="minorHAnsi" w:hAnsiTheme="minorHAnsi" w:cs="Times New Roman"/>
          <w:sz w:val="24"/>
          <w:szCs w:val="24"/>
        </w:rPr>
        <w:t xml:space="preserve">if </w:t>
      </w:r>
      <w:r w:rsidRPr="002F6296">
        <w:rPr>
          <w:rFonts w:asciiTheme="minorHAnsi" w:hAnsiTheme="minorHAnsi" w:cs="Times New Roman"/>
          <w:sz w:val="24"/>
          <w:szCs w:val="24"/>
        </w:rPr>
        <w:t xml:space="preserve">Singapore </w:t>
      </w:r>
      <w:r w:rsidR="009B3CD1">
        <w:rPr>
          <w:rFonts w:asciiTheme="minorHAnsi" w:hAnsiTheme="minorHAnsi" w:cs="Times New Roman"/>
          <w:sz w:val="24"/>
          <w:szCs w:val="24"/>
        </w:rPr>
        <w:t>w</w:t>
      </w:r>
      <w:r w:rsidR="00732726">
        <w:rPr>
          <w:rFonts w:asciiTheme="minorHAnsi" w:hAnsiTheme="minorHAnsi" w:cs="Times New Roman"/>
          <w:sz w:val="24"/>
          <w:szCs w:val="24"/>
        </w:rPr>
        <w:t>ould</w:t>
      </w:r>
      <w:r w:rsidR="009B3CD1">
        <w:rPr>
          <w:rFonts w:asciiTheme="minorHAnsi" w:hAnsiTheme="minorHAnsi" w:cs="Times New Roman"/>
          <w:sz w:val="24"/>
          <w:szCs w:val="24"/>
        </w:rPr>
        <w:t xml:space="preserve"> commit</w:t>
      </w:r>
      <w:r w:rsidRPr="002F6296">
        <w:rPr>
          <w:rFonts w:asciiTheme="minorHAnsi" w:hAnsiTheme="minorHAnsi" w:cs="Times New Roman"/>
          <w:sz w:val="24"/>
          <w:szCs w:val="24"/>
        </w:rPr>
        <w:t xml:space="preserve"> 2 million Singapore dollars each year for the realization of SDG</w:t>
      </w:r>
      <w:r w:rsidR="009B3CD1">
        <w:rPr>
          <w:rFonts w:asciiTheme="minorHAnsi" w:hAnsiTheme="minorHAnsi" w:cs="Times New Roman"/>
          <w:sz w:val="24"/>
          <w:szCs w:val="24"/>
        </w:rPr>
        <w:t xml:space="preserve"> </w:t>
      </w:r>
      <w:r w:rsidRPr="002F6296">
        <w:rPr>
          <w:rFonts w:asciiTheme="minorHAnsi" w:hAnsiTheme="minorHAnsi" w:cs="Times New Roman"/>
          <w:sz w:val="24"/>
          <w:szCs w:val="24"/>
        </w:rPr>
        <w:t xml:space="preserve">11 on a </w:t>
      </w:r>
      <w:r w:rsidR="00B05076" w:rsidRPr="002F6296">
        <w:rPr>
          <w:rFonts w:asciiTheme="minorHAnsi" w:hAnsiTheme="minorHAnsi" w:cs="Times New Roman"/>
          <w:sz w:val="24"/>
          <w:szCs w:val="24"/>
        </w:rPr>
        <w:t>long-term</w:t>
      </w:r>
      <w:r w:rsidRPr="002F6296">
        <w:rPr>
          <w:rFonts w:asciiTheme="minorHAnsi" w:hAnsiTheme="minorHAnsi" w:cs="Times New Roman"/>
          <w:sz w:val="24"/>
          <w:szCs w:val="24"/>
        </w:rPr>
        <w:t xml:space="preserve"> basis of </w:t>
      </w:r>
      <w:r w:rsidR="009B3CD1">
        <w:rPr>
          <w:rFonts w:asciiTheme="minorHAnsi" w:hAnsiTheme="minorHAnsi" w:cs="Times New Roman"/>
          <w:sz w:val="24"/>
          <w:szCs w:val="24"/>
        </w:rPr>
        <w:t>g</w:t>
      </w:r>
      <w:r w:rsidRPr="002F6296">
        <w:rPr>
          <w:rFonts w:asciiTheme="minorHAnsi" w:hAnsiTheme="minorHAnsi" w:cs="Times New Roman"/>
          <w:sz w:val="24"/>
          <w:szCs w:val="24"/>
        </w:rPr>
        <w:t>oals and targets for older persons and persons with disabilities</w:t>
      </w:r>
      <w:r w:rsidR="009B3CD1">
        <w:rPr>
          <w:rFonts w:asciiTheme="minorHAnsi" w:hAnsiTheme="minorHAnsi" w:cs="Times New Roman"/>
          <w:sz w:val="24"/>
          <w:szCs w:val="24"/>
        </w:rPr>
        <w:t>. I</w:t>
      </w:r>
      <w:r w:rsidR="00532F09">
        <w:rPr>
          <w:rFonts w:asciiTheme="minorHAnsi" w:hAnsiTheme="minorHAnsi" w:cs="Times New Roman"/>
          <w:sz w:val="24"/>
          <w:szCs w:val="24"/>
        </w:rPr>
        <w:t>t was noted that i</w:t>
      </w:r>
      <w:r w:rsidRPr="002F6296">
        <w:rPr>
          <w:rFonts w:asciiTheme="minorHAnsi" w:hAnsiTheme="minorHAnsi" w:cs="Times New Roman"/>
          <w:sz w:val="24"/>
          <w:szCs w:val="24"/>
        </w:rPr>
        <w:t>n cities</w:t>
      </w:r>
      <w:r w:rsidR="009B3CD1">
        <w:rPr>
          <w:rFonts w:asciiTheme="minorHAnsi" w:hAnsiTheme="minorHAnsi" w:cs="Times New Roman"/>
          <w:sz w:val="24"/>
          <w:szCs w:val="24"/>
        </w:rPr>
        <w:t xml:space="preserve"> and</w:t>
      </w:r>
      <w:r w:rsidRPr="002F6296">
        <w:rPr>
          <w:rFonts w:asciiTheme="minorHAnsi" w:hAnsiTheme="minorHAnsi" w:cs="Times New Roman"/>
          <w:sz w:val="24"/>
          <w:szCs w:val="24"/>
        </w:rPr>
        <w:t xml:space="preserve"> at home, participa</w:t>
      </w:r>
      <w:r w:rsidR="00771C7D" w:rsidRPr="002F6296">
        <w:rPr>
          <w:rFonts w:asciiTheme="minorHAnsi" w:hAnsiTheme="minorHAnsi" w:cs="Times New Roman"/>
          <w:sz w:val="24"/>
          <w:szCs w:val="24"/>
        </w:rPr>
        <w:t>tion, accountability and people-</w:t>
      </w:r>
      <w:r w:rsidRPr="002F6296">
        <w:rPr>
          <w:rFonts w:asciiTheme="minorHAnsi" w:hAnsiTheme="minorHAnsi" w:cs="Times New Roman"/>
          <w:sz w:val="24"/>
          <w:szCs w:val="24"/>
        </w:rPr>
        <w:t xml:space="preserve">centered inclusive planning are key to </w:t>
      </w:r>
      <w:r w:rsidR="009B3CD1">
        <w:rPr>
          <w:rFonts w:asciiTheme="minorHAnsi" w:hAnsiTheme="minorHAnsi" w:cs="Times New Roman"/>
          <w:sz w:val="24"/>
          <w:szCs w:val="24"/>
        </w:rPr>
        <w:t>G</w:t>
      </w:r>
      <w:r w:rsidRPr="002F6296">
        <w:rPr>
          <w:rFonts w:asciiTheme="minorHAnsi" w:hAnsiTheme="minorHAnsi" w:cs="Times New Roman"/>
          <w:sz w:val="24"/>
          <w:szCs w:val="24"/>
        </w:rPr>
        <w:t>oal 11's success for all citizens of Singapore.</w:t>
      </w:r>
    </w:p>
    <w:p w14:paraId="2C3B586D" w14:textId="77777777" w:rsidR="000514DE" w:rsidRDefault="000514DE" w:rsidP="000514DE">
      <w:pPr>
        <w:pStyle w:val="PlainText"/>
        <w:spacing w:line="276" w:lineRule="auto"/>
        <w:jc w:val="both"/>
        <w:rPr>
          <w:rFonts w:asciiTheme="minorHAnsi" w:hAnsiTheme="minorHAnsi" w:cs="Times New Roman"/>
          <w:b/>
          <w:sz w:val="24"/>
          <w:szCs w:val="24"/>
        </w:rPr>
      </w:pPr>
    </w:p>
    <w:p w14:paraId="7BBC1FDE"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 xml:space="preserve">Spain </w:t>
      </w:r>
    </w:p>
    <w:p w14:paraId="7B1F726B" w14:textId="3F229340" w:rsidR="004B457E" w:rsidRPr="002F6296" w:rsidRDefault="004B457E" w:rsidP="002F629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jc w:val="both"/>
        <w:rPr>
          <w:rFonts w:asciiTheme="minorHAnsi" w:hAnsiTheme="minorHAnsi" w:cs="Times New Roman"/>
        </w:rPr>
      </w:pPr>
      <w:r w:rsidRPr="002F6296">
        <w:rPr>
          <w:rFonts w:asciiTheme="minorHAnsi" w:hAnsiTheme="minorHAnsi" w:cs="Times New Roman"/>
        </w:rPr>
        <w:t xml:space="preserve">Following the VNR presentation by Teresa Ribera, Minister for the Ecological Transition, </w:t>
      </w:r>
      <w:proofErr w:type="spellStart"/>
      <w:r w:rsidRPr="002F6296">
        <w:rPr>
          <w:rFonts w:asciiTheme="minorHAnsi" w:hAnsiTheme="minorHAnsi" w:cs="Times New Roman"/>
        </w:rPr>
        <w:t>Josep</w:t>
      </w:r>
      <w:proofErr w:type="spellEnd"/>
      <w:r w:rsidR="00397AD6">
        <w:rPr>
          <w:rFonts w:asciiTheme="minorHAnsi" w:hAnsiTheme="minorHAnsi" w:cs="Times New Roman"/>
        </w:rPr>
        <w:t xml:space="preserve"> </w:t>
      </w:r>
      <w:r w:rsidRPr="002F6296">
        <w:rPr>
          <w:rFonts w:asciiTheme="minorHAnsi" w:hAnsiTheme="minorHAnsi" w:cs="Times New Roman"/>
        </w:rPr>
        <w:t xml:space="preserve">Borrell, Minister of Foreign Affairs, EU and Cooperation, and Cristina </w:t>
      </w:r>
      <w:proofErr w:type="spellStart"/>
      <w:r w:rsidRPr="002F6296">
        <w:rPr>
          <w:rFonts w:asciiTheme="minorHAnsi" w:hAnsiTheme="minorHAnsi" w:cs="Times New Roman"/>
        </w:rPr>
        <w:t>Gallach</w:t>
      </w:r>
      <w:proofErr w:type="spellEnd"/>
      <w:r w:rsidRPr="002F6296">
        <w:rPr>
          <w:rFonts w:asciiTheme="minorHAnsi" w:hAnsiTheme="minorHAnsi" w:cs="Times New Roman"/>
        </w:rPr>
        <w:t xml:space="preserve">, High-Commissioner for the 2030 Agenda for Spain, </w:t>
      </w:r>
      <w:r w:rsidR="002A23EC">
        <w:rPr>
          <w:rFonts w:asciiTheme="minorHAnsi" w:hAnsiTheme="minorHAnsi" w:cs="Times New Roman"/>
        </w:rPr>
        <w:t>the Major Group for Children and Youth</w:t>
      </w:r>
      <w:r w:rsidRPr="002F6296">
        <w:rPr>
          <w:rFonts w:asciiTheme="minorHAnsi" w:hAnsiTheme="minorHAnsi" w:cs="Times New Roman"/>
        </w:rPr>
        <w:t xml:space="preserve"> expressed concern that when it comes to looking at the leverage policies for </w:t>
      </w:r>
      <w:r w:rsidR="0012092E">
        <w:rPr>
          <w:rFonts w:asciiTheme="minorHAnsi" w:hAnsiTheme="minorHAnsi" w:cs="Times New Roman"/>
        </w:rPr>
        <w:t>marginalized</w:t>
      </w:r>
      <w:r w:rsidR="0012092E" w:rsidRPr="002F6296">
        <w:rPr>
          <w:rFonts w:asciiTheme="minorHAnsi" w:hAnsiTheme="minorHAnsi" w:cs="Times New Roman"/>
        </w:rPr>
        <w:t xml:space="preserve"> </w:t>
      </w:r>
      <w:r w:rsidRPr="002F6296">
        <w:rPr>
          <w:rFonts w:asciiTheme="minorHAnsi" w:hAnsiTheme="minorHAnsi" w:cs="Times New Roman"/>
        </w:rPr>
        <w:t xml:space="preserve">communities and the effect on the budget areas, 34% of the youth in Spain are unemployed and 100,000 </w:t>
      </w:r>
      <w:r w:rsidR="00710815" w:rsidRPr="002F6296">
        <w:rPr>
          <w:rFonts w:asciiTheme="minorHAnsi" w:hAnsiTheme="minorHAnsi" w:cs="Times New Roman"/>
        </w:rPr>
        <w:t>pe</w:t>
      </w:r>
      <w:r w:rsidR="00710815">
        <w:rPr>
          <w:rFonts w:asciiTheme="minorHAnsi" w:hAnsiTheme="minorHAnsi" w:cs="Times New Roman"/>
        </w:rPr>
        <w:t>rsons</w:t>
      </w:r>
      <w:r w:rsidR="00710815" w:rsidRPr="002F6296">
        <w:rPr>
          <w:rFonts w:asciiTheme="minorHAnsi" w:hAnsiTheme="minorHAnsi" w:cs="Times New Roman"/>
        </w:rPr>
        <w:t xml:space="preserve"> </w:t>
      </w:r>
      <w:r w:rsidRPr="002F6296">
        <w:rPr>
          <w:rFonts w:asciiTheme="minorHAnsi" w:hAnsiTheme="minorHAnsi" w:cs="Times New Roman"/>
        </w:rPr>
        <w:t xml:space="preserve">with disabilities cannot exercise the right to vote.  The </w:t>
      </w:r>
      <w:r w:rsidR="00750F8A">
        <w:rPr>
          <w:rFonts w:asciiTheme="minorHAnsi" w:hAnsiTheme="minorHAnsi" w:cs="Times New Roman"/>
        </w:rPr>
        <w:t>Major Group for Children and Youth</w:t>
      </w:r>
      <w:r w:rsidRPr="002F6296">
        <w:rPr>
          <w:rFonts w:asciiTheme="minorHAnsi" w:hAnsiTheme="minorHAnsi" w:cs="Times New Roman"/>
        </w:rPr>
        <w:t xml:space="preserve"> requested that the Spanish national sustainable development strategy should be a state policy which is inclusive, accessible and cuts across all political constituencies, embracing young </w:t>
      </w:r>
      <w:r w:rsidR="00067FF5" w:rsidRPr="002F6296">
        <w:rPr>
          <w:rFonts w:asciiTheme="minorHAnsi" w:hAnsiTheme="minorHAnsi" w:cs="Times New Roman"/>
        </w:rPr>
        <w:t>pe</w:t>
      </w:r>
      <w:r w:rsidR="00067FF5">
        <w:rPr>
          <w:rFonts w:asciiTheme="minorHAnsi" w:hAnsiTheme="minorHAnsi" w:cs="Times New Roman"/>
        </w:rPr>
        <w:t>rsons</w:t>
      </w:r>
      <w:r w:rsidRPr="002F6296">
        <w:rPr>
          <w:rFonts w:asciiTheme="minorHAnsi" w:hAnsiTheme="minorHAnsi" w:cs="Times New Roman"/>
        </w:rPr>
        <w:t xml:space="preserve">, persons with disabilities, older persons, </w:t>
      </w:r>
      <w:r w:rsidR="001D55E5" w:rsidRPr="002F6296">
        <w:rPr>
          <w:rFonts w:asciiTheme="minorHAnsi" w:hAnsiTheme="minorHAnsi" w:cs="Times New Roman"/>
        </w:rPr>
        <w:t>etc.</w:t>
      </w:r>
      <w:r w:rsidRPr="002F6296">
        <w:rPr>
          <w:rFonts w:asciiTheme="minorHAnsi" w:hAnsiTheme="minorHAnsi" w:cs="Times New Roman"/>
        </w:rPr>
        <w:t xml:space="preserve">, to ensure that nobody is left behind.  </w:t>
      </w:r>
      <w:r w:rsidR="00E347D2">
        <w:rPr>
          <w:rFonts w:asciiTheme="minorHAnsi" w:hAnsiTheme="minorHAnsi" w:cs="Times New Roman"/>
        </w:rPr>
        <w:t>The group asked about</w:t>
      </w:r>
      <w:r w:rsidRPr="002F6296">
        <w:rPr>
          <w:rFonts w:asciiTheme="minorHAnsi" w:hAnsiTheme="minorHAnsi" w:cs="Times New Roman"/>
        </w:rPr>
        <w:t xml:space="preserve"> the ways </w:t>
      </w:r>
      <w:r w:rsidR="00E347D2">
        <w:rPr>
          <w:rFonts w:asciiTheme="minorHAnsi" w:hAnsiTheme="minorHAnsi" w:cs="Times New Roman"/>
        </w:rPr>
        <w:t>to implement</w:t>
      </w:r>
      <w:r w:rsidRPr="002F6296">
        <w:rPr>
          <w:rFonts w:asciiTheme="minorHAnsi" w:hAnsiTheme="minorHAnsi" w:cs="Times New Roman"/>
        </w:rPr>
        <w:t xml:space="preserve"> this strategy</w:t>
      </w:r>
      <w:r w:rsidR="00886BEA">
        <w:rPr>
          <w:rFonts w:asciiTheme="minorHAnsi" w:hAnsiTheme="minorHAnsi" w:cs="Times New Roman"/>
        </w:rPr>
        <w:t>.</w:t>
      </w:r>
    </w:p>
    <w:p w14:paraId="00756CEF" w14:textId="77777777" w:rsidR="000514DE" w:rsidRDefault="000514DE" w:rsidP="000514DE">
      <w:pPr>
        <w:pStyle w:val="PlainText"/>
        <w:spacing w:line="276" w:lineRule="auto"/>
        <w:jc w:val="both"/>
        <w:rPr>
          <w:rFonts w:asciiTheme="minorHAnsi" w:hAnsiTheme="minorHAnsi" w:cs="Times New Roman"/>
          <w:b/>
          <w:sz w:val="24"/>
          <w:szCs w:val="24"/>
        </w:rPr>
      </w:pPr>
    </w:p>
    <w:p w14:paraId="33E0BC41" w14:textId="77777777" w:rsidR="004B457E" w:rsidRPr="000514DE" w:rsidRDefault="004B457E" w:rsidP="000514DE">
      <w:pPr>
        <w:pStyle w:val="PlainText"/>
        <w:spacing w:line="276" w:lineRule="auto"/>
        <w:jc w:val="both"/>
        <w:rPr>
          <w:rFonts w:asciiTheme="minorHAnsi" w:hAnsiTheme="minorHAnsi" w:cs="Times New Roman"/>
          <w:b/>
          <w:sz w:val="24"/>
          <w:szCs w:val="24"/>
        </w:rPr>
      </w:pPr>
      <w:r w:rsidRPr="000514DE">
        <w:rPr>
          <w:rFonts w:asciiTheme="minorHAnsi" w:hAnsiTheme="minorHAnsi" w:cs="Times New Roman"/>
          <w:b/>
          <w:sz w:val="24"/>
          <w:szCs w:val="24"/>
        </w:rPr>
        <w:t xml:space="preserve">Lebanon </w:t>
      </w:r>
    </w:p>
    <w:p w14:paraId="50E5E813" w14:textId="669C9A39" w:rsidR="005F03E4" w:rsidRPr="00FF73DA" w:rsidRDefault="004B457E" w:rsidP="005F03E4">
      <w:r w:rsidRPr="002F6296">
        <w:rPr>
          <w:rFonts w:cs="Times New Roman"/>
          <w:sz w:val="24"/>
          <w:szCs w:val="24"/>
        </w:rPr>
        <w:t>Following the VNR presentation by Ghassan</w:t>
      </w:r>
      <w:r w:rsidR="00397AD6">
        <w:rPr>
          <w:rFonts w:cs="Times New Roman"/>
          <w:sz w:val="24"/>
          <w:szCs w:val="24"/>
        </w:rPr>
        <w:t xml:space="preserve"> </w:t>
      </w:r>
      <w:proofErr w:type="spellStart"/>
      <w:r w:rsidRPr="002F6296">
        <w:rPr>
          <w:rFonts w:cs="Times New Roman"/>
          <w:sz w:val="24"/>
          <w:szCs w:val="24"/>
        </w:rPr>
        <w:t>Hasbani</w:t>
      </w:r>
      <w:proofErr w:type="spellEnd"/>
      <w:r w:rsidRPr="002F6296">
        <w:rPr>
          <w:rFonts w:cs="Times New Roman"/>
          <w:sz w:val="24"/>
          <w:szCs w:val="24"/>
        </w:rPr>
        <w:t xml:space="preserve">, Deputy Prime Minister and Minister of Public Health for Lebanon, Mohammed </w:t>
      </w:r>
      <w:proofErr w:type="spellStart"/>
      <w:r w:rsidRPr="002F6296">
        <w:rPr>
          <w:rFonts w:cs="Times New Roman"/>
          <w:sz w:val="24"/>
          <w:szCs w:val="24"/>
        </w:rPr>
        <w:t>Loutfy</w:t>
      </w:r>
      <w:proofErr w:type="spellEnd"/>
      <w:r w:rsidRPr="002F6296">
        <w:rPr>
          <w:rFonts w:cs="Times New Roman"/>
          <w:sz w:val="24"/>
          <w:szCs w:val="24"/>
        </w:rPr>
        <w:t xml:space="preserve">, Representative of Disabled People’s International at the United Nations and Executive Director of the Arab Forum for the </w:t>
      </w:r>
      <w:r w:rsidR="007269B3">
        <w:rPr>
          <w:rFonts w:cs="Times New Roman"/>
          <w:sz w:val="24"/>
          <w:szCs w:val="24"/>
        </w:rPr>
        <w:t>R</w:t>
      </w:r>
      <w:r w:rsidRPr="002F6296">
        <w:rPr>
          <w:rFonts w:cs="Times New Roman"/>
          <w:sz w:val="24"/>
          <w:szCs w:val="24"/>
        </w:rPr>
        <w:t xml:space="preserve">ights of </w:t>
      </w:r>
      <w:r w:rsidR="007269B3">
        <w:rPr>
          <w:rFonts w:cs="Times New Roman"/>
          <w:sz w:val="24"/>
          <w:szCs w:val="24"/>
        </w:rPr>
        <w:t>P</w:t>
      </w:r>
      <w:r w:rsidRPr="002F6296">
        <w:rPr>
          <w:rFonts w:cs="Times New Roman"/>
          <w:sz w:val="24"/>
          <w:szCs w:val="24"/>
        </w:rPr>
        <w:t xml:space="preserve">ersons with </w:t>
      </w:r>
      <w:r w:rsidR="007269B3">
        <w:rPr>
          <w:rFonts w:cs="Times New Roman"/>
          <w:sz w:val="24"/>
          <w:szCs w:val="24"/>
        </w:rPr>
        <w:t>D</w:t>
      </w:r>
      <w:r w:rsidRPr="002F6296">
        <w:rPr>
          <w:rFonts w:cs="Times New Roman"/>
          <w:sz w:val="24"/>
          <w:szCs w:val="24"/>
        </w:rPr>
        <w:t>isabilities, asked the Government of Lebanon</w:t>
      </w:r>
      <w:r w:rsidR="005F03E4">
        <w:rPr>
          <w:rFonts w:cs="Times New Roman"/>
          <w:sz w:val="24"/>
          <w:szCs w:val="24"/>
        </w:rPr>
        <w:t>:</w:t>
      </w:r>
      <w:r w:rsidR="000A29A2">
        <w:rPr>
          <w:rFonts w:cs="Times New Roman"/>
          <w:sz w:val="24"/>
          <w:szCs w:val="24"/>
        </w:rPr>
        <w:t xml:space="preserve"> </w:t>
      </w:r>
      <w:r w:rsidR="005F03E4" w:rsidRPr="00FF73DA">
        <w:rPr>
          <w:rFonts w:eastAsia="Times New Roman" w:cstheme="minorHAnsi"/>
          <w:color w:val="222222"/>
          <w:sz w:val="24"/>
          <w:szCs w:val="24"/>
          <w:shd w:val="clear" w:color="auto" w:fill="FFFFFF"/>
        </w:rPr>
        <w:t xml:space="preserve">“What measures Lebanon will take to ensure transparent and </w:t>
      </w:r>
      <w:r w:rsidR="005F03E4" w:rsidRPr="00FF73DA">
        <w:rPr>
          <w:rFonts w:eastAsia="Times New Roman" w:cstheme="minorHAnsi"/>
          <w:color w:val="222222"/>
          <w:sz w:val="24"/>
          <w:szCs w:val="24"/>
          <w:shd w:val="clear" w:color="auto" w:fill="FFFFFF"/>
        </w:rPr>
        <w:lastRenderedPageBreak/>
        <w:t>inclusive monitoring and implementation of the Agenda 2030?”</w:t>
      </w:r>
      <w:r w:rsidR="00302C56">
        <w:rPr>
          <w:rFonts w:eastAsia="Times New Roman" w:cstheme="minorHAnsi"/>
          <w:color w:val="222222"/>
          <w:sz w:val="24"/>
          <w:szCs w:val="24"/>
          <w:shd w:val="clear" w:color="auto" w:fill="FFFFFF"/>
        </w:rPr>
        <w:t xml:space="preserve"> </w:t>
      </w:r>
      <w:hyperlink r:id="rId26" w:tgtFrame="_blank" w:history="1">
        <w:r w:rsidR="00302C56" w:rsidRPr="00F14A6F">
          <w:rPr>
            <w:rStyle w:val="Hyperlink"/>
            <w:rFonts w:cstheme="minorHAnsi"/>
            <w:b/>
            <w:bCs/>
            <w:sz w:val="24"/>
            <w:shd w:val="clear" w:color="auto" w:fill="FFFFFF"/>
          </w:rPr>
          <w:t>Click here to read the statement with questions.</w:t>
        </w:r>
      </w:hyperlink>
    </w:p>
    <w:p w14:paraId="36DD17BD" w14:textId="77777777" w:rsidR="00682B12" w:rsidRPr="00682B12" w:rsidRDefault="00682B12" w:rsidP="00682B12">
      <w:pPr>
        <w:pStyle w:val="PlainText"/>
        <w:spacing w:line="276" w:lineRule="auto"/>
        <w:jc w:val="both"/>
        <w:rPr>
          <w:rFonts w:asciiTheme="minorHAnsi" w:hAnsiTheme="minorHAnsi" w:cs="Times New Roman"/>
          <w:sz w:val="24"/>
          <w:szCs w:val="24"/>
        </w:rPr>
      </w:pPr>
    </w:p>
    <w:p w14:paraId="5AE47657" w14:textId="7A8937D1" w:rsidR="004B457E" w:rsidRPr="002D7EB6" w:rsidRDefault="00F6656C" w:rsidP="00DC5942">
      <w:pPr>
        <w:pStyle w:val="Heading1"/>
        <w:jc w:val="center"/>
        <w:rPr>
          <w:sz w:val="32"/>
          <w:szCs w:val="32"/>
        </w:rPr>
      </w:pPr>
      <w:bookmarkStart w:id="54" w:name="_Toc531264902"/>
      <w:r>
        <w:rPr>
          <w:sz w:val="32"/>
          <w:szCs w:val="32"/>
        </w:rPr>
        <w:t>The Ministerial Declaration</w:t>
      </w:r>
      <w:bookmarkEnd w:id="54"/>
    </w:p>
    <w:p w14:paraId="099CC8CB" w14:textId="77777777" w:rsidR="00682B12" w:rsidRPr="00682B12" w:rsidRDefault="00682B12" w:rsidP="00682B12">
      <w:pPr>
        <w:spacing w:after="0"/>
        <w:rPr>
          <w:lang w:val="en-US"/>
        </w:rPr>
      </w:pPr>
    </w:p>
    <w:p w14:paraId="5ECFB769" w14:textId="3220D5A3" w:rsidR="004B457E" w:rsidRPr="00FF73DA" w:rsidRDefault="004B457E" w:rsidP="00682B12">
      <w:pPr>
        <w:pStyle w:val="PlainText"/>
        <w:spacing w:line="276" w:lineRule="auto"/>
        <w:jc w:val="both"/>
        <w:rPr>
          <w:rFonts w:asciiTheme="minorHAnsi" w:hAnsiTheme="minorHAnsi" w:cs="Times New Roman"/>
          <w:sz w:val="24"/>
          <w:szCs w:val="24"/>
        </w:rPr>
      </w:pPr>
      <w:r w:rsidRPr="00FF73DA">
        <w:rPr>
          <w:rFonts w:asciiTheme="minorHAnsi" w:hAnsiTheme="minorHAnsi" w:cs="Times New Roman"/>
          <w:sz w:val="24"/>
          <w:szCs w:val="24"/>
        </w:rPr>
        <w:t xml:space="preserve">The Ministerial Declaration was negotiated by Australia and Bangladesh. During the intergovernmental negotiation, </w:t>
      </w:r>
      <w:r w:rsidR="0086377B" w:rsidRPr="00FF73DA">
        <w:rPr>
          <w:rFonts w:asciiTheme="minorHAnsi" w:hAnsiTheme="minorHAnsi" w:cs="Times New Roman"/>
          <w:sz w:val="24"/>
          <w:szCs w:val="24"/>
        </w:rPr>
        <w:t>M</w:t>
      </w:r>
      <w:r w:rsidRPr="00FF73DA">
        <w:rPr>
          <w:rFonts w:asciiTheme="minorHAnsi" w:hAnsiTheme="minorHAnsi" w:cs="Times New Roman"/>
          <w:sz w:val="24"/>
          <w:szCs w:val="24"/>
        </w:rPr>
        <w:t xml:space="preserve">ajor </w:t>
      </w:r>
      <w:r w:rsidR="0086377B" w:rsidRPr="00FF73DA">
        <w:rPr>
          <w:rFonts w:asciiTheme="minorHAnsi" w:hAnsiTheme="minorHAnsi" w:cs="Times New Roman"/>
          <w:sz w:val="24"/>
          <w:szCs w:val="24"/>
        </w:rPr>
        <w:t>G</w:t>
      </w:r>
      <w:r w:rsidR="0043520C" w:rsidRPr="00FF73DA">
        <w:rPr>
          <w:rFonts w:asciiTheme="minorHAnsi" w:hAnsiTheme="minorHAnsi" w:cs="Times New Roman"/>
          <w:sz w:val="24"/>
          <w:szCs w:val="24"/>
        </w:rPr>
        <w:t xml:space="preserve">roups and other </w:t>
      </w:r>
      <w:r w:rsidR="0086377B" w:rsidRPr="00FF73DA">
        <w:rPr>
          <w:rFonts w:asciiTheme="minorHAnsi" w:hAnsiTheme="minorHAnsi" w:cs="Times New Roman"/>
          <w:sz w:val="24"/>
          <w:szCs w:val="24"/>
        </w:rPr>
        <w:t>S</w:t>
      </w:r>
      <w:r w:rsidR="0043520C" w:rsidRPr="00FF73DA">
        <w:rPr>
          <w:rFonts w:asciiTheme="minorHAnsi" w:hAnsiTheme="minorHAnsi" w:cs="Times New Roman"/>
          <w:sz w:val="24"/>
          <w:szCs w:val="24"/>
        </w:rPr>
        <w:t>takeholders w</w:t>
      </w:r>
      <w:r w:rsidRPr="00FF73DA">
        <w:rPr>
          <w:rFonts w:asciiTheme="minorHAnsi" w:hAnsiTheme="minorHAnsi" w:cs="Times New Roman"/>
          <w:sz w:val="24"/>
          <w:szCs w:val="24"/>
        </w:rPr>
        <w:t xml:space="preserve">ere invited and participated in developing the content and drafting the declaration. The </w:t>
      </w:r>
      <w:r w:rsidR="005A3F8F" w:rsidRPr="00FF73DA">
        <w:rPr>
          <w:rFonts w:asciiTheme="minorHAnsi" w:hAnsiTheme="minorHAnsi" w:cs="Times New Roman"/>
          <w:sz w:val="24"/>
          <w:szCs w:val="24"/>
        </w:rPr>
        <w:t>S</w:t>
      </w:r>
      <w:r w:rsidRPr="00FF73DA">
        <w:rPr>
          <w:rFonts w:asciiTheme="minorHAnsi" w:hAnsiTheme="minorHAnsi" w:cs="Times New Roman"/>
          <w:sz w:val="24"/>
          <w:szCs w:val="24"/>
        </w:rPr>
        <w:t xml:space="preserve">takeholder </w:t>
      </w:r>
      <w:r w:rsidR="005A3F8F" w:rsidRPr="00FF73DA">
        <w:rPr>
          <w:rFonts w:asciiTheme="minorHAnsi" w:hAnsiTheme="minorHAnsi" w:cs="Times New Roman"/>
          <w:sz w:val="24"/>
          <w:szCs w:val="24"/>
        </w:rPr>
        <w:t>G</w:t>
      </w:r>
      <w:r w:rsidRPr="00FF73DA">
        <w:rPr>
          <w:rFonts w:asciiTheme="minorHAnsi" w:hAnsiTheme="minorHAnsi" w:cs="Times New Roman"/>
          <w:sz w:val="24"/>
          <w:szCs w:val="24"/>
        </w:rPr>
        <w:t xml:space="preserve">roup of </w:t>
      </w:r>
      <w:r w:rsidR="005A3F8F" w:rsidRPr="00FF73DA">
        <w:rPr>
          <w:rFonts w:asciiTheme="minorHAnsi" w:hAnsiTheme="minorHAnsi" w:cs="Times New Roman"/>
          <w:sz w:val="24"/>
          <w:szCs w:val="24"/>
        </w:rPr>
        <w:t>P</w:t>
      </w:r>
      <w:r w:rsidRPr="00FF73DA">
        <w:rPr>
          <w:rFonts w:asciiTheme="minorHAnsi" w:hAnsiTheme="minorHAnsi" w:cs="Times New Roman"/>
          <w:sz w:val="24"/>
          <w:szCs w:val="24"/>
        </w:rPr>
        <w:t xml:space="preserve">ersons with </w:t>
      </w:r>
      <w:r w:rsidR="005A3F8F" w:rsidRPr="00FF73DA">
        <w:rPr>
          <w:rFonts w:asciiTheme="minorHAnsi" w:hAnsiTheme="minorHAnsi" w:cs="Times New Roman"/>
          <w:sz w:val="24"/>
          <w:szCs w:val="24"/>
        </w:rPr>
        <w:t>D</w:t>
      </w:r>
      <w:r w:rsidRPr="00FF73DA">
        <w:rPr>
          <w:rFonts w:asciiTheme="minorHAnsi" w:hAnsiTheme="minorHAnsi" w:cs="Times New Roman"/>
          <w:sz w:val="24"/>
          <w:szCs w:val="24"/>
        </w:rPr>
        <w:t xml:space="preserve">isabilities participated </w:t>
      </w:r>
      <w:r w:rsidR="001A0430" w:rsidRPr="00FF73DA">
        <w:rPr>
          <w:rFonts w:asciiTheme="minorHAnsi" w:hAnsiTheme="minorHAnsi" w:cs="Times New Roman"/>
          <w:sz w:val="24"/>
          <w:szCs w:val="24"/>
        </w:rPr>
        <w:t xml:space="preserve">in </w:t>
      </w:r>
      <w:r w:rsidRPr="00FF73DA">
        <w:rPr>
          <w:rFonts w:asciiTheme="minorHAnsi" w:hAnsiTheme="minorHAnsi" w:cs="Times New Roman"/>
          <w:sz w:val="24"/>
          <w:szCs w:val="24"/>
        </w:rPr>
        <w:t xml:space="preserve">the negotiations and delivered numerous statements. </w:t>
      </w:r>
    </w:p>
    <w:p w14:paraId="0C594A07" w14:textId="77777777" w:rsidR="001C325B" w:rsidRPr="00FF73DA" w:rsidRDefault="001C325B" w:rsidP="00682B12">
      <w:pPr>
        <w:pStyle w:val="PlainText"/>
        <w:spacing w:line="276" w:lineRule="auto"/>
        <w:jc w:val="both"/>
        <w:rPr>
          <w:rFonts w:asciiTheme="minorHAnsi" w:hAnsiTheme="minorHAnsi" w:cs="Times New Roman"/>
          <w:sz w:val="24"/>
          <w:szCs w:val="24"/>
        </w:rPr>
      </w:pPr>
    </w:p>
    <w:p w14:paraId="61BC22AA" w14:textId="59B0828C" w:rsidR="00682B12" w:rsidRDefault="004B457E" w:rsidP="00EC3877">
      <w:pPr>
        <w:pStyle w:val="PlainText"/>
        <w:spacing w:line="276" w:lineRule="auto"/>
        <w:jc w:val="both"/>
        <w:rPr>
          <w:rFonts w:asciiTheme="minorHAnsi" w:hAnsiTheme="minorHAnsi" w:cs="Times New Roman"/>
          <w:sz w:val="24"/>
          <w:szCs w:val="24"/>
        </w:rPr>
      </w:pPr>
      <w:r w:rsidRPr="00FF73DA">
        <w:rPr>
          <w:rFonts w:asciiTheme="minorHAnsi" w:hAnsiTheme="minorHAnsi" w:cs="Times New Roman"/>
          <w:sz w:val="24"/>
          <w:szCs w:val="24"/>
        </w:rPr>
        <w:t xml:space="preserve">The final outcome of the Ministerial </w:t>
      </w:r>
      <w:r w:rsidR="00D01EC2" w:rsidRPr="00FF73DA">
        <w:rPr>
          <w:rFonts w:asciiTheme="minorHAnsi" w:hAnsiTheme="minorHAnsi" w:cs="Times New Roman"/>
          <w:sz w:val="24"/>
          <w:szCs w:val="24"/>
        </w:rPr>
        <w:t xml:space="preserve">Declaration stressed that </w:t>
      </w:r>
      <w:r w:rsidRPr="00FF73DA">
        <w:rPr>
          <w:rFonts w:asciiTheme="minorHAnsi" w:hAnsiTheme="minorHAnsi" w:cs="Times New Roman"/>
          <w:sz w:val="24"/>
          <w:szCs w:val="24"/>
        </w:rPr>
        <w:t xml:space="preserve">leaving no one behind requires addressing the specific needs of people in vulnerable situations but also supporting their empowerment and participation in decision making that impacts their lives. </w:t>
      </w:r>
      <w:r w:rsidR="005955BF" w:rsidRPr="00FF73DA">
        <w:rPr>
          <w:rFonts w:asciiTheme="minorHAnsi" w:hAnsiTheme="minorHAnsi" w:cs="Times New Roman"/>
          <w:sz w:val="24"/>
          <w:szCs w:val="24"/>
        </w:rPr>
        <w:t>This includes t</w:t>
      </w:r>
      <w:r w:rsidRPr="00FF73DA">
        <w:rPr>
          <w:rFonts w:asciiTheme="minorHAnsi" w:hAnsiTheme="minorHAnsi" w:cs="Times New Roman"/>
          <w:sz w:val="24"/>
          <w:szCs w:val="24"/>
        </w:rPr>
        <w:t>hose whose needs are reflected in the 2030 Agenda includ</w:t>
      </w:r>
      <w:r w:rsidR="005955BF" w:rsidRPr="00FF73DA">
        <w:rPr>
          <w:rFonts w:asciiTheme="minorHAnsi" w:hAnsiTheme="minorHAnsi" w:cs="Times New Roman"/>
          <w:sz w:val="24"/>
          <w:szCs w:val="24"/>
        </w:rPr>
        <w:t>ing</w:t>
      </w:r>
      <w:r w:rsidRPr="00FF73DA">
        <w:rPr>
          <w:rFonts w:asciiTheme="minorHAnsi" w:hAnsiTheme="minorHAnsi" w:cs="Times New Roman"/>
          <w:sz w:val="24"/>
          <w:szCs w:val="24"/>
        </w:rPr>
        <w:t xml:space="preserve"> all children, youth, persons with disabil</w:t>
      </w:r>
      <w:r w:rsidR="005C4910" w:rsidRPr="00FF73DA">
        <w:rPr>
          <w:rFonts w:asciiTheme="minorHAnsi" w:hAnsiTheme="minorHAnsi" w:cs="Times New Roman"/>
          <w:sz w:val="24"/>
          <w:szCs w:val="24"/>
        </w:rPr>
        <w:t>ities (of whom more than 80 per</w:t>
      </w:r>
      <w:r w:rsidRPr="00FF73DA">
        <w:rPr>
          <w:rFonts w:asciiTheme="minorHAnsi" w:hAnsiTheme="minorHAnsi" w:cs="Times New Roman"/>
          <w:sz w:val="24"/>
          <w:szCs w:val="24"/>
        </w:rPr>
        <w:t>cent live in poverty), pe</w:t>
      </w:r>
      <w:r w:rsidR="00847275" w:rsidRPr="00FF73DA">
        <w:rPr>
          <w:rFonts w:asciiTheme="minorHAnsi" w:hAnsiTheme="minorHAnsi" w:cs="Times New Roman"/>
          <w:sz w:val="24"/>
          <w:szCs w:val="24"/>
        </w:rPr>
        <w:t>rsons</w:t>
      </w:r>
      <w:r w:rsidRPr="00FF73DA">
        <w:rPr>
          <w:rFonts w:asciiTheme="minorHAnsi" w:hAnsiTheme="minorHAnsi" w:cs="Times New Roman"/>
          <w:sz w:val="24"/>
          <w:szCs w:val="24"/>
        </w:rPr>
        <w:t xml:space="preserve"> living with HIV/AIDS, older persons, indigenous peoples, refugees and internally displaced persons, migrants and people living in areas affected by complex humanitarian emergencies, and peoples in areas affected by terrorism and conflict. </w:t>
      </w:r>
      <w:r w:rsidR="00075548" w:rsidRPr="00FF73DA">
        <w:rPr>
          <w:rFonts w:asciiTheme="minorHAnsi" w:hAnsiTheme="minorHAnsi" w:cs="Times New Roman"/>
          <w:sz w:val="24"/>
          <w:szCs w:val="24"/>
        </w:rPr>
        <w:t xml:space="preserve">It </w:t>
      </w:r>
      <w:r w:rsidR="00DC7489" w:rsidRPr="00FF73DA">
        <w:rPr>
          <w:rFonts w:asciiTheme="minorHAnsi" w:hAnsiTheme="minorHAnsi" w:cs="Times New Roman"/>
          <w:sz w:val="24"/>
          <w:szCs w:val="24"/>
        </w:rPr>
        <w:t>emphasized</w:t>
      </w:r>
      <w:r w:rsidRPr="00FF73DA">
        <w:rPr>
          <w:rFonts w:asciiTheme="minorHAnsi" w:hAnsiTheme="minorHAnsi" w:cs="Times New Roman"/>
          <w:sz w:val="24"/>
          <w:szCs w:val="24"/>
        </w:rPr>
        <w:t xml:space="preserve"> that high quality, accessible, timely and reliable data and statistics are central to the implementation of the 2030 Agenda. </w:t>
      </w:r>
      <w:r w:rsidR="009E649B" w:rsidRPr="00FF73DA">
        <w:rPr>
          <w:rFonts w:asciiTheme="minorHAnsi" w:hAnsiTheme="minorHAnsi" w:cs="Times New Roman"/>
          <w:sz w:val="24"/>
          <w:szCs w:val="24"/>
        </w:rPr>
        <w:t xml:space="preserve">It urged countries </w:t>
      </w:r>
      <w:r w:rsidRPr="00FF73DA">
        <w:rPr>
          <w:rFonts w:asciiTheme="minorHAnsi" w:hAnsiTheme="minorHAnsi" w:cs="Times New Roman"/>
          <w:sz w:val="24"/>
          <w:szCs w:val="24"/>
        </w:rPr>
        <w:t xml:space="preserve">to further strengthen collaboration at the bilateral, regional and global levels for capacity-building and sharing of best practices for collecting, producing, disseminating, </w:t>
      </w:r>
      <w:r w:rsidR="00EC3877" w:rsidRPr="00FF73DA">
        <w:rPr>
          <w:rFonts w:asciiTheme="minorHAnsi" w:hAnsiTheme="minorHAnsi" w:cs="Times New Roman"/>
          <w:sz w:val="24"/>
          <w:szCs w:val="24"/>
        </w:rPr>
        <w:t>analyzing</w:t>
      </w:r>
      <w:r w:rsidRPr="00FF73DA">
        <w:rPr>
          <w:rFonts w:asciiTheme="minorHAnsi" w:hAnsiTheme="minorHAnsi" w:cs="Times New Roman"/>
          <w:sz w:val="24"/>
          <w:szCs w:val="24"/>
        </w:rPr>
        <w:t xml:space="preserve"> and using quality data and statistics, disaggregated by income, sex, age, race, ethnicity, migration status, disability, geographical location and other characteristics relevant in national contexts</w:t>
      </w:r>
      <w:r w:rsidR="003542CF" w:rsidRPr="00FF73DA">
        <w:rPr>
          <w:rFonts w:asciiTheme="minorHAnsi" w:hAnsiTheme="minorHAnsi" w:cs="Times New Roman"/>
          <w:sz w:val="24"/>
          <w:szCs w:val="24"/>
        </w:rPr>
        <w:t>.</w:t>
      </w:r>
      <w:r w:rsidRPr="00FF73DA">
        <w:rPr>
          <w:rFonts w:asciiTheme="minorHAnsi" w:hAnsiTheme="minorHAnsi" w:cs="Times New Roman"/>
          <w:sz w:val="24"/>
          <w:szCs w:val="24"/>
        </w:rPr>
        <w:t xml:space="preserve"> </w:t>
      </w:r>
      <w:r w:rsidR="006A1627" w:rsidRPr="00FF73DA">
        <w:rPr>
          <w:rFonts w:asciiTheme="minorHAnsi" w:hAnsiTheme="minorHAnsi" w:cs="Times New Roman"/>
          <w:sz w:val="24"/>
          <w:szCs w:val="24"/>
        </w:rPr>
        <w:t xml:space="preserve">The Ministerial Declaration welcomed </w:t>
      </w:r>
      <w:r w:rsidRPr="00FF73DA">
        <w:rPr>
          <w:rFonts w:asciiTheme="minorHAnsi" w:hAnsiTheme="minorHAnsi" w:cs="Times New Roman"/>
          <w:sz w:val="24"/>
          <w:szCs w:val="24"/>
        </w:rPr>
        <w:t>the adoption of resolution A/RES/71/313 on the work of the UN Statistical Commission</w:t>
      </w:r>
      <w:r w:rsidR="00D97B5E" w:rsidRPr="00FF73DA">
        <w:rPr>
          <w:rFonts w:asciiTheme="minorHAnsi" w:hAnsiTheme="minorHAnsi" w:cs="Times New Roman"/>
          <w:sz w:val="24"/>
          <w:szCs w:val="24"/>
        </w:rPr>
        <w:t>. It also</w:t>
      </w:r>
      <w:r w:rsidRPr="00FF73DA">
        <w:rPr>
          <w:rFonts w:asciiTheme="minorHAnsi" w:hAnsiTheme="minorHAnsi" w:cs="Times New Roman"/>
          <w:sz w:val="24"/>
          <w:szCs w:val="24"/>
        </w:rPr>
        <w:t xml:space="preserve"> noted that to achieve universal and sustainable access to safe drinking water and sanitation and to end open defecation</w:t>
      </w:r>
      <w:r w:rsidR="00FE5FD3" w:rsidRPr="00FF73DA">
        <w:rPr>
          <w:rFonts w:asciiTheme="minorHAnsi" w:hAnsiTheme="minorHAnsi" w:cs="Times New Roman"/>
          <w:sz w:val="24"/>
          <w:szCs w:val="24"/>
        </w:rPr>
        <w:t>,</w:t>
      </w:r>
      <w:r w:rsidRPr="00FF73DA">
        <w:rPr>
          <w:rFonts w:asciiTheme="minorHAnsi" w:hAnsiTheme="minorHAnsi" w:cs="Times New Roman"/>
          <w:sz w:val="24"/>
          <w:szCs w:val="24"/>
        </w:rPr>
        <w:t xml:space="preserve"> substantial long-term investment and capacity building will be required, particularly in rapidly growing urban areas. Strengthening the institutional capacity of local, sub-national and national authorities, as appropriate, to manage and regulate sanitation systems </w:t>
      </w:r>
      <w:r w:rsidR="005114FE" w:rsidRPr="00FF73DA">
        <w:rPr>
          <w:rFonts w:asciiTheme="minorHAnsi" w:hAnsiTheme="minorHAnsi" w:cs="Times New Roman"/>
          <w:sz w:val="24"/>
          <w:szCs w:val="24"/>
        </w:rPr>
        <w:t>a</w:t>
      </w:r>
      <w:r w:rsidRPr="00FF73DA">
        <w:rPr>
          <w:rFonts w:asciiTheme="minorHAnsi" w:hAnsiTheme="minorHAnsi" w:cs="Times New Roman"/>
          <w:sz w:val="24"/>
          <w:szCs w:val="24"/>
        </w:rPr>
        <w:t>s a high priority</w:t>
      </w:r>
      <w:r w:rsidR="005114FE" w:rsidRPr="00FF73DA">
        <w:rPr>
          <w:rFonts w:asciiTheme="minorHAnsi" w:hAnsiTheme="minorHAnsi" w:cs="Times New Roman"/>
          <w:sz w:val="24"/>
          <w:szCs w:val="24"/>
        </w:rPr>
        <w:t xml:space="preserve"> was noted</w:t>
      </w:r>
      <w:r w:rsidRPr="00FF73DA">
        <w:rPr>
          <w:rFonts w:asciiTheme="minorHAnsi" w:hAnsiTheme="minorHAnsi" w:cs="Times New Roman"/>
          <w:sz w:val="24"/>
          <w:szCs w:val="24"/>
        </w:rPr>
        <w:t xml:space="preserve">. In particular, </w:t>
      </w:r>
      <w:r w:rsidR="00A05270" w:rsidRPr="00FF73DA">
        <w:rPr>
          <w:rFonts w:asciiTheme="minorHAnsi" w:hAnsiTheme="minorHAnsi" w:cs="Times New Roman"/>
          <w:sz w:val="24"/>
          <w:szCs w:val="24"/>
        </w:rPr>
        <w:t xml:space="preserve">the </w:t>
      </w:r>
      <w:r w:rsidR="00311238" w:rsidRPr="00FF73DA">
        <w:rPr>
          <w:rFonts w:asciiTheme="minorHAnsi" w:hAnsiTheme="minorHAnsi" w:cs="Times New Roman"/>
          <w:sz w:val="24"/>
          <w:szCs w:val="24"/>
        </w:rPr>
        <w:t>Ministerial Declaration</w:t>
      </w:r>
      <w:r w:rsidR="00A05270" w:rsidRPr="00FF73DA">
        <w:rPr>
          <w:rFonts w:asciiTheme="minorHAnsi" w:hAnsiTheme="minorHAnsi" w:cs="Times New Roman"/>
          <w:sz w:val="24"/>
          <w:szCs w:val="24"/>
        </w:rPr>
        <w:t xml:space="preserve"> noted that </w:t>
      </w:r>
      <w:r w:rsidRPr="00FF73DA">
        <w:rPr>
          <w:rFonts w:asciiTheme="minorHAnsi" w:hAnsiTheme="minorHAnsi" w:cs="Times New Roman"/>
          <w:sz w:val="24"/>
          <w:szCs w:val="24"/>
        </w:rPr>
        <w:t xml:space="preserve">special attention </w:t>
      </w:r>
      <w:r w:rsidR="00FD7AFB" w:rsidRPr="00FF73DA">
        <w:rPr>
          <w:rFonts w:asciiTheme="minorHAnsi" w:hAnsiTheme="minorHAnsi" w:cs="Times New Roman"/>
          <w:sz w:val="24"/>
          <w:szCs w:val="24"/>
        </w:rPr>
        <w:t xml:space="preserve">must be paid </w:t>
      </w:r>
      <w:r w:rsidRPr="00FF73DA">
        <w:rPr>
          <w:rFonts w:asciiTheme="minorHAnsi" w:hAnsiTheme="minorHAnsi" w:cs="Times New Roman"/>
          <w:sz w:val="24"/>
          <w:szCs w:val="24"/>
        </w:rPr>
        <w:t xml:space="preserve">to ensuring access to sanitation and hygiene facilities, considering the specific needs of women and girls, for menstrual hygiene management, and for persons with disabilities, without compromising their safety and </w:t>
      </w:r>
      <w:r w:rsidR="00397AD6" w:rsidRPr="00FF73DA">
        <w:rPr>
          <w:rFonts w:asciiTheme="minorHAnsi" w:hAnsiTheme="minorHAnsi" w:cs="Times New Roman"/>
          <w:sz w:val="24"/>
          <w:szCs w:val="24"/>
        </w:rPr>
        <w:t>dignity.</w:t>
      </w:r>
      <w:r w:rsidR="00397AD6" w:rsidRPr="00FF73DA">
        <w:t xml:space="preserve"> </w:t>
      </w:r>
      <w:hyperlink r:id="rId27" w:history="1">
        <w:r w:rsidR="009220DC" w:rsidRPr="00FF73DA">
          <w:rPr>
            <w:rStyle w:val="Hyperlink"/>
            <w:rFonts w:asciiTheme="minorHAnsi" w:hAnsiTheme="minorHAnsi" w:cstheme="minorHAnsi"/>
            <w:sz w:val="24"/>
          </w:rPr>
          <w:t>Click here to read the full Ministerial Declaration.</w:t>
        </w:r>
      </w:hyperlink>
    </w:p>
    <w:p w14:paraId="098AC6B4" w14:textId="77777777" w:rsidR="00EC3877" w:rsidRPr="00EC3877" w:rsidRDefault="00EC3877" w:rsidP="00EC3877">
      <w:pPr>
        <w:pStyle w:val="PlainText"/>
        <w:spacing w:line="276" w:lineRule="auto"/>
        <w:jc w:val="both"/>
        <w:rPr>
          <w:rFonts w:asciiTheme="minorHAnsi" w:hAnsiTheme="minorHAnsi" w:cs="Times New Roman"/>
          <w:sz w:val="24"/>
          <w:szCs w:val="24"/>
        </w:rPr>
      </w:pPr>
    </w:p>
    <w:p w14:paraId="2BF58CEE" w14:textId="638D12E4" w:rsidR="00651ECE" w:rsidRPr="00D02992" w:rsidRDefault="00FB515B" w:rsidP="00682B12">
      <w:pPr>
        <w:pStyle w:val="Heading1"/>
        <w:rPr>
          <w:sz w:val="32"/>
          <w:szCs w:val="32"/>
        </w:rPr>
      </w:pPr>
      <w:bookmarkStart w:id="55" w:name="_Toc531264903"/>
      <w:r>
        <w:rPr>
          <w:sz w:val="32"/>
          <w:szCs w:val="32"/>
        </w:rPr>
        <w:t>Compilation of reference</w:t>
      </w:r>
      <w:r w:rsidR="001B2716">
        <w:rPr>
          <w:sz w:val="32"/>
          <w:szCs w:val="32"/>
        </w:rPr>
        <w:t>s</w:t>
      </w:r>
      <w:r>
        <w:rPr>
          <w:sz w:val="32"/>
          <w:szCs w:val="32"/>
        </w:rPr>
        <w:t xml:space="preserve"> to persons with disabilities in the 2018 Voluntary National Reviews</w:t>
      </w:r>
      <w:bookmarkEnd w:id="55"/>
    </w:p>
    <w:p w14:paraId="062C6061" w14:textId="0A7942D3" w:rsidR="00651ECE" w:rsidRPr="00682B12" w:rsidRDefault="00651ECE" w:rsidP="00682B12">
      <w:pPr>
        <w:spacing w:line="276" w:lineRule="auto"/>
        <w:jc w:val="both"/>
        <w:rPr>
          <w:rFonts w:cs="Times New Roman"/>
          <w:sz w:val="24"/>
          <w:szCs w:val="24"/>
        </w:rPr>
      </w:pPr>
      <w:r w:rsidRPr="00682B12">
        <w:rPr>
          <w:rFonts w:cs="Times New Roman"/>
          <w:sz w:val="24"/>
          <w:szCs w:val="24"/>
        </w:rPr>
        <w:t xml:space="preserve">This section of the report highlights main references to </w:t>
      </w:r>
      <w:r w:rsidR="002670E3">
        <w:rPr>
          <w:rFonts w:cs="Times New Roman"/>
          <w:sz w:val="24"/>
          <w:szCs w:val="24"/>
        </w:rPr>
        <w:t>p</w:t>
      </w:r>
      <w:r w:rsidRPr="00682B12">
        <w:rPr>
          <w:rFonts w:cs="Times New Roman"/>
          <w:sz w:val="24"/>
          <w:szCs w:val="24"/>
        </w:rPr>
        <w:t xml:space="preserve">ersons with </w:t>
      </w:r>
      <w:r w:rsidR="002670E3">
        <w:rPr>
          <w:rFonts w:cs="Times New Roman"/>
          <w:sz w:val="24"/>
          <w:szCs w:val="24"/>
        </w:rPr>
        <w:t>d</w:t>
      </w:r>
      <w:r w:rsidRPr="00682B12">
        <w:rPr>
          <w:rFonts w:cs="Times New Roman"/>
          <w:sz w:val="24"/>
          <w:szCs w:val="24"/>
        </w:rPr>
        <w:t xml:space="preserve">isabilities in the 2018 </w:t>
      </w:r>
      <w:r w:rsidR="00857FEC">
        <w:rPr>
          <w:rFonts w:cs="Times New Roman"/>
          <w:sz w:val="24"/>
          <w:szCs w:val="24"/>
        </w:rPr>
        <w:t>V</w:t>
      </w:r>
      <w:r w:rsidRPr="00682B12">
        <w:rPr>
          <w:rFonts w:cs="Times New Roman"/>
          <w:sz w:val="24"/>
          <w:szCs w:val="24"/>
        </w:rPr>
        <w:t xml:space="preserve">oluntary </w:t>
      </w:r>
      <w:r w:rsidR="00857FEC">
        <w:rPr>
          <w:rFonts w:cs="Times New Roman"/>
          <w:sz w:val="24"/>
          <w:szCs w:val="24"/>
        </w:rPr>
        <w:t>N</w:t>
      </w:r>
      <w:r w:rsidRPr="00682B12">
        <w:rPr>
          <w:rFonts w:cs="Times New Roman"/>
          <w:sz w:val="24"/>
          <w:szCs w:val="24"/>
        </w:rPr>
        <w:t xml:space="preserve">ational </w:t>
      </w:r>
      <w:r w:rsidR="00857FEC">
        <w:rPr>
          <w:rFonts w:cs="Times New Roman"/>
          <w:sz w:val="24"/>
          <w:szCs w:val="24"/>
        </w:rPr>
        <w:t>R</w:t>
      </w:r>
      <w:r w:rsidRPr="00682B12">
        <w:rPr>
          <w:rFonts w:cs="Times New Roman"/>
          <w:sz w:val="24"/>
          <w:szCs w:val="24"/>
        </w:rPr>
        <w:t xml:space="preserve">eview reports submitted by the volunteering States at the </w:t>
      </w:r>
      <w:r w:rsidR="00857FEC">
        <w:rPr>
          <w:rFonts w:cs="Times New Roman"/>
          <w:sz w:val="24"/>
          <w:szCs w:val="24"/>
        </w:rPr>
        <w:t>H</w:t>
      </w:r>
      <w:r w:rsidRPr="00682B12">
        <w:rPr>
          <w:rFonts w:cs="Times New Roman"/>
          <w:sz w:val="24"/>
          <w:szCs w:val="24"/>
        </w:rPr>
        <w:t xml:space="preserve">igh-level </w:t>
      </w:r>
      <w:r w:rsidR="00857FEC">
        <w:rPr>
          <w:rFonts w:cs="Times New Roman"/>
          <w:sz w:val="24"/>
          <w:szCs w:val="24"/>
        </w:rPr>
        <w:t>P</w:t>
      </w:r>
      <w:r w:rsidRPr="00682B12">
        <w:rPr>
          <w:rFonts w:cs="Times New Roman"/>
          <w:sz w:val="24"/>
          <w:szCs w:val="24"/>
        </w:rPr>
        <w:t xml:space="preserve">olitical </w:t>
      </w:r>
      <w:r w:rsidR="00857FEC">
        <w:rPr>
          <w:rFonts w:cs="Times New Roman"/>
          <w:sz w:val="24"/>
          <w:szCs w:val="24"/>
        </w:rPr>
        <w:t>F</w:t>
      </w:r>
      <w:r w:rsidRPr="00682B12">
        <w:rPr>
          <w:rFonts w:cs="Times New Roman"/>
          <w:sz w:val="24"/>
          <w:szCs w:val="24"/>
        </w:rPr>
        <w:t xml:space="preserve">orum on </w:t>
      </w:r>
      <w:r w:rsidR="00296AB6">
        <w:rPr>
          <w:rFonts w:cs="Times New Roman"/>
          <w:sz w:val="24"/>
          <w:szCs w:val="24"/>
        </w:rPr>
        <w:t>S</w:t>
      </w:r>
      <w:r w:rsidRPr="00682B12">
        <w:rPr>
          <w:rFonts w:cs="Times New Roman"/>
          <w:sz w:val="24"/>
          <w:szCs w:val="24"/>
        </w:rPr>
        <w:t xml:space="preserve">ustainable </w:t>
      </w:r>
      <w:r w:rsidR="00296AB6">
        <w:rPr>
          <w:rFonts w:cs="Times New Roman"/>
          <w:sz w:val="24"/>
          <w:szCs w:val="24"/>
        </w:rPr>
        <w:t>D</w:t>
      </w:r>
      <w:r w:rsidRPr="00682B12">
        <w:rPr>
          <w:rFonts w:cs="Times New Roman"/>
          <w:sz w:val="24"/>
          <w:szCs w:val="24"/>
        </w:rPr>
        <w:t xml:space="preserve">evelopment at its 2018 meeting, in accordance with General Assembly resolutions 67/290 and 70/1. The analysis of volunteering States main reports revealed over 520 references to disability. </w:t>
      </w:r>
      <w:r w:rsidR="00BF5FFB" w:rsidRPr="00682B12">
        <w:rPr>
          <w:rFonts w:cs="Times New Roman"/>
          <w:sz w:val="24"/>
          <w:szCs w:val="24"/>
        </w:rPr>
        <w:t>These are summarised as follows:</w:t>
      </w:r>
    </w:p>
    <w:p w14:paraId="6F7A1B83" w14:textId="77777777" w:rsidR="00651ECE" w:rsidRPr="00BA1BA9" w:rsidRDefault="00651ECE" w:rsidP="005C71E0">
      <w:pPr>
        <w:pStyle w:val="Heading1"/>
        <w:rPr>
          <w:sz w:val="32"/>
          <w:szCs w:val="32"/>
        </w:rPr>
      </w:pPr>
      <w:bookmarkStart w:id="56" w:name="_Toc531264904"/>
      <w:r w:rsidRPr="00BA1BA9">
        <w:rPr>
          <w:sz w:val="32"/>
          <w:szCs w:val="32"/>
        </w:rPr>
        <w:lastRenderedPageBreak/>
        <w:t>Albania</w:t>
      </w:r>
      <w:bookmarkEnd w:id="56"/>
    </w:p>
    <w:p w14:paraId="3A7E6C39"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Albania</w:t>
      </w:r>
      <w:r w:rsidR="009432E1">
        <w:rPr>
          <w:rStyle w:val="FootnoteReference"/>
          <w:rFonts w:cs="Times New Roman"/>
          <w:sz w:val="24"/>
          <w:szCs w:val="24"/>
        </w:rPr>
        <w:footnoteReference w:id="2"/>
      </w:r>
      <w:r w:rsidRPr="00682B12">
        <w:rPr>
          <w:rFonts w:cs="Times New Roman"/>
          <w:sz w:val="24"/>
          <w:szCs w:val="24"/>
        </w:rPr>
        <w:t xml:space="preserve"> is party to all core human rights treaties and has made significant efforts in improving its human rights records and strengthening its national human rights institutions. Yet, issues such as gender inequality, violence against women and domestic violence, human trafficking, and child labour and exploitation are still </w:t>
      </w:r>
      <w:proofErr w:type="gramStart"/>
      <w:r w:rsidRPr="00682B12">
        <w:rPr>
          <w:rFonts w:cs="Times New Roman"/>
          <w:sz w:val="24"/>
          <w:szCs w:val="24"/>
        </w:rPr>
        <w:t>challenges</w:t>
      </w:r>
      <w:proofErr w:type="gramEnd"/>
      <w:r w:rsidRPr="00682B12">
        <w:rPr>
          <w:rFonts w:cs="Times New Roman"/>
          <w:sz w:val="24"/>
          <w:szCs w:val="24"/>
        </w:rPr>
        <w:t xml:space="preserve"> for the country. Whereas during the country’s communist period the integration of Roma and Egyptians, was ‘compulsory’, persons with disabilities did not usually benefit from specialised state services, or in only a very limited form and of insufficient quality. The transition years brought little in terms of improvements, and rather, in some respects, deterioration: marginalisation increased for Roma and Egyptians, many children of these groups dropped out of school and their social inclusion and access to the labour market worsened. Albania has a weighty heritage of</w:t>
      </w:r>
      <w:r w:rsidR="00397AD6">
        <w:rPr>
          <w:rFonts w:cs="Times New Roman"/>
          <w:sz w:val="24"/>
          <w:szCs w:val="24"/>
        </w:rPr>
        <w:t xml:space="preserve"> </w:t>
      </w:r>
      <w:r w:rsidRPr="00682B12">
        <w:rPr>
          <w:rFonts w:cs="Times New Roman"/>
          <w:sz w:val="24"/>
          <w:szCs w:val="24"/>
        </w:rPr>
        <w:t>marginalised</w:t>
      </w:r>
      <w:r w:rsidR="00397AD6">
        <w:rPr>
          <w:rFonts w:cs="Times New Roman"/>
          <w:sz w:val="24"/>
          <w:szCs w:val="24"/>
        </w:rPr>
        <w:t xml:space="preserve"> </w:t>
      </w:r>
      <w:r w:rsidRPr="00682B12">
        <w:rPr>
          <w:rFonts w:cs="Times New Roman"/>
          <w:sz w:val="24"/>
          <w:szCs w:val="24"/>
        </w:rPr>
        <w:t>and vulnerable persons in dire need of support but who continue to receive no, or often inadequate, services.</w:t>
      </w:r>
    </w:p>
    <w:p w14:paraId="1F0A9576" w14:textId="6905509F" w:rsidR="00651ECE" w:rsidRPr="00682B12" w:rsidRDefault="00651ECE" w:rsidP="00682B12">
      <w:pPr>
        <w:spacing w:line="276" w:lineRule="auto"/>
        <w:jc w:val="both"/>
        <w:rPr>
          <w:rFonts w:cs="Times New Roman"/>
          <w:sz w:val="24"/>
          <w:szCs w:val="24"/>
        </w:rPr>
      </w:pPr>
      <w:r w:rsidRPr="00682B12">
        <w:rPr>
          <w:rFonts w:cs="Times New Roman"/>
          <w:sz w:val="24"/>
          <w:szCs w:val="24"/>
        </w:rPr>
        <w:t>Inclusion is especially unsatisfactory in particular groups: the poor, Roma and Egyptians, and persons with disabilities, posing significant challenges for achievement of SDG Target 10.2: By 2030, empower and promote the social, economic and political inclusion of all, irrespective of age, sex, disability, race, ethnicity, origin, religion or economic or other status. Roma people experience extremely high levels of unemployment, estimated at around 71 percent, compared to 20 percent for the population as a whole .13 Less than a quarter of Roma and Egyptians are employed, and the gender inequality is stark: only 15 percent of Roma women and thirteen percent of Egyptian women have paid jobs .14 Most of these women work in the informal economy and, consequently, are not registered in the official employment scheme and lose entitlements to social benefits (e .</w:t>
      </w:r>
      <w:r w:rsidR="00E11E8E" w:rsidRPr="00682B12">
        <w:rPr>
          <w:rFonts w:cs="Times New Roman"/>
          <w:sz w:val="24"/>
          <w:szCs w:val="24"/>
        </w:rPr>
        <w:t>g.</w:t>
      </w:r>
      <w:r w:rsidRPr="00682B12">
        <w:rPr>
          <w:rFonts w:cs="Times New Roman"/>
          <w:sz w:val="24"/>
          <w:szCs w:val="24"/>
        </w:rPr>
        <w:t xml:space="preserve"> health insurance coverage, pension fund). Roma children often begin work at a very early age in order to contribute to the survival of their families. People with disabilities are much less likely to participate in the labour market than their non-disabled peers. The labour force of eight in ten disabled working age adults remains untapped, with them neither working nor looking for work. Consequently, disabled adults are five times less likely to be working than the nondisabled population15, despite the existence of a quota for employment of disabled people by public and private employers provided in the legislation. The barriers these disadvantaged groups face is mainly linked to their low level of education to meet the requirements of the market economy and the discriminatory attitudes of employers.</w:t>
      </w:r>
    </w:p>
    <w:p w14:paraId="74147FAB"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Gradual improvements in Albania’s children’s access to primary (age 6–10 years) and, particularly, pre-primary (age 3–5 years) education in recent years are reflected in the current Net Enrolment Rates (NERs): 96 percent and 81 percent, respectively, compared to 90 percent and 58 percent in 200816. However, inequities in access associated with income status revealed by the latest Living Standard Measurement Survey (LSMS: 23% of the poorest quintile children accessing pre-primary education versus 48% in the upper quintile) still persist.</w:t>
      </w:r>
      <w:r w:rsidR="009432E1">
        <w:rPr>
          <w:rStyle w:val="FootnoteReference"/>
          <w:rFonts w:cs="Times New Roman"/>
          <w:sz w:val="24"/>
          <w:szCs w:val="24"/>
        </w:rPr>
        <w:footnoteReference w:id="3"/>
      </w:r>
      <w:r w:rsidRPr="00682B12">
        <w:rPr>
          <w:rFonts w:cs="Times New Roman"/>
          <w:sz w:val="24"/>
          <w:szCs w:val="24"/>
        </w:rPr>
        <w:t xml:space="preserve"> Roma children benefit much less from early education than do other children, though since 2011 the number of Roma in Albania’s kindergartens has almost doubled18. According to Census 2011 data, most Albanian (97%) and Egyptian (93%) children of age from six to nine years attend primary schools, but this is the case for only 55 percent of Roma children. Dropping out is rather rare prior to ten years of age (less than 3%, and mainly </w:t>
      </w:r>
      <w:r w:rsidRPr="00682B12">
        <w:rPr>
          <w:rFonts w:cs="Times New Roman"/>
          <w:sz w:val="24"/>
          <w:szCs w:val="24"/>
        </w:rPr>
        <w:lastRenderedPageBreak/>
        <w:t>includes girls rather than boys), but is more significant at the beginning of lower secondary school. However, the dropout percentage varies among different categories (e.g. Roma children 4%; Egyptian children, 3 .4%; children with disabilities, 7%).</w:t>
      </w:r>
      <w:r w:rsidR="009432E1">
        <w:rPr>
          <w:rStyle w:val="FootnoteReference"/>
          <w:rFonts w:cs="Times New Roman"/>
          <w:sz w:val="24"/>
          <w:szCs w:val="24"/>
        </w:rPr>
        <w:footnoteReference w:id="4"/>
      </w:r>
    </w:p>
    <w:p w14:paraId="5172BEFA"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The main barriers contributing to low school attendance by Roma children are poverty, birth registration, parental attitudes in valuing children’s participation from their economic potential rather than them completing formal education, ineffective implementation of policies, and discriminatory attitudes of some teachers and non-Roma parents. Moreover, lack of information and appropriate competenc</w:t>
      </w:r>
      <w:r w:rsidR="00951136" w:rsidRPr="00682B12">
        <w:rPr>
          <w:rFonts w:cs="Times New Roman"/>
          <w:sz w:val="24"/>
          <w:szCs w:val="24"/>
        </w:rPr>
        <w:t>i</w:t>
      </w:r>
      <w:r w:rsidRPr="00682B12">
        <w:rPr>
          <w:rFonts w:cs="Times New Roman"/>
          <w:sz w:val="24"/>
          <w:szCs w:val="24"/>
        </w:rPr>
        <w:t>es among teachers, combined with inappropriate infrastructure, lack of a dedicated cadre of support teachers and insufficient learning instruments, all contribute to the continued exclusion of children with disabilities from their right to education</w:t>
      </w:r>
      <w:r w:rsidR="009432E1">
        <w:rPr>
          <w:rFonts w:cs="Times New Roman"/>
          <w:sz w:val="24"/>
          <w:szCs w:val="24"/>
        </w:rPr>
        <w:t>.</w:t>
      </w:r>
      <w:r w:rsidR="009432E1">
        <w:rPr>
          <w:rStyle w:val="FootnoteReference"/>
          <w:rFonts w:cs="Times New Roman"/>
          <w:sz w:val="24"/>
          <w:szCs w:val="24"/>
        </w:rPr>
        <w:footnoteReference w:id="5"/>
      </w:r>
    </w:p>
    <w:p w14:paraId="3A156067"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One adul</w:t>
      </w:r>
      <w:r w:rsidR="00951136" w:rsidRPr="00682B12">
        <w:rPr>
          <w:rFonts w:cs="Times New Roman"/>
          <w:sz w:val="24"/>
          <w:szCs w:val="24"/>
        </w:rPr>
        <w:t>t in four with a disability was</w:t>
      </w:r>
      <w:r w:rsidRPr="00682B12">
        <w:rPr>
          <w:rFonts w:cs="Times New Roman"/>
          <w:sz w:val="24"/>
          <w:szCs w:val="24"/>
        </w:rPr>
        <w:t xml:space="preserve"> unable to attend school, the vast majority of whom remain illiterate. The education gap between non-disabled and disabled individuals is huge: individuals with disabilities are much more likely to stay out of the school system, and when they do </w:t>
      </w:r>
      <w:r w:rsidR="00082E69" w:rsidRPr="00682B12">
        <w:rPr>
          <w:rFonts w:cs="Times New Roman"/>
          <w:sz w:val="24"/>
          <w:szCs w:val="24"/>
        </w:rPr>
        <w:t>attend;</w:t>
      </w:r>
      <w:r w:rsidRPr="00682B12">
        <w:rPr>
          <w:rFonts w:cs="Times New Roman"/>
          <w:sz w:val="24"/>
          <w:szCs w:val="24"/>
        </w:rPr>
        <w:t xml:space="preserve"> they are more likely to drop out after primary school. Census 2011 data show that only 55 .6 percent of persons with disabilities over 15 years of age have completed basic education</w:t>
      </w:r>
      <w:r w:rsidR="00E11E8E" w:rsidRPr="00682B12">
        <w:rPr>
          <w:rFonts w:cs="Times New Roman"/>
          <w:sz w:val="24"/>
          <w:szCs w:val="24"/>
        </w:rPr>
        <w:t>. Only 3</w:t>
      </w:r>
      <w:r w:rsidRPr="00682B12">
        <w:rPr>
          <w:rFonts w:cs="Times New Roman"/>
          <w:sz w:val="24"/>
          <w:szCs w:val="24"/>
        </w:rPr>
        <w:t xml:space="preserve">.3 percent of persons with disabilities have completed university studies and almost a quarter (24 .3%) have never attended education. The Albanian government is committed to increasing the registration of children with disabilities and children from poor families in the pre-university education system. </w:t>
      </w:r>
      <w:r w:rsidR="00082E69" w:rsidRPr="00682B12">
        <w:rPr>
          <w:rFonts w:cs="Times New Roman"/>
          <w:sz w:val="24"/>
          <w:szCs w:val="24"/>
        </w:rPr>
        <w:t>The g</w:t>
      </w:r>
      <w:r w:rsidRPr="00682B12">
        <w:rPr>
          <w:rFonts w:cs="Times New Roman"/>
          <w:sz w:val="24"/>
          <w:szCs w:val="24"/>
        </w:rPr>
        <w:t>overnment has prioritised pre-school teacher training, to enable teachers to address with greater care the needs of children with disabilities. Moreover, it is recognised that new appointments of trained support teachers in integrated teaching schools are a necessity for children with disabilities.</w:t>
      </w:r>
    </w:p>
    <w:p w14:paraId="61201241"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National and local institutional capacities and coordination still have to be improved to make a difference and bring results in children’s lives. Inequalities in accessing quality health services have affected specific vulnerable groups of the population. Infant and under-5 mortality rates have dropped over the years, but nevertheless, in the underserved areas of mountainous Albania, the rates are twice the national average.</w:t>
      </w:r>
      <w:r w:rsidR="009432E1">
        <w:rPr>
          <w:rStyle w:val="FootnoteReference"/>
          <w:rFonts w:cs="Times New Roman"/>
          <w:sz w:val="24"/>
          <w:szCs w:val="24"/>
        </w:rPr>
        <w:footnoteReference w:id="6"/>
      </w:r>
      <w:r w:rsidRPr="00682B12">
        <w:rPr>
          <w:rFonts w:cs="Times New Roman"/>
          <w:sz w:val="24"/>
          <w:szCs w:val="24"/>
        </w:rPr>
        <w:t xml:space="preserve"> Although government spending on health care in</w:t>
      </w:r>
      <w:r w:rsidR="00E11E8E" w:rsidRPr="00682B12">
        <w:rPr>
          <w:rFonts w:cs="Times New Roman"/>
          <w:sz w:val="24"/>
          <w:szCs w:val="24"/>
        </w:rPr>
        <w:t>creased from 2.</w:t>
      </w:r>
      <w:r w:rsidRPr="00682B12">
        <w:rPr>
          <w:rFonts w:cs="Times New Roman"/>
          <w:sz w:val="24"/>
          <w:szCs w:val="24"/>
        </w:rPr>
        <w:t>6 percent of GDP in 2013 to 2 .95 percent in 2017, this is still substantially less than the amounts other countries, with comparable levels of income, spend and, again, the lowest in the SEE26. Early identification and prevention of disabilities do not align with international standards in the health sector, with neonatal screening still absent.</w:t>
      </w:r>
      <w:r w:rsidR="009432E1">
        <w:rPr>
          <w:rStyle w:val="FootnoteReference"/>
          <w:rFonts w:cs="Times New Roman"/>
          <w:sz w:val="24"/>
          <w:szCs w:val="24"/>
        </w:rPr>
        <w:footnoteReference w:id="7"/>
      </w:r>
    </w:p>
    <w:p w14:paraId="2669225A"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 xml:space="preserve">ii) Disability Allowance (DA) for people with mental or physical disability, or both, including blind, paraplegic and quadriplegic persons. Households that have a member with </w:t>
      </w:r>
      <w:r w:rsidR="0030235C" w:rsidRPr="00682B12">
        <w:rPr>
          <w:rFonts w:cs="Times New Roman"/>
          <w:sz w:val="24"/>
          <w:szCs w:val="24"/>
        </w:rPr>
        <w:t xml:space="preserve">a </w:t>
      </w:r>
      <w:r w:rsidRPr="00682B12">
        <w:rPr>
          <w:rFonts w:cs="Times New Roman"/>
          <w:sz w:val="24"/>
          <w:szCs w:val="24"/>
        </w:rPr>
        <w:t xml:space="preserve">disability receive social protection cash payments regardless of the economic situation of the family members. Social protection transfers include disability allowance, social assistance benefits and support with energy bill payments. Even though disability allowance payments have increased year on year, it is still evident that persons with disabilities find it difficult to cover their expenses with their DA. The current </w:t>
      </w:r>
      <w:r w:rsidRPr="00682B12">
        <w:rPr>
          <w:rFonts w:cs="Times New Roman"/>
          <w:sz w:val="24"/>
          <w:szCs w:val="24"/>
        </w:rPr>
        <w:lastRenderedPageBreak/>
        <w:t>number of children with disabilities (around 15,000) officially receiving disability</w:t>
      </w:r>
      <w:r w:rsidR="009432E1">
        <w:rPr>
          <w:rStyle w:val="FootnoteReference"/>
          <w:rFonts w:cs="Times New Roman"/>
          <w:sz w:val="24"/>
          <w:szCs w:val="24"/>
        </w:rPr>
        <w:footnoteReference w:id="8"/>
      </w:r>
      <w:r w:rsidR="00C91C44">
        <w:rPr>
          <w:rFonts w:cs="Times New Roman"/>
          <w:sz w:val="24"/>
          <w:szCs w:val="24"/>
        </w:rPr>
        <w:t xml:space="preserve"> equates to approximately 2</w:t>
      </w:r>
      <w:r w:rsidRPr="00682B12">
        <w:rPr>
          <w:rFonts w:cs="Times New Roman"/>
          <w:sz w:val="24"/>
          <w:szCs w:val="24"/>
        </w:rPr>
        <w:t xml:space="preserve">.2 percent of the total child population of age 0–17 years, significantly less than the global prevalence estimate of five percent29. Moreover, the scheme follows the medical model, focusing mainly on children with severe disabilities, leaving out other categories30. A </w:t>
      </w:r>
      <w:r w:rsidR="005C71E0" w:rsidRPr="00682B12">
        <w:rPr>
          <w:rFonts w:cs="Times New Roman"/>
          <w:sz w:val="24"/>
          <w:szCs w:val="24"/>
        </w:rPr>
        <w:t>bio psychosocial</w:t>
      </w:r>
      <w:r w:rsidRPr="00682B12">
        <w:rPr>
          <w:rFonts w:cs="Times New Roman"/>
          <w:sz w:val="24"/>
          <w:szCs w:val="24"/>
        </w:rPr>
        <w:t xml:space="preserve"> model is being piloted in two administrative units of Tirana Municipality and based on international standards—International Classification of Functioning, Disability and Health, and WHO—as part of the disability reform undertaken by </w:t>
      </w:r>
      <w:r w:rsidR="002661A8" w:rsidRPr="00682B12">
        <w:rPr>
          <w:rFonts w:cs="Times New Roman"/>
          <w:sz w:val="24"/>
          <w:szCs w:val="24"/>
        </w:rPr>
        <w:t xml:space="preserve">the </w:t>
      </w:r>
      <w:r w:rsidRPr="00682B12">
        <w:rPr>
          <w:rFonts w:cs="Times New Roman"/>
          <w:sz w:val="24"/>
          <w:szCs w:val="24"/>
        </w:rPr>
        <w:t>government.</w:t>
      </w:r>
    </w:p>
    <w:p w14:paraId="2A57AF43"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The social protection reform in Albania is outlined in NSDI II, the National Strategy for Social Protection and the Policy Document on Social Inclusion 2015–2020. The reform aims to improve the targeting of families and persons receiving assistance, as well as through aligning the implementation with other ongoing and related reforms in the country. Albania has made operational the National Registry of Social Services, Persons with Disabilities and the NE Management Information System, which will improve the efficiency of the social protection mechanism, enhance its transparency and administration and reduce bureaucratic barriers.</w:t>
      </w:r>
    </w:p>
    <w:p w14:paraId="00EB6BA5"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Census 2011 shows that almost one in five poor households (18 .9%) live in overcrowded conditions, with 15 percent of Roma households living in</w:t>
      </w:r>
      <w:r w:rsidR="00492706" w:rsidRPr="00682B12">
        <w:rPr>
          <w:rFonts w:cs="Times New Roman"/>
          <w:sz w:val="24"/>
          <w:szCs w:val="24"/>
        </w:rPr>
        <w:t xml:space="preserve"> a</w:t>
      </w:r>
      <w:r w:rsidRPr="00682B12">
        <w:rPr>
          <w:rFonts w:cs="Times New Roman"/>
          <w:sz w:val="24"/>
          <w:szCs w:val="24"/>
        </w:rPr>
        <w:t xml:space="preserve"> nonconventional housing (shelter, tent, shack, barracks, or other inadequate, or even dangerous, construction) lacking basic infrastructure and services. UNDP research shows that only a small share (14 .34% of applicants) of the Albanian population in need of housing has benefited</w:t>
      </w:r>
      <w:r w:rsidR="005C71E0">
        <w:rPr>
          <w:rFonts w:cs="Times New Roman"/>
          <w:sz w:val="24"/>
          <w:szCs w:val="24"/>
        </w:rPr>
        <w:t xml:space="preserve"> from social housing programmes</w:t>
      </w:r>
      <w:r w:rsidR="009432E1" w:rsidRPr="009432E1">
        <w:rPr>
          <w:rFonts w:cs="Times New Roman"/>
          <w:sz w:val="24"/>
          <w:szCs w:val="24"/>
        </w:rPr>
        <w:t>.</w:t>
      </w:r>
      <w:r w:rsidR="009432E1" w:rsidRPr="009432E1">
        <w:rPr>
          <w:rStyle w:val="FootnoteReference"/>
          <w:rFonts w:cs="Times New Roman"/>
          <w:sz w:val="24"/>
          <w:szCs w:val="24"/>
        </w:rPr>
        <w:footnoteReference w:id="9"/>
      </w:r>
      <w:r w:rsidRPr="00682B12">
        <w:rPr>
          <w:rFonts w:cs="Times New Roman"/>
          <w:sz w:val="24"/>
          <w:szCs w:val="24"/>
        </w:rPr>
        <w:t xml:space="preserve"> The largest proportion of beneficiaries (40%) are young couples, and the smallest, orphans, Roma and Egyptian families, female-headed families, or victims of domestic violence, despite the fact that these are the groups submitting the largest number of </w:t>
      </w:r>
      <w:r w:rsidR="009E68CE" w:rsidRPr="00682B12">
        <w:rPr>
          <w:rFonts w:cs="Times New Roman"/>
          <w:sz w:val="24"/>
          <w:szCs w:val="24"/>
        </w:rPr>
        <w:t xml:space="preserve">applications. </w:t>
      </w:r>
      <w:r w:rsidRPr="00682B12">
        <w:rPr>
          <w:rFonts w:cs="Times New Roman"/>
          <w:sz w:val="24"/>
          <w:szCs w:val="24"/>
        </w:rPr>
        <w:t>In addition, there are no housing blocks or units available for persons with disabilities to live independently with personalised assistance services.</w:t>
      </w:r>
    </w:p>
    <w:p w14:paraId="628D454C" w14:textId="77777777" w:rsidR="00651ECE" w:rsidRPr="00682B12" w:rsidRDefault="00492706" w:rsidP="00682B12">
      <w:pPr>
        <w:spacing w:line="276" w:lineRule="auto"/>
        <w:jc w:val="both"/>
        <w:rPr>
          <w:rFonts w:cs="Times New Roman"/>
          <w:sz w:val="24"/>
          <w:szCs w:val="24"/>
        </w:rPr>
      </w:pPr>
      <w:r w:rsidRPr="00682B12">
        <w:rPr>
          <w:rFonts w:cs="Times New Roman"/>
          <w:sz w:val="24"/>
          <w:szCs w:val="24"/>
        </w:rPr>
        <w:t>The g</w:t>
      </w:r>
      <w:r w:rsidR="00651ECE" w:rsidRPr="00682B12">
        <w:rPr>
          <w:rFonts w:cs="Times New Roman"/>
          <w:sz w:val="24"/>
          <w:szCs w:val="24"/>
        </w:rPr>
        <w:t xml:space="preserve">overnment has made efforts to prioritise the needs of women with disabilities by offering dedicated vocational training courses and employment mediation programmes. The legal framework provides that disabled single mothers or heads of households may benefit from additional support services offered by public community centres, or may be referred to NGOs providing alternative services, where such services are not provided by the authorities. </w:t>
      </w:r>
    </w:p>
    <w:p w14:paraId="60A862D4"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In all current CSCs under its administration, including the IPRO Front Office in Tirana, ADISA has set improved standards of service delivery for people with disabilities based on customer care principles, especially with regard to:</w:t>
      </w:r>
    </w:p>
    <w:p w14:paraId="36E44BBD" w14:textId="77777777" w:rsidR="00651ECE" w:rsidRPr="00682B12" w:rsidRDefault="00651ECE" w:rsidP="00682B12">
      <w:pPr>
        <w:pStyle w:val="ListParagraph"/>
        <w:numPr>
          <w:ilvl w:val="0"/>
          <w:numId w:val="18"/>
        </w:numPr>
        <w:spacing w:line="276" w:lineRule="auto"/>
        <w:jc w:val="both"/>
        <w:rPr>
          <w:rFonts w:cs="Times New Roman"/>
          <w:sz w:val="24"/>
          <w:szCs w:val="24"/>
        </w:rPr>
      </w:pPr>
      <w:r w:rsidRPr="00682B12">
        <w:rPr>
          <w:rFonts w:cs="Times New Roman"/>
          <w:sz w:val="24"/>
          <w:szCs w:val="24"/>
        </w:rPr>
        <w:t>Providing for the infrastructure necessary to allow access therein to people with disabilities (e.g. ramps, dedicated toilets)</w:t>
      </w:r>
    </w:p>
    <w:p w14:paraId="6F3A5AA3" w14:textId="0BF2D7E7" w:rsidR="00651ECE" w:rsidRPr="00682B12" w:rsidRDefault="00D846BF" w:rsidP="008520F1">
      <w:pPr>
        <w:pStyle w:val="Heading2"/>
        <w:spacing w:after="0" w:afterAutospacing="0"/>
      </w:pPr>
      <w:bookmarkStart w:id="57" w:name="_Toc531264905"/>
      <w:r w:rsidRPr="00682B12">
        <w:t xml:space="preserve">Justice </w:t>
      </w:r>
      <w:r w:rsidR="002E0A9A">
        <w:t>r</w:t>
      </w:r>
      <w:r w:rsidRPr="00682B12">
        <w:t>eform</w:t>
      </w:r>
      <w:bookmarkEnd w:id="57"/>
    </w:p>
    <w:p w14:paraId="2CB41C46" w14:textId="77777777" w:rsidR="00651ECE" w:rsidRPr="00682B12" w:rsidRDefault="00651ECE" w:rsidP="008520F1">
      <w:pPr>
        <w:spacing w:after="0" w:line="276" w:lineRule="auto"/>
        <w:jc w:val="both"/>
        <w:rPr>
          <w:rFonts w:cs="Times New Roman"/>
          <w:sz w:val="24"/>
          <w:szCs w:val="24"/>
        </w:rPr>
      </w:pPr>
      <w:r w:rsidRPr="00682B12">
        <w:rPr>
          <w:rFonts w:cs="Times New Roman"/>
          <w:sz w:val="24"/>
          <w:szCs w:val="24"/>
        </w:rPr>
        <w:t xml:space="preserve">As part of the overall efforts of Albania to reform its justice system, under the auspices of Parliament, a thorough Analytical Paper was produced, pointing out all of the system’s challenges and </w:t>
      </w:r>
      <w:r w:rsidRPr="00682B12">
        <w:rPr>
          <w:rFonts w:cs="Times New Roman"/>
          <w:sz w:val="24"/>
          <w:szCs w:val="24"/>
        </w:rPr>
        <w:lastRenderedPageBreak/>
        <w:t xml:space="preserve">bottlenecks to </w:t>
      </w:r>
      <w:r w:rsidR="00D874BA" w:rsidRPr="00682B12">
        <w:rPr>
          <w:rFonts w:cs="Times New Roman"/>
          <w:sz w:val="24"/>
          <w:szCs w:val="24"/>
        </w:rPr>
        <w:t xml:space="preserve">the </w:t>
      </w:r>
      <w:r w:rsidRPr="00682B12">
        <w:rPr>
          <w:rFonts w:cs="Times New Roman"/>
          <w:sz w:val="24"/>
          <w:szCs w:val="24"/>
        </w:rPr>
        <w:t xml:space="preserve">delivery of a fair, professional and equitable justice to citizens, sensitive and adaptable to their vulnerabilities. The Analytical Paper was followed by a Justice Reform Strategy, envisaging amendments to the Constitution of the Republic, development of some 40 laws, and the setting up of several institutions. </w:t>
      </w:r>
    </w:p>
    <w:p w14:paraId="14AD630D" w14:textId="77777777" w:rsidR="008520F1" w:rsidRDefault="008520F1" w:rsidP="008520F1">
      <w:pPr>
        <w:pStyle w:val="Heading2"/>
        <w:spacing w:before="0" w:beforeAutospacing="0" w:after="0" w:afterAutospacing="0"/>
      </w:pPr>
    </w:p>
    <w:p w14:paraId="5ABDB759" w14:textId="68C42C97" w:rsidR="00651ECE" w:rsidRPr="00682B12" w:rsidRDefault="00D846BF" w:rsidP="008520F1">
      <w:pPr>
        <w:pStyle w:val="Heading2"/>
        <w:spacing w:before="0" w:beforeAutospacing="0" w:after="0" w:afterAutospacing="0"/>
      </w:pPr>
      <w:bookmarkStart w:id="58" w:name="_Toc531264906"/>
      <w:r w:rsidRPr="00682B12">
        <w:t xml:space="preserve">Social </w:t>
      </w:r>
      <w:r w:rsidR="002E0A9A">
        <w:t>i</w:t>
      </w:r>
      <w:r w:rsidRPr="00682B12">
        <w:t>nclusion</w:t>
      </w:r>
      <w:bookmarkEnd w:id="58"/>
    </w:p>
    <w:p w14:paraId="3B2FB211" w14:textId="6052F975" w:rsidR="00651ECE" w:rsidRDefault="00651ECE" w:rsidP="008520F1">
      <w:pPr>
        <w:spacing w:after="0" w:line="276" w:lineRule="auto"/>
        <w:jc w:val="both"/>
        <w:rPr>
          <w:rFonts w:cs="Times New Roman"/>
          <w:sz w:val="24"/>
          <w:szCs w:val="24"/>
        </w:rPr>
      </w:pPr>
      <w:r w:rsidRPr="00682B12">
        <w:rPr>
          <w:rFonts w:cs="Times New Roman"/>
          <w:sz w:val="24"/>
          <w:szCs w:val="24"/>
        </w:rPr>
        <w:t xml:space="preserve">Albania is party to all core human rights treaties and has made significant efforts in improving its human rights records and strengthening its national human rights institutions. Yet, issues such as gender inequality, violence against women and domestic violence, human trafficking, and child labour and exploitation are still </w:t>
      </w:r>
      <w:proofErr w:type="gramStart"/>
      <w:r w:rsidRPr="00682B12">
        <w:rPr>
          <w:rFonts w:cs="Times New Roman"/>
          <w:sz w:val="24"/>
          <w:szCs w:val="24"/>
        </w:rPr>
        <w:t>challenges</w:t>
      </w:r>
      <w:proofErr w:type="gramEnd"/>
      <w:r w:rsidRPr="00682B12">
        <w:rPr>
          <w:rFonts w:cs="Times New Roman"/>
          <w:sz w:val="24"/>
          <w:szCs w:val="24"/>
        </w:rPr>
        <w:t xml:space="preserve"> for the country. Whereas during the country’s communist period the integration of Roma and </w:t>
      </w:r>
      <w:r w:rsidR="00821699" w:rsidRPr="00682B12">
        <w:rPr>
          <w:rFonts w:cs="Times New Roman"/>
          <w:sz w:val="24"/>
          <w:szCs w:val="24"/>
        </w:rPr>
        <w:t>Egyptians</w:t>
      </w:r>
      <w:r w:rsidRPr="00682B12">
        <w:rPr>
          <w:rFonts w:cs="Times New Roman"/>
          <w:sz w:val="24"/>
          <w:szCs w:val="24"/>
        </w:rPr>
        <w:t xml:space="preserve"> was ‘compulsory’, persons with disabilities did not usually benefit from specialised state services, or in only a very limited form and of insufficient quality. The transition years brought little in terms of improvements, and rather, in some respects, deterioration: marginalisation increased for Roma and Egyptians, many children of these groups dropped out of school and their social inclusion and access to the labour market worsened. Albania has a weighty heritage of marginalised and vulnerable persons in dire need of support but who continue to receive no, or often inadequate, services.</w:t>
      </w:r>
    </w:p>
    <w:p w14:paraId="6A38E3EE" w14:textId="77777777" w:rsidR="009765A6" w:rsidRPr="00682B12" w:rsidRDefault="009765A6" w:rsidP="008520F1">
      <w:pPr>
        <w:spacing w:after="0" w:line="276" w:lineRule="auto"/>
        <w:jc w:val="both"/>
        <w:rPr>
          <w:rFonts w:cs="Times New Roman"/>
          <w:sz w:val="24"/>
          <w:szCs w:val="24"/>
        </w:rPr>
      </w:pPr>
    </w:p>
    <w:p w14:paraId="2FCEFCC2"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National and local institutional capacities and coordination still have to be improved to make a difference and bring results in children’s lives. Inequalities in accessing quality health services have affected specific vulnerable groups of the population. Infant and under-5 mortality rates have dropped over the years, but nevertheless, in the underserved areas of mountainous Albania, the rates are twice the national average.</w:t>
      </w:r>
      <w:r w:rsidR="002A5988">
        <w:rPr>
          <w:rStyle w:val="FootnoteReference"/>
          <w:rFonts w:cs="Times New Roman"/>
          <w:sz w:val="24"/>
          <w:szCs w:val="24"/>
        </w:rPr>
        <w:footnoteReference w:id="10"/>
      </w:r>
      <w:r w:rsidRPr="00682B12">
        <w:rPr>
          <w:rFonts w:cs="Times New Roman"/>
          <w:sz w:val="24"/>
          <w:szCs w:val="24"/>
        </w:rPr>
        <w:t xml:space="preserve"> The total burden of disease for children of age 1–4 years has reduced significantly but nevertheless remains the highest in the </w:t>
      </w:r>
      <w:r w:rsidR="002A5988" w:rsidRPr="002A5988">
        <w:rPr>
          <w:rFonts w:cs="Times New Roman"/>
          <w:sz w:val="24"/>
          <w:szCs w:val="24"/>
        </w:rPr>
        <w:t>South East Europe (SEE)</w:t>
      </w:r>
      <w:r w:rsidRPr="00682B12">
        <w:rPr>
          <w:rFonts w:cs="Times New Roman"/>
          <w:sz w:val="24"/>
          <w:szCs w:val="24"/>
        </w:rPr>
        <w:t xml:space="preserve"> region.</w:t>
      </w:r>
      <w:r w:rsidR="002A5988">
        <w:rPr>
          <w:rStyle w:val="FootnoteReference"/>
          <w:rFonts w:cs="Times New Roman"/>
          <w:sz w:val="24"/>
          <w:szCs w:val="24"/>
        </w:rPr>
        <w:footnoteReference w:id="11"/>
      </w:r>
      <w:r w:rsidRPr="00682B12">
        <w:rPr>
          <w:rFonts w:cs="Times New Roman"/>
          <w:sz w:val="24"/>
          <w:szCs w:val="24"/>
        </w:rPr>
        <w:t xml:space="preserve"> Although government spending </w:t>
      </w:r>
      <w:r w:rsidR="00821699" w:rsidRPr="00682B12">
        <w:rPr>
          <w:rFonts w:cs="Times New Roman"/>
          <w:sz w:val="24"/>
          <w:szCs w:val="24"/>
        </w:rPr>
        <w:t>on health care increased from 2</w:t>
      </w:r>
      <w:r w:rsidRPr="00682B12">
        <w:rPr>
          <w:rFonts w:cs="Times New Roman"/>
          <w:sz w:val="24"/>
          <w:szCs w:val="24"/>
        </w:rPr>
        <w:t xml:space="preserve">.6 percent of GDP in 2013 to 2 .95 percent in 2017, this is still substantially less than the amounts other countries, with comparable levels of income, spend and, again, the lowest in the </w:t>
      </w:r>
      <w:r w:rsidR="002A5988">
        <w:rPr>
          <w:rFonts w:cs="Times New Roman"/>
          <w:sz w:val="24"/>
          <w:szCs w:val="24"/>
        </w:rPr>
        <w:t>South East Europe</w:t>
      </w:r>
      <w:r w:rsidRPr="002A5988">
        <w:rPr>
          <w:rFonts w:cs="Times New Roman"/>
          <w:sz w:val="24"/>
          <w:szCs w:val="24"/>
        </w:rPr>
        <w:t>.</w:t>
      </w:r>
      <w:r w:rsidR="002A5988">
        <w:rPr>
          <w:rStyle w:val="FootnoteReference"/>
          <w:rFonts w:cs="Times New Roman"/>
          <w:sz w:val="24"/>
          <w:szCs w:val="24"/>
        </w:rPr>
        <w:footnoteReference w:id="12"/>
      </w:r>
      <w:r w:rsidRPr="00682B12">
        <w:rPr>
          <w:rFonts w:cs="Times New Roman"/>
          <w:sz w:val="24"/>
          <w:szCs w:val="24"/>
        </w:rPr>
        <w:t xml:space="preserve"> Early identification and prevention of disabilities do not align with international standards in the health sector, with neonatal screening still absent.</w:t>
      </w:r>
    </w:p>
    <w:p w14:paraId="32C37C5D" w14:textId="77777777" w:rsidR="00651ECE" w:rsidRPr="00682B12" w:rsidRDefault="00651ECE" w:rsidP="00D34E41">
      <w:pPr>
        <w:pStyle w:val="Heading2"/>
        <w:spacing w:after="0" w:afterAutospacing="0"/>
      </w:pPr>
      <w:bookmarkStart w:id="59" w:name="_Toc531264907"/>
      <w:r w:rsidRPr="00682B12">
        <w:t>Ta</w:t>
      </w:r>
      <w:r w:rsidR="00A83FAC">
        <w:t xml:space="preserve">ckling the inclusion challenges </w:t>
      </w:r>
      <w:r w:rsidRPr="00682B12">
        <w:t>in Albania</w:t>
      </w:r>
      <w:bookmarkEnd w:id="59"/>
    </w:p>
    <w:p w14:paraId="1086C61E" w14:textId="63E9E83D" w:rsidR="00651ECE" w:rsidRDefault="00651ECE" w:rsidP="00D34E41">
      <w:pPr>
        <w:spacing w:after="0" w:line="276" w:lineRule="auto"/>
        <w:jc w:val="both"/>
        <w:rPr>
          <w:rFonts w:cs="Times New Roman"/>
          <w:sz w:val="24"/>
          <w:szCs w:val="24"/>
        </w:rPr>
      </w:pPr>
      <w:r w:rsidRPr="00682B12">
        <w:rPr>
          <w:rFonts w:cs="Times New Roman"/>
          <w:sz w:val="24"/>
          <w:szCs w:val="24"/>
        </w:rPr>
        <w:t>Social protection for vulnerable groups in Albania is an important national priority and contributes towards achieving Goal 10: Reduce inequality within and among countries, particularly through Target 10.4: Adopt policies, especially fiscal, wage and social protection policies, and progressively achieve greater equality. Focusing on projects and programmes that emphasise the links between social inclusion, poverty reduction, employment and enterprise support, health, education, basic needs, participation and human rights is crucial in achieving Goal 10 in Albania.</w:t>
      </w:r>
    </w:p>
    <w:p w14:paraId="6ADA80CF" w14:textId="77777777" w:rsidR="00411FBB" w:rsidRPr="00682B12" w:rsidRDefault="00411FBB" w:rsidP="00D34E41">
      <w:pPr>
        <w:spacing w:after="0" w:line="276" w:lineRule="auto"/>
        <w:jc w:val="both"/>
        <w:rPr>
          <w:rFonts w:cs="Times New Roman"/>
          <w:sz w:val="24"/>
          <w:szCs w:val="24"/>
        </w:rPr>
      </w:pPr>
    </w:p>
    <w:p w14:paraId="1D6B2792"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lastRenderedPageBreak/>
        <w:t>The fight against marginalisation i</w:t>
      </w:r>
      <w:r w:rsidR="00821699" w:rsidRPr="00682B12">
        <w:rPr>
          <w:rFonts w:cs="Times New Roman"/>
          <w:sz w:val="24"/>
          <w:szCs w:val="24"/>
        </w:rPr>
        <w:t xml:space="preserve">s the </w:t>
      </w:r>
      <w:r w:rsidRPr="00682B12">
        <w:rPr>
          <w:rFonts w:cs="Times New Roman"/>
          <w:sz w:val="24"/>
          <w:szCs w:val="24"/>
        </w:rPr>
        <w:t>main pillar of Albania strategy. We have drafted new laws, providing broader education, housing and facilitating access to the work market for the Roma Community, the LBGT Community, and other minorities in the country. Early this year, a new law on Ethnic Minorities was implemented, focusing on protecting the rights of freedom of expression, association, and self-identification.</w:t>
      </w:r>
    </w:p>
    <w:p w14:paraId="32D9C822"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We are also committed to greater re</w:t>
      </w:r>
      <w:r w:rsidR="006F5FDB" w:rsidRPr="00682B12">
        <w:rPr>
          <w:rFonts w:cs="Times New Roman"/>
          <w:sz w:val="24"/>
          <w:szCs w:val="24"/>
        </w:rPr>
        <w:t>gional and European cooperation</w:t>
      </w:r>
      <w:r w:rsidRPr="00682B12">
        <w:rPr>
          <w:rFonts w:cs="Times New Roman"/>
          <w:sz w:val="24"/>
          <w:szCs w:val="24"/>
        </w:rPr>
        <w:t xml:space="preserve"> because we believe that no country can eradicate poverty, inequalities and marginalisation alone. It is our common responsibility, as civilized nations, to make sure the World we are shaping will be a World in which our children will thrive.</w:t>
      </w:r>
    </w:p>
    <w:p w14:paraId="67DF8DC0" w14:textId="77777777" w:rsidR="00651ECE" w:rsidRPr="00BA1BA9" w:rsidRDefault="00651ECE" w:rsidP="00D34E41">
      <w:pPr>
        <w:pStyle w:val="Heading1"/>
        <w:rPr>
          <w:sz w:val="32"/>
          <w:szCs w:val="32"/>
        </w:rPr>
      </w:pPr>
      <w:bookmarkStart w:id="60" w:name="_Toc531264908"/>
      <w:r w:rsidRPr="00BA1BA9">
        <w:rPr>
          <w:sz w:val="32"/>
          <w:szCs w:val="32"/>
        </w:rPr>
        <w:t>Armenia</w:t>
      </w:r>
      <w:bookmarkEnd w:id="60"/>
    </w:p>
    <w:p w14:paraId="064DF0F2"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Inclusion: Children with disabilities continue to be the largest group of out of school children despite the policy of towards universal inclusive education. Only 1/3 (80% in rural areas) of children with disabilities are enrolled in preschool. In fact, children with disabilities do not appear in national statistics, b</w:t>
      </w:r>
      <w:r w:rsidR="000109A0" w:rsidRPr="00682B12">
        <w:rPr>
          <w:rFonts w:cs="Times New Roman"/>
          <w:sz w:val="24"/>
          <w:szCs w:val="24"/>
        </w:rPr>
        <w:t>ecoming “invisible” to decision-</w:t>
      </w:r>
      <w:r w:rsidRPr="00682B12">
        <w:rPr>
          <w:rFonts w:cs="Times New Roman"/>
          <w:sz w:val="24"/>
          <w:szCs w:val="24"/>
        </w:rPr>
        <w:t>makers, service providers and the public.</w:t>
      </w:r>
    </w:p>
    <w:p w14:paraId="7721207E" w14:textId="77777777" w:rsidR="00651ECE" w:rsidRPr="00682B12" w:rsidRDefault="00D846BF" w:rsidP="00D34E41">
      <w:pPr>
        <w:pStyle w:val="Heading2"/>
        <w:spacing w:after="0" w:afterAutospacing="0"/>
      </w:pPr>
      <w:bookmarkStart w:id="61" w:name="_Toc531264909"/>
      <w:r w:rsidRPr="00682B12">
        <w:t>Challenges</w:t>
      </w:r>
      <w:bookmarkEnd w:id="61"/>
    </w:p>
    <w:p w14:paraId="4CE884E6" w14:textId="01E795D9" w:rsidR="00651ECE" w:rsidRDefault="00651ECE" w:rsidP="00D34E41">
      <w:pPr>
        <w:spacing w:after="0" w:line="276" w:lineRule="auto"/>
        <w:jc w:val="both"/>
        <w:rPr>
          <w:rFonts w:cs="Times New Roman"/>
          <w:sz w:val="24"/>
          <w:szCs w:val="24"/>
        </w:rPr>
      </w:pPr>
      <w:r w:rsidRPr="00682B12">
        <w:rPr>
          <w:rFonts w:cs="Times New Roman"/>
          <w:sz w:val="24"/>
          <w:szCs w:val="24"/>
        </w:rPr>
        <w:t>In 2016, gross enrolment in pre-school facilities (children of age group 0-6 years) in Armenia constituted 29.2 percent and varied depending on poverty status. For urban areas</w:t>
      </w:r>
      <w:r w:rsidR="00472AC8" w:rsidRPr="00682B12">
        <w:rPr>
          <w:rFonts w:cs="Times New Roman"/>
          <w:sz w:val="24"/>
          <w:szCs w:val="24"/>
        </w:rPr>
        <w:t>,</w:t>
      </w:r>
      <w:r w:rsidRPr="00682B12">
        <w:rPr>
          <w:rFonts w:cs="Times New Roman"/>
          <w:sz w:val="24"/>
          <w:szCs w:val="24"/>
        </w:rPr>
        <w:t xml:space="preserve"> the presch</w:t>
      </w:r>
      <w:r w:rsidR="00E11E8E" w:rsidRPr="00682B12">
        <w:rPr>
          <w:rFonts w:cs="Times New Roman"/>
          <w:sz w:val="24"/>
          <w:szCs w:val="24"/>
        </w:rPr>
        <w:t>ool enrolment rate was 35.6 percent and only 17.2 per</w:t>
      </w:r>
      <w:r w:rsidRPr="00682B12">
        <w:rPr>
          <w:rFonts w:cs="Times New Roman"/>
          <w:sz w:val="24"/>
          <w:szCs w:val="24"/>
        </w:rPr>
        <w:t>cent in rural areas, which meant that children in rural areas were even more deprived. About 71 percent of children with disabilities did not attend preschool</w:t>
      </w:r>
      <w:r w:rsidR="00472AC8" w:rsidRPr="00682B12">
        <w:rPr>
          <w:rFonts w:cs="Times New Roman"/>
          <w:sz w:val="24"/>
          <w:szCs w:val="24"/>
        </w:rPr>
        <w:t>s (80 percent in rural areas).</w:t>
      </w:r>
      <w:r w:rsidRPr="00682B12">
        <w:rPr>
          <w:rFonts w:cs="Times New Roman"/>
          <w:sz w:val="24"/>
          <w:szCs w:val="24"/>
        </w:rPr>
        <w:t xml:space="preserve"> Thus, children in the poorest rural areas and with disabilities could not effectively realize their right to education. </w:t>
      </w:r>
    </w:p>
    <w:p w14:paraId="2C6C56C3" w14:textId="77777777" w:rsidR="008120CD" w:rsidRPr="00682B12" w:rsidRDefault="008120CD" w:rsidP="00D34E41">
      <w:pPr>
        <w:spacing w:after="0" w:line="276" w:lineRule="auto"/>
        <w:jc w:val="both"/>
        <w:rPr>
          <w:rFonts w:cs="Times New Roman"/>
          <w:sz w:val="24"/>
          <w:szCs w:val="24"/>
        </w:rPr>
      </w:pPr>
    </w:p>
    <w:p w14:paraId="0F3F409A" w14:textId="77777777" w:rsidR="00651ECE" w:rsidRPr="00682B12" w:rsidRDefault="00651ECE" w:rsidP="00682B12">
      <w:pPr>
        <w:spacing w:line="276" w:lineRule="auto"/>
        <w:jc w:val="both"/>
        <w:rPr>
          <w:rFonts w:cs="Times New Roman"/>
          <w:sz w:val="24"/>
          <w:szCs w:val="24"/>
        </w:rPr>
      </w:pPr>
      <w:r w:rsidRPr="00682B12">
        <w:rPr>
          <w:rFonts w:cs="Times New Roman"/>
          <w:sz w:val="24"/>
          <w:szCs w:val="24"/>
        </w:rPr>
        <w:t xml:space="preserve">Though the country has adopted a national plan of action for making general education system inclusive by 2025, there is still a gap in putting in place national accessibility standards for physical environment, learning materials, communication of information (sign language, Braille, large print, Easy Read and pictorial information) in line with universal design principles and ensure compliance with them within mainstream settings to promote and facilitate access to educational institutions. Access and retention of children with disabilities to mainstream education at pre-primary and secondary education levels is still an issue due to gaps in methodologies and universal design of learning environment. </w:t>
      </w:r>
    </w:p>
    <w:p w14:paraId="089E0DA5" w14:textId="1F7F61BA" w:rsidR="00651ECE" w:rsidRPr="00682B12" w:rsidRDefault="00651ECE" w:rsidP="00682B12">
      <w:pPr>
        <w:spacing w:line="276" w:lineRule="auto"/>
        <w:jc w:val="both"/>
        <w:rPr>
          <w:rFonts w:cs="Times New Roman"/>
          <w:sz w:val="24"/>
          <w:szCs w:val="24"/>
        </w:rPr>
      </w:pPr>
      <w:r w:rsidRPr="00682B12">
        <w:rPr>
          <w:rFonts w:cs="Times New Roman"/>
          <w:sz w:val="24"/>
          <w:szCs w:val="24"/>
        </w:rPr>
        <w:t xml:space="preserve">Another key challenge is </w:t>
      </w:r>
      <w:r w:rsidR="001D3AF4">
        <w:rPr>
          <w:rFonts w:cs="Times New Roman"/>
          <w:sz w:val="24"/>
          <w:szCs w:val="24"/>
        </w:rPr>
        <w:t>h</w:t>
      </w:r>
      <w:r w:rsidRPr="00682B12">
        <w:rPr>
          <w:rFonts w:cs="Times New Roman"/>
          <w:sz w:val="24"/>
          <w:szCs w:val="24"/>
        </w:rPr>
        <w:t>igh drop-out rate from high schools and the lower involvement of boys and persons with disability in university education. Despite the resilience of the economy, key persistent challenges in Armenia to be tackled are the high level of national poverty with about 30 percent level, and high unemployment with about 18 percent level in 2017. The economic growth and development in the last</w:t>
      </w:r>
      <w:r w:rsidR="003F0FEE" w:rsidRPr="00682B12">
        <w:rPr>
          <w:rFonts w:cs="Times New Roman"/>
          <w:sz w:val="24"/>
          <w:szCs w:val="24"/>
        </w:rPr>
        <w:t xml:space="preserve"> decade did not translate into </w:t>
      </w:r>
      <w:r w:rsidRPr="00682B12">
        <w:rPr>
          <w:rFonts w:cs="Times New Roman"/>
          <w:sz w:val="24"/>
          <w:szCs w:val="24"/>
        </w:rPr>
        <w:t>either</w:t>
      </w:r>
      <w:r w:rsidR="003F0FEE" w:rsidRPr="00682B12">
        <w:rPr>
          <w:rFonts w:cs="Times New Roman"/>
          <w:sz w:val="24"/>
          <w:szCs w:val="24"/>
        </w:rPr>
        <w:t xml:space="preserve"> significant poverty reduction </w:t>
      </w:r>
      <w:r w:rsidRPr="00682B12">
        <w:rPr>
          <w:rFonts w:cs="Times New Roman"/>
          <w:sz w:val="24"/>
          <w:szCs w:val="24"/>
        </w:rPr>
        <w:t xml:space="preserve">or the reduction of unemployment.  So far, the economic growth has not been pro-poor, and the challenge is how to make the economic growth and development more inclusive, how to make it pro-poor. The challenges are exacerbated by </w:t>
      </w:r>
      <w:r w:rsidR="00397AD6" w:rsidRPr="00682B12">
        <w:rPr>
          <w:rFonts w:cs="Times New Roman"/>
          <w:sz w:val="24"/>
          <w:szCs w:val="24"/>
        </w:rPr>
        <w:t>a high</w:t>
      </w:r>
      <w:r w:rsidRPr="00682B12">
        <w:rPr>
          <w:rFonts w:cs="Times New Roman"/>
          <w:sz w:val="24"/>
          <w:szCs w:val="24"/>
        </w:rPr>
        <w:t xml:space="preserve"> dependency of large segments of population on remittances, and constraints on increasing Government spending due to high debt/GDP ratio.  </w:t>
      </w:r>
    </w:p>
    <w:p w14:paraId="327E212C" w14:textId="77777777" w:rsidR="00651ECE" w:rsidRPr="00C164D1" w:rsidRDefault="00651ECE" w:rsidP="00431085">
      <w:pPr>
        <w:pStyle w:val="Heading3"/>
      </w:pPr>
      <w:bookmarkStart w:id="62" w:name="_Toc531264910"/>
      <w:r w:rsidRPr="00C164D1">
        <w:lastRenderedPageBreak/>
        <w:t>Table 2. Unemployment, by sex, age and persons with disabilities, %</w:t>
      </w:r>
      <w:bookmarkEnd w:id="62"/>
    </w:p>
    <w:tbl>
      <w:tblPr>
        <w:tblStyle w:val="MediumShading1-Accent5"/>
        <w:tblW w:w="0" w:type="auto"/>
        <w:tblLook w:val="04A0" w:firstRow="1" w:lastRow="0" w:firstColumn="1" w:lastColumn="0" w:noHBand="0" w:noVBand="1"/>
      </w:tblPr>
      <w:tblGrid>
        <w:gridCol w:w="3005"/>
        <w:gridCol w:w="3005"/>
        <w:gridCol w:w="3006"/>
      </w:tblGrid>
      <w:tr w:rsidR="00651ECE" w:rsidRPr="00D4062B" w14:paraId="55ABD539" w14:textId="77777777" w:rsidTr="000E7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CB7199" w14:textId="77777777" w:rsidR="00651ECE" w:rsidRPr="00D4062B" w:rsidRDefault="00B34594" w:rsidP="000E75DA">
            <w:pPr>
              <w:spacing w:line="360" w:lineRule="auto"/>
              <w:jc w:val="center"/>
              <w:rPr>
                <w:rFonts w:ascii="Times New Roman" w:hAnsi="Times New Roman" w:cs="Times New Roman"/>
                <w:sz w:val="24"/>
                <w:szCs w:val="24"/>
              </w:rPr>
            </w:pPr>
            <w:r>
              <w:rPr>
                <w:rFonts w:ascii="Times New Roman" w:hAnsi="Times New Roman" w:cs="Times New Roman"/>
                <w:sz w:val="24"/>
                <w:szCs w:val="24"/>
              </w:rPr>
              <w:t>Y</w:t>
            </w:r>
            <w:r w:rsidR="00651ECE" w:rsidRPr="00D4062B">
              <w:rPr>
                <w:rFonts w:ascii="Times New Roman" w:hAnsi="Times New Roman" w:cs="Times New Roman"/>
                <w:sz w:val="24"/>
                <w:szCs w:val="24"/>
              </w:rPr>
              <w:t>ears</w:t>
            </w:r>
          </w:p>
        </w:tc>
        <w:tc>
          <w:tcPr>
            <w:tcW w:w="3005" w:type="dxa"/>
          </w:tcPr>
          <w:p w14:paraId="36D1C18A" w14:textId="77777777" w:rsidR="00651ECE" w:rsidRPr="00D4062B" w:rsidRDefault="00651ECE" w:rsidP="000E75D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2015</w:t>
            </w:r>
          </w:p>
        </w:tc>
        <w:tc>
          <w:tcPr>
            <w:tcW w:w="3006" w:type="dxa"/>
          </w:tcPr>
          <w:p w14:paraId="27FAA580" w14:textId="77777777" w:rsidR="00651ECE" w:rsidRPr="00D4062B" w:rsidRDefault="00651ECE" w:rsidP="000E75D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2016</w:t>
            </w:r>
          </w:p>
        </w:tc>
      </w:tr>
      <w:tr w:rsidR="00651ECE" w:rsidRPr="00D4062B" w14:paraId="46975FDF" w14:textId="77777777" w:rsidTr="000E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C1FCE9D"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Total, 15-76 age</w:t>
            </w:r>
          </w:p>
        </w:tc>
        <w:tc>
          <w:tcPr>
            <w:tcW w:w="3005" w:type="dxa"/>
          </w:tcPr>
          <w:p w14:paraId="2B462DE2"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18.5</w:t>
            </w:r>
          </w:p>
        </w:tc>
        <w:tc>
          <w:tcPr>
            <w:tcW w:w="3006" w:type="dxa"/>
          </w:tcPr>
          <w:p w14:paraId="3E5B1091"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18</w:t>
            </w:r>
          </w:p>
        </w:tc>
      </w:tr>
      <w:tr w:rsidR="00651ECE" w:rsidRPr="00D4062B" w14:paraId="42EA5196" w14:textId="77777777" w:rsidTr="000E75DA">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005" w:type="dxa"/>
          </w:tcPr>
          <w:p w14:paraId="3845B5A5"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Men</w:t>
            </w:r>
          </w:p>
        </w:tc>
        <w:tc>
          <w:tcPr>
            <w:tcW w:w="3005" w:type="dxa"/>
          </w:tcPr>
          <w:p w14:paraId="6556474B"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17.6</w:t>
            </w:r>
          </w:p>
        </w:tc>
        <w:tc>
          <w:tcPr>
            <w:tcW w:w="3006" w:type="dxa"/>
          </w:tcPr>
          <w:p w14:paraId="39F9E59C"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18.1</w:t>
            </w:r>
          </w:p>
        </w:tc>
      </w:tr>
      <w:tr w:rsidR="00651ECE" w:rsidRPr="00D4062B" w14:paraId="1774B3FA" w14:textId="77777777" w:rsidTr="000E75D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005" w:type="dxa"/>
          </w:tcPr>
          <w:p w14:paraId="3248BF02"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Women</w:t>
            </w:r>
          </w:p>
        </w:tc>
        <w:tc>
          <w:tcPr>
            <w:tcW w:w="3005" w:type="dxa"/>
          </w:tcPr>
          <w:p w14:paraId="2BD48F90"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19.5</w:t>
            </w:r>
          </w:p>
        </w:tc>
        <w:tc>
          <w:tcPr>
            <w:tcW w:w="3006" w:type="dxa"/>
          </w:tcPr>
          <w:p w14:paraId="14944701"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17.8</w:t>
            </w:r>
          </w:p>
        </w:tc>
      </w:tr>
      <w:tr w:rsidR="00651ECE" w:rsidRPr="00D4062B" w14:paraId="1E2E33A3" w14:textId="77777777" w:rsidTr="000E7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2943A7"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Total, 15-24 age</w:t>
            </w:r>
          </w:p>
        </w:tc>
        <w:tc>
          <w:tcPr>
            <w:tcW w:w="3005" w:type="dxa"/>
          </w:tcPr>
          <w:p w14:paraId="11154299"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32.5</w:t>
            </w:r>
          </w:p>
        </w:tc>
        <w:tc>
          <w:tcPr>
            <w:tcW w:w="3006" w:type="dxa"/>
          </w:tcPr>
          <w:p w14:paraId="77A8B4D4"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36.6</w:t>
            </w:r>
          </w:p>
        </w:tc>
      </w:tr>
      <w:tr w:rsidR="00651ECE" w:rsidRPr="00D4062B" w14:paraId="798CCDDA" w14:textId="77777777" w:rsidTr="000E75D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005" w:type="dxa"/>
          </w:tcPr>
          <w:p w14:paraId="6D7FA930"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Men</w:t>
            </w:r>
          </w:p>
        </w:tc>
        <w:tc>
          <w:tcPr>
            <w:tcW w:w="3005" w:type="dxa"/>
          </w:tcPr>
          <w:p w14:paraId="558A8063"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28.6</w:t>
            </w:r>
          </w:p>
        </w:tc>
        <w:tc>
          <w:tcPr>
            <w:tcW w:w="3006" w:type="dxa"/>
          </w:tcPr>
          <w:p w14:paraId="3D6C29CF"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29.8</w:t>
            </w:r>
          </w:p>
        </w:tc>
      </w:tr>
      <w:tr w:rsidR="00651ECE" w:rsidRPr="00D4062B" w14:paraId="47F50017" w14:textId="77777777" w:rsidTr="000E75DA">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005" w:type="dxa"/>
          </w:tcPr>
          <w:p w14:paraId="29C2145D"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Women</w:t>
            </w:r>
          </w:p>
        </w:tc>
        <w:tc>
          <w:tcPr>
            <w:tcW w:w="3005" w:type="dxa"/>
          </w:tcPr>
          <w:p w14:paraId="15940A7B"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37.2</w:t>
            </w:r>
          </w:p>
        </w:tc>
        <w:tc>
          <w:tcPr>
            <w:tcW w:w="3006" w:type="dxa"/>
          </w:tcPr>
          <w:p w14:paraId="6B62CA3A" w14:textId="77777777" w:rsidR="00651ECE" w:rsidRPr="00D4062B" w:rsidRDefault="00651ECE" w:rsidP="000E75D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46</w:t>
            </w:r>
          </w:p>
        </w:tc>
      </w:tr>
      <w:tr w:rsidR="00651ECE" w:rsidRPr="00D4062B" w14:paraId="785F2695" w14:textId="77777777" w:rsidTr="000E75D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005" w:type="dxa"/>
          </w:tcPr>
          <w:p w14:paraId="1D115749" w14:textId="77777777" w:rsidR="00651ECE" w:rsidRPr="00D4062B" w:rsidRDefault="00651ECE" w:rsidP="000E75DA">
            <w:pPr>
              <w:spacing w:line="360" w:lineRule="auto"/>
              <w:rPr>
                <w:rFonts w:ascii="Times New Roman" w:hAnsi="Times New Roman" w:cs="Times New Roman"/>
                <w:sz w:val="24"/>
                <w:szCs w:val="24"/>
              </w:rPr>
            </w:pPr>
            <w:r w:rsidRPr="00D4062B">
              <w:rPr>
                <w:rFonts w:ascii="Times New Roman" w:hAnsi="Times New Roman" w:cs="Times New Roman"/>
                <w:sz w:val="24"/>
                <w:szCs w:val="24"/>
              </w:rPr>
              <w:t>With Disabilities</w:t>
            </w:r>
          </w:p>
        </w:tc>
        <w:tc>
          <w:tcPr>
            <w:tcW w:w="3005" w:type="dxa"/>
          </w:tcPr>
          <w:p w14:paraId="3D4E58B2"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15.7</w:t>
            </w:r>
          </w:p>
        </w:tc>
        <w:tc>
          <w:tcPr>
            <w:tcW w:w="3006" w:type="dxa"/>
          </w:tcPr>
          <w:p w14:paraId="01AD81F4" w14:textId="77777777" w:rsidR="00651ECE" w:rsidRPr="00D4062B" w:rsidRDefault="00651ECE" w:rsidP="000E75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062B">
              <w:rPr>
                <w:rFonts w:ascii="Times New Roman" w:hAnsi="Times New Roman" w:cs="Times New Roman"/>
                <w:sz w:val="24"/>
                <w:szCs w:val="24"/>
              </w:rPr>
              <w:t>18.9</w:t>
            </w:r>
          </w:p>
        </w:tc>
      </w:tr>
    </w:tbl>
    <w:p w14:paraId="516EFC73" w14:textId="77777777" w:rsidR="003369A7" w:rsidRDefault="003369A7" w:rsidP="00924E6C">
      <w:pPr>
        <w:pStyle w:val="Heading1"/>
        <w:rPr>
          <w:rFonts w:ascii="Times New Roman" w:eastAsiaTheme="minorHAnsi" w:hAnsi="Times New Roman" w:cs="Times New Roman"/>
          <w:b w:val="0"/>
          <w:color w:val="auto"/>
          <w:sz w:val="24"/>
          <w:szCs w:val="24"/>
          <w:lang w:val="en-GB"/>
        </w:rPr>
      </w:pPr>
    </w:p>
    <w:p w14:paraId="29D7A85D" w14:textId="77777777" w:rsidR="00651ECE" w:rsidRPr="00BA1BA9" w:rsidRDefault="00651ECE" w:rsidP="00FF73DA">
      <w:pPr>
        <w:pStyle w:val="Heading2"/>
      </w:pPr>
      <w:bookmarkStart w:id="63" w:name="_Toc531264911"/>
      <w:r w:rsidRPr="00BA1BA9">
        <w:t>Inclusive communities (SDG target 11.7)</w:t>
      </w:r>
      <w:bookmarkEnd w:id="63"/>
    </w:p>
    <w:p w14:paraId="5162B06E" w14:textId="77777777" w:rsidR="00651ECE" w:rsidRPr="008444F7" w:rsidRDefault="00651ECE" w:rsidP="008444F7">
      <w:pPr>
        <w:spacing w:line="276" w:lineRule="auto"/>
        <w:jc w:val="both"/>
        <w:rPr>
          <w:rFonts w:cs="Times New Roman"/>
          <w:b/>
          <w:sz w:val="24"/>
          <w:szCs w:val="24"/>
        </w:rPr>
      </w:pPr>
      <w:r w:rsidRPr="008444F7">
        <w:rPr>
          <w:rFonts w:cs="Times New Roman"/>
          <w:sz w:val="24"/>
          <w:szCs w:val="24"/>
        </w:rPr>
        <w:t xml:space="preserve">Urban as well as rural communities in Armenia do not have inclusive and accessible, green and public spaces, in particular for persons with disabilities. Most of urban planning and construction requirements to buildings and other facilities/infrastructure were based on </w:t>
      </w:r>
      <w:r w:rsidR="004A5D08" w:rsidRPr="008444F7">
        <w:rPr>
          <w:rFonts w:cs="Times New Roman"/>
          <w:sz w:val="24"/>
          <w:szCs w:val="24"/>
        </w:rPr>
        <w:t>the S</w:t>
      </w:r>
      <w:r w:rsidRPr="008444F7">
        <w:rPr>
          <w:rFonts w:cs="Times New Roman"/>
          <w:sz w:val="24"/>
          <w:szCs w:val="24"/>
        </w:rPr>
        <w:t xml:space="preserve">oviet standards without consideration of the needs of people with disabilities.  In Armenia, 6.2 percent of the population is disabled (186,384 people). According to official statistics that </w:t>
      </w:r>
      <w:r w:rsidR="004A5D08" w:rsidRPr="008444F7">
        <w:rPr>
          <w:rFonts w:cs="Times New Roman"/>
          <w:sz w:val="24"/>
          <w:szCs w:val="24"/>
        </w:rPr>
        <w:t xml:space="preserve">the </w:t>
      </w:r>
      <w:r w:rsidRPr="008444F7">
        <w:rPr>
          <w:rFonts w:cs="Times New Roman"/>
          <w:sz w:val="24"/>
          <w:szCs w:val="24"/>
        </w:rPr>
        <w:t>unemployment rate among disabled people was 18.9 percent. However, some international sources suggest a much higher unemployment among</w:t>
      </w:r>
      <w:r w:rsidR="004A5D08" w:rsidRPr="008444F7">
        <w:rPr>
          <w:rFonts w:cs="Times New Roman"/>
          <w:sz w:val="24"/>
          <w:szCs w:val="24"/>
        </w:rPr>
        <w:t xml:space="preserve"> the</w:t>
      </w:r>
      <w:r w:rsidRPr="008444F7">
        <w:rPr>
          <w:rFonts w:cs="Times New Roman"/>
          <w:sz w:val="24"/>
          <w:szCs w:val="24"/>
        </w:rPr>
        <w:t xml:space="preserve"> disabled. Though the Government policies include provisions for promoting the inclusion of disabled in all aspects of social life (for instance the strategy of inclusive education), the implementation of those prov</w:t>
      </w:r>
      <w:r w:rsidR="005314B9" w:rsidRPr="008444F7">
        <w:rPr>
          <w:rFonts w:cs="Times New Roman"/>
          <w:sz w:val="24"/>
          <w:szCs w:val="24"/>
        </w:rPr>
        <w:t xml:space="preserve">isions are weak. In effect, </w:t>
      </w:r>
      <w:r w:rsidRPr="008444F7">
        <w:rPr>
          <w:rFonts w:cs="Times New Roman"/>
          <w:sz w:val="24"/>
          <w:szCs w:val="24"/>
        </w:rPr>
        <w:t xml:space="preserve">disabled people do not always have the opportunity to actively participate in </w:t>
      </w:r>
      <w:r w:rsidR="005314B9" w:rsidRPr="008444F7">
        <w:rPr>
          <w:rFonts w:cs="Times New Roman"/>
          <w:sz w:val="24"/>
          <w:szCs w:val="24"/>
        </w:rPr>
        <w:t xml:space="preserve">the </w:t>
      </w:r>
      <w:r w:rsidRPr="008444F7">
        <w:rPr>
          <w:rFonts w:cs="Times New Roman"/>
          <w:sz w:val="24"/>
          <w:szCs w:val="24"/>
        </w:rPr>
        <w:t xml:space="preserve">economic and social life of the country.    </w:t>
      </w:r>
    </w:p>
    <w:p w14:paraId="52175216" w14:textId="77777777" w:rsidR="00651ECE" w:rsidRPr="00BA1BA9" w:rsidRDefault="00651ECE" w:rsidP="00924E6C">
      <w:pPr>
        <w:pStyle w:val="Heading1"/>
        <w:rPr>
          <w:color w:val="3CA1FF"/>
        </w:rPr>
      </w:pPr>
      <w:bookmarkStart w:id="64" w:name="_Toc531264912"/>
      <w:r w:rsidRPr="00FF73DA">
        <w:rPr>
          <w:rStyle w:val="Heading2Char"/>
          <w:b/>
        </w:rPr>
        <w:t>Inclusive communities (SDG 11.3, 11.7, 11a</w:t>
      </w:r>
      <w:r w:rsidRPr="00BA1BA9">
        <w:rPr>
          <w:color w:val="3CA1FF"/>
        </w:rPr>
        <w:t>)</w:t>
      </w:r>
      <w:bookmarkEnd w:id="64"/>
    </w:p>
    <w:p w14:paraId="63B505EF" w14:textId="77777777" w:rsidR="00651ECE" w:rsidRPr="008444F7" w:rsidRDefault="00651ECE" w:rsidP="008444F7">
      <w:pPr>
        <w:spacing w:line="276" w:lineRule="auto"/>
        <w:jc w:val="both"/>
        <w:rPr>
          <w:rFonts w:cs="Times New Roman"/>
          <w:b/>
          <w:sz w:val="24"/>
          <w:szCs w:val="24"/>
        </w:rPr>
      </w:pPr>
      <w:r w:rsidRPr="008444F7">
        <w:rPr>
          <w:rFonts w:cs="Times New Roman"/>
          <w:sz w:val="24"/>
          <w:szCs w:val="24"/>
        </w:rPr>
        <w:t>Urgent action must be taken to improve access to green and public places for people with disabilities and for application of the principles of universal design.</w:t>
      </w:r>
      <w:r w:rsidR="003D2DFB" w:rsidRPr="008444F7">
        <w:rPr>
          <w:rFonts w:cs="Times New Roman"/>
          <w:sz w:val="24"/>
          <w:szCs w:val="24"/>
        </w:rPr>
        <w:t xml:space="preserve"> The a</w:t>
      </w:r>
      <w:r w:rsidRPr="008444F7">
        <w:rPr>
          <w:rFonts w:cs="Times New Roman"/>
          <w:sz w:val="24"/>
          <w:szCs w:val="24"/>
        </w:rPr>
        <w:t xml:space="preserve">ction is also required for inclusive community service delivery and accessibility of services. Achieving inclusivity in urban and rural communities would require a systemic approach and joint effort by the state, municipalities, civil society organizations, and private businesses.   </w:t>
      </w:r>
    </w:p>
    <w:p w14:paraId="32B189E7" w14:textId="77777777" w:rsidR="00651ECE" w:rsidRPr="00BA1BA9" w:rsidRDefault="00651ECE" w:rsidP="00924E6C">
      <w:pPr>
        <w:pStyle w:val="Heading1"/>
        <w:rPr>
          <w:sz w:val="32"/>
          <w:szCs w:val="32"/>
        </w:rPr>
      </w:pPr>
      <w:bookmarkStart w:id="65" w:name="_Toc531264913"/>
      <w:r w:rsidRPr="00BA1BA9">
        <w:rPr>
          <w:sz w:val="32"/>
          <w:szCs w:val="32"/>
        </w:rPr>
        <w:t>Australia</w:t>
      </w:r>
      <w:bookmarkEnd w:id="65"/>
    </w:p>
    <w:p w14:paraId="600421DB"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Australia</w:t>
      </w:r>
      <w:r w:rsidR="00D6302A">
        <w:rPr>
          <w:rStyle w:val="FootnoteReference"/>
          <w:rFonts w:cs="Times New Roman"/>
          <w:sz w:val="24"/>
          <w:szCs w:val="24"/>
        </w:rPr>
        <w:footnoteReference w:id="13"/>
      </w:r>
      <w:r w:rsidRPr="008444F7">
        <w:rPr>
          <w:rFonts w:cs="Times New Roman"/>
          <w:sz w:val="24"/>
          <w:szCs w:val="24"/>
        </w:rPr>
        <w:t>, like all countries, faces challenges and we are focusing on those areas where more could be done. We have recently implemen</w:t>
      </w:r>
      <w:r w:rsidR="00013CEA" w:rsidRPr="008444F7">
        <w:rPr>
          <w:rFonts w:cs="Times New Roman"/>
          <w:sz w:val="24"/>
          <w:szCs w:val="24"/>
        </w:rPr>
        <w:t xml:space="preserve">ted policies to improve the </w:t>
      </w:r>
      <w:r w:rsidR="00924E6C" w:rsidRPr="008444F7">
        <w:rPr>
          <w:rFonts w:cs="Times New Roman"/>
          <w:sz w:val="24"/>
          <w:szCs w:val="24"/>
        </w:rPr>
        <w:t>liveability</w:t>
      </w:r>
      <w:r w:rsidRPr="008444F7">
        <w:rPr>
          <w:rFonts w:cs="Times New Roman"/>
          <w:sz w:val="24"/>
          <w:szCs w:val="24"/>
        </w:rPr>
        <w:t xml:space="preserve"> of our cities, including through investments in infrastructure and reforms through City Deals. We are also delivering on our commitment to fully fund and implement a National Disability Insurance Scheme. </w:t>
      </w:r>
    </w:p>
    <w:p w14:paraId="1993BE94"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While Australia is a prosperous country, people remain at risk of being left behind due to lingering barriers to </w:t>
      </w:r>
      <w:r w:rsidR="00B65E1D" w:rsidRPr="008444F7">
        <w:rPr>
          <w:rFonts w:cs="Times New Roman"/>
          <w:sz w:val="24"/>
          <w:szCs w:val="24"/>
        </w:rPr>
        <w:t>their participation in the work</w:t>
      </w:r>
      <w:r w:rsidRPr="008444F7">
        <w:rPr>
          <w:rFonts w:cs="Times New Roman"/>
          <w:sz w:val="24"/>
          <w:szCs w:val="24"/>
        </w:rPr>
        <w:t>force and difficulties in accessing services. These groups include Aboriginal and Torres Strait Islander peoples, those fr</w:t>
      </w:r>
      <w:r w:rsidR="00802524" w:rsidRPr="008444F7">
        <w:rPr>
          <w:rFonts w:cs="Times New Roman"/>
          <w:sz w:val="24"/>
          <w:szCs w:val="24"/>
        </w:rPr>
        <w:t xml:space="preserve">om culturally or linguistically </w:t>
      </w:r>
      <w:r w:rsidRPr="008444F7">
        <w:rPr>
          <w:rFonts w:cs="Times New Roman"/>
          <w:sz w:val="24"/>
          <w:szCs w:val="24"/>
        </w:rPr>
        <w:t xml:space="preserve">diverse </w:t>
      </w:r>
      <w:r w:rsidRPr="008444F7">
        <w:rPr>
          <w:rFonts w:cs="Times New Roman"/>
          <w:sz w:val="24"/>
          <w:szCs w:val="24"/>
        </w:rPr>
        <w:lastRenderedPageBreak/>
        <w:t xml:space="preserve">backgrounds, women and girls, lesbian, gay, bisexual, transgender and intersex (LGBTI) persons, youth, the elderly, people with disability and those living in remote and rural locations. </w:t>
      </w:r>
      <w:r w:rsidR="00B2594C" w:rsidRPr="008444F7">
        <w:rPr>
          <w:rFonts w:cs="Times New Roman"/>
          <w:sz w:val="24"/>
          <w:szCs w:val="24"/>
        </w:rPr>
        <w:t>The d</w:t>
      </w:r>
      <w:r w:rsidRPr="008444F7">
        <w:rPr>
          <w:rFonts w:cs="Times New Roman"/>
          <w:sz w:val="24"/>
          <w:szCs w:val="24"/>
        </w:rPr>
        <w:t xml:space="preserve">isadvantage can be compounded, exacerbated or prolonged by a combination of factors including the range of environmental, social and economic aspects encompassed in the SDGs, for example, a lack of access to quality education, health care or employment. </w:t>
      </w:r>
      <w:r w:rsidR="00B2594C" w:rsidRPr="008444F7">
        <w:rPr>
          <w:rFonts w:cs="Times New Roman"/>
          <w:sz w:val="24"/>
          <w:szCs w:val="24"/>
        </w:rPr>
        <w:t>The d</w:t>
      </w:r>
      <w:r w:rsidRPr="008444F7">
        <w:rPr>
          <w:rFonts w:cs="Times New Roman"/>
          <w:sz w:val="24"/>
          <w:szCs w:val="24"/>
        </w:rPr>
        <w:t>isadvantage can increase vulnerability to financial or other shocks, such as natural disasters, highlighting the importance of resilience and inclusion.</w:t>
      </w:r>
    </w:p>
    <w:p w14:paraId="5402FC72"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In 2016-17, Australian Volunteers for International Development</w:t>
      </w:r>
      <w:r w:rsidR="00D6302A">
        <w:rPr>
          <w:rStyle w:val="FootnoteReference"/>
          <w:rFonts w:cs="Times New Roman"/>
          <w:sz w:val="24"/>
          <w:szCs w:val="24"/>
        </w:rPr>
        <w:footnoteReference w:id="14"/>
      </w:r>
      <w:r w:rsidRPr="008444F7">
        <w:rPr>
          <w:rFonts w:cs="Times New Roman"/>
          <w:sz w:val="24"/>
          <w:szCs w:val="24"/>
        </w:rPr>
        <w:t xml:space="preserve"> had 1,212 Australians volunteering with 754 host organisations in 25 countries in the Indo-Pacific in support of the SDGs. Eighteen per cent of volunteers focused on working with people with a disability. The Australian Volunteers program matches skilled Australians with organisations in developing countries to assist these organisations in delivering their development objectives.  </w:t>
      </w:r>
    </w:p>
    <w:p w14:paraId="119B8299"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As a member of the United Nations Human Rights Council (2018-20), Australia has pledged to promote equal human rights for all individuals around the world. We are committed to promoting the rights of women and girls, people with disability and indigenous peoples in Australia and beyond. The Commission assisted with over 1,000 conciliation processes in 2016-17. There are seven commissioners, responsible for representation, advocacy and awareness for specialist areas including social justice for Aboriginal and Torres Strait Islander peoples, Age Discrimination, Children, Disability Discrimination, Human Rights, Race and Sex Discrimination. Recent inquiries include the National Inquiry into Employment Discrimination Against Older Australians and Australians with Disability. One of the outcomes of this inquiry was the development of a Good Practice Guide for </w:t>
      </w:r>
      <w:r w:rsidR="00BD2F6B" w:rsidRPr="008444F7">
        <w:rPr>
          <w:rFonts w:cs="Times New Roman"/>
          <w:sz w:val="24"/>
          <w:szCs w:val="24"/>
        </w:rPr>
        <w:t>Employers that</w:t>
      </w:r>
      <w:r w:rsidRPr="008444F7">
        <w:rPr>
          <w:rFonts w:cs="Times New Roman"/>
          <w:sz w:val="24"/>
          <w:szCs w:val="24"/>
        </w:rPr>
        <w:t xml:space="preserve"> provides practical, realistic and evidence-based solutions for employers who wish to do more to employ people with disabilities and older Australians.</w:t>
      </w:r>
    </w:p>
    <w:p w14:paraId="15EDF19D" w14:textId="672C5F67" w:rsidR="00651ECE" w:rsidRPr="008444F7" w:rsidRDefault="00D846BF" w:rsidP="00431085">
      <w:pPr>
        <w:pStyle w:val="Heading2"/>
        <w:spacing w:after="0" w:afterAutospacing="0"/>
      </w:pPr>
      <w:bookmarkStart w:id="66" w:name="_Toc531264914"/>
      <w:r w:rsidRPr="008444F7">
        <w:t xml:space="preserve">Australia’s </w:t>
      </w:r>
      <w:r w:rsidR="00656853">
        <w:t>a</w:t>
      </w:r>
      <w:r w:rsidRPr="008444F7">
        <w:t>pp</w:t>
      </w:r>
      <w:r>
        <w:t>roach to the SDG</w:t>
      </w:r>
      <w:r w:rsidRPr="008444F7">
        <w:t>s</w:t>
      </w:r>
      <w:bookmarkEnd w:id="66"/>
    </w:p>
    <w:p w14:paraId="645AD931" w14:textId="53B721F3" w:rsidR="00651ECE" w:rsidRDefault="00651ECE" w:rsidP="00431085">
      <w:pPr>
        <w:spacing w:after="0" w:line="276" w:lineRule="auto"/>
        <w:jc w:val="both"/>
        <w:rPr>
          <w:rFonts w:cs="Times New Roman"/>
          <w:sz w:val="24"/>
          <w:szCs w:val="24"/>
        </w:rPr>
      </w:pPr>
      <w:r w:rsidRPr="008444F7">
        <w:rPr>
          <w:rFonts w:cs="Times New Roman"/>
          <w:sz w:val="24"/>
          <w:szCs w:val="24"/>
        </w:rPr>
        <w:t xml:space="preserve">The SDGs, </w:t>
      </w:r>
      <w:r w:rsidR="002F5FD1">
        <w:rPr>
          <w:rFonts w:cs="Times New Roman"/>
          <w:sz w:val="24"/>
          <w:szCs w:val="24"/>
        </w:rPr>
        <w:t>t</w:t>
      </w:r>
      <w:r w:rsidRPr="008444F7">
        <w:rPr>
          <w:rFonts w:cs="Times New Roman"/>
          <w:sz w:val="24"/>
          <w:szCs w:val="24"/>
        </w:rPr>
        <w:t xml:space="preserve">argets and </w:t>
      </w:r>
      <w:r w:rsidR="002F5FD1">
        <w:rPr>
          <w:rFonts w:cs="Times New Roman"/>
          <w:sz w:val="24"/>
          <w:szCs w:val="24"/>
        </w:rPr>
        <w:t>i</w:t>
      </w:r>
      <w:r w:rsidRPr="008444F7">
        <w:rPr>
          <w:rFonts w:cs="Times New Roman"/>
          <w:sz w:val="24"/>
          <w:szCs w:val="24"/>
        </w:rPr>
        <w:t>ndicators provide us a complex, ambitious and holistic global framework for sustainable development. Many of the SDGs are integrated with issues that cut across multiple aspects of sustainability, such as economic vitality, gender equality, human rights, disability, climate change and disaster risk reduction. This requires a broad system-based approach, while also advocating a targeted approach to leave no one behind.</w:t>
      </w:r>
    </w:p>
    <w:p w14:paraId="41790997" w14:textId="77777777" w:rsidR="00223877" w:rsidRPr="008444F7" w:rsidRDefault="00223877" w:rsidP="00431085">
      <w:pPr>
        <w:spacing w:after="0" w:line="276" w:lineRule="auto"/>
        <w:jc w:val="both"/>
        <w:rPr>
          <w:rFonts w:cs="Times New Roman"/>
          <w:sz w:val="24"/>
          <w:szCs w:val="24"/>
        </w:rPr>
      </w:pPr>
    </w:p>
    <w:p w14:paraId="0C4B1FBF"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Voluntary National Review draft consultations, featured ACFID, ACIUCN, ACOSS, GCNA, SDSN, UNAA, People with Disability Australia, National Congress of Australia’s First People, Council of Small Business of Australia, Australian Chamber of Commerce and Industry</w:t>
      </w:r>
    </w:p>
    <w:p w14:paraId="390D87ED" w14:textId="040400D2" w:rsidR="00651ECE" w:rsidRPr="008444F7" w:rsidRDefault="00651ECE" w:rsidP="00431085">
      <w:pPr>
        <w:pStyle w:val="Heading2"/>
        <w:spacing w:after="0" w:afterAutospacing="0"/>
      </w:pPr>
      <w:bookmarkStart w:id="67" w:name="_Toc531264915"/>
      <w:r w:rsidRPr="008444F7">
        <w:t xml:space="preserve">Leaving </w:t>
      </w:r>
      <w:r w:rsidR="0076366A">
        <w:t>n</w:t>
      </w:r>
      <w:r w:rsidRPr="008444F7">
        <w:t xml:space="preserve">o </w:t>
      </w:r>
      <w:r w:rsidR="0076366A">
        <w:t>o</w:t>
      </w:r>
      <w:r w:rsidRPr="008444F7">
        <w:t xml:space="preserve">ne </w:t>
      </w:r>
      <w:r w:rsidR="0076366A">
        <w:t>b</w:t>
      </w:r>
      <w:r w:rsidRPr="008444F7">
        <w:t>ehind: Australia’s National Disability Strategy</w:t>
      </w:r>
      <w:bookmarkEnd w:id="67"/>
    </w:p>
    <w:p w14:paraId="57246903"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Australians living with </w:t>
      </w:r>
      <w:r w:rsidR="009013F1" w:rsidRPr="008444F7">
        <w:rPr>
          <w:rFonts w:cs="Times New Roman"/>
          <w:sz w:val="24"/>
          <w:szCs w:val="24"/>
        </w:rPr>
        <w:t xml:space="preserve">a </w:t>
      </w:r>
      <w:r w:rsidRPr="008444F7">
        <w:rPr>
          <w:rFonts w:cs="Times New Roman"/>
          <w:sz w:val="24"/>
          <w:szCs w:val="24"/>
        </w:rPr>
        <w:t>disability or chronic health conditions are less likely to be employed, more likely to be dependent on income support and more likely to live in poverty6, as are those caring for them. Poverty can also be both a determinant and a consequence of poor mental health.</w:t>
      </w:r>
    </w:p>
    <w:p w14:paraId="2ADD70BB"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lastRenderedPageBreak/>
        <w:t>The National Disability Strategy 2010-2020 provides a 10-year national policy framework for all levels of government to improve the lives of people with disability. The Strategy seeks to drive a more inclusive approach to the design of policies, programs and infrastructure so that people with disability can participate in all areas of Australian life. It aims to ensure that policy settings touching on a number of SDGs – including health, education, employment, income support systems and infrastructure – are inclusive of people with disability. The Strategy is also an important mechanism to ensure the principles underpinning the United Nations Convention on the Rights of Persons with Disabilities are incorporated into policies and programs affecting people with disability, their families and carers.</w:t>
      </w:r>
    </w:p>
    <w:p w14:paraId="0C3A8B35"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Australia’s development assistance program, administered by DFAT, has a cross-</w:t>
      </w:r>
      <w:r w:rsidR="00BD6ADE" w:rsidRPr="008444F7">
        <w:rPr>
          <w:rFonts w:cs="Times New Roman"/>
          <w:sz w:val="24"/>
          <w:szCs w:val="24"/>
        </w:rPr>
        <w:t>sectorial</w:t>
      </w:r>
      <w:r w:rsidRPr="008444F7">
        <w:rPr>
          <w:rFonts w:cs="Times New Roman"/>
          <w:sz w:val="24"/>
          <w:szCs w:val="24"/>
        </w:rPr>
        <w:t xml:space="preserve"> approach that integrates aspects of ‘leave no one behind’ through </w:t>
      </w:r>
      <w:r w:rsidR="00594481" w:rsidRPr="008444F7">
        <w:rPr>
          <w:rFonts w:cs="Times New Roman"/>
          <w:sz w:val="24"/>
          <w:szCs w:val="24"/>
        </w:rPr>
        <w:t xml:space="preserve">the </w:t>
      </w:r>
      <w:r w:rsidRPr="008444F7">
        <w:rPr>
          <w:rFonts w:cs="Times New Roman"/>
          <w:sz w:val="24"/>
          <w:szCs w:val="24"/>
        </w:rPr>
        <w:t>disability-inclusive development and gender equality targets. For example, the Vanuatu Skills Partnership is a long-standing partnership established between the Australian Government and the Vanuatu Ministry of Training and Education. The Partnership has a locally-led approach that recognises the contribution of skill</w:t>
      </w:r>
      <w:r w:rsidR="00594481" w:rsidRPr="008444F7">
        <w:rPr>
          <w:rFonts w:cs="Times New Roman"/>
          <w:sz w:val="24"/>
          <w:szCs w:val="24"/>
        </w:rPr>
        <w:t>s not only to economic outcomes</w:t>
      </w:r>
      <w:r w:rsidRPr="008444F7">
        <w:rPr>
          <w:rFonts w:cs="Times New Roman"/>
          <w:sz w:val="24"/>
          <w:szCs w:val="24"/>
        </w:rPr>
        <w:t xml:space="preserve"> but to social and environmental outcomes, consistent with the SDGs and Vanuatu’s own national plan. The Partnership has a particular focus on improving skills and economic engagement by women, youth and people with disabilities in areas including tourism, handicrafts and agribusiness.</w:t>
      </w:r>
    </w:p>
    <w:p w14:paraId="3CFB187E" w14:textId="7C58C5AF" w:rsidR="00651ECE" w:rsidRPr="008444F7" w:rsidRDefault="0061347E" w:rsidP="00431085">
      <w:pPr>
        <w:pStyle w:val="Heading2"/>
        <w:spacing w:after="0" w:afterAutospacing="0"/>
      </w:pPr>
      <w:bookmarkStart w:id="68" w:name="_Toc531264916"/>
      <w:r>
        <w:t xml:space="preserve">Disaster </w:t>
      </w:r>
      <w:r w:rsidR="00E83A0C">
        <w:t>r</w:t>
      </w:r>
      <w:r>
        <w:t xml:space="preserve">isk </w:t>
      </w:r>
      <w:r w:rsidR="00E83A0C">
        <w:t>r</w:t>
      </w:r>
      <w:r>
        <w:t xml:space="preserve">eduction: </w:t>
      </w:r>
      <w:r w:rsidR="00E83A0C">
        <w:t>b</w:t>
      </w:r>
      <w:r>
        <w:t xml:space="preserve">uilding </w:t>
      </w:r>
      <w:r w:rsidR="00E83A0C">
        <w:t>r</w:t>
      </w:r>
      <w:r w:rsidR="00651ECE" w:rsidRPr="008444F7">
        <w:t>esilience</w:t>
      </w:r>
      <w:bookmarkEnd w:id="68"/>
    </w:p>
    <w:p w14:paraId="07E76202"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Australia also supports partner countries in the Indo-Pacific region to protect the most vulnerable communities and to build a platform for strengthening disaster resilience. Disability inclusion is a focus, and we have ensured disability inclusion has been taken into considerati</w:t>
      </w:r>
      <w:r w:rsidR="0084073D" w:rsidRPr="008444F7">
        <w:rPr>
          <w:rFonts w:cs="Times New Roman"/>
          <w:sz w:val="24"/>
          <w:szCs w:val="24"/>
        </w:rPr>
        <w:t xml:space="preserve">on when building infrastructures </w:t>
      </w:r>
      <w:r w:rsidRPr="008444F7">
        <w:rPr>
          <w:rFonts w:cs="Times New Roman"/>
          <w:sz w:val="24"/>
          <w:szCs w:val="24"/>
        </w:rPr>
        <w:t>such as clinics and disaster shelters. Australia joined other Pacific Islands Forum members in endorsing a proposal for a Pacific Resilience Facility at the 2018 Forum Economic Ministers Meeting.</w:t>
      </w:r>
    </w:p>
    <w:p w14:paraId="52A79E19"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While transient poverty is a problem, the experience of persistent poverty is of deeper concern, particularly where families experience intergenerational disadvantage and long-term welfare reliance: young people in Australia are 1.8 times more likely to need social assistance if their parents have a history of receiving social assistance themselves. However, analysis of longitudinal data suggests that only a small proportion of people in Australia are persistently poor. Groups more likely to experience deep and persistent disadvantage include lone parents, Aboriginal and Torres Strait Islander peoples, people with disability and those with low educational attainment. Many are social housing tenants and are weakly attached to the labour market.</w:t>
      </w:r>
    </w:p>
    <w:p w14:paraId="036907D7" w14:textId="49B6C63B" w:rsidR="00651ECE" w:rsidRPr="009C033A" w:rsidRDefault="0061347E" w:rsidP="00431085">
      <w:pPr>
        <w:pStyle w:val="Heading2"/>
        <w:spacing w:after="0" w:afterAutospacing="0"/>
      </w:pPr>
      <w:bookmarkStart w:id="69" w:name="_Toc531264917"/>
      <w:r w:rsidRPr="009C033A">
        <w:t xml:space="preserve">Australian </w:t>
      </w:r>
      <w:r w:rsidR="002C34A1">
        <w:t>a</w:t>
      </w:r>
      <w:r w:rsidRPr="009C033A">
        <w:t>ction</w:t>
      </w:r>
      <w:bookmarkEnd w:id="69"/>
    </w:p>
    <w:p w14:paraId="6F5E8604" w14:textId="6B706CBD" w:rsidR="00651ECE" w:rsidRPr="008444F7" w:rsidRDefault="00651ECE" w:rsidP="00431085">
      <w:pPr>
        <w:spacing w:after="0" w:line="276" w:lineRule="auto"/>
        <w:jc w:val="both"/>
        <w:rPr>
          <w:rFonts w:cs="Times New Roman"/>
          <w:sz w:val="24"/>
          <w:szCs w:val="24"/>
        </w:rPr>
      </w:pPr>
      <w:r w:rsidRPr="008444F7">
        <w:rPr>
          <w:rFonts w:cs="Times New Roman"/>
          <w:sz w:val="24"/>
          <w:szCs w:val="24"/>
        </w:rPr>
        <w:t>Social security and welfare account for the most significant component of Gover</w:t>
      </w:r>
      <w:r w:rsidR="002B05B2" w:rsidRPr="008444F7">
        <w:rPr>
          <w:rFonts w:cs="Times New Roman"/>
          <w:sz w:val="24"/>
          <w:szCs w:val="24"/>
        </w:rPr>
        <w:t>nment spending, with around one-</w:t>
      </w:r>
      <w:r w:rsidRPr="008444F7">
        <w:rPr>
          <w:rFonts w:cs="Times New Roman"/>
          <w:sz w:val="24"/>
          <w:szCs w:val="24"/>
        </w:rPr>
        <w:t xml:space="preserve">third of total expenses providing support to older Australians, families with children, people with disabilities, veterans, carers and unemployed people. Unlike most other countries in the OECD, the payment system is funded through government revenue; it is not based on past contributions and is not capped or time limited. In addition, Australia has a universal health system, which includes Medicare and pharmaceutical subsidies. </w:t>
      </w:r>
    </w:p>
    <w:p w14:paraId="1848292A" w14:textId="77777777" w:rsidR="00651ECE" w:rsidRPr="009C033A" w:rsidRDefault="00651ECE" w:rsidP="00431085">
      <w:pPr>
        <w:pStyle w:val="Heading3"/>
        <w:rPr>
          <w:color w:val="00B0F0"/>
        </w:rPr>
      </w:pPr>
      <w:bookmarkStart w:id="70" w:name="_Toc531264918"/>
      <w:r w:rsidRPr="009C033A">
        <w:rPr>
          <w:color w:val="00B0F0"/>
        </w:rPr>
        <w:lastRenderedPageBreak/>
        <w:t>National Disability Insurance Scheme</w:t>
      </w:r>
      <w:bookmarkEnd w:id="70"/>
    </w:p>
    <w:p w14:paraId="235FDE57" w14:textId="2D628011" w:rsidR="00651ECE" w:rsidRDefault="00651ECE" w:rsidP="00431085">
      <w:pPr>
        <w:spacing w:after="0" w:line="276" w:lineRule="auto"/>
        <w:jc w:val="both"/>
        <w:rPr>
          <w:rFonts w:cs="Times New Roman"/>
          <w:sz w:val="24"/>
          <w:szCs w:val="24"/>
        </w:rPr>
      </w:pPr>
      <w:r w:rsidRPr="008444F7">
        <w:rPr>
          <w:rFonts w:cs="Times New Roman"/>
          <w:sz w:val="24"/>
          <w:szCs w:val="24"/>
        </w:rPr>
        <w:t>The National Disability Insurance Scheme is a new way of providing support for Australians with</w:t>
      </w:r>
      <w:r w:rsidR="004801A6" w:rsidRPr="008444F7">
        <w:rPr>
          <w:rFonts w:cs="Times New Roman"/>
          <w:sz w:val="24"/>
          <w:szCs w:val="24"/>
        </w:rPr>
        <w:t xml:space="preserve"> a</w:t>
      </w:r>
      <w:r w:rsidRPr="008444F7">
        <w:rPr>
          <w:rFonts w:cs="Times New Roman"/>
          <w:sz w:val="24"/>
          <w:szCs w:val="24"/>
        </w:rPr>
        <w:t xml:space="preserve"> disability, their families and carers. It will provide about 460,000 Australians under the age of 65, with a permanent and significant disability, with the reasonable and necessary supports they need to live a more independent life. It supports people with disability to build skills and capability, so they can participate in the community and employment and provides supports required for daily living such as aids and equipment, prosthetics, home modifications, personal care and domestic assistance, allied health and other therapy.</w:t>
      </w:r>
    </w:p>
    <w:p w14:paraId="36D7CFD6" w14:textId="77777777" w:rsidR="006E33CE" w:rsidRPr="008444F7" w:rsidRDefault="006E33CE" w:rsidP="00431085">
      <w:pPr>
        <w:spacing w:after="0" w:line="276" w:lineRule="auto"/>
        <w:jc w:val="both"/>
        <w:rPr>
          <w:rFonts w:cs="Times New Roman"/>
          <w:sz w:val="24"/>
          <w:szCs w:val="24"/>
        </w:rPr>
      </w:pPr>
    </w:p>
    <w:p w14:paraId="2FE17E48"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The Government partners with states and territories in shared policy areas, including housing, homelessness, disability services, concessions and children’s welfare. Civil society organisations and the private sector also deliver residential and community services to those in need. Australian governments also partner with civil society organisations to support vulnerable individuals and families experiencing financial crisis, helping them to improve their financial capability, resilience and lifetime wellbeing. Over 400 service providers are funded to provide vulnerable individuals with emergency relief, food relief, financial counselling, financial literacy education, and assistance with budgeting or access to microfinance products as an alternative to high-risk, high-interest products such as payday loans.</w:t>
      </w:r>
    </w:p>
    <w:p w14:paraId="78B65F5A" w14:textId="0A82E448" w:rsidR="00651ECE" w:rsidRPr="009C033A" w:rsidRDefault="0061347E" w:rsidP="00431085">
      <w:pPr>
        <w:pStyle w:val="Heading3"/>
        <w:rPr>
          <w:color w:val="00B0F0"/>
        </w:rPr>
      </w:pPr>
      <w:bookmarkStart w:id="71" w:name="_Toc531264919"/>
      <w:r w:rsidRPr="009C033A">
        <w:rPr>
          <w:color w:val="00B0F0"/>
        </w:rPr>
        <w:t xml:space="preserve">Regional and </w:t>
      </w:r>
      <w:r w:rsidR="00D51936">
        <w:rPr>
          <w:color w:val="00B0F0"/>
        </w:rPr>
        <w:t>g</w:t>
      </w:r>
      <w:r w:rsidRPr="009C033A">
        <w:rPr>
          <w:color w:val="00B0F0"/>
        </w:rPr>
        <w:t xml:space="preserve">lobal </w:t>
      </w:r>
      <w:r w:rsidR="00D51936">
        <w:rPr>
          <w:color w:val="00B0F0"/>
        </w:rPr>
        <w:t>a</w:t>
      </w:r>
      <w:r w:rsidRPr="009C033A">
        <w:rPr>
          <w:color w:val="00B0F0"/>
        </w:rPr>
        <w:t>ction</w:t>
      </w:r>
      <w:bookmarkEnd w:id="71"/>
    </w:p>
    <w:p w14:paraId="0774FFAD"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The </w:t>
      </w:r>
      <w:r w:rsidR="006219FE" w:rsidRPr="008444F7">
        <w:rPr>
          <w:rFonts w:cs="Times New Roman"/>
          <w:sz w:val="24"/>
          <w:szCs w:val="24"/>
        </w:rPr>
        <w:t>rights of people with disabilities are</w:t>
      </w:r>
      <w:r w:rsidRPr="008444F7">
        <w:rPr>
          <w:rFonts w:cs="Times New Roman"/>
          <w:sz w:val="24"/>
          <w:szCs w:val="24"/>
        </w:rPr>
        <w:t xml:space="preserve"> an important focus of Australia’s international advocacy on human rights. People with disabilities and their families are more likely to be persistently poor as a result of higher living costs, barriers to education, health and employment opportunities, and unpaid caring responsibilities. Australia is a leading provider of disability inclusive development assistance, taking a twin-track approach: supporting disability-specific aid investments, as well as mainstreaming activities that include people with disabilities as participants in development work across all sectors.</w:t>
      </w:r>
    </w:p>
    <w:p w14:paraId="2E814C9E" w14:textId="77777777" w:rsidR="00651ECE" w:rsidRPr="008444F7" w:rsidRDefault="00651ECE" w:rsidP="008444F7">
      <w:pPr>
        <w:spacing w:line="276" w:lineRule="auto"/>
        <w:jc w:val="both"/>
        <w:rPr>
          <w:rFonts w:cs="Times New Roman"/>
          <w:i/>
          <w:sz w:val="24"/>
          <w:szCs w:val="24"/>
        </w:rPr>
      </w:pPr>
      <w:r w:rsidRPr="008444F7">
        <w:rPr>
          <w:rFonts w:cs="Times New Roman"/>
          <w:i/>
          <w:sz w:val="24"/>
          <w:szCs w:val="24"/>
        </w:rPr>
        <w:t>“While there are positive signs and progress on many fronts, it is clear that Australia is not healthy in every way, and some patterns and trends give cause for concern. Chronic diseases… are becoming increasingly common in Australia due to a population that is increasing and ageing, as well as to social and lifestyle changes. … Presenting a broad picture of health status can mask the fact that some groups in our community are not faring as well, including people living in rural and remote areas, the lowest socioeconomic groups, Indigenous Australians and people living with disability.”</w:t>
      </w:r>
    </w:p>
    <w:p w14:paraId="316508CA"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In Tonga, Australia is supporting the Ministry of Health to improve health service systems, delivery and to address NCDs. The program’s focus on primary and preventive approaches includes supporting Tonga to introduce legislation and fiscal measures, strengthening primary health care, improving community health centres and expanding diabetes outreach to outer islands and remote communities. Future work will focus on strengthening the workforce, health financing and leadership to improve primary care and disability inclusive health services at the community level.</w:t>
      </w:r>
    </w:p>
    <w:p w14:paraId="0C0EFA7D" w14:textId="2089D9D7" w:rsidR="00651ECE" w:rsidRPr="008444F7" w:rsidRDefault="005D5941" w:rsidP="00D156CC">
      <w:pPr>
        <w:pStyle w:val="Heading2"/>
        <w:spacing w:after="0" w:afterAutospacing="0"/>
      </w:pPr>
      <w:bookmarkStart w:id="72" w:name="_Toc531264920"/>
      <w:r>
        <w:t xml:space="preserve">Inclusive and </w:t>
      </w:r>
      <w:r w:rsidR="007052E1">
        <w:t>q</w:t>
      </w:r>
      <w:r>
        <w:t xml:space="preserve">uality </w:t>
      </w:r>
      <w:r w:rsidR="007052E1">
        <w:t>l</w:t>
      </w:r>
      <w:r>
        <w:t>earning i</w:t>
      </w:r>
      <w:r w:rsidRPr="008444F7">
        <w:t>n Australia</w:t>
      </w:r>
      <w:bookmarkEnd w:id="72"/>
    </w:p>
    <w:p w14:paraId="35AC3D5D" w14:textId="77777777" w:rsidR="00651ECE" w:rsidRPr="008444F7" w:rsidRDefault="00651ECE" w:rsidP="00D156CC">
      <w:pPr>
        <w:spacing w:after="0" w:line="276" w:lineRule="auto"/>
        <w:jc w:val="both"/>
        <w:rPr>
          <w:rFonts w:cs="Times New Roman"/>
          <w:sz w:val="24"/>
          <w:szCs w:val="24"/>
        </w:rPr>
      </w:pPr>
      <w:r w:rsidRPr="008444F7">
        <w:rPr>
          <w:rFonts w:cs="Times New Roman"/>
          <w:sz w:val="24"/>
          <w:szCs w:val="24"/>
        </w:rPr>
        <w:t xml:space="preserve">There is universal access to primary and secondary education, with school attendance compulsory until the age of 16 and gender equity in literacy and numeracy outcomes on completion of primary </w:t>
      </w:r>
      <w:r w:rsidRPr="008444F7">
        <w:rPr>
          <w:rFonts w:cs="Times New Roman"/>
          <w:sz w:val="24"/>
          <w:szCs w:val="24"/>
        </w:rPr>
        <w:lastRenderedPageBreak/>
        <w:t xml:space="preserve">school. Government funding for schools includes loadings to target student and school disadvantage, including students with disabilities. Governments work with civil society organisations to provide additional support where needed. For example, the Smith Family's Learning for Life program, funded by the Australian Government, will support approximately 56,200 disadvantaged students by 2020 to achieve improved educational and post-school outcomes. All schools in Australia have access to computers and </w:t>
      </w:r>
      <w:r w:rsidR="006219FE" w:rsidRPr="008444F7">
        <w:rPr>
          <w:rFonts w:cs="Times New Roman"/>
          <w:sz w:val="24"/>
          <w:szCs w:val="24"/>
        </w:rPr>
        <w:t>the Internet</w:t>
      </w:r>
      <w:r w:rsidRPr="008444F7">
        <w:rPr>
          <w:rFonts w:cs="Times New Roman"/>
          <w:sz w:val="24"/>
          <w:szCs w:val="24"/>
        </w:rPr>
        <w:t xml:space="preserve"> and are adapted for students with disabilities.</w:t>
      </w:r>
    </w:p>
    <w:p w14:paraId="2BBAFC37" w14:textId="37F200EF" w:rsidR="00651ECE" w:rsidRPr="008444F7" w:rsidRDefault="00651ECE" w:rsidP="00D156CC">
      <w:pPr>
        <w:pStyle w:val="Heading2"/>
        <w:spacing w:after="0" w:afterAutospacing="0"/>
      </w:pPr>
      <w:bookmarkStart w:id="73" w:name="_Toc531264921"/>
      <w:r w:rsidRPr="008444F7">
        <w:t xml:space="preserve">Global </w:t>
      </w:r>
      <w:r w:rsidR="00245316">
        <w:t>a</w:t>
      </w:r>
      <w:r w:rsidRPr="008444F7">
        <w:t>ction</w:t>
      </w:r>
      <w:bookmarkEnd w:id="73"/>
    </w:p>
    <w:p w14:paraId="3F6AA53E" w14:textId="77777777" w:rsidR="00651ECE" w:rsidRPr="008444F7" w:rsidRDefault="00651ECE" w:rsidP="00D156CC">
      <w:pPr>
        <w:spacing w:after="0" w:line="276" w:lineRule="auto"/>
        <w:jc w:val="both"/>
        <w:rPr>
          <w:rFonts w:cs="Times New Roman"/>
          <w:sz w:val="24"/>
          <w:szCs w:val="24"/>
        </w:rPr>
      </w:pPr>
      <w:r w:rsidRPr="008444F7">
        <w:rPr>
          <w:rFonts w:cs="Times New Roman"/>
          <w:sz w:val="24"/>
          <w:szCs w:val="24"/>
        </w:rPr>
        <w:t>In the Indo-Pacific region, Australia has a strong focus on leaving no one behind, with a focus on women, girls, and children with disability. Our work seeks to increase opportunities for girls to attend and stay in school, including by making schools more affordable, closer to home and supportive of girls’ needs in Laos, Bangladesh and countries across the Pacific. Where education participation rates are high, our support targets the last remaining out-of-school children, who are often hard to reach. In Fiji, we are working with the Ministry of Education and education and disability stakeholders to improve the ability of children from very poor communities, particularly those with disabilities, to access a quality school education.</w:t>
      </w:r>
    </w:p>
    <w:p w14:paraId="79521E80" w14:textId="77777777" w:rsidR="00595FF2" w:rsidRDefault="00595FF2" w:rsidP="00595FF2">
      <w:pPr>
        <w:pStyle w:val="Heading3"/>
        <w:spacing w:before="0" w:beforeAutospacing="0"/>
      </w:pPr>
    </w:p>
    <w:p w14:paraId="5E6912AD" w14:textId="22220D4E" w:rsidR="00651ECE" w:rsidRPr="009C033A" w:rsidRDefault="00651ECE" w:rsidP="00595FF2">
      <w:pPr>
        <w:pStyle w:val="Heading3"/>
        <w:spacing w:before="0" w:beforeAutospacing="0"/>
        <w:rPr>
          <w:color w:val="00B0F0"/>
        </w:rPr>
      </w:pPr>
      <w:bookmarkStart w:id="74" w:name="_Toc531264922"/>
      <w:r w:rsidRPr="009C033A">
        <w:rPr>
          <w:color w:val="00B0F0"/>
        </w:rPr>
        <w:t xml:space="preserve">Enhancing </w:t>
      </w:r>
      <w:r w:rsidR="00A121FB">
        <w:rPr>
          <w:color w:val="00B0F0"/>
        </w:rPr>
        <w:t>g</w:t>
      </w:r>
      <w:r w:rsidRPr="009C033A">
        <w:rPr>
          <w:color w:val="00B0F0"/>
        </w:rPr>
        <w:t xml:space="preserve">lobal </w:t>
      </w:r>
      <w:r w:rsidR="00A121FB">
        <w:rPr>
          <w:color w:val="00B0F0"/>
        </w:rPr>
        <w:t>k</w:t>
      </w:r>
      <w:r w:rsidRPr="009C033A">
        <w:rPr>
          <w:color w:val="00B0F0"/>
        </w:rPr>
        <w:t xml:space="preserve">nowledge </w:t>
      </w:r>
      <w:r w:rsidR="00A121FB">
        <w:rPr>
          <w:color w:val="00B0F0"/>
        </w:rPr>
        <w:t>e</w:t>
      </w:r>
      <w:r w:rsidRPr="009C033A">
        <w:rPr>
          <w:color w:val="00B0F0"/>
        </w:rPr>
        <w:t xml:space="preserve">xchange through </w:t>
      </w:r>
      <w:r w:rsidR="00A121FB">
        <w:rPr>
          <w:color w:val="00B0F0"/>
        </w:rPr>
        <w:t>e</w:t>
      </w:r>
      <w:r w:rsidRPr="009C033A">
        <w:rPr>
          <w:color w:val="00B0F0"/>
        </w:rPr>
        <w:t>ducation</w:t>
      </w:r>
      <w:bookmarkEnd w:id="74"/>
    </w:p>
    <w:p w14:paraId="7FFE728D"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From 2014-18, the Government has supported 30,000 students to have overseas education experiences through New Colombo Plan scholarships or mobility projects in 37 host locations. The program is inclusive: more than 50 per cent of participants are female and approximately five per cent have identified as having a disability.</w:t>
      </w:r>
    </w:p>
    <w:p w14:paraId="5F7D8727"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Economic participation and leadership pathways may be especially difficult for particular cohorts of women, who experience additional or different barriers due to geographical distance or isolation, cultural or linguistic diversity, age, disability, </w:t>
      </w:r>
      <w:r w:rsidR="00397AD6" w:rsidRPr="008444F7">
        <w:rPr>
          <w:rFonts w:cs="Times New Roman"/>
          <w:sz w:val="24"/>
          <w:szCs w:val="24"/>
        </w:rPr>
        <w:t>indignity</w:t>
      </w:r>
      <w:r w:rsidRPr="008444F7">
        <w:rPr>
          <w:rFonts w:cs="Times New Roman"/>
          <w:sz w:val="24"/>
          <w:szCs w:val="24"/>
        </w:rPr>
        <w:t xml:space="preserve"> and intergenerational disadvantage. This is particularly true where women are seeking to work in non-traditional sectors, and some sectors are taking measures to address these gaps. For example, the </w:t>
      </w:r>
      <w:proofErr w:type="spellStart"/>
      <w:r w:rsidRPr="008444F7">
        <w:rPr>
          <w:rFonts w:cs="Times New Roman"/>
          <w:sz w:val="24"/>
          <w:szCs w:val="24"/>
        </w:rPr>
        <w:t>Oothungs</w:t>
      </w:r>
      <w:proofErr w:type="spellEnd"/>
      <w:r w:rsidRPr="008444F7">
        <w:rPr>
          <w:rFonts w:cs="Times New Roman"/>
          <w:sz w:val="24"/>
          <w:szCs w:val="24"/>
        </w:rPr>
        <w:t xml:space="preserve"> (Sisters) in Mining traineeship provides pathways for Aboriginal and Torres Strait Islander women into the resources sector</w:t>
      </w:r>
    </w:p>
    <w:p w14:paraId="6DB6CDCA" w14:textId="4BC6C5CD" w:rsidR="00651ECE" w:rsidRPr="009C033A" w:rsidRDefault="009C033A" w:rsidP="008C6E74">
      <w:pPr>
        <w:pStyle w:val="Heading3"/>
        <w:rPr>
          <w:color w:val="00B0F0"/>
        </w:rPr>
      </w:pPr>
      <w:bookmarkStart w:id="75" w:name="_Toc531264923"/>
      <w:r w:rsidRPr="009C033A">
        <w:rPr>
          <w:color w:val="00B0F0"/>
        </w:rPr>
        <w:t xml:space="preserve">Addressing </w:t>
      </w:r>
      <w:r w:rsidR="00D051CF">
        <w:rPr>
          <w:color w:val="00B0F0"/>
        </w:rPr>
        <w:t>v</w:t>
      </w:r>
      <w:r w:rsidRPr="009C033A">
        <w:rPr>
          <w:color w:val="00B0F0"/>
        </w:rPr>
        <w:t xml:space="preserve">iolence, </w:t>
      </w:r>
      <w:r w:rsidR="00D051CF">
        <w:rPr>
          <w:color w:val="00B0F0"/>
        </w:rPr>
        <w:t>d</w:t>
      </w:r>
      <w:r w:rsidRPr="009C033A">
        <w:rPr>
          <w:color w:val="00B0F0"/>
        </w:rPr>
        <w:t xml:space="preserve">iscrimination and </w:t>
      </w:r>
      <w:r w:rsidR="00D051CF">
        <w:rPr>
          <w:color w:val="00B0F0"/>
        </w:rPr>
        <w:t>h</w:t>
      </w:r>
      <w:r w:rsidRPr="009C033A">
        <w:rPr>
          <w:color w:val="00B0F0"/>
        </w:rPr>
        <w:t>arassment</w:t>
      </w:r>
      <w:bookmarkEnd w:id="75"/>
    </w:p>
    <w:p w14:paraId="1901AA6F"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Progress towards gender equality is hampered by the continued experience of gender-based violence. Gender inequality is the root cause of violence against women. Nearly one in three women in Australia has experienced physical violence and one in five has experienced sexual violence since the age of 15.</w:t>
      </w:r>
      <w:r w:rsidR="00D6302A">
        <w:rPr>
          <w:rStyle w:val="FootnoteReference"/>
          <w:rFonts w:cs="Times New Roman"/>
          <w:sz w:val="24"/>
          <w:szCs w:val="24"/>
        </w:rPr>
        <w:footnoteReference w:id="15"/>
      </w:r>
      <w:r w:rsidRPr="008444F7">
        <w:rPr>
          <w:rFonts w:cs="Times New Roman"/>
          <w:sz w:val="24"/>
          <w:szCs w:val="24"/>
        </w:rPr>
        <w:t xml:space="preserve"> Some women are particularly vulnerable to violence, Women with a disability are particularly vulnerable to family violence: they were more than twice as likely to have experienced partner violence as women without a disability in 2015-2016.</w:t>
      </w:r>
    </w:p>
    <w:p w14:paraId="6FF4151A" w14:textId="791C3313" w:rsidR="00651ECE" w:rsidRPr="009C033A" w:rsidRDefault="009C033A" w:rsidP="008C6E74">
      <w:pPr>
        <w:pStyle w:val="Heading3"/>
        <w:rPr>
          <w:color w:val="00B0F0"/>
        </w:rPr>
      </w:pPr>
      <w:bookmarkStart w:id="76" w:name="_Toc531264924"/>
      <w:r w:rsidRPr="009C033A">
        <w:rPr>
          <w:color w:val="00B0F0"/>
        </w:rPr>
        <w:t xml:space="preserve">Leaving </w:t>
      </w:r>
      <w:r w:rsidR="00EA6BA7">
        <w:rPr>
          <w:color w:val="00B0F0"/>
        </w:rPr>
        <w:t>n</w:t>
      </w:r>
      <w:r w:rsidRPr="009C033A">
        <w:rPr>
          <w:color w:val="00B0F0"/>
        </w:rPr>
        <w:t xml:space="preserve">o </w:t>
      </w:r>
      <w:r w:rsidR="00EA6BA7">
        <w:rPr>
          <w:color w:val="00B0F0"/>
        </w:rPr>
        <w:t>o</w:t>
      </w:r>
      <w:r w:rsidRPr="009C033A">
        <w:rPr>
          <w:color w:val="00B0F0"/>
        </w:rPr>
        <w:t xml:space="preserve">ne </w:t>
      </w:r>
      <w:r w:rsidR="00EA6BA7">
        <w:rPr>
          <w:color w:val="00B0F0"/>
        </w:rPr>
        <w:t>b</w:t>
      </w:r>
      <w:r w:rsidRPr="009C033A">
        <w:rPr>
          <w:color w:val="00B0F0"/>
        </w:rPr>
        <w:t>ehind</w:t>
      </w:r>
      <w:bookmarkEnd w:id="76"/>
    </w:p>
    <w:p w14:paraId="01DA69CE" w14:textId="77777777" w:rsidR="00D6302A" w:rsidRPr="008444F7" w:rsidRDefault="00651ECE" w:rsidP="008444F7">
      <w:pPr>
        <w:spacing w:line="276" w:lineRule="auto"/>
        <w:jc w:val="both"/>
        <w:rPr>
          <w:rFonts w:cs="Times New Roman"/>
          <w:sz w:val="24"/>
          <w:szCs w:val="24"/>
        </w:rPr>
      </w:pPr>
      <w:r w:rsidRPr="008444F7">
        <w:rPr>
          <w:rFonts w:cs="Times New Roman"/>
          <w:sz w:val="24"/>
          <w:szCs w:val="24"/>
        </w:rPr>
        <w:t xml:space="preserve">Governments work with the private sector and civil society to address gaps in workforce participation, particularly for under-represented groups. The Australian Human Rights Commission has investigated barriers to employment for people with disability and older Australians, making comprehensive recommendations to governments, business and employers. Our development </w:t>
      </w:r>
      <w:r w:rsidRPr="008444F7">
        <w:rPr>
          <w:rFonts w:cs="Times New Roman"/>
          <w:sz w:val="24"/>
          <w:szCs w:val="24"/>
        </w:rPr>
        <w:lastRenderedPageBreak/>
        <w:t>policies prioritise engaging the private sector to attract investments that deliver social as well as commercial outcomes. Our development assistance has a particular focus on gender equality and women’s empowerment, the inclusion of women and girls and persons with disability, such as our work with CBM and the NORFIL Foundation in the Philippines establishing groups of parents of children with disabilities to work with local councils.</w:t>
      </w:r>
    </w:p>
    <w:p w14:paraId="3319B1EB" w14:textId="43F353E4" w:rsidR="00651ECE" w:rsidRPr="009C033A" w:rsidRDefault="00D6302A" w:rsidP="008C6E74">
      <w:pPr>
        <w:pStyle w:val="Heading3"/>
        <w:rPr>
          <w:color w:val="00B0F0"/>
        </w:rPr>
      </w:pPr>
      <w:bookmarkStart w:id="77" w:name="_Toc531264925"/>
      <w:r>
        <w:rPr>
          <w:color w:val="00B0F0"/>
        </w:rPr>
        <w:t>Inequality a</w:t>
      </w:r>
      <w:r w:rsidR="009C033A" w:rsidRPr="009C033A">
        <w:rPr>
          <w:color w:val="00B0F0"/>
        </w:rPr>
        <w:t xml:space="preserve">nd </w:t>
      </w:r>
      <w:r w:rsidR="00EA6BA7">
        <w:rPr>
          <w:color w:val="00B0F0"/>
        </w:rPr>
        <w:t>h</w:t>
      </w:r>
      <w:r w:rsidR="009C033A" w:rsidRPr="009C033A">
        <w:rPr>
          <w:color w:val="00B0F0"/>
        </w:rPr>
        <w:t xml:space="preserve">uman </w:t>
      </w:r>
      <w:r w:rsidR="00EA6BA7">
        <w:rPr>
          <w:color w:val="00B0F0"/>
        </w:rPr>
        <w:t>r</w:t>
      </w:r>
      <w:r w:rsidR="009C033A" w:rsidRPr="009C033A">
        <w:rPr>
          <w:color w:val="00B0F0"/>
        </w:rPr>
        <w:t>ights</w:t>
      </w:r>
      <w:bookmarkEnd w:id="77"/>
    </w:p>
    <w:p w14:paraId="7BCB530B"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Ensuring universal enjoyment of human rights is fundamental to reducing inequality. No society can truly prosper if elements of it are excluded or subjected to discrimination and violence. Inequality, exclusion, discrimination and violence cost states in lost GDP, in increased expenses on health and social security, and in lost human potential. This understanding is one of the underpinnings of Australia’s advocacy for equal human rights protections for women and girls, people with disability, youth, the elderly, LGBTI individuals, indigenous populations, and racial, ethnic or religious minorities. For example, Australia is committed to ensuring that LGBTI people are included in the implementation of the SDGs, and since 2015 has increased its advocacy and funding to support equal human rights for LGBTI persons globally.</w:t>
      </w:r>
    </w:p>
    <w:p w14:paraId="423DD990"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Intrepid Travel, Australian Volunteers International and the Australian Government have formed a collaborative partnership in Myanmar to improve tourism suppliers’ skills to boost economic growth to meet consumer demand. The initiative has trained 28 candidates in sustainable tourism management and supported 10 businesses to develop their tourism products to take to market. The Sustainable Tourism Hub is providing business advisory services and skills development to small and medium sized tourism enterprises, focusing on people who would otherwise face significant barriers to participation in the tourism market in Myanmar, such as women, ethnic minorities and people with disabilities. The partnership is designed to meet</w:t>
      </w:r>
      <w:r w:rsidR="004C59CA" w:rsidRPr="008444F7">
        <w:rPr>
          <w:rFonts w:cs="Times New Roman"/>
          <w:sz w:val="24"/>
          <w:szCs w:val="24"/>
        </w:rPr>
        <w:t xml:space="preserve"> an</w:t>
      </w:r>
      <w:r w:rsidRPr="008444F7">
        <w:rPr>
          <w:rFonts w:cs="Times New Roman"/>
          <w:sz w:val="24"/>
          <w:szCs w:val="24"/>
        </w:rPr>
        <w:t xml:space="preserve"> increasing demand for sustainable, local experiences in the Myanmar tourism market. </w:t>
      </w:r>
    </w:p>
    <w:p w14:paraId="59D039DC"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Separately, Australian Volunteers program participants work in sustainable tour</w:t>
      </w:r>
      <w:r w:rsidR="00C55A89" w:rsidRPr="008444F7">
        <w:rPr>
          <w:rFonts w:cs="Times New Roman"/>
          <w:sz w:val="24"/>
          <w:szCs w:val="24"/>
        </w:rPr>
        <w:t>ism in the Philippines and Fiji</w:t>
      </w:r>
      <w:r w:rsidRPr="008444F7">
        <w:rPr>
          <w:rFonts w:cs="Times New Roman"/>
          <w:sz w:val="24"/>
          <w:szCs w:val="24"/>
        </w:rPr>
        <w:t xml:space="preserve"> with projects including a focus on employment opportunities for people with disabilities.</w:t>
      </w:r>
    </w:p>
    <w:p w14:paraId="244890E1" w14:textId="77777777" w:rsidR="00651ECE" w:rsidRPr="008444F7" w:rsidRDefault="00651ECE" w:rsidP="008C6E74">
      <w:pPr>
        <w:pStyle w:val="Heading2"/>
        <w:spacing w:after="0" w:afterAutospacing="0"/>
      </w:pPr>
      <w:bookmarkStart w:id="78" w:name="_Toc531264926"/>
      <w:r w:rsidRPr="008444F7">
        <w:t>Australia in the Green Climate Fund</w:t>
      </w:r>
      <w:bookmarkEnd w:id="78"/>
    </w:p>
    <w:p w14:paraId="0EEAC70E" w14:textId="77777777" w:rsidR="00651ECE" w:rsidRPr="008444F7" w:rsidRDefault="00651ECE" w:rsidP="008C6E74">
      <w:pPr>
        <w:spacing w:after="0" w:line="276" w:lineRule="auto"/>
        <w:jc w:val="both"/>
        <w:rPr>
          <w:rFonts w:cs="Times New Roman"/>
          <w:sz w:val="24"/>
          <w:szCs w:val="24"/>
        </w:rPr>
      </w:pPr>
      <w:r w:rsidRPr="008444F7">
        <w:rPr>
          <w:rFonts w:cs="Times New Roman"/>
          <w:sz w:val="24"/>
          <w:szCs w:val="24"/>
        </w:rPr>
        <w:t>The potential impacts of climate hazards on communities are linked to vulnerabilities associated with a range of complex, interrelated factors, such as poverty, environmental degradation, disability and gender inequality. Given its cross-cutting nature as an issue, Australia is integrating climate action and resilience across its development assistance program, taking a holistic multi-hazard approach to risk reduction.</w:t>
      </w:r>
    </w:p>
    <w:p w14:paraId="5FE32A38" w14:textId="77777777" w:rsidR="008C6E74" w:rsidRDefault="008C6E74" w:rsidP="008C6E74">
      <w:pPr>
        <w:pStyle w:val="Heading3"/>
        <w:spacing w:before="0" w:beforeAutospacing="0"/>
      </w:pPr>
    </w:p>
    <w:p w14:paraId="28D780C9" w14:textId="2ABF74B8" w:rsidR="00651ECE" w:rsidRPr="009C033A" w:rsidRDefault="00651ECE" w:rsidP="008C6E74">
      <w:pPr>
        <w:pStyle w:val="Heading3"/>
        <w:spacing w:before="0" w:beforeAutospacing="0"/>
        <w:rPr>
          <w:color w:val="00B0F0"/>
        </w:rPr>
      </w:pPr>
      <w:bookmarkStart w:id="79" w:name="_Toc531264927"/>
      <w:r w:rsidRPr="009C033A">
        <w:rPr>
          <w:color w:val="00B0F0"/>
        </w:rPr>
        <w:t xml:space="preserve">Sector </w:t>
      </w:r>
      <w:r w:rsidR="000577C6">
        <w:rPr>
          <w:color w:val="00B0F0"/>
        </w:rPr>
        <w:t>w</w:t>
      </w:r>
      <w:r w:rsidRPr="009C033A">
        <w:rPr>
          <w:color w:val="00B0F0"/>
        </w:rPr>
        <w:t xml:space="preserve">ide </w:t>
      </w:r>
      <w:r w:rsidR="000577C6">
        <w:rPr>
          <w:color w:val="00B0F0"/>
        </w:rPr>
        <w:t>e</w:t>
      </w:r>
      <w:r w:rsidRPr="009C033A">
        <w:rPr>
          <w:color w:val="00B0F0"/>
        </w:rPr>
        <w:t>ngagement: Extractives</w:t>
      </w:r>
      <w:bookmarkEnd w:id="79"/>
    </w:p>
    <w:p w14:paraId="6E745BB5" w14:textId="77777777" w:rsidR="00651ECE" w:rsidRPr="008444F7" w:rsidRDefault="00651ECE" w:rsidP="008444F7">
      <w:pPr>
        <w:spacing w:line="276" w:lineRule="auto"/>
        <w:jc w:val="both"/>
        <w:rPr>
          <w:rFonts w:cs="Times New Roman"/>
          <w:sz w:val="24"/>
          <w:szCs w:val="24"/>
        </w:rPr>
      </w:pPr>
      <w:r w:rsidRPr="008444F7">
        <w:rPr>
          <w:rFonts w:cs="Times New Roman"/>
          <w:sz w:val="24"/>
          <w:szCs w:val="24"/>
        </w:rPr>
        <w:t xml:space="preserve">Many of the examples provided in Australia’s review involve a multi-stakeholder approach. Further examples include, Australia is a founding co-chair of the Global Action on Disability Network that brings together civil society, donor governments, multilateral agencies and the private sector to advance disability inclusion in sustainable development and humanitarian action. The Minister for International Development and the Pacific leads Australia’s engagement in this network. Recognising the role that sport can play across the SDGs, DFAT’s sport for development program is built on </w:t>
      </w:r>
      <w:r w:rsidRPr="008444F7">
        <w:rPr>
          <w:rFonts w:cs="Times New Roman"/>
          <w:sz w:val="24"/>
          <w:szCs w:val="24"/>
        </w:rPr>
        <w:lastRenderedPageBreak/>
        <w:t>partnerships between the Australian Government and Australian, regional and Pacific Island sporting organisations and federations. The program supports sixteen sports across nine countries that deliver activities to address primary risk factors associated with non-communicable diseases, particularly physical inactivity, and address inequalities experienced by women, girls and people living with disability. All these efforts aim to reduce poverty and promote the inclusive participation of the most disadvantaged, including women and girls and people living with disabilities.</w:t>
      </w:r>
    </w:p>
    <w:p w14:paraId="00EF33E8" w14:textId="558D5576" w:rsidR="00651ECE" w:rsidRPr="009C033A" w:rsidRDefault="00651ECE" w:rsidP="00C43D96">
      <w:pPr>
        <w:pStyle w:val="Heading3"/>
        <w:rPr>
          <w:color w:val="00B0F0"/>
        </w:rPr>
      </w:pPr>
      <w:bookmarkStart w:id="80" w:name="_Toc531264928"/>
      <w:r w:rsidRPr="009C033A">
        <w:rPr>
          <w:color w:val="00B0F0"/>
        </w:rPr>
        <w:t xml:space="preserve">Data </w:t>
      </w:r>
      <w:r w:rsidR="002B1724">
        <w:rPr>
          <w:color w:val="00B0F0"/>
        </w:rPr>
        <w:t>d</w:t>
      </w:r>
      <w:r w:rsidRPr="009C033A">
        <w:rPr>
          <w:color w:val="00B0F0"/>
        </w:rPr>
        <w:t>isaggregation</w:t>
      </w:r>
      <w:bookmarkEnd w:id="80"/>
    </w:p>
    <w:p w14:paraId="73A6F636" w14:textId="77777777" w:rsidR="0095313F" w:rsidRPr="008444F7" w:rsidRDefault="0095313F" w:rsidP="008444F7">
      <w:pPr>
        <w:spacing w:line="276" w:lineRule="auto"/>
        <w:jc w:val="both"/>
        <w:rPr>
          <w:rFonts w:cs="Times New Roman"/>
          <w:color w:val="222222"/>
          <w:sz w:val="24"/>
          <w:szCs w:val="24"/>
          <w:lang w:val="en-US"/>
        </w:rPr>
      </w:pPr>
      <w:r w:rsidRPr="008444F7">
        <w:rPr>
          <w:rFonts w:cs="Times New Roman"/>
          <w:color w:val="222222"/>
          <w:sz w:val="24"/>
          <w:szCs w:val="24"/>
        </w:rPr>
        <w:t>An ongoing challenge for Australia is the disaggregation of all data sets. An example of our work on this includes Australia’s support for the Washington Group on Disability Statistics, established under the UN Statistical Commission. This multi-stakeholder group has developed a range of disability data tools including the Short Set of Question</w:t>
      </w:r>
      <w:r w:rsidR="00BD6ADE" w:rsidRPr="008444F7">
        <w:rPr>
          <w:rFonts w:cs="Times New Roman"/>
          <w:color w:val="222222"/>
          <w:sz w:val="24"/>
          <w:szCs w:val="24"/>
        </w:rPr>
        <w:t>s on Disability and the UNICEF/</w:t>
      </w:r>
      <w:r w:rsidRPr="008444F7">
        <w:rPr>
          <w:rFonts w:cs="Times New Roman"/>
          <w:color w:val="222222"/>
          <w:sz w:val="24"/>
          <w:szCs w:val="24"/>
        </w:rPr>
        <w:t>WG Module on Child Functioning. These tools have been tested extensively and when added to ongoing collections provide an efficient approach to monitor implementation of the UN Convention on the Rights of Persons with Disabilities and the SDGs by disaggregating data by disability status</w:t>
      </w:r>
    </w:p>
    <w:p w14:paraId="674078E4" w14:textId="77777777" w:rsidR="0095313F" w:rsidRPr="00BA1BA9" w:rsidRDefault="0095313F" w:rsidP="007C6BBE">
      <w:pPr>
        <w:pStyle w:val="Heading1"/>
        <w:spacing w:line="276" w:lineRule="auto"/>
        <w:jc w:val="both"/>
        <w:rPr>
          <w:sz w:val="32"/>
          <w:szCs w:val="32"/>
        </w:rPr>
      </w:pPr>
      <w:bookmarkStart w:id="81" w:name="_Toc531264929"/>
      <w:r w:rsidRPr="00BA1BA9">
        <w:rPr>
          <w:sz w:val="32"/>
          <w:szCs w:val="32"/>
        </w:rPr>
        <w:t>Bahrain</w:t>
      </w:r>
      <w:bookmarkEnd w:id="81"/>
    </w:p>
    <w:p w14:paraId="2F6AB133"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In Bahrain,</w:t>
      </w:r>
      <w:r w:rsidR="007754DF">
        <w:rPr>
          <w:rStyle w:val="FootnoteReference"/>
          <w:rFonts w:cs="Times New Roman"/>
          <w:color w:val="222222"/>
          <w:sz w:val="24"/>
          <w:szCs w:val="24"/>
        </w:rPr>
        <w:footnoteReference w:id="16"/>
      </w:r>
      <w:r w:rsidRPr="007C6BBE">
        <w:rPr>
          <w:rFonts w:cs="Times New Roman"/>
          <w:color w:val="222222"/>
          <w:sz w:val="24"/>
          <w:szCs w:val="24"/>
        </w:rPr>
        <w:t xml:space="preserve"> the </w:t>
      </w:r>
      <w:proofErr w:type="spellStart"/>
      <w:r w:rsidRPr="007C6BBE">
        <w:rPr>
          <w:rFonts w:cs="Times New Roman"/>
          <w:color w:val="222222"/>
          <w:sz w:val="24"/>
          <w:szCs w:val="24"/>
        </w:rPr>
        <w:t>Labor</w:t>
      </w:r>
      <w:proofErr w:type="spellEnd"/>
      <w:r w:rsidRPr="007C6BBE">
        <w:rPr>
          <w:rFonts w:cs="Times New Roman"/>
          <w:color w:val="222222"/>
          <w:sz w:val="24"/>
          <w:szCs w:val="24"/>
        </w:rPr>
        <w:t xml:space="preserve"> Fund (Tamkeen) provides vast support to SMEs. More than 47,000 SMEs and 120,000 individuals including women, youth, and persons with disabilities benefited from its financial and training support. Pursuant to the Constitution of Bahrain and public policies which guarantee universal access to basic services. Public and civil society-led programs provide support to abused women, persons with disabilities, and those in need.</w:t>
      </w:r>
    </w:p>
    <w:p w14:paraId="2B1CBA5C" w14:textId="77777777" w:rsidR="0095313F" w:rsidRPr="00BA1BA9" w:rsidRDefault="0095313F" w:rsidP="007C6BBE">
      <w:pPr>
        <w:pStyle w:val="Heading1"/>
        <w:spacing w:line="276" w:lineRule="auto"/>
        <w:jc w:val="both"/>
        <w:rPr>
          <w:sz w:val="32"/>
          <w:szCs w:val="32"/>
        </w:rPr>
      </w:pPr>
      <w:bookmarkStart w:id="82" w:name="_Toc531264930"/>
      <w:r w:rsidRPr="00BA1BA9">
        <w:rPr>
          <w:sz w:val="32"/>
          <w:szCs w:val="32"/>
        </w:rPr>
        <w:t>Bhutan</w:t>
      </w:r>
      <w:bookmarkEnd w:id="82"/>
    </w:p>
    <w:p w14:paraId="0826242E"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Despite the progress made, Bhutan</w:t>
      </w:r>
      <w:r w:rsidR="00F77C4C">
        <w:rPr>
          <w:rStyle w:val="FootnoteReference"/>
          <w:rFonts w:cs="Times New Roman"/>
          <w:color w:val="222222"/>
          <w:sz w:val="24"/>
          <w:szCs w:val="24"/>
        </w:rPr>
        <w:footnoteReference w:id="17"/>
      </w:r>
      <w:r w:rsidRPr="007C6BBE">
        <w:rPr>
          <w:rFonts w:cs="Times New Roman"/>
          <w:color w:val="222222"/>
          <w:sz w:val="24"/>
          <w:szCs w:val="24"/>
        </w:rPr>
        <w:t xml:space="preserve"> is confronted with the following challenges in its development </w:t>
      </w:r>
      <w:r w:rsidR="00397AD6" w:rsidRPr="007C6BBE">
        <w:rPr>
          <w:rFonts w:cs="Times New Roman"/>
          <w:color w:val="222222"/>
          <w:sz w:val="24"/>
          <w:szCs w:val="24"/>
        </w:rPr>
        <w:t>efforts: In</w:t>
      </w:r>
      <w:r w:rsidRPr="007C6BBE">
        <w:rPr>
          <w:rFonts w:cs="Times New Roman"/>
          <w:color w:val="222222"/>
          <w:sz w:val="24"/>
          <w:szCs w:val="24"/>
        </w:rPr>
        <w:t xml:space="preserve"> ensuring that no one is left behind, Bhutan faces last-mile challenges. In the 12th FYP, Bhutan aims to eradicate poverty, reduce inequality and address the needs of vulnerable groups. It endeavours to reduce income and multidimensional poverty to less than 5 per cent. The Gini coefficient increased slightly to 0.38 in 2017 from 0.36 in 2012, indicating a need to assess existing policies and programmes. Further, addressing the needs of vulnerable groups through targeted interventions is a priority. Promoting gender equality and empowering women and girls has been identified as one of the sixteen national key result areas. Fourteen different vulnerable groups have been identified through a Vulnerability Baseline Assessment. Bhutan is currently in the process of drafting the National Disability Policy and National Gender Equality Policy.</w:t>
      </w:r>
    </w:p>
    <w:p w14:paraId="3A46BA80"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Reducing inequality such that no-one is left behind is at the core of all the SDGs.</w:t>
      </w:r>
      <w:r w:rsidR="00F77C4C">
        <w:rPr>
          <w:rStyle w:val="FootnoteReference"/>
          <w:rFonts w:cs="Times New Roman"/>
          <w:color w:val="222222"/>
          <w:sz w:val="24"/>
          <w:szCs w:val="24"/>
        </w:rPr>
        <w:footnoteReference w:id="18"/>
      </w:r>
      <w:r w:rsidRPr="007C6BBE">
        <w:rPr>
          <w:rFonts w:cs="Times New Roman"/>
          <w:color w:val="222222"/>
          <w:sz w:val="24"/>
          <w:szCs w:val="24"/>
        </w:rPr>
        <w:t xml:space="preserve"> This goal, among others, aims to empower and promote social, economic and political inclusion irrespective of specific characteristics such as age, gender, sexual orientation, disability, religion, economic or another status. Bhutan has made modest success in providing access to education for children with </w:t>
      </w:r>
      <w:r w:rsidRPr="007C6BBE">
        <w:rPr>
          <w:rFonts w:cs="Times New Roman"/>
          <w:color w:val="222222"/>
          <w:sz w:val="24"/>
          <w:szCs w:val="24"/>
        </w:rPr>
        <w:lastRenderedPageBreak/>
        <w:t xml:space="preserve">disabilities. In addition to the two special schools catering to hearing and visually impaired children, the government has established Special Educational Needs Programme (SEN) in 12 schools to integrate children with disabilities into the mainstream school system. As of 2017, 647 students with various forms of disabilities were enrolled. Additionally, there are two private </w:t>
      </w:r>
      <w:r w:rsidR="00BD6ADE" w:rsidRPr="007C6BBE">
        <w:rPr>
          <w:rFonts w:cs="Times New Roman"/>
          <w:color w:val="222222"/>
          <w:sz w:val="24"/>
          <w:szCs w:val="24"/>
        </w:rPr>
        <w:t>institutions, which</w:t>
      </w:r>
      <w:r w:rsidRPr="007C6BBE">
        <w:rPr>
          <w:rFonts w:cs="Times New Roman"/>
          <w:color w:val="222222"/>
          <w:sz w:val="24"/>
          <w:szCs w:val="24"/>
        </w:rPr>
        <w:t xml:space="preserve"> provide vocational skills to disabled children.</w:t>
      </w:r>
    </w:p>
    <w:p w14:paraId="466D8668"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Bhutan is determined to address emerging concerns of different forms of inequalities across all sections of society through the implementation of policies and legal frameworks, as reflected consistently in the FYPs and assessed in the development stage of any policy or project using the GNH Policy Screening Tool. However, the intent of the Government to address issues of inequality is illustrated through the formulation of Bhutan’s first Gender Equality Policy and the National Policy for Persons with Disabilities. </w:t>
      </w:r>
    </w:p>
    <w:p w14:paraId="72CA2FAD"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More fundamentally, the commitment to inclusive development is also reflected in the Constitution of the Kingdom of Bhutan, which celebrates its 10th anniversary in 2018. Article 7 (Fundamental Rights) Section 15 of the Constitution states that ‘All persons are equal before the law and are entitled to the equal and effective protection of the law and shall not be discriminated against on the grounds of race, sex, language, religion, politics or other status’. In addition, Article 9 (Principles of State Policy) Section 22 of the Constitution also states, ‘The State shall endeavour to provide security in the event of sickness and disability or lack of adequate means of livelihood for reasons beyond one’s control’. As Bhutan prepares itself for graduation from the LDC status, holding true to these Articles of the Constitution is a priority.</w:t>
      </w:r>
    </w:p>
    <w:p w14:paraId="5193EF44"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 xml:space="preserve">To provide access to safe, affordable, accessible and sustainable transport for all, the Government continues to invest in improving road and air networks. In keeping with the vision of “Bhutan Transport 2040: Integrated Strategic Vision” in urban areas like </w:t>
      </w:r>
      <w:proofErr w:type="spellStart"/>
      <w:r w:rsidRPr="007C6BBE">
        <w:rPr>
          <w:rFonts w:cs="Times New Roman"/>
          <w:color w:val="222222"/>
          <w:sz w:val="24"/>
          <w:szCs w:val="24"/>
        </w:rPr>
        <w:t>Thimphu</w:t>
      </w:r>
      <w:proofErr w:type="spellEnd"/>
      <w:r w:rsidRPr="007C6BBE">
        <w:rPr>
          <w:rFonts w:cs="Times New Roman"/>
          <w:color w:val="222222"/>
          <w:sz w:val="24"/>
          <w:szCs w:val="24"/>
        </w:rPr>
        <w:t xml:space="preserve"> and </w:t>
      </w:r>
      <w:proofErr w:type="spellStart"/>
      <w:r w:rsidRPr="007C6BBE">
        <w:rPr>
          <w:rFonts w:cs="Times New Roman"/>
          <w:color w:val="222222"/>
          <w:sz w:val="24"/>
          <w:szCs w:val="24"/>
        </w:rPr>
        <w:t>Phuntsholing</w:t>
      </w:r>
      <w:proofErr w:type="spellEnd"/>
      <w:r w:rsidRPr="007C6BBE">
        <w:rPr>
          <w:rFonts w:cs="Times New Roman"/>
          <w:color w:val="222222"/>
          <w:sz w:val="24"/>
          <w:szCs w:val="24"/>
        </w:rPr>
        <w:t>, public transport services have been introduced with ramps and designated seating for elderly citizens, pregnant women, and people with disabilities.</w:t>
      </w:r>
    </w:p>
    <w:p w14:paraId="334EE171"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Gaps remain in the legal and policy framework to fully protect and promote the rights of women and children, and of vulnerable groups. Steps are underway to address this, in line with 2014 recommendations of the Universal Period Review, for example on advancing the rights of people with disabilities. The National Policy for Persons with Disability is under development, with efforts being made to explore ratification of the Convention on the Rights of Persons with Disabilities. </w:t>
      </w:r>
    </w:p>
    <w:p w14:paraId="742B6871" w14:textId="77777777" w:rsidR="0095313F" w:rsidRPr="007C6BBE" w:rsidRDefault="0095313F" w:rsidP="007C6BBE">
      <w:pPr>
        <w:spacing w:line="276" w:lineRule="auto"/>
        <w:jc w:val="both"/>
        <w:rPr>
          <w:rFonts w:cs="Times New Roman"/>
          <w:color w:val="222222"/>
          <w:sz w:val="24"/>
          <w:szCs w:val="24"/>
          <w:lang w:val="en-US"/>
        </w:rPr>
      </w:pPr>
      <w:r w:rsidRPr="007C6BBE">
        <w:rPr>
          <w:rFonts w:cs="Times New Roman"/>
          <w:color w:val="222222"/>
          <w:sz w:val="24"/>
          <w:szCs w:val="24"/>
        </w:rPr>
        <w:t>The study on Violence Against Children conducted in 2016 sheds light on the situation of children and their vulnerability to violence, exploitation, and abuse. Children are still vulnerable to violence and abuse. This is particularly true for children with disabilities, children from broken homes or living with extended families, and children from low economic backgrounds. </w:t>
      </w:r>
    </w:p>
    <w:p w14:paraId="4052A053" w14:textId="77777777" w:rsidR="00651ECE" w:rsidRPr="00EB014A" w:rsidRDefault="00651ECE" w:rsidP="005664C4">
      <w:pPr>
        <w:pStyle w:val="Heading1"/>
        <w:rPr>
          <w:sz w:val="32"/>
          <w:szCs w:val="32"/>
        </w:rPr>
      </w:pPr>
      <w:bookmarkStart w:id="83" w:name="_Toc531264931"/>
      <w:r w:rsidRPr="00EB014A">
        <w:rPr>
          <w:sz w:val="32"/>
          <w:szCs w:val="32"/>
        </w:rPr>
        <w:t>Cabo Verde</w:t>
      </w:r>
      <w:bookmarkEnd w:id="83"/>
    </w:p>
    <w:p w14:paraId="3CDD71EF"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Cabo Verde</w:t>
      </w:r>
      <w:r w:rsidR="00F77C4C">
        <w:rPr>
          <w:rStyle w:val="FootnoteReference"/>
          <w:rFonts w:cs="Times New Roman"/>
          <w:color w:val="222222"/>
          <w:sz w:val="24"/>
          <w:szCs w:val="24"/>
        </w:rPr>
        <w:footnoteReference w:id="19"/>
      </w:r>
      <w:r w:rsidRPr="007C6BBE">
        <w:rPr>
          <w:rFonts w:cs="Times New Roman"/>
          <w:color w:val="222222"/>
          <w:sz w:val="24"/>
          <w:szCs w:val="24"/>
        </w:rPr>
        <w:t xml:space="preserve"> has made remarkable progress in its almost 43 years of independence, rated since 2007 as a Middle-Income Country, however, it continues being a country of deep inequalities and of </w:t>
      </w:r>
      <w:r w:rsidRPr="007C6BBE">
        <w:rPr>
          <w:rFonts w:cs="Times New Roman"/>
          <w:color w:val="222222"/>
          <w:sz w:val="24"/>
          <w:szCs w:val="24"/>
        </w:rPr>
        <w:lastRenderedPageBreak/>
        <w:t>regional asymmetries that have persisted over the last 78 years. As a result, Cabo Verde keeps leaving a lot of people behind and remains at risk. These are the families who do not have piped water or electricity or have interrupted supply because the price is excessive. And also, the disabled who do not attend formal education or vocational or higher education because there is not adequate and mass assistance for children, young people and adults with Special Educational Needs (SEN). It is the Cabo Verdeans and especially the majority of young people who do not have effective political participation. This is also the case of the disabled, the elderly and people with dependents, without income.</w:t>
      </w:r>
    </w:p>
    <w:p w14:paraId="1668B93D" w14:textId="77777777" w:rsidR="009B6972" w:rsidRPr="007C6BBE" w:rsidRDefault="009B6972" w:rsidP="005664C4">
      <w:pPr>
        <w:pStyle w:val="Heading2"/>
        <w:spacing w:after="0" w:afterAutospacing="0"/>
        <w:rPr>
          <w:lang w:val="en-US"/>
        </w:rPr>
      </w:pPr>
      <w:bookmarkStart w:id="84" w:name="_Toc531264932"/>
      <w:r w:rsidRPr="007C6BBE">
        <w:t>Families with problems of access to piped water or electricity</w:t>
      </w:r>
      <w:bookmarkEnd w:id="84"/>
    </w:p>
    <w:p w14:paraId="4A9723B7" w14:textId="77777777" w:rsidR="009B6972" w:rsidRPr="007C6BBE" w:rsidRDefault="009B6972" w:rsidP="005664C4">
      <w:pPr>
        <w:spacing w:after="0" w:line="276" w:lineRule="auto"/>
        <w:jc w:val="both"/>
        <w:rPr>
          <w:rFonts w:cs="Times New Roman"/>
          <w:color w:val="222222"/>
          <w:sz w:val="24"/>
          <w:szCs w:val="24"/>
          <w:lang w:val="en-US"/>
        </w:rPr>
      </w:pPr>
      <w:r w:rsidRPr="007C6BBE">
        <w:rPr>
          <w:rFonts w:cs="Times New Roman"/>
          <w:color w:val="222222"/>
          <w:sz w:val="24"/>
          <w:szCs w:val="24"/>
        </w:rPr>
        <w:t xml:space="preserve">In Cabo Verde, about 20% of the poor, and 30% of those living in extreme poverty, lack access to electricity, particularly in rural areas, and only 51 out of every 100 poor households get water mainly from the public grid. Thousands of poor households are often without power and public water network because of high tariff level. These include People with special educational needs </w:t>
      </w:r>
      <w:r w:rsidR="00BD6ADE" w:rsidRPr="007C6BBE">
        <w:rPr>
          <w:rFonts w:cs="Times New Roman"/>
          <w:color w:val="222222"/>
          <w:sz w:val="24"/>
          <w:szCs w:val="24"/>
        </w:rPr>
        <w:t>that</w:t>
      </w:r>
      <w:r w:rsidRPr="007C6BBE">
        <w:rPr>
          <w:rFonts w:cs="Times New Roman"/>
          <w:color w:val="222222"/>
          <w:sz w:val="24"/>
          <w:szCs w:val="24"/>
        </w:rPr>
        <w:t xml:space="preserve"> have difficulty accessing education. About 83% of the population with disabilities can read and write, about 14 percentage points below the population without a disability. Only 2822 people with disabilities attend a public or private educational institution, against 133,000 people without disabilities. Attending public or private education, especially those with a low level of disability, most pre-school, primary and secondary school teachers are not able to deal with children with SEN.  In Cabo Verde, people with visual, motor or hearing disabilities face physical, architectural and mobility barriers. Both housing and services buildings have no access, movement and hygiene functionalities adapted to these people. Thus, on a smaller scale in education and health, but especially in terms of accessibility and urban mobility, part of the population with disabilities is in danger of being left behind, aspects that must be properly addressed in the new urban agenda.</w:t>
      </w:r>
    </w:p>
    <w:p w14:paraId="2341F30E"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The intervention of the tax-paying social security is determinative in the financing of part of the expenditures in the Cabo Verdean health, but also it creates an important market niche for the private sector, which is the greatest mobilizer of national savings, and biggest institutional investor in the country, with determining intervention in the country’s strategic companies.  The non-contributory plan provides for a monthly pension of $55.1 and medicine coverage with an annual ceiling of $21.6 covering individuals aged 60 years and over, as well as children from poor families with disabilities or chronic disabling illness less than 18 years of age, belonging to households with an income below the poverty line, deprived of coverage of any national or foreign social security plans. It covers about 21,000 beneficiaries, with the elderly being the majority. </w:t>
      </w:r>
    </w:p>
    <w:p w14:paraId="3416362E"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Housing deficits and insecurity constitute an important dimension of poverty in terms of access to basic social services, especially for those in need of care as children of poor, elderly and disabled families, compounded by the weakening of traditional forms of social protection.  Unpaid work represents close to 70% of the total workload in the country, meaning that the social effort and social contribution of families to social well-being and social cohesion are very high and falls mainly on women, but more than half of children and adolescents stay long periods of the day without adult supervision.</w:t>
      </w:r>
    </w:p>
    <w:p w14:paraId="5329513C"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 xml:space="preserve">Cabo Verde became, in the last two decades, a destination of immigration, thus increasing the foreign population and immigrants, posing challenges of flow management, as well as an integration of </w:t>
      </w:r>
      <w:r w:rsidRPr="007C6BBE">
        <w:rPr>
          <w:rFonts w:cs="Times New Roman"/>
          <w:color w:val="222222"/>
          <w:sz w:val="24"/>
          <w:szCs w:val="24"/>
        </w:rPr>
        <w:lastRenderedPageBreak/>
        <w:t xml:space="preserve">immigrants in Cabo Verde, namely, regularization, </w:t>
      </w:r>
      <w:proofErr w:type="spellStart"/>
      <w:r w:rsidRPr="007C6BBE">
        <w:rPr>
          <w:rFonts w:cs="Times New Roman"/>
          <w:color w:val="222222"/>
          <w:sz w:val="24"/>
          <w:szCs w:val="24"/>
        </w:rPr>
        <w:t>labor</w:t>
      </w:r>
      <w:proofErr w:type="spellEnd"/>
      <w:r w:rsidRPr="007C6BBE">
        <w:rPr>
          <w:rFonts w:cs="Times New Roman"/>
          <w:color w:val="222222"/>
          <w:sz w:val="24"/>
          <w:szCs w:val="24"/>
        </w:rPr>
        <w:t xml:space="preserve"> market regulation, protection, and social inclusion domains. Social inequalities also translate into gender inequalities, opportunities especially for the disabled and decent work, with special emphasis on women.</w:t>
      </w:r>
    </w:p>
    <w:p w14:paraId="731E526B"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 xml:space="preserve">It is in this context that government interventions in the field of social inclusion are accompanied by policies to promote family development and social inclusion, the fight against poverty, the promotion of equal rights and opportunities and the full participation and integration of people with </w:t>
      </w:r>
      <w:r w:rsidR="00BD6ADE" w:rsidRPr="007C6BBE">
        <w:rPr>
          <w:rFonts w:cs="Times New Roman"/>
          <w:color w:val="222222"/>
          <w:sz w:val="24"/>
          <w:szCs w:val="24"/>
        </w:rPr>
        <w:t>disabilities,</w:t>
      </w:r>
      <w:r w:rsidRPr="007C6BBE">
        <w:rPr>
          <w:rFonts w:cs="Times New Roman"/>
          <w:color w:val="222222"/>
          <w:sz w:val="24"/>
          <w:szCs w:val="24"/>
        </w:rPr>
        <w:t xml:space="preserve"> of policies that promote decent job creation that provide access to basic social goods such as health, education, water, energy, housing, food and vocational training; protection and social inclusion of children and adolescents at risk of social exclusion of gender equality and policies relevant to the management of immigration and integration of immigrants.</w:t>
      </w:r>
    </w:p>
    <w:p w14:paraId="6D4CDB17"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 xml:space="preserve">The implementation of the dependent care system (children from 0 to 3 years old, elderly people and people with disabilities) is one of the priorities of the Government of Cabo Verde. Institutional and legal conditions have already been created for the effective implementation of the National Plan for Care.  The inclusion programs include the </w:t>
      </w:r>
      <w:r w:rsidR="007605A2" w:rsidRPr="007C6BBE">
        <w:rPr>
          <w:rFonts w:cs="Times New Roman"/>
          <w:color w:val="222222"/>
          <w:sz w:val="24"/>
          <w:szCs w:val="24"/>
        </w:rPr>
        <w:t>municipalisation</w:t>
      </w:r>
      <w:r w:rsidRPr="007C6BBE">
        <w:rPr>
          <w:rFonts w:cs="Times New Roman"/>
          <w:color w:val="222222"/>
          <w:sz w:val="24"/>
          <w:szCs w:val="24"/>
        </w:rPr>
        <w:t xml:space="preserve"> of the Social Inclusion sector with the </w:t>
      </w:r>
      <w:r w:rsidR="007605A2" w:rsidRPr="007C6BBE">
        <w:rPr>
          <w:rFonts w:cs="Times New Roman"/>
          <w:color w:val="222222"/>
          <w:sz w:val="24"/>
          <w:szCs w:val="24"/>
        </w:rPr>
        <w:t>municipalisation</w:t>
      </w:r>
      <w:r w:rsidRPr="007C6BBE">
        <w:rPr>
          <w:rFonts w:cs="Times New Roman"/>
          <w:color w:val="222222"/>
          <w:sz w:val="24"/>
          <w:szCs w:val="24"/>
        </w:rPr>
        <w:t xml:space="preserve"> of the Social Development </w:t>
      </w:r>
      <w:proofErr w:type="spellStart"/>
      <w:r w:rsidRPr="007C6BBE">
        <w:rPr>
          <w:rFonts w:cs="Times New Roman"/>
          <w:color w:val="222222"/>
          <w:sz w:val="24"/>
          <w:szCs w:val="24"/>
        </w:rPr>
        <w:t>Centers</w:t>
      </w:r>
      <w:proofErr w:type="spellEnd"/>
      <w:r w:rsidRPr="007C6BBE">
        <w:rPr>
          <w:rFonts w:cs="Times New Roman"/>
          <w:color w:val="222222"/>
          <w:sz w:val="24"/>
          <w:szCs w:val="24"/>
        </w:rPr>
        <w:t>, ensuring greater proximity and eliminating duplication of interventions and contributing to an integrated management of the social inclusion sector.</w:t>
      </w:r>
    </w:p>
    <w:p w14:paraId="387DE3E3" w14:textId="77777777" w:rsidR="009B6972" w:rsidRPr="007C6BBE" w:rsidRDefault="009B6972" w:rsidP="007C6BBE">
      <w:pPr>
        <w:spacing w:line="276" w:lineRule="auto"/>
        <w:jc w:val="both"/>
        <w:rPr>
          <w:rFonts w:cs="Times New Roman"/>
          <w:color w:val="222222"/>
          <w:sz w:val="24"/>
          <w:szCs w:val="24"/>
          <w:lang w:val="en-US"/>
        </w:rPr>
      </w:pPr>
      <w:r w:rsidRPr="007C6BBE">
        <w:rPr>
          <w:rFonts w:cs="Times New Roman"/>
          <w:color w:val="222222"/>
          <w:sz w:val="24"/>
          <w:szCs w:val="24"/>
        </w:rPr>
        <w:t>The Access to Health program consists of ensuring access to the health service and compensation mechanisms for persons with disabilities and the chronically ill, as well as access to health care and medical and medical care for people who are sick and are not covered social security systems in the country. However, no Cabo Verdean city has mobility systems adapted for people with disabilities, so architectural barriers seriously limit accessibility. </w:t>
      </w:r>
    </w:p>
    <w:p w14:paraId="509C4FE9" w14:textId="77777777" w:rsidR="00651ECE" w:rsidRPr="00EB014A" w:rsidRDefault="00651ECE" w:rsidP="00DB1EC0">
      <w:pPr>
        <w:pStyle w:val="Heading1"/>
        <w:rPr>
          <w:sz w:val="32"/>
          <w:szCs w:val="32"/>
        </w:rPr>
      </w:pPr>
      <w:bookmarkStart w:id="85" w:name="_Toc531264933"/>
      <w:r w:rsidRPr="00EB014A">
        <w:rPr>
          <w:sz w:val="32"/>
          <w:szCs w:val="32"/>
        </w:rPr>
        <w:t>Egypt</w:t>
      </w:r>
      <w:bookmarkEnd w:id="85"/>
    </w:p>
    <w:p w14:paraId="17B26C52" w14:textId="77777777" w:rsidR="00651ECE" w:rsidRPr="007C6BBE" w:rsidRDefault="00651ECE" w:rsidP="007C6BBE">
      <w:pPr>
        <w:spacing w:line="276" w:lineRule="auto"/>
        <w:jc w:val="both"/>
        <w:rPr>
          <w:rFonts w:cs="Times New Roman"/>
          <w:sz w:val="24"/>
          <w:szCs w:val="24"/>
        </w:rPr>
      </w:pPr>
      <w:r w:rsidRPr="007C6BBE">
        <w:rPr>
          <w:rFonts w:cs="Times New Roman"/>
          <w:sz w:val="24"/>
          <w:szCs w:val="24"/>
        </w:rPr>
        <w:t>The eradication of extreme poverty, promotion of gender equality, empowerment of women, youth and people with disabilities, and the achievement of balanced regional development are the core principles of Egypt’s national sustainable development strategy, and these priorities are in compliance with the principle of leaving no one behind.</w:t>
      </w:r>
      <w:r w:rsidR="003D31E8">
        <w:rPr>
          <w:rStyle w:val="FootnoteReference"/>
          <w:rFonts w:cs="Times New Roman"/>
          <w:sz w:val="24"/>
          <w:szCs w:val="24"/>
        </w:rPr>
        <w:footnoteReference w:id="20"/>
      </w:r>
      <w:r w:rsidRPr="007C6BBE">
        <w:rPr>
          <w:rFonts w:cs="Times New Roman"/>
          <w:sz w:val="24"/>
          <w:szCs w:val="24"/>
        </w:rPr>
        <w:t xml:space="preserve"> Accordingly, the Government is committed to improving the effectiveness of social programs and on expanding them to cover more citizens in need. The Government is also working on the protection, rehabilitation, and empowerment of people with disabilities, as reflected by President Abdel-Fattah Al-</w:t>
      </w:r>
      <w:proofErr w:type="spellStart"/>
      <w:r w:rsidRPr="007C6BBE">
        <w:rPr>
          <w:rFonts w:cs="Times New Roman"/>
          <w:sz w:val="24"/>
          <w:szCs w:val="24"/>
        </w:rPr>
        <w:t>Sisi’s</w:t>
      </w:r>
      <w:proofErr w:type="spellEnd"/>
      <w:r w:rsidRPr="007C6BBE">
        <w:rPr>
          <w:rFonts w:cs="Times New Roman"/>
          <w:sz w:val="24"/>
          <w:szCs w:val="24"/>
        </w:rPr>
        <w:t xml:space="preserve"> declaration of 2018 as the Year for People with Disabilities. This is in addition to launching programs designed to empower women, young people and the poor.</w:t>
      </w:r>
    </w:p>
    <w:p w14:paraId="32F254FD" w14:textId="77777777" w:rsidR="00C71DC0" w:rsidRPr="009C033A" w:rsidRDefault="00651ECE" w:rsidP="009C033A">
      <w:pPr>
        <w:spacing w:line="276" w:lineRule="auto"/>
        <w:jc w:val="both"/>
        <w:rPr>
          <w:rFonts w:cs="Times New Roman"/>
          <w:sz w:val="24"/>
          <w:szCs w:val="24"/>
        </w:rPr>
      </w:pPr>
      <w:r w:rsidRPr="007C6BBE">
        <w:rPr>
          <w:rFonts w:cs="Times New Roman"/>
          <w:sz w:val="24"/>
          <w:szCs w:val="24"/>
        </w:rPr>
        <w:t xml:space="preserve">Takaful (“Solidarity”) is a monthly conditional cash transfer for households with children, aiming at promoting capital accumulation by providing family income support while incentivizing poor households to invest in their children’s health, education and nutrition by imposing conditions such as enrolment of children in schools (with a minimum of 80 percent attendance) and getting the necessary health check-ups, including child immunization and growth monitoring for children aged 0-5 years old, and antenatal care for pregnant mothers. Approximately 2,268,000 families are </w:t>
      </w:r>
      <w:r w:rsidRPr="007C6BBE">
        <w:rPr>
          <w:rFonts w:cs="Times New Roman"/>
          <w:sz w:val="24"/>
          <w:szCs w:val="24"/>
        </w:rPr>
        <w:lastRenderedPageBreak/>
        <w:t>enrolled in the program at present, more than the triple the number (707,000) enrolled in the fiscal year 2015/16.3 Karama (“Dignity”), on the other hand, is a monthly unconditional cash transfer program aimed at promoting social inclusion through integration of the most vulnerable, namely the elderly (those over 65 years old), people with disabilities, and, in a recent addition, orphaned children. Total enrolment currently stands at 306,000 households</w:t>
      </w:r>
    </w:p>
    <w:p w14:paraId="15B34787" w14:textId="02EEE4C5" w:rsidR="00651ECE" w:rsidRPr="00FD5DF8" w:rsidRDefault="00651ECE" w:rsidP="00DB1EC0">
      <w:pPr>
        <w:pStyle w:val="Heading2"/>
        <w:spacing w:after="0" w:afterAutospacing="0"/>
      </w:pPr>
      <w:bookmarkStart w:id="86" w:name="_Toc531264934"/>
      <w:r w:rsidRPr="00FD5DF8">
        <w:t xml:space="preserve">Protection, </w:t>
      </w:r>
      <w:r w:rsidR="007C0228">
        <w:t>r</w:t>
      </w:r>
      <w:r w:rsidRPr="00FD5DF8">
        <w:t xml:space="preserve">ehabilitation and </w:t>
      </w:r>
      <w:r w:rsidR="007C0228">
        <w:t>e</w:t>
      </w:r>
      <w:r w:rsidRPr="00FD5DF8">
        <w:t xml:space="preserve">mpowerment of </w:t>
      </w:r>
      <w:r w:rsidR="007C0228">
        <w:t>p</w:t>
      </w:r>
      <w:r w:rsidRPr="00FD5DF8">
        <w:t xml:space="preserve">eople with </w:t>
      </w:r>
      <w:r w:rsidR="007C0228">
        <w:t>d</w:t>
      </w:r>
      <w:r w:rsidRPr="00FD5DF8">
        <w:t>isabilities</w:t>
      </w:r>
      <w:bookmarkEnd w:id="86"/>
    </w:p>
    <w:p w14:paraId="19CBC2D0"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t>One of the flagship accomplishments of the Government of Egypt in protecting the most vulnerable, and one of the main outcomes of announcing 2018 as the Year for People with Disabilities, was law No. 10 for 2018 on the Rights of Persons with Disabilities, which was issued in February this year after being approved by the parliament. The new law, which was worked on by the Ministry of Social Solidarity in partnership with the National Council for Disability and several NGOs, is the first Egyptian law that specifically addresses the rights of people with disabilities, and it provides an array of new beneficial measures. It provides the disabled with tax cuts and requires the Government and the private sector to allocate five percent of vacant jobs to people with disabilities, based on their qualifications and capacities. It will require transport service providers to dedicate space for disabled commuters. Under the bill’s mandate, the disabled will also receive free medical treatment at state-run hospitals.</w:t>
      </w:r>
    </w:p>
    <w:p w14:paraId="38FD64F4"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t>In addition, the Ministry of Social Solidarity is collaborating with more than 12 ministries and 50 NGOs that specialize in disability issues to create an annual plan on disability that will help respond to the package of rights and services </w:t>
      </w:r>
      <w:r w:rsidRPr="00DB1EC0">
        <w:rPr>
          <w:rFonts w:cs="Times New Roman"/>
          <w:color w:val="222222"/>
          <w:sz w:val="24"/>
          <w:szCs w:val="24"/>
          <w:lang w:val="en-US"/>
        </w:rPr>
        <w:t>that the new law entails. This plan will start in July 2018 and is expected to be a regular mechanism for monitoring performance and results on disability issues in Egypt. The Government of Egypt, through the ministry, is shifting from deploying an institutional and medical approach to managing disabilities to a societal and functional approach. Under this new approach, it is promoting the idea that people with disabilities are “differently abled” people, and that society bears the responsibility to integrate them, secure their rights and utilize their capacities, both for their own sake and for the sake of social and economic development at large. Currently, more than 1.055 million people with disabilities benefit from different cash transfer programs (801,000 from the Daman social pension program, and 254,000 from the Karama program), at a total annual government expenditure of EGP 5 billion.</w:t>
      </w:r>
    </w:p>
    <w:p w14:paraId="6C16B1BD"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t>In addition to supporting the establishment of the legal framework for integrating people with disabilities and financing the cash transfer programs, the Ministry of Social Solidarity also supports other programs that aim at including this group in the economy and providing them with social and medical services. Many of these programs are either run by NGOs or done in collaboration with the private sector. Some of these programs include:</w:t>
      </w:r>
    </w:p>
    <w:p w14:paraId="3DAD9C57"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t>A recruitment unit established at the Ministry of Social Solidarity to assist people with disabilities who have the capacity to work to find relevant job opportunities; more than 1,045 people have been employed as a result of these efforts, in partnership with 20 private companies.</w:t>
      </w:r>
    </w:p>
    <w:p w14:paraId="48539909"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t xml:space="preserve">Collaboration and coordination with 50 NGOs and foundations to develop a database of their most important activities and divide them according to </w:t>
      </w:r>
      <w:r w:rsidR="003D31E8">
        <w:rPr>
          <w:rFonts w:cs="Times New Roman"/>
          <w:color w:val="222222"/>
          <w:sz w:val="24"/>
          <w:szCs w:val="24"/>
        </w:rPr>
        <w:t xml:space="preserve">the four types of </w:t>
      </w:r>
      <w:r w:rsidR="00D24501">
        <w:rPr>
          <w:rFonts w:cs="Times New Roman"/>
          <w:color w:val="222222"/>
          <w:sz w:val="24"/>
          <w:szCs w:val="24"/>
        </w:rPr>
        <w:t>disabilities and</w:t>
      </w:r>
      <w:r w:rsidRPr="00DB1EC0">
        <w:rPr>
          <w:rFonts w:cs="Times New Roman"/>
          <w:color w:val="222222"/>
          <w:sz w:val="24"/>
          <w:szCs w:val="24"/>
        </w:rPr>
        <w:t xml:space="preserve"> facilitate joint initiatives.</w:t>
      </w:r>
    </w:p>
    <w:p w14:paraId="4A22C988" w14:textId="77777777" w:rsidR="006B1F5C" w:rsidRPr="00DB1EC0" w:rsidRDefault="006B1F5C" w:rsidP="00DB1EC0">
      <w:pPr>
        <w:spacing w:line="276" w:lineRule="auto"/>
        <w:jc w:val="both"/>
        <w:rPr>
          <w:rFonts w:cs="Times New Roman"/>
          <w:color w:val="222222"/>
          <w:sz w:val="24"/>
          <w:szCs w:val="24"/>
          <w:lang w:val="en-US"/>
        </w:rPr>
      </w:pPr>
      <w:r w:rsidRPr="00DB1EC0">
        <w:rPr>
          <w:rFonts w:cs="Times New Roman"/>
          <w:color w:val="222222"/>
          <w:sz w:val="24"/>
          <w:szCs w:val="24"/>
        </w:rPr>
        <w:lastRenderedPageBreak/>
        <w:t>Provision of scholarships for students with visual disabilities in 18 public universities, with total funds of EGP 900,000 per year.</w:t>
      </w:r>
    </w:p>
    <w:p w14:paraId="339A4963" w14:textId="37A630E5" w:rsidR="00651ECE" w:rsidRPr="00DB1EC0" w:rsidRDefault="00651ECE" w:rsidP="00DB1EC0">
      <w:pPr>
        <w:pStyle w:val="Heading2"/>
        <w:spacing w:after="0" w:afterAutospacing="0"/>
      </w:pPr>
      <w:bookmarkStart w:id="87" w:name="_Toc531264935"/>
      <w:r w:rsidRPr="00DB1EC0">
        <w:t xml:space="preserve">Corporate </w:t>
      </w:r>
      <w:r w:rsidR="00277182">
        <w:t>s</w:t>
      </w:r>
      <w:r w:rsidRPr="00DB1EC0">
        <w:t xml:space="preserve">ocial </w:t>
      </w:r>
      <w:proofErr w:type="gramStart"/>
      <w:r w:rsidR="00277182">
        <w:t>r</w:t>
      </w:r>
      <w:r w:rsidRPr="00DB1EC0">
        <w:t>esponsibility(</w:t>
      </w:r>
      <w:proofErr w:type="gramEnd"/>
      <w:r w:rsidR="00BD6ADE" w:rsidRPr="00DB1EC0">
        <w:t>CS</w:t>
      </w:r>
      <w:r w:rsidRPr="00DB1EC0">
        <w:t xml:space="preserve">R) </w:t>
      </w:r>
      <w:r w:rsidR="00277182">
        <w:t>a</w:t>
      </w:r>
      <w:r w:rsidRPr="00DB1EC0">
        <w:t xml:space="preserve">llocated to </w:t>
      </w:r>
      <w:r w:rsidR="00277182">
        <w:t>p</w:t>
      </w:r>
      <w:r w:rsidRPr="00DB1EC0">
        <w:t xml:space="preserve">rovide </w:t>
      </w:r>
      <w:r w:rsidR="00277182">
        <w:t>h</w:t>
      </w:r>
      <w:r w:rsidRPr="00DB1EC0">
        <w:t xml:space="preserve">ealth </w:t>
      </w:r>
      <w:r w:rsidR="00277182">
        <w:t>s</w:t>
      </w:r>
      <w:r w:rsidRPr="00DB1EC0">
        <w:t>ervices</w:t>
      </w:r>
      <w:bookmarkEnd w:id="87"/>
    </w:p>
    <w:p w14:paraId="40FE32C8" w14:textId="3E2208FE" w:rsidR="00651ECE" w:rsidRDefault="00651ECE" w:rsidP="00DB1EC0">
      <w:pPr>
        <w:spacing w:after="0" w:line="276" w:lineRule="auto"/>
        <w:jc w:val="both"/>
        <w:rPr>
          <w:rFonts w:cs="Times New Roman"/>
          <w:sz w:val="24"/>
          <w:szCs w:val="24"/>
        </w:rPr>
      </w:pPr>
      <w:r w:rsidRPr="00DB1EC0">
        <w:rPr>
          <w:rFonts w:cs="Times New Roman"/>
          <w:sz w:val="24"/>
          <w:szCs w:val="24"/>
        </w:rPr>
        <w:t xml:space="preserve">The role of the private sector in providing aid for vulnerable groups in Egypt through their corporate social responsibility (CSR) programs has grown over the past decade. Corporate social responsibility activities cover a wide range of groups, including poor people, people with disabilities, people living in informal settlements and deprived areas, orphaned children, and children living or working on the street. Several hospitals that serve thousands of patients every year depend on both CSR and citizens’ donations to provide the resources for quality health care to vulnerable groups. The </w:t>
      </w:r>
      <w:proofErr w:type="spellStart"/>
      <w:r w:rsidRPr="00DB1EC0">
        <w:rPr>
          <w:rFonts w:cs="Times New Roman"/>
          <w:sz w:val="24"/>
          <w:szCs w:val="24"/>
        </w:rPr>
        <w:t>Magdi</w:t>
      </w:r>
      <w:proofErr w:type="spellEnd"/>
      <w:r w:rsidR="00397AD6">
        <w:rPr>
          <w:rFonts w:cs="Times New Roman"/>
          <w:sz w:val="24"/>
          <w:szCs w:val="24"/>
        </w:rPr>
        <w:t xml:space="preserve"> </w:t>
      </w:r>
      <w:r w:rsidRPr="00DB1EC0">
        <w:rPr>
          <w:rFonts w:cs="Times New Roman"/>
          <w:sz w:val="24"/>
          <w:szCs w:val="24"/>
        </w:rPr>
        <w:t>Yacoub Foundation and the Children’s Cancer Hospital (57357) are notable examples.</w:t>
      </w:r>
    </w:p>
    <w:p w14:paraId="3ABFCD9E" w14:textId="77777777" w:rsidR="00F239BD" w:rsidRPr="00DB1EC0" w:rsidRDefault="00F239BD" w:rsidP="00DB1EC0">
      <w:pPr>
        <w:spacing w:after="0" w:line="276" w:lineRule="auto"/>
        <w:jc w:val="both"/>
        <w:rPr>
          <w:rFonts w:cs="Times New Roman"/>
          <w:sz w:val="24"/>
          <w:szCs w:val="24"/>
        </w:rPr>
      </w:pPr>
    </w:p>
    <w:p w14:paraId="72EEF7FF" w14:textId="77777777" w:rsidR="00651ECE" w:rsidRPr="00DB1EC0" w:rsidRDefault="00651ECE" w:rsidP="00DB1EC0">
      <w:pPr>
        <w:spacing w:line="276" w:lineRule="auto"/>
        <w:jc w:val="both"/>
        <w:rPr>
          <w:rFonts w:cs="Times New Roman"/>
          <w:sz w:val="24"/>
          <w:szCs w:val="24"/>
        </w:rPr>
      </w:pPr>
      <w:r w:rsidRPr="00DB1EC0">
        <w:rPr>
          <w:rFonts w:cs="Times New Roman"/>
          <w:sz w:val="24"/>
          <w:szCs w:val="24"/>
        </w:rPr>
        <w:t>Economic inequity is not the only inequity the country faces; there are also gaps between men and women, between young people and older generations, between urban and rural communities, between people with disabilities and those without, and among different regions in Egypt – with Upper Egypt in particular having the highest poverty rates in the country and the lowest levels of access to and quality of services. Egypt has expanded the social safety net to secure the essential needs of poor people. However, the real challenge is Egyptians’ attitudes towards women, young people and people with disabilities, as a number of surveys reveal Egyptians do not trust their capabilities</w:t>
      </w:r>
      <w:r w:rsidR="000320A9">
        <w:rPr>
          <w:rFonts w:cs="Times New Roman"/>
          <w:sz w:val="24"/>
          <w:szCs w:val="24"/>
        </w:rPr>
        <w:t>.</w:t>
      </w:r>
    </w:p>
    <w:p w14:paraId="54ACED91" w14:textId="77777777" w:rsidR="00651ECE" w:rsidRPr="00FD5DF8" w:rsidRDefault="00651ECE" w:rsidP="003717DA">
      <w:pPr>
        <w:pStyle w:val="Heading2"/>
        <w:spacing w:after="0" w:afterAutospacing="0"/>
      </w:pPr>
      <w:bookmarkStart w:id="88" w:name="_Toc531264936"/>
      <w:r w:rsidRPr="00FD5DF8">
        <w:t>Data</w:t>
      </w:r>
      <w:bookmarkEnd w:id="88"/>
    </w:p>
    <w:p w14:paraId="0922BE4D" w14:textId="77777777" w:rsidR="00651ECE" w:rsidRPr="003717DA" w:rsidRDefault="00651ECE" w:rsidP="003717DA">
      <w:pPr>
        <w:spacing w:after="0" w:line="276" w:lineRule="auto"/>
        <w:jc w:val="both"/>
        <w:rPr>
          <w:rFonts w:cs="Times New Roman"/>
          <w:sz w:val="24"/>
          <w:szCs w:val="24"/>
        </w:rPr>
      </w:pPr>
      <w:r w:rsidRPr="003717DA">
        <w:rPr>
          <w:rFonts w:cs="Times New Roman"/>
          <w:sz w:val="24"/>
          <w:szCs w:val="24"/>
        </w:rPr>
        <w:t>The first national statistics report on the SDGs produced by CAPMAS sheds light on the issues of data availability and accessibility, revealing that only 35.7 percent of the SDG indicators are classified under Tier 1.28 This percentage reflects the availability of these indicators on the aggregate level, but not necessarily by the required level of disaggregation (geographical location, sex, age, ethnicity or disability). Having only approximately 87 measurable and regularly updated indicators, coupled with problems of data disaggregation, somewhat constrains the SDG monitoring process. Moreover, these data problems adversely affect planning decisions and raise concerns regarding allocative justice.</w:t>
      </w:r>
    </w:p>
    <w:p w14:paraId="14EB55A9" w14:textId="77777777" w:rsidR="003717DA" w:rsidRDefault="003717DA" w:rsidP="003717DA">
      <w:pPr>
        <w:pStyle w:val="Heading1"/>
      </w:pPr>
    </w:p>
    <w:p w14:paraId="2341E506" w14:textId="77777777" w:rsidR="00651ECE" w:rsidRPr="00EB014A" w:rsidRDefault="00651ECE" w:rsidP="003717DA">
      <w:pPr>
        <w:pStyle w:val="Heading1"/>
        <w:rPr>
          <w:sz w:val="32"/>
          <w:szCs w:val="32"/>
        </w:rPr>
      </w:pPr>
      <w:bookmarkStart w:id="89" w:name="_Toc531264937"/>
      <w:r w:rsidRPr="00EB014A">
        <w:rPr>
          <w:sz w:val="32"/>
          <w:szCs w:val="32"/>
        </w:rPr>
        <w:t>Greece</w:t>
      </w:r>
      <w:bookmarkEnd w:id="89"/>
    </w:p>
    <w:p w14:paraId="31FBEC99"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Greece</w:t>
      </w:r>
      <w:r w:rsidR="003D31E8">
        <w:rPr>
          <w:rStyle w:val="FootnoteReference"/>
          <w:rFonts w:cs="Times New Roman"/>
          <w:sz w:val="24"/>
          <w:szCs w:val="24"/>
        </w:rPr>
        <w:footnoteReference w:id="21"/>
      </w:r>
      <w:r w:rsidRPr="00E32471">
        <w:rPr>
          <w:rFonts w:cs="Times New Roman"/>
          <w:sz w:val="24"/>
          <w:szCs w:val="24"/>
        </w:rPr>
        <w:t xml:space="preserve"> has adopted a set of policy measures aiming at: the expansion of social goods, the protection of vulnerable social groups, the strengthening of social cohesion and social solidarity, the creation of new local and regional public services, the improvement of the educational system, tackling undeclared/under-declared/unpaid work as well as infringement of labour law, improving the sustainability of the social security system, implementing universal access to healthcare, measures against the humanitarian crisis, promotion and protection of mental health, prevention of addictions and strengthening the rights of people with disabilities</w:t>
      </w:r>
    </w:p>
    <w:p w14:paraId="28B0861F"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lastRenderedPageBreak/>
        <w:t>The Economic and Social Committee of Greece (ESC), the constitutionally established institution responsible for conducting the social dialogue on the country’s general policy and in particular on economic and social issues, has assumed an important role towards promoting the systematic and structured consultation and dialogue on the effective implementation of SDGs at different levels and sectors. The ESC is working, following the model of the European Economic and Social Committee (EESC), on the basis of a tripartite structure representing the interests of three main groups involved, directly and indirectly, in achieving the SDGs at different levels: (</w:t>
      </w:r>
      <w:proofErr w:type="spellStart"/>
      <w:r w:rsidRPr="00E32471">
        <w:rPr>
          <w:rFonts w:cs="Times New Roman"/>
          <w:sz w:val="24"/>
          <w:szCs w:val="24"/>
        </w:rPr>
        <w:t>i</w:t>
      </w:r>
      <w:proofErr w:type="spellEnd"/>
      <w:r w:rsidRPr="00E32471">
        <w:rPr>
          <w:rFonts w:cs="Times New Roman"/>
          <w:sz w:val="24"/>
          <w:szCs w:val="24"/>
        </w:rPr>
        <w:t>) one of employers-entrepreneurs; (ii) one of public and private sector employees; and (iii) one including other categories of interests groups such as farmers, self-employed people, professionals, consumers, environmental agencies, disabled people’s confederation, gender equality, multi-child parents associations, and regional and local government.</w:t>
      </w:r>
    </w:p>
    <w:p w14:paraId="17161341" w14:textId="77777777" w:rsidR="00651ECE" w:rsidRPr="00E32471" w:rsidRDefault="00651ECE" w:rsidP="00A83FAC">
      <w:pPr>
        <w:pStyle w:val="Heading2"/>
        <w:spacing w:after="0" w:afterAutospacing="0"/>
      </w:pPr>
      <w:bookmarkStart w:id="90" w:name="_Toc531264938"/>
      <w:r w:rsidRPr="00E32471">
        <w:t>Job guarantee programme in the private sector</w:t>
      </w:r>
      <w:bookmarkEnd w:id="90"/>
    </w:p>
    <w:p w14:paraId="44ED5CBC" w14:textId="77777777" w:rsidR="006B1F5C" w:rsidRPr="00E32471" w:rsidRDefault="006B1F5C" w:rsidP="00A83FAC">
      <w:pPr>
        <w:spacing w:after="0" w:line="276" w:lineRule="auto"/>
        <w:jc w:val="both"/>
        <w:rPr>
          <w:rFonts w:eastAsia="Times New Roman" w:cs="Times New Roman"/>
          <w:sz w:val="24"/>
          <w:szCs w:val="24"/>
          <w:lang w:val="en-US"/>
        </w:rPr>
      </w:pPr>
      <w:r w:rsidRPr="00E32471">
        <w:rPr>
          <w:rFonts w:eastAsia="Times New Roman" w:cs="Times New Roman"/>
          <w:color w:val="222222"/>
          <w:sz w:val="24"/>
          <w:szCs w:val="24"/>
          <w:shd w:val="clear" w:color="auto" w:fill="FFFFFF"/>
          <w:lang w:val="en-US"/>
        </w:rPr>
        <w:t>In particular, the emphasis is placed on designing targeted policies for women who suffer multiple discrimination and enhance the collection and diffusion of gender-disaggregated data. A multisectoral support of women who are victims of gender violence and/or multiple discrimination (e.g. immigrants, refugees, women with disabilities, Roma, single mothers), awareness campaigns among the overall population, and networking development are also covered by the </w:t>
      </w:r>
      <w:r w:rsidRPr="00E32471">
        <w:rPr>
          <w:rFonts w:eastAsia="Times New Roman" w:cs="Times New Roman"/>
          <w:sz w:val="24"/>
          <w:szCs w:val="24"/>
          <w:lang w:val="en-US"/>
        </w:rPr>
        <w:t>NAPGE</w:t>
      </w:r>
      <w:r w:rsidRPr="00E32471">
        <w:rPr>
          <w:rFonts w:eastAsia="Times New Roman" w:cs="Times New Roman"/>
          <w:color w:val="222222"/>
          <w:sz w:val="24"/>
          <w:szCs w:val="24"/>
          <w:shd w:val="clear" w:color="auto" w:fill="FFFFFF"/>
          <w:lang w:val="en-US"/>
        </w:rPr>
        <w:t>. Furthermore, the </w:t>
      </w:r>
      <w:r w:rsidRPr="00E32471">
        <w:rPr>
          <w:rFonts w:eastAsia="Times New Roman" w:cs="Times New Roman"/>
          <w:sz w:val="24"/>
          <w:szCs w:val="24"/>
          <w:lang w:val="en-US"/>
        </w:rPr>
        <w:t>NAPGE</w:t>
      </w:r>
      <w:r w:rsidRPr="00E32471">
        <w:rPr>
          <w:rFonts w:eastAsia="Times New Roman" w:cs="Times New Roman"/>
          <w:color w:val="222222"/>
          <w:sz w:val="24"/>
          <w:szCs w:val="24"/>
          <w:shd w:val="clear" w:color="auto" w:fill="FFFFFF"/>
          <w:lang w:val="en-US"/>
        </w:rPr>
        <w:t> encourages women’s participation in the </w:t>
      </w:r>
      <w:proofErr w:type="spellStart"/>
      <w:r w:rsidRPr="00E32471">
        <w:rPr>
          <w:rFonts w:eastAsia="Times New Roman" w:cs="Times New Roman"/>
          <w:sz w:val="24"/>
          <w:szCs w:val="24"/>
          <w:lang w:val="en-US"/>
        </w:rPr>
        <w:t>labour</w:t>
      </w:r>
      <w:proofErr w:type="spellEnd"/>
      <w:r w:rsidRPr="00E32471">
        <w:rPr>
          <w:rFonts w:eastAsia="Times New Roman" w:cs="Times New Roman"/>
          <w:color w:val="222222"/>
          <w:sz w:val="24"/>
          <w:szCs w:val="24"/>
          <w:shd w:val="clear" w:color="auto" w:fill="FFFFFF"/>
          <w:lang w:val="en-US"/>
        </w:rPr>
        <w:t> market through promoting female entrepreneurship and the principle of equality in enterprises, collecting and providing data on gender differences in the </w:t>
      </w:r>
      <w:proofErr w:type="spellStart"/>
      <w:r w:rsidRPr="00E32471">
        <w:rPr>
          <w:rFonts w:eastAsia="Times New Roman" w:cs="Times New Roman"/>
          <w:sz w:val="24"/>
          <w:szCs w:val="24"/>
          <w:lang w:val="en-US"/>
        </w:rPr>
        <w:t>labour</w:t>
      </w:r>
      <w:proofErr w:type="spellEnd"/>
      <w:r w:rsidRPr="00E32471">
        <w:rPr>
          <w:rFonts w:eastAsia="Times New Roman" w:cs="Times New Roman"/>
          <w:color w:val="222222"/>
          <w:sz w:val="24"/>
          <w:szCs w:val="24"/>
          <w:shd w:val="clear" w:color="auto" w:fill="FFFFFF"/>
          <w:lang w:val="en-US"/>
        </w:rPr>
        <w:t> market outcomes, improving the status of women in the agricultural sector, and reconciling work and family life. </w:t>
      </w:r>
    </w:p>
    <w:p w14:paraId="610B7402"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 xml:space="preserve">In parallel, in line with Article 24 of the UN Convention on the Rights of Persons with Disabilities, the Greek education policy fully supports the right of all students to equal access to educational advantages, including children with disabilities and special education needs, taking measures and adopting legislative initiatives designed to combat imbalances and discriminations. In such a context, the promotion of inclusion policies </w:t>
      </w:r>
      <w:proofErr w:type="spellStart"/>
      <w:r w:rsidRPr="00E32471">
        <w:rPr>
          <w:rFonts w:cs="Times New Roman"/>
          <w:sz w:val="24"/>
          <w:szCs w:val="24"/>
        </w:rPr>
        <w:t>favoring</w:t>
      </w:r>
      <w:proofErr w:type="spellEnd"/>
      <w:r w:rsidRPr="00E32471">
        <w:rPr>
          <w:rFonts w:cs="Times New Roman"/>
          <w:sz w:val="24"/>
          <w:szCs w:val="24"/>
        </w:rPr>
        <w:t xml:space="preserve"> students with disabilities constitutes a key component of the national education strategy. The institutional framework being in place uses the integration of students with disabilities in mainstream education structures (attendance in mainstream education classes with parallel programmes of individualised support to students with disabilities and/or special educational needs) as a springboard to enable inclusion. </w:t>
      </w:r>
    </w:p>
    <w:p w14:paraId="0F6E5728"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 xml:space="preserve">Access of students with disabilities and/or special educational needs to the available educational material, software and infrastructure In compliance with the UN Convention on the Rights of Persons with Disabilities, Greece has implemented specific actions with a view to enabling the access of students to the available educational material, software and infrastructure and to formulating support structures and services regardless of hearing or visual impairment, reduced mobility or other learning difficulty. One of these actions is the “development of accessible educational and support material for children with disabilities and/or special educational needs”. Additionally, general education textbooks were further enriched and turned into accessible forms for First and Second Grade Students in 2016. Moreover, according to Article 49 of the UN Convention on the Rights of Persons with Disabilities, the text of the Convention was made available in all accessible formats with the contribution of people with special needs. All formats of Braille script, the aural format as well as </w:t>
      </w:r>
      <w:r w:rsidRPr="00E32471">
        <w:rPr>
          <w:rFonts w:cs="Times New Roman"/>
          <w:sz w:val="24"/>
          <w:szCs w:val="24"/>
        </w:rPr>
        <w:lastRenderedPageBreak/>
        <w:t xml:space="preserve">the production in the Greek Sign Language, were made by the Panhellenic Association of the Blind and Deaf. The educational material produced during this </w:t>
      </w:r>
      <w:r w:rsidR="006B1F5C" w:rsidRPr="00E32471">
        <w:rPr>
          <w:rFonts w:cs="Times New Roman"/>
          <w:sz w:val="24"/>
          <w:szCs w:val="24"/>
        </w:rPr>
        <w:t>action was published on the web</w:t>
      </w:r>
      <w:r w:rsidRPr="00E32471">
        <w:rPr>
          <w:rFonts w:cs="Times New Roman"/>
          <w:sz w:val="24"/>
          <w:szCs w:val="24"/>
        </w:rPr>
        <w:t>site of the Institute of Pedagogical Policy.</w:t>
      </w:r>
    </w:p>
    <w:p w14:paraId="171258A0"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 xml:space="preserve">Sustainable Urban Mobility – linking SDGs 7, 11, 13 The transport sector in Europe is responsible for the 25% of GHG emissions, and road transport, in particular, corresponds to a 70% of total emissions from transport, hence the European Commission systematically promotes the concept of Sustainable Urban Mobility Planning and encourages EU member states to ensure the right legislative and support conditions for their local authorities. In this regard, the Hellenic Ministry of Infrastructure and Transport established in 2017 a Division for Sustainable Urban Mobility with main responsibilities the monitoring of the development of Sustainable Urban Mobility Plans (SUMPs) in Greece and the preparation of a Strategic Plan to promote Sustainable Urban Mobility throughout the country. In order to establish a common framework for the development of SUMPs by Greek local authorities, a technical inter-ministerial Working Group has been set up by the Ministry of Infrastructure and Transport with experts from the Ministries of Environment and Energy and of Interior to elaborate general guidelines for SUMPs, ensuring the participation of all local stakeholders from transport agencies to citizens’ groups (e.g. cyclists, people with disabilities </w:t>
      </w:r>
      <w:r w:rsidR="00BD6ADE" w:rsidRPr="00E32471">
        <w:rPr>
          <w:rFonts w:cs="Times New Roman"/>
          <w:sz w:val="24"/>
          <w:szCs w:val="24"/>
        </w:rPr>
        <w:t>etc.</w:t>
      </w:r>
      <w:r w:rsidRPr="00E32471">
        <w:rPr>
          <w:rFonts w:cs="Times New Roman"/>
          <w:sz w:val="24"/>
          <w:szCs w:val="24"/>
        </w:rPr>
        <w:t xml:space="preserve">), that will be shortly officially adopted by law. Additionally, the Greek Government is providing financial support to 162 municipalities with a population higher than 25,000 inhabitants for the elaboration of their SUMPs, through the Green Fund (operating under the Hellenic Ministry of Environment and Energy), with a total budget of EUR 9 million. These SUMPs address transport issues such as urban road safety, urban logistics, mobility management and intelligent transport systems, with emphasis on sustainable mobility means e.g. public transport, walking and cycling, but could also have a wider scope, entailing wider urban renewal, restoration and landscape planning projects (e.g. to increase public open green spaces and address urban “thermal/heat island” effects), thus considerably improving the quality of life for all citizens in large Greek settlements. In terms of awareness raising, participation of Greek municipalities implementing sustainable urban mobility interventions in the European Mobility Week has increased remarkably over the past years, growing from 8 municipalities in 2013 to 86 in 2016, with many of them also ranking in the list of the 10 finalist European cities to receive a Sustainable Urban Mobility Award. Moreover, dedicated training courses are being organised for the representatives of interested cities, on a repetitive basis, by the involved Ministries and the Institute of Training of the Greek </w:t>
      </w:r>
      <w:proofErr w:type="spellStart"/>
      <w:r w:rsidRPr="00E32471">
        <w:rPr>
          <w:rFonts w:cs="Times New Roman"/>
          <w:sz w:val="24"/>
          <w:szCs w:val="24"/>
        </w:rPr>
        <w:t>Center</w:t>
      </w:r>
      <w:proofErr w:type="spellEnd"/>
      <w:r w:rsidRPr="00E32471">
        <w:rPr>
          <w:rFonts w:cs="Times New Roman"/>
          <w:sz w:val="24"/>
          <w:szCs w:val="24"/>
        </w:rPr>
        <w:t xml:space="preserve"> of Public Administration and Local Government.</w:t>
      </w:r>
    </w:p>
    <w:p w14:paraId="35DEA35B"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 xml:space="preserve">With regard to the implementation of SDG 7.1, Greece has taken a number of measures to protect vulnerable citizens and tackle the humanitarian crisis by ensuring energy supply to all, by free-of-charge re-connection and electricity supply to people and families living in extreme poverty (law 4320/2015). Since 2010, a reduced Social Residential Tariff has been established for vulnerable social groups (i.e. people with low family income, long-term unemployed, families with three children, people with disabilities, people with a need for mechanical support), which has been restructured in early 2018 to double the reduction rates provided to the most vulnerable households. Provisions for favourable arrangements have also been laid out through the Electricity Supply Code (issued in 2013) defining criteria for integrating customers into the Vulnerable Electricity Customers’ categories for electricity supply. Moreover, according to law 4508/2017 and Ministerial Decision 7408/1228/2018, </w:t>
      </w:r>
      <w:r w:rsidRPr="00E32471">
        <w:rPr>
          <w:rFonts w:cs="Times New Roman"/>
          <w:sz w:val="24"/>
          <w:szCs w:val="24"/>
        </w:rPr>
        <w:lastRenderedPageBreak/>
        <w:t>an amount of EUR 10 million is available to support low-income citizens who have been disconnected from the electricity supply network due to overdue debts, to meet their energy needs.</w:t>
      </w:r>
    </w:p>
    <w:p w14:paraId="392D9A7F" w14:textId="77777777" w:rsidR="00651ECE" w:rsidRPr="00E32471" w:rsidRDefault="00651ECE" w:rsidP="00E32471">
      <w:pPr>
        <w:spacing w:line="276" w:lineRule="auto"/>
        <w:jc w:val="both"/>
        <w:rPr>
          <w:rFonts w:cs="Times New Roman"/>
          <w:sz w:val="24"/>
          <w:szCs w:val="24"/>
        </w:rPr>
      </w:pPr>
      <w:r w:rsidRPr="00E32471">
        <w:rPr>
          <w:rFonts w:cs="Times New Roman"/>
          <w:sz w:val="24"/>
          <w:szCs w:val="24"/>
        </w:rPr>
        <w:t>In addition to the above fields of intervention, the Ombudsman has also recently been entrusted with other special mandates that relate to: (</w:t>
      </w:r>
      <w:proofErr w:type="spellStart"/>
      <w:r w:rsidRPr="00E32471">
        <w:rPr>
          <w:rFonts w:cs="Times New Roman"/>
          <w:sz w:val="24"/>
          <w:szCs w:val="24"/>
        </w:rPr>
        <w:t>i</w:t>
      </w:r>
      <w:proofErr w:type="spellEnd"/>
      <w:r w:rsidRPr="00E32471">
        <w:rPr>
          <w:rFonts w:cs="Times New Roman"/>
          <w:sz w:val="24"/>
          <w:szCs w:val="24"/>
        </w:rPr>
        <w:t xml:space="preserve">) the external monitoring of procedures for the removal of third-country nationals; (ii) the National Torture Prevention Mechanism, in accordance with the UN’s Optional Protocol to the Convention against Torture and Other Cruel, Inhuman or Degrading Treatment or Punishment (OPCAT); (iii) the National Mechanism for the investigation of arbitrary behaviour; (iv) the Framework for the Promotion of the Implementation of the United Nations Convention on the Rights of Persons with Disabilities; (v) </w:t>
      </w:r>
      <w:r w:rsidR="00061F43" w:rsidRPr="00061F43">
        <w:rPr>
          <w:rFonts w:cs="Times New Roman"/>
          <w:sz w:val="24"/>
          <w:szCs w:val="24"/>
        </w:rPr>
        <w:t xml:space="preserve">the auspices of the General Secretariat for Human Rights of the Ministry of Justice; and, most recently; (vi) under law 4509/2017, the Ombudsman has the competence to enter in the special treatment </w:t>
      </w:r>
      <w:proofErr w:type="spellStart"/>
      <w:r w:rsidR="00061F43" w:rsidRPr="00061F43">
        <w:rPr>
          <w:rFonts w:cs="Times New Roman"/>
          <w:sz w:val="24"/>
          <w:szCs w:val="24"/>
        </w:rPr>
        <w:t>centers</w:t>
      </w:r>
      <w:proofErr w:type="spellEnd"/>
      <w:r w:rsidR="00061F43" w:rsidRPr="00061F43">
        <w:rPr>
          <w:rFonts w:cs="Times New Roman"/>
          <w:sz w:val="24"/>
          <w:szCs w:val="24"/>
        </w:rPr>
        <w:t xml:space="preserve"> in order to control the possible violation of the rights of the patients.</w:t>
      </w:r>
    </w:p>
    <w:p w14:paraId="258CDC12" w14:textId="77777777" w:rsidR="00651ECE" w:rsidRPr="00EB014A" w:rsidRDefault="00651ECE" w:rsidP="0001161E">
      <w:pPr>
        <w:pStyle w:val="Heading1"/>
        <w:rPr>
          <w:rFonts w:eastAsia="Times New Roman"/>
          <w:sz w:val="32"/>
          <w:szCs w:val="32"/>
          <w:lang w:eastAsia="en-GB"/>
        </w:rPr>
      </w:pPr>
      <w:bookmarkStart w:id="91" w:name="_Toc531264939"/>
      <w:r w:rsidRPr="00EB014A">
        <w:rPr>
          <w:rFonts w:eastAsia="Times New Roman"/>
          <w:sz w:val="32"/>
          <w:szCs w:val="32"/>
          <w:lang w:eastAsia="en-GB"/>
        </w:rPr>
        <w:t>Ireland</w:t>
      </w:r>
      <w:bookmarkEnd w:id="91"/>
    </w:p>
    <w:p w14:paraId="27E36187" w14:textId="77777777" w:rsidR="00651ECE" w:rsidRPr="00A83FAC" w:rsidRDefault="00651ECE" w:rsidP="00880269">
      <w:pPr>
        <w:spacing w:line="276" w:lineRule="auto"/>
        <w:jc w:val="both"/>
        <w:rPr>
          <w:rFonts w:cs="Times New Roman"/>
          <w:sz w:val="24"/>
          <w:szCs w:val="24"/>
        </w:rPr>
      </w:pPr>
      <w:r w:rsidRPr="00A83FAC">
        <w:rPr>
          <w:rFonts w:cs="Times New Roman"/>
          <w:sz w:val="24"/>
          <w:szCs w:val="24"/>
        </w:rPr>
        <w:t>Ireland</w:t>
      </w:r>
      <w:r w:rsidR="00061F43">
        <w:rPr>
          <w:rStyle w:val="FootnoteReference"/>
          <w:rFonts w:cs="Times New Roman"/>
          <w:sz w:val="24"/>
          <w:szCs w:val="24"/>
        </w:rPr>
        <w:footnoteReference w:id="22"/>
      </w:r>
      <w:r w:rsidRPr="00A83FAC">
        <w:rPr>
          <w:rFonts w:cs="Times New Roman"/>
          <w:sz w:val="24"/>
          <w:szCs w:val="24"/>
        </w:rPr>
        <w:t xml:space="preserve"> has a comprehensive social protection system providing support for individuals and families across the various stages of the life-cycle, and addressing contingencies such as unemployment, disability, and the assumption of caring responsibilities [SDG 1.3]. </w:t>
      </w:r>
    </w:p>
    <w:p w14:paraId="59213A5A" w14:textId="77777777" w:rsidR="00651ECE" w:rsidRPr="00A83FAC" w:rsidRDefault="00397AD6" w:rsidP="00880269">
      <w:pPr>
        <w:spacing w:line="276" w:lineRule="auto"/>
        <w:jc w:val="both"/>
        <w:rPr>
          <w:rFonts w:cs="Times New Roman"/>
          <w:sz w:val="24"/>
          <w:szCs w:val="24"/>
        </w:rPr>
      </w:pPr>
      <w:r w:rsidRPr="00A83FAC">
        <w:rPr>
          <w:rFonts w:cs="Times New Roman"/>
          <w:sz w:val="24"/>
          <w:szCs w:val="24"/>
        </w:rPr>
        <w:t>Ireland has</w:t>
      </w:r>
      <w:r w:rsidR="00651ECE" w:rsidRPr="00A83FAC">
        <w:rPr>
          <w:rFonts w:cs="Times New Roman"/>
          <w:sz w:val="24"/>
          <w:szCs w:val="24"/>
        </w:rPr>
        <w:t xml:space="preserve"> had national poverty reduction targets in place since 1997. </w:t>
      </w:r>
      <w:r w:rsidR="008E0D7B">
        <w:rPr>
          <w:rFonts w:cs="Times New Roman"/>
          <w:sz w:val="24"/>
          <w:szCs w:val="24"/>
        </w:rPr>
        <w:t xml:space="preserve"> The </w:t>
      </w:r>
      <w:r w:rsidR="00651ECE" w:rsidRPr="00A83FAC">
        <w:rPr>
          <w:rFonts w:cs="Times New Roman"/>
          <w:sz w:val="24"/>
          <w:szCs w:val="24"/>
        </w:rPr>
        <w:t>National Action Plan for Social Inclusion 2007-2016 [</w:t>
      </w:r>
      <w:proofErr w:type="spellStart"/>
      <w:r w:rsidR="00651ECE" w:rsidRPr="00A83FAC">
        <w:rPr>
          <w:rFonts w:cs="Times New Roman"/>
          <w:sz w:val="24"/>
          <w:szCs w:val="24"/>
        </w:rPr>
        <w:t>NAPinclusion</w:t>
      </w:r>
      <w:proofErr w:type="spellEnd"/>
      <w:r w:rsidR="00651ECE" w:rsidRPr="00A83FAC">
        <w:rPr>
          <w:rFonts w:cs="Times New Roman"/>
          <w:sz w:val="24"/>
          <w:szCs w:val="24"/>
        </w:rPr>
        <w:t xml:space="preserve">] is a wide-ranging and </w:t>
      </w:r>
      <w:r w:rsidR="008E0D7B">
        <w:rPr>
          <w:rFonts w:cs="Times New Roman"/>
          <w:sz w:val="24"/>
          <w:szCs w:val="24"/>
        </w:rPr>
        <w:t xml:space="preserve">comprehensive programme of </w:t>
      </w:r>
      <w:r w:rsidR="00651ECE" w:rsidRPr="00A83FAC">
        <w:rPr>
          <w:rFonts w:cs="Times New Roman"/>
          <w:sz w:val="24"/>
          <w:szCs w:val="24"/>
        </w:rPr>
        <w:t>action</w:t>
      </w:r>
      <w:r w:rsidR="00651ECE" w:rsidRPr="00A83FAC">
        <w:rPr>
          <w:rFonts w:cs="Times New Roman"/>
          <w:sz w:val="24"/>
          <w:szCs w:val="24"/>
        </w:rPr>
        <w:tab/>
        <w:t>to address poverty and social</w:t>
      </w:r>
      <w:r w:rsidR="00651ECE" w:rsidRPr="00A83FAC">
        <w:rPr>
          <w:rFonts w:cs="Times New Roman"/>
          <w:sz w:val="24"/>
          <w:szCs w:val="24"/>
        </w:rPr>
        <w:tab/>
        <w:t>exclusion. It adopted a new strategic framework to facilitate greater coordination across Government Departments at lo</w:t>
      </w:r>
      <w:r w:rsidR="008E0D7B">
        <w:rPr>
          <w:rFonts w:cs="Times New Roman"/>
          <w:sz w:val="24"/>
          <w:szCs w:val="24"/>
        </w:rPr>
        <w:t xml:space="preserve">cal and national levels. It was </w:t>
      </w:r>
      <w:r w:rsidR="00651ECE" w:rsidRPr="00A83FAC">
        <w:rPr>
          <w:rFonts w:cs="Times New Roman"/>
          <w:sz w:val="24"/>
          <w:szCs w:val="24"/>
        </w:rPr>
        <w:t xml:space="preserve">based on a lifecycle stage approach </w:t>
      </w:r>
      <w:r w:rsidRPr="00A83FAC">
        <w:rPr>
          <w:rFonts w:cs="Times New Roman"/>
          <w:sz w:val="24"/>
          <w:szCs w:val="24"/>
        </w:rPr>
        <w:t>with goals</w:t>
      </w:r>
      <w:r w:rsidR="00651ECE" w:rsidRPr="00A83FAC">
        <w:rPr>
          <w:rFonts w:cs="Times New Roman"/>
          <w:sz w:val="24"/>
          <w:szCs w:val="24"/>
        </w:rPr>
        <w:t xml:space="preserve"> set for each group: children; people of working age; older peopl</w:t>
      </w:r>
      <w:r w:rsidR="008E0D7B">
        <w:rPr>
          <w:rFonts w:cs="Times New Roman"/>
          <w:sz w:val="24"/>
          <w:szCs w:val="24"/>
        </w:rPr>
        <w:t xml:space="preserve">e and people with disabilities; </w:t>
      </w:r>
      <w:r w:rsidRPr="00A83FAC">
        <w:rPr>
          <w:rFonts w:cs="Times New Roman"/>
          <w:sz w:val="24"/>
          <w:szCs w:val="24"/>
        </w:rPr>
        <w:t>and communities</w:t>
      </w:r>
      <w:r w:rsidR="00651ECE" w:rsidRPr="00A83FAC">
        <w:rPr>
          <w:rFonts w:cs="Times New Roman"/>
          <w:sz w:val="24"/>
          <w:szCs w:val="24"/>
        </w:rPr>
        <w:t>.</w:t>
      </w:r>
      <w:r w:rsidR="008E0D7B">
        <w:rPr>
          <w:rFonts w:cs="Times New Roman"/>
          <w:sz w:val="24"/>
          <w:szCs w:val="24"/>
        </w:rPr>
        <w:t xml:space="preserve"> The</w:t>
      </w:r>
      <w:r w:rsidR="008E0D7B">
        <w:rPr>
          <w:rFonts w:cs="Times New Roman"/>
          <w:sz w:val="24"/>
          <w:szCs w:val="24"/>
        </w:rPr>
        <w:tab/>
        <w:t xml:space="preserve">Plan </w:t>
      </w:r>
      <w:r w:rsidR="00651ECE" w:rsidRPr="00A83FAC">
        <w:rPr>
          <w:rFonts w:cs="Times New Roman"/>
          <w:sz w:val="24"/>
          <w:szCs w:val="24"/>
        </w:rPr>
        <w:t>included a w</w:t>
      </w:r>
      <w:r w:rsidR="008E0D7B">
        <w:rPr>
          <w:rFonts w:cs="Times New Roman"/>
          <w:sz w:val="24"/>
          <w:szCs w:val="24"/>
        </w:rPr>
        <w:t xml:space="preserve">ide range </w:t>
      </w:r>
      <w:r w:rsidR="00651ECE" w:rsidRPr="00A83FAC">
        <w:rPr>
          <w:rFonts w:cs="Times New Roman"/>
          <w:sz w:val="24"/>
          <w:szCs w:val="24"/>
        </w:rPr>
        <w:t xml:space="preserve">of specific actions to be </w:t>
      </w:r>
      <w:r w:rsidR="008E0D7B">
        <w:rPr>
          <w:rFonts w:cs="Times New Roman"/>
          <w:sz w:val="24"/>
          <w:szCs w:val="24"/>
        </w:rPr>
        <w:t xml:space="preserve">taken </w:t>
      </w:r>
      <w:r w:rsidR="00651ECE" w:rsidRPr="00A83FAC">
        <w:rPr>
          <w:rFonts w:cs="Times New Roman"/>
          <w:sz w:val="24"/>
          <w:szCs w:val="24"/>
        </w:rPr>
        <w:t>by various Government Departments, including targets for the levels of social welfare payments. It was up</w:t>
      </w:r>
      <w:r w:rsidR="008E0D7B">
        <w:rPr>
          <w:rFonts w:cs="Times New Roman"/>
          <w:sz w:val="24"/>
          <w:szCs w:val="24"/>
        </w:rPr>
        <w:t>dated</w:t>
      </w:r>
      <w:r w:rsidR="008E0D7B">
        <w:rPr>
          <w:rFonts w:cs="Times New Roman"/>
          <w:sz w:val="24"/>
          <w:szCs w:val="24"/>
        </w:rPr>
        <w:tab/>
        <w:t>for the period 2015-</w:t>
      </w:r>
      <w:proofErr w:type="gramStart"/>
      <w:r w:rsidR="008E0D7B">
        <w:rPr>
          <w:rFonts w:cs="Times New Roman"/>
          <w:sz w:val="24"/>
          <w:szCs w:val="24"/>
        </w:rPr>
        <w:t>2017,</w:t>
      </w:r>
      <w:r w:rsidR="00651ECE" w:rsidRPr="00A83FAC">
        <w:rPr>
          <w:rFonts w:cs="Times New Roman"/>
          <w:sz w:val="24"/>
          <w:szCs w:val="24"/>
        </w:rPr>
        <w:t>with</w:t>
      </w:r>
      <w:proofErr w:type="gramEnd"/>
      <w:r w:rsidR="00651ECE" w:rsidRPr="00A83FAC">
        <w:rPr>
          <w:rFonts w:cs="Times New Roman"/>
          <w:sz w:val="24"/>
          <w:szCs w:val="24"/>
        </w:rPr>
        <w:t xml:space="preserve"> a </w:t>
      </w:r>
      <w:r w:rsidR="008E0D7B">
        <w:rPr>
          <w:rFonts w:cs="Times New Roman"/>
          <w:sz w:val="24"/>
          <w:szCs w:val="24"/>
        </w:rPr>
        <w:t xml:space="preserve">greater focus on modernising the social protection </w:t>
      </w:r>
      <w:r w:rsidR="00651ECE" w:rsidRPr="00A83FAC">
        <w:rPr>
          <w:rFonts w:cs="Times New Roman"/>
          <w:sz w:val="24"/>
          <w:szCs w:val="24"/>
        </w:rPr>
        <w:t>system, improvi</w:t>
      </w:r>
      <w:r w:rsidR="0001161E">
        <w:rPr>
          <w:rFonts w:cs="Times New Roman"/>
          <w:sz w:val="24"/>
          <w:szCs w:val="24"/>
        </w:rPr>
        <w:t>ng effectiveness and</w:t>
      </w:r>
      <w:r w:rsidR="0001161E">
        <w:rPr>
          <w:rFonts w:cs="Times New Roman"/>
          <w:sz w:val="24"/>
          <w:szCs w:val="24"/>
        </w:rPr>
        <w:tab/>
        <w:t xml:space="preserve">efficiency </w:t>
      </w:r>
      <w:r w:rsidR="00651ECE" w:rsidRPr="00A83FAC">
        <w:rPr>
          <w:rFonts w:cs="Times New Roman"/>
          <w:sz w:val="24"/>
          <w:szCs w:val="24"/>
        </w:rPr>
        <w:t xml:space="preserve">of social transfers and strengthening active inclusion </w:t>
      </w:r>
      <w:r w:rsidRPr="00A83FAC">
        <w:rPr>
          <w:rFonts w:cs="Times New Roman"/>
          <w:sz w:val="24"/>
          <w:szCs w:val="24"/>
        </w:rPr>
        <w:t>policies. Increasingly</w:t>
      </w:r>
      <w:r w:rsidR="00651ECE" w:rsidRPr="00A83FAC">
        <w:rPr>
          <w:rFonts w:cs="Times New Roman"/>
          <w:sz w:val="24"/>
          <w:szCs w:val="24"/>
        </w:rPr>
        <w:t xml:space="preserve"> Ireland is supporting technical and vocational training to enable young people to develop skills leading to employment. We also support initiatives aim</w:t>
      </w:r>
      <w:r w:rsidR="008E0D7B">
        <w:rPr>
          <w:rFonts w:cs="Times New Roman"/>
          <w:sz w:val="24"/>
          <w:szCs w:val="24"/>
        </w:rPr>
        <w:t xml:space="preserve">ed </w:t>
      </w:r>
      <w:r w:rsidR="00651ECE" w:rsidRPr="00A83FAC">
        <w:rPr>
          <w:rFonts w:cs="Times New Roman"/>
          <w:sz w:val="24"/>
          <w:szCs w:val="24"/>
        </w:rPr>
        <w:t>at integrating persons with disabilities into technical and vocational training programm</w:t>
      </w:r>
      <w:r w:rsidR="008E0D7B">
        <w:rPr>
          <w:rFonts w:cs="Times New Roman"/>
          <w:sz w:val="24"/>
          <w:szCs w:val="24"/>
        </w:rPr>
        <w:t xml:space="preserve">es [SDG 4.4, 4.5]. Lone parents </w:t>
      </w:r>
      <w:r w:rsidR="00651ECE" w:rsidRPr="00A83FAC">
        <w:rPr>
          <w:rFonts w:cs="Times New Roman"/>
          <w:sz w:val="24"/>
          <w:szCs w:val="24"/>
        </w:rPr>
        <w:t>and women with disabilities continue to have much lower rates of labour market participation. The EU indicators do not address the policy frameworks</w:t>
      </w:r>
      <w:r w:rsidR="006B1F5C" w:rsidRPr="00A83FAC">
        <w:rPr>
          <w:rFonts w:cs="Times New Roman"/>
          <w:sz w:val="24"/>
          <w:szCs w:val="24"/>
        </w:rPr>
        <w:t>,</w:t>
      </w:r>
      <w:r w:rsidR="00651ECE" w:rsidRPr="00A83FAC">
        <w:rPr>
          <w:rFonts w:cs="Times New Roman"/>
          <w:sz w:val="24"/>
          <w:szCs w:val="24"/>
        </w:rPr>
        <w:t xml:space="preserve"> which address social, and political exclusion in Ireland. These would include the National Strategy for Women and Girls, the National Disability Inclusion Strategy, the National Traveller and Roma Inclusion Strategy and Migrant Integration Strategy. </w:t>
      </w:r>
    </w:p>
    <w:p w14:paraId="6AC88561" w14:textId="77777777" w:rsidR="00651ECE" w:rsidRPr="00A83FAC" w:rsidRDefault="00651ECE" w:rsidP="0001161E">
      <w:pPr>
        <w:spacing w:line="276" w:lineRule="auto"/>
        <w:jc w:val="both"/>
        <w:rPr>
          <w:rFonts w:cs="Times New Roman"/>
          <w:sz w:val="24"/>
          <w:szCs w:val="24"/>
        </w:rPr>
      </w:pPr>
      <w:r w:rsidRPr="00A83FAC">
        <w:rPr>
          <w:rFonts w:cs="Times New Roman"/>
          <w:sz w:val="24"/>
          <w:szCs w:val="24"/>
        </w:rPr>
        <w:t>In relation to legal frameworks</w:t>
      </w:r>
      <w:r w:rsidR="001E4E62" w:rsidRPr="00A83FAC">
        <w:rPr>
          <w:rFonts w:cs="Times New Roman"/>
          <w:sz w:val="24"/>
          <w:szCs w:val="24"/>
        </w:rPr>
        <w:t>,</w:t>
      </w:r>
      <w:r w:rsidRPr="00A83FAC">
        <w:rPr>
          <w:rFonts w:cs="Times New Roman"/>
          <w:sz w:val="24"/>
          <w:szCs w:val="24"/>
        </w:rPr>
        <w:t xml:space="preserve"> the Equal Status Acts 2000-2015 prohibit discrimination in the provision of goods and services, accommodation and education in</w:t>
      </w:r>
      <w:r w:rsidRPr="00A83FAC">
        <w:rPr>
          <w:rFonts w:cs="Times New Roman"/>
          <w:sz w:val="24"/>
          <w:szCs w:val="24"/>
        </w:rPr>
        <w:tab/>
        <w:t>Ireland. They</w:t>
      </w:r>
      <w:r w:rsidRPr="00A83FAC">
        <w:rPr>
          <w:rFonts w:cs="Times New Roman"/>
          <w:sz w:val="24"/>
          <w:szCs w:val="24"/>
        </w:rPr>
        <w:tab/>
        <w:t>cover</w:t>
      </w:r>
      <w:r w:rsidRPr="00A83FAC">
        <w:rPr>
          <w:rFonts w:cs="Times New Roman"/>
          <w:sz w:val="24"/>
          <w:szCs w:val="24"/>
        </w:rPr>
        <w:tab/>
        <w:t>the nine grounds of gender, marital status, family status, age disability, sexual o</w:t>
      </w:r>
      <w:r w:rsidR="008E0D7B">
        <w:rPr>
          <w:rFonts w:cs="Times New Roman"/>
          <w:sz w:val="24"/>
          <w:szCs w:val="24"/>
        </w:rPr>
        <w:t xml:space="preserve">rientation, race, religion, and </w:t>
      </w:r>
      <w:r w:rsidRPr="00A83FAC">
        <w:rPr>
          <w:rFonts w:cs="Times New Roman"/>
          <w:sz w:val="24"/>
          <w:szCs w:val="24"/>
        </w:rPr>
        <w:t>membership of the Traveller community.</w:t>
      </w:r>
      <w:r w:rsidR="0001161E">
        <w:rPr>
          <w:rFonts w:cs="Times New Roman"/>
          <w:sz w:val="24"/>
          <w:szCs w:val="24"/>
        </w:rPr>
        <w:t xml:space="preserve"> In addition, the Acts </w:t>
      </w:r>
      <w:r w:rsidRPr="00A83FAC">
        <w:rPr>
          <w:rFonts w:cs="Times New Roman"/>
          <w:sz w:val="24"/>
          <w:szCs w:val="24"/>
        </w:rPr>
        <w:t>prohibit discrimination in the provision of [housing] accommodat</w:t>
      </w:r>
      <w:r w:rsidR="0001161E">
        <w:rPr>
          <w:rFonts w:cs="Times New Roman"/>
          <w:sz w:val="24"/>
          <w:szCs w:val="24"/>
        </w:rPr>
        <w:t xml:space="preserve">ion services against people who </w:t>
      </w:r>
      <w:r w:rsidRPr="00A83FAC">
        <w:rPr>
          <w:rFonts w:cs="Times New Roman"/>
          <w:sz w:val="24"/>
          <w:szCs w:val="24"/>
        </w:rPr>
        <w:t xml:space="preserve">are in receipt of various social welfare </w:t>
      </w:r>
      <w:r w:rsidRPr="00A83FAC">
        <w:rPr>
          <w:rFonts w:cs="Times New Roman"/>
          <w:sz w:val="24"/>
          <w:szCs w:val="24"/>
        </w:rPr>
        <w:lastRenderedPageBreak/>
        <w:t xml:space="preserve">payments. The Acts prohibit discrimination subject to </w:t>
      </w:r>
      <w:r w:rsidR="00397AD6" w:rsidRPr="00A83FAC">
        <w:rPr>
          <w:rFonts w:cs="Times New Roman"/>
          <w:sz w:val="24"/>
          <w:szCs w:val="24"/>
        </w:rPr>
        <w:t>some exemptions</w:t>
      </w:r>
      <w:r w:rsidRPr="00A83FAC">
        <w:rPr>
          <w:rFonts w:cs="Times New Roman"/>
          <w:sz w:val="24"/>
          <w:szCs w:val="24"/>
        </w:rPr>
        <w:t>, in access to and use of goods and service, including indirect discrimination and discrimination by association, sexual harassment and harassment, and victimisation. The Acts all</w:t>
      </w:r>
      <w:r w:rsidR="009C033A">
        <w:rPr>
          <w:rFonts w:cs="Times New Roman"/>
          <w:sz w:val="24"/>
          <w:szCs w:val="24"/>
        </w:rPr>
        <w:t>ow positive action</w:t>
      </w:r>
      <w:r w:rsidR="0001161E">
        <w:rPr>
          <w:rFonts w:cs="Times New Roman"/>
          <w:sz w:val="24"/>
          <w:szCs w:val="24"/>
        </w:rPr>
        <w:t xml:space="preserve"> to promote </w:t>
      </w:r>
      <w:r w:rsidRPr="00A83FAC">
        <w:rPr>
          <w:rFonts w:cs="Times New Roman"/>
          <w:sz w:val="24"/>
          <w:szCs w:val="24"/>
        </w:rPr>
        <w:t>equality for disadvantaged persons or to cater for the special needs of pers</w:t>
      </w:r>
      <w:r w:rsidR="0001161E">
        <w:rPr>
          <w:rFonts w:cs="Times New Roman"/>
          <w:sz w:val="24"/>
          <w:szCs w:val="24"/>
        </w:rPr>
        <w:t xml:space="preserve">ons. Discriminatory advertising </w:t>
      </w:r>
      <w:r w:rsidRPr="00A83FAC">
        <w:rPr>
          <w:rFonts w:cs="Times New Roman"/>
          <w:sz w:val="24"/>
          <w:szCs w:val="24"/>
        </w:rPr>
        <w:t>is also prohibited. It is</w:t>
      </w:r>
      <w:r w:rsidR="0001161E">
        <w:rPr>
          <w:rFonts w:cs="Times New Roman"/>
          <w:sz w:val="24"/>
          <w:szCs w:val="24"/>
        </w:rPr>
        <w:t xml:space="preserve"> prohibited to publish, display or abuse to be </w:t>
      </w:r>
      <w:r w:rsidRPr="00A83FAC">
        <w:rPr>
          <w:rFonts w:cs="Times New Roman"/>
          <w:sz w:val="24"/>
          <w:szCs w:val="24"/>
        </w:rPr>
        <w:t>published or displayed, an advertisement</w:t>
      </w:r>
      <w:r w:rsidR="0035376D" w:rsidRPr="00A83FAC">
        <w:rPr>
          <w:rFonts w:cs="Times New Roman"/>
          <w:sz w:val="24"/>
          <w:szCs w:val="24"/>
        </w:rPr>
        <w:t>,</w:t>
      </w:r>
      <w:r w:rsidRPr="00A83FAC">
        <w:rPr>
          <w:rFonts w:cs="Times New Roman"/>
          <w:sz w:val="24"/>
          <w:szCs w:val="24"/>
        </w:rPr>
        <w:t xml:space="preserve"> whic</w:t>
      </w:r>
      <w:r w:rsidR="0001161E">
        <w:rPr>
          <w:rFonts w:cs="Times New Roman"/>
          <w:sz w:val="24"/>
          <w:szCs w:val="24"/>
        </w:rPr>
        <w:t xml:space="preserve">h indicates </w:t>
      </w:r>
      <w:r w:rsidRPr="00A83FAC">
        <w:rPr>
          <w:rFonts w:cs="Times New Roman"/>
          <w:sz w:val="24"/>
          <w:szCs w:val="24"/>
        </w:rPr>
        <w:t>an intention to d</w:t>
      </w:r>
      <w:r w:rsidR="008E0D7B">
        <w:rPr>
          <w:rFonts w:cs="Times New Roman"/>
          <w:sz w:val="24"/>
          <w:szCs w:val="24"/>
        </w:rPr>
        <w:t xml:space="preserve">iscriminate, harass or sexually </w:t>
      </w:r>
      <w:r w:rsidRPr="00A83FAC">
        <w:rPr>
          <w:rFonts w:cs="Times New Roman"/>
          <w:sz w:val="24"/>
          <w:szCs w:val="24"/>
        </w:rPr>
        <w:t xml:space="preserve">harass. Within our bilateral aid programmes efforts are underway to ensure that our programmes address growing inequality </w:t>
      </w:r>
      <w:r w:rsidR="0001161E">
        <w:rPr>
          <w:rFonts w:cs="Times New Roman"/>
          <w:sz w:val="24"/>
          <w:szCs w:val="24"/>
        </w:rPr>
        <w:t>across and within</w:t>
      </w:r>
      <w:r w:rsidR="0001161E">
        <w:rPr>
          <w:rFonts w:cs="Times New Roman"/>
          <w:sz w:val="24"/>
          <w:szCs w:val="24"/>
        </w:rPr>
        <w:tab/>
        <w:t xml:space="preserve">countries. In </w:t>
      </w:r>
      <w:r w:rsidRPr="00A83FAC">
        <w:rPr>
          <w:rFonts w:cs="Times New Roman"/>
          <w:sz w:val="24"/>
          <w:szCs w:val="24"/>
        </w:rPr>
        <w:t>reporting on SDG 5, we refer</w:t>
      </w:r>
      <w:r w:rsidRPr="00A83FAC">
        <w:rPr>
          <w:rFonts w:cs="Times New Roman"/>
          <w:sz w:val="24"/>
          <w:szCs w:val="24"/>
        </w:rPr>
        <w:tab/>
        <w:t xml:space="preserve">to Ireland’s focus on inclusive economic growth for women. Ireland also works to empower and </w:t>
      </w:r>
      <w:r w:rsidR="00397AD6" w:rsidRPr="00A83FAC">
        <w:rPr>
          <w:rFonts w:cs="Times New Roman"/>
          <w:sz w:val="24"/>
          <w:szCs w:val="24"/>
        </w:rPr>
        <w:t>promote the</w:t>
      </w:r>
      <w:r w:rsidRPr="00A83FAC">
        <w:rPr>
          <w:rFonts w:cs="Times New Roman"/>
          <w:sz w:val="24"/>
          <w:szCs w:val="24"/>
        </w:rPr>
        <w:t xml:space="preserve"> social, economic and political inclusion of</w:t>
      </w:r>
      <w:r w:rsidRPr="00A83FAC">
        <w:rPr>
          <w:rFonts w:cs="Times New Roman"/>
          <w:sz w:val="24"/>
          <w:szCs w:val="24"/>
        </w:rPr>
        <w:tab/>
        <w:t>people</w:t>
      </w:r>
      <w:r w:rsidRPr="00A83FAC">
        <w:rPr>
          <w:rFonts w:cs="Times New Roman"/>
          <w:sz w:val="24"/>
          <w:szCs w:val="24"/>
        </w:rPr>
        <w:tab/>
        <w:t xml:space="preserve">with disabilities. For example, in Ethiopia through our support to the Ethiopian Centre for Disability and Development, Ireland supports inclusive vocational training and employment for persons with disabilities. In Vietnam, Ireland supports several civil society organisations that work with people with disabilities on social inclusion, empowerment, health and early childhood detection of disabilities, as well as mine-related </w:t>
      </w:r>
      <w:r w:rsidR="00397AD6" w:rsidRPr="00A83FAC">
        <w:rPr>
          <w:rFonts w:cs="Times New Roman"/>
          <w:sz w:val="24"/>
          <w:szCs w:val="24"/>
        </w:rPr>
        <w:t>risks. We</w:t>
      </w:r>
      <w:r w:rsidRPr="00A83FAC">
        <w:rPr>
          <w:rFonts w:cs="Times New Roman"/>
          <w:sz w:val="24"/>
          <w:szCs w:val="24"/>
        </w:rPr>
        <w:t xml:space="preserve"> also support work</w:t>
      </w:r>
      <w:r w:rsidRPr="00A83FAC">
        <w:rPr>
          <w:rFonts w:cs="Times New Roman"/>
          <w:sz w:val="24"/>
          <w:szCs w:val="24"/>
        </w:rPr>
        <w:tab/>
        <w:t xml:space="preserve">on issues relating to disability through civil society organisations such as Christian Blind Mission [CBM], </w:t>
      </w:r>
      <w:proofErr w:type="spellStart"/>
      <w:r w:rsidRPr="00A83FAC">
        <w:rPr>
          <w:rFonts w:cs="Times New Roman"/>
          <w:sz w:val="24"/>
          <w:szCs w:val="24"/>
        </w:rPr>
        <w:t>Sightsavers</w:t>
      </w:r>
      <w:proofErr w:type="spellEnd"/>
      <w:r w:rsidRPr="00A83FAC">
        <w:rPr>
          <w:rFonts w:cs="Times New Roman"/>
          <w:sz w:val="24"/>
          <w:szCs w:val="24"/>
        </w:rPr>
        <w:t xml:space="preserve">, Plan Ireland and </w:t>
      </w:r>
      <w:proofErr w:type="spellStart"/>
      <w:r w:rsidRPr="00A83FAC">
        <w:rPr>
          <w:rFonts w:cs="Times New Roman"/>
          <w:sz w:val="24"/>
          <w:szCs w:val="24"/>
        </w:rPr>
        <w:t>Misean</w:t>
      </w:r>
      <w:proofErr w:type="spellEnd"/>
      <w:r w:rsidRPr="00A83FAC">
        <w:rPr>
          <w:rFonts w:cs="Times New Roman"/>
          <w:sz w:val="24"/>
          <w:szCs w:val="24"/>
        </w:rPr>
        <w:t xml:space="preserve"> Cara [SDG 10.2].</w:t>
      </w:r>
    </w:p>
    <w:p w14:paraId="29B1CFA7"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Public transport accessibility is addressed through Ireland’s Sectoral Plan for Accessible Transport ‘Transport Access for All’. This policy is based on the provisions of the Disability Act 2005 and related Government strategies, for example the Comprehensive Employment Strategy and in particular the National Disability Inclusion Strategy [NDIS] 2017-2021, Accessibility features, such as wheelchair accessibility and audio/visual aids, are built into all new public transport infrastructure projects and vehicles from the design stage.</w:t>
      </w:r>
      <w:r w:rsidRPr="00A83FAC">
        <w:rPr>
          <w:rFonts w:cs="Times New Roman"/>
          <w:sz w:val="24"/>
          <w:szCs w:val="24"/>
        </w:rPr>
        <w:tab/>
        <w:t>F</w:t>
      </w:r>
      <w:r w:rsidR="0001161E">
        <w:rPr>
          <w:rFonts w:cs="Times New Roman"/>
          <w:sz w:val="24"/>
          <w:szCs w:val="24"/>
        </w:rPr>
        <w:t xml:space="preserve">or example, Dublin’s Light Rail system, known as the </w:t>
      </w:r>
      <w:r w:rsidRPr="00A83FAC">
        <w:rPr>
          <w:rFonts w:cs="Times New Roman"/>
          <w:sz w:val="24"/>
          <w:szCs w:val="24"/>
        </w:rPr>
        <w:t>Luas,</w:t>
      </w:r>
      <w:r w:rsidRPr="00A83FAC">
        <w:rPr>
          <w:rFonts w:cs="Times New Roman"/>
          <w:sz w:val="24"/>
          <w:szCs w:val="24"/>
        </w:rPr>
        <w:tab/>
        <w:t>is fully</w:t>
      </w:r>
      <w:r w:rsidR="0001161E">
        <w:rPr>
          <w:rFonts w:cs="Times New Roman"/>
          <w:sz w:val="24"/>
          <w:szCs w:val="24"/>
        </w:rPr>
        <w:t xml:space="preserve"> accessible. 100% of the Dublin </w:t>
      </w:r>
      <w:r w:rsidRPr="00A83FAC">
        <w:rPr>
          <w:rFonts w:cs="Times New Roman"/>
          <w:sz w:val="24"/>
          <w:szCs w:val="24"/>
        </w:rPr>
        <w:t xml:space="preserve">Bus and Bus </w:t>
      </w:r>
      <w:proofErr w:type="spellStart"/>
      <w:r w:rsidRPr="00A83FAC">
        <w:rPr>
          <w:rFonts w:cs="Times New Roman"/>
          <w:sz w:val="24"/>
          <w:szCs w:val="24"/>
        </w:rPr>
        <w:t>Éireann</w:t>
      </w:r>
      <w:proofErr w:type="spellEnd"/>
      <w:r w:rsidRPr="00A83FAC">
        <w:rPr>
          <w:rFonts w:cs="Times New Roman"/>
          <w:sz w:val="24"/>
          <w:szCs w:val="24"/>
        </w:rPr>
        <w:t xml:space="preserve"> city fleets are</w:t>
      </w:r>
      <w:r w:rsidR="0001161E">
        <w:rPr>
          <w:rFonts w:cs="Times New Roman"/>
          <w:sz w:val="24"/>
          <w:szCs w:val="24"/>
        </w:rPr>
        <w:t xml:space="preserve"> wheelchair accessible, as well as approximately 80% of the Bus </w:t>
      </w:r>
      <w:proofErr w:type="spellStart"/>
      <w:r w:rsidR="0001161E">
        <w:rPr>
          <w:rFonts w:cs="Times New Roman"/>
          <w:sz w:val="24"/>
          <w:szCs w:val="24"/>
        </w:rPr>
        <w:t>Éireanncoach</w:t>
      </w:r>
      <w:proofErr w:type="spellEnd"/>
      <w:r w:rsidR="0001161E">
        <w:rPr>
          <w:rFonts w:cs="Times New Roman"/>
          <w:sz w:val="24"/>
          <w:szCs w:val="24"/>
        </w:rPr>
        <w:tab/>
        <w:t xml:space="preserve">fleet and this will </w:t>
      </w:r>
      <w:r w:rsidRPr="00A83FAC">
        <w:rPr>
          <w:rFonts w:cs="Times New Roman"/>
          <w:sz w:val="24"/>
          <w:szCs w:val="24"/>
        </w:rPr>
        <w:t>increase as the coach fl</w:t>
      </w:r>
      <w:r w:rsidR="0001161E">
        <w:rPr>
          <w:rFonts w:cs="Times New Roman"/>
          <w:sz w:val="24"/>
          <w:szCs w:val="24"/>
        </w:rPr>
        <w:t xml:space="preserve">eet is replaced. Other measures </w:t>
      </w:r>
      <w:r w:rsidRPr="00A83FAC">
        <w:rPr>
          <w:rFonts w:cs="Times New Roman"/>
          <w:sz w:val="24"/>
          <w:szCs w:val="24"/>
        </w:rPr>
        <w:t>to assist people</w:t>
      </w:r>
      <w:r w:rsidR="0001161E">
        <w:rPr>
          <w:rFonts w:cs="Times New Roman"/>
          <w:sz w:val="24"/>
          <w:szCs w:val="24"/>
        </w:rPr>
        <w:t xml:space="preserve"> with disabilities using public </w:t>
      </w:r>
      <w:r w:rsidRPr="00A83FAC">
        <w:rPr>
          <w:rFonts w:cs="Times New Roman"/>
          <w:sz w:val="24"/>
          <w:szCs w:val="24"/>
        </w:rPr>
        <w:t>transport include the provision of Real Time Passenger Information on the web, by app and electronic displays at bus stops, improved functionality and availability of the Leap Card and the devel</w:t>
      </w:r>
      <w:r w:rsidR="0001161E">
        <w:rPr>
          <w:rFonts w:cs="Times New Roman"/>
          <w:sz w:val="24"/>
          <w:szCs w:val="24"/>
        </w:rPr>
        <w:t xml:space="preserve">opment of the step free journey planner. Department </w:t>
      </w:r>
      <w:r w:rsidRPr="00A83FAC">
        <w:rPr>
          <w:rFonts w:cs="Times New Roman"/>
          <w:sz w:val="24"/>
          <w:szCs w:val="24"/>
        </w:rPr>
        <w:t>of Transport,</w:t>
      </w:r>
      <w:r w:rsidRPr="00A83FAC">
        <w:rPr>
          <w:rFonts w:cs="Times New Roman"/>
          <w:sz w:val="24"/>
          <w:szCs w:val="24"/>
        </w:rPr>
        <w:tab/>
        <w:t xml:space="preserve">Tourism and Sport also funds a programme </w:t>
      </w:r>
      <w:r w:rsidR="00397AD6" w:rsidRPr="00A83FAC">
        <w:rPr>
          <w:rFonts w:cs="Times New Roman"/>
          <w:sz w:val="24"/>
          <w:szCs w:val="24"/>
        </w:rPr>
        <w:t>of retro</w:t>
      </w:r>
      <w:r w:rsidRPr="00A83FAC">
        <w:rPr>
          <w:rFonts w:cs="Times New Roman"/>
          <w:sz w:val="24"/>
          <w:szCs w:val="24"/>
        </w:rPr>
        <w:t>-fitting older, existing, public transport infrastructure and facilities to improve their accessibility feature [SDG11.2].</w:t>
      </w:r>
    </w:p>
    <w:p w14:paraId="2578056C" w14:textId="77777777" w:rsidR="00651ECE" w:rsidRPr="00EB014A" w:rsidRDefault="00651ECE" w:rsidP="00E627A0">
      <w:pPr>
        <w:pStyle w:val="Heading1"/>
        <w:rPr>
          <w:sz w:val="32"/>
          <w:szCs w:val="32"/>
        </w:rPr>
      </w:pPr>
      <w:bookmarkStart w:id="92" w:name="_Toc531264940"/>
      <w:r w:rsidRPr="00EB014A">
        <w:rPr>
          <w:sz w:val="32"/>
          <w:szCs w:val="32"/>
        </w:rPr>
        <w:t>Jamaica</w:t>
      </w:r>
      <w:bookmarkEnd w:id="92"/>
    </w:p>
    <w:p w14:paraId="0874CC37"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The key tenet of Agenda 2030 strongly embraced by Jamaica is “leaving no one behind”. Our own National Vision echoes the principle of social and economic inclusion.</w:t>
      </w:r>
      <w:r w:rsidR="00206EB7">
        <w:rPr>
          <w:rStyle w:val="FootnoteReference"/>
          <w:rFonts w:cs="Times New Roman"/>
          <w:sz w:val="24"/>
          <w:szCs w:val="24"/>
        </w:rPr>
        <w:footnoteReference w:id="23"/>
      </w:r>
      <w:r w:rsidRPr="00A83FAC">
        <w:rPr>
          <w:rFonts w:cs="Times New Roman"/>
          <w:sz w:val="24"/>
          <w:szCs w:val="24"/>
        </w:rPr>
        <w:t xml:space="preserve"> Essentially, as we implement the SDGs and advance our own development prospects, we continue to ensure that our development approaches are for </w:t>
      </w:r>
      <w:r w:rsidR="00815B49">
        <w:rPr>
          <w:rFonts w:cs="Times New Roman"/>
          <w:sz w:val="24"/>
          <w:szCs w:val="24"/>
        </w:rPr>
        <w:t>all</w:t>
      </w:r>
      <w:r w:rsidRPr="00815B49">
        <w:rPr>
          <w:rFonts w:cs="Times New Roman"/>
          <w:sz w:val="24"/>
          <w:szCs w:val="24"/>
        </w:rPr>
        <w:t>. Importantly,</w:t>
      </w:r>
      <w:r w:rsidRPr="00A83FAC">
        <w:rPr>
          <w:rFonts w:cs="Times New Roman"/>
          <w:sz w:val="24"/>
          <w:szCs w:val="24"/>
        </w:rPr>
        <w:t xml:space="preserve"> we will ensure that we focus in more precise ways on some key groups – women and girls, unattached youth, persons with disabilities, the vulnerable and marginalized</w:t>
      </w:r>
      <w:r w:rsidR="00815B49">
        <w:rPr>
          <w:rFonts w:cs="Times New Roman"/>
          <w:sz w:val="24"/>
          <w:szCs w:val="24"/>
        </w:rPr>
        <w:t xml:space="preserve">, focusing in a holistic way on all Jamaicans. </w:t>
      </w:r>
    </w:p>
    <w:p w14:paraId="03CB1481" w14:textId="25970A02" w:rsidR="00651ECE" w:rsidRPr="00A83FAC" w:rsidRDefault="00206EB7" w:rsidP="00E627A0">
      <w:pPr>
        <w:pStyle w:val="Heading2"/>
        <w:spacing w:after="0" w:afterAutospacing="0"/>
      </w:pPr>
      <w:bookmarkStart w:id="93" w:name="_Toc531264941"/>
      <w:r>
        <w:t>Inclusiveness a</w:t>
      </w:r>
      <w:r w:rsidR="009C033A" w:rsidRPr="00A83FAC">
        <w:t xml:space="preserve">nd </w:t>
      </w:r>
      <w:r w:rsidR="00FE4B74">
        <w:t>s</w:t>
      </w:r>
      <w:r w:rsidR="009C033A" w:rsidRPr="00A83FAC">
        <w:t xml:space="preserve">takeholder </w:t>
      </w:r>
      <w:r w:rsidR="00FE4B74">
        <w:t>p</w:t>
      </w:r>
      <w:r w:rsidR="009C033A" w:rsidRPr="00A83FAC">
        <w:t>articipation</w:t>
      </w:r>
      <w:bookmarkEnd w:id="93"/>
    </w:p>
    <w:p w14:paraId="20DE4705" w14:textId="77777777" w:rsidR="00651ECE" w:rsidRPr="00A83FAC" w:rsidRDefault="00651ECE" w:rsidP="00E627A0">
      <w:pPr>
        <w:spacing w:after="0" w:line="276" w:lineRule="auto"/>
        <w:jc w:val="both"/>
        <w:rPr>
          <w:rFonts w:cs="Times New Roman"/>
          <w:sz w:val="24"/>
          <w:szCs w:val="24"/>
        </w:rPr>
      </w:pPr>
      <w:r w:rsidRPr="00A83FAC">
        <w:rPr>
          <w:rFonts w:cs="Times New Roman"/>
          <w:sz w:val="24"/>
          <w:szCs w:val="24"/>
        </w:rPr>
        <w:lastRenderedPageBreak/>
        <w:t>The process of sensitization on the SDGs and consultation on the VNR began in 2017 with an approach to “Localise the SDGs</w:t>
      </w:r>
      <w:r w:rsidR="00E30948" w:rsidRPr="00A83FAC">
        <w:rPr>
          <w:rFonts w:cs="Times New Roman"/>
          <w:sz w:val="24"/>
          <w:szCs w:val="24"/>
        </w:rPr>
        <w:t>”,</w:t>
      </w:r>
      <w:r w:rsidRPr="00A83FAC">
        <w:rPr>
          <w:rFonts w:cs="Times New Roman"/>
          <w:sz w:val="24"/>
          <w:szCs w:val="24"/>
        </w:rPr>
        <w:t xml:space="preserve"> through the Dialogue for Development series under the theme “The Jamaica We Want: Vision 2030 Jamaica, advancing the SDGs… Leaving no one behind” engaging children and youth, farmers, </w:t>
      </w:r>
      <w:r w:rsidR="00397AD6" w:rsidRPr="00A83FAC">
        <w:rPr>
          <w:rFonts w:cs="Times New Roman"/>
          <w:sz w:val="24"/>
          <w:szCs w:val="24"/>
        </w:rPr>
        <w:t>fisher folk</w:t>
      </w:r>
      <w:r w:rsidRPr="00A83FAC">
        <w:rPr>
          <w:rFonts w:cs="Times New Roman"/>
          <w:sz w:val="24"/>
          <w:szCs w:val="24"/>
        </w:rPr>
        <w:t>, business community, persons with disabilities, women and grassroots organizations, service organizations, local level authorities, and parliamentarians. Preparation of the VNR was no di</w:t>
      </w:r>
      <w:r w:rsidRPr="00A83FAC">
        <w:rPr>
          <w:rFonts w:eastAsia="Calibri" w:cs="Calibri"/>
          <w:sz w:val="24"/>
          <w:szCs w:val="24"/>
        </w:rPr>
        <w:t>ﬀ</w:t>
      </w:r>
      <w:r w:rsidRPr="00A83FAC">
        <w:rPr>
          <w:rFonts w:cs="Times New Roman"/>
          <w:sz w:val="24"/>
          <w:szCs w:val="24"/>
        </w:rPr>
        <w:t xml:space="preserve">erent as a major feature of the planning process is the high level of engagement of all stakeholders including NGOs, CSOs, private sector, academia, philanthropic organizations, international development partners and all sub-groups of the population (women, children, youth, older persons, persons with disabilities etc.). </w:t>
      </w:r>
      <w:r w:rsidR="00EC5B1B" w:rsidRPr="00A83FAC">
        <w:rPr>
          <w:rFonts w:cs="Times New Roman"/>
          <w:sz w:val="24"/>
          <w:szCs w:val="24"/>
        </w:rPr>
        <w:t>The</w:t>
      </w:r>
      <w:r w:rsidRPr="00A83FAC">
        <w:rPr>
          <w:rFonts w:cs="Times New Roman"/>
          <w:sz w:val="24"/>
          <w:szCs w:val="24"/>
        </w:rPr>
        <w:t xml:space="preserve"> process of sensitization regarding the SDGs and consultation on the VNR began in July 2017 with the view to “Localise the SDGs”</w:t>
      </w:r>
      <w:r w:rsidR="00EC5B1B" w:rsidRPr="00A83FAC">
        <w:rPr>
          <w:rFonts w:cs="Times New Roman"/>
          <w:sz w:val="24"/>
          <w:szCs w:val="24"/>
        </w:rPr>
        <w:t xml:space="preserve">. </w:t>
      </w:r>
    </w:p>
    <w:p w14:paraId="0A576077" w14:textId="77777777" w:rsidR="00651ECE" w:rsidRPr="00EB014A" w:rsidRDefault="00651ECE" w:rsidP="000F0B41">
      <w:pPr>
        <w:pStyle w:val="Heading1"/>
        <w:rPr>
          <w:rFonts w:eastAsia="Times New Roman"/>
          <w:sz w:val="32"/>
          <w:szCs w:val="32"/>
          <w:lang w:eastAsia="en-GB"/>
        </w:rPr>
      </w:pPr>
      <w:bookmarkStart w:id="94" w:name="_Toc531264942"/>
      <w:r w:rsidRPr="00EB014A">
        <w:rPr>
          <w:rFonts w:eastAsia="Times New Roman"/>
          <w:sz w:val="32"/>
          <w:szCs w:val="32"/>
          <w:lang w:eastAsia="en-GB"/>
        </w:rPr>
        <w:t>Lao PDR</w:t>
      </w:r>
      <w:bookmarkEnd w:id="94"/>
    </w:p>
    <w:p w14:paraId="551C59F2" w14:textId="77777777" w:rsidR="00595CDE" w:rsidRPr="009C033A" w:rsidRDefault="00651ECE" w:rsidP="00A83FAC">
      <w:pPr>
        <w:spacing w:after="0" w:line="276" w:lineRule="auto"/>
        <w:jc w:val="both"/>
        <w:rPr>
          <w:rFonts w:eastAsia="Times New Roman" w:cs="Times New Roman"/>
          <w:bCs/>
          <w:color w:val="000000"/>
          <w:sz w:val="24"/>
          <w:szCs w:val="24"/>
          <w:lang w:eastAsia="en-GB"/>
        </w:rPr>
      </w:pPr>
      <w:r w:rsidRPr="00A83FAC">
        <w:rPr>
          <w:rFonts w:eastAsia="Times New Roman" w:cs="Times New Roman"/>
          <w:bCs/>
          <w:color w:val="000000"/>
          <w:sz w:val="24"/>
          <w:szCs w:val="24"/>
          <w:lang w:eastAsia="en-GB"/>
        </w:rPr>
        <w:t>Expanding access to education and health services for people with disabilities, promoting access for the elderly to free health care, and promoting a culture of healthy diets and healthy lifestyles.</w:t>
      </w:r>
      <w:r w:rsidR="00815B49">
        <w:rPr>
          <w:rStyle w:val="FootnoteReference"/>
          <w:rFonts w:eastAsia="Times New Roman" w:cs="Times New Roman"/>
          <w:bCs/>
          <w:color w:val="000000"/>
          <w:sz w:val="24"/>
          <w:szCs w:val="24"/>
          <w:lang w:eastAsia="en-GB"/>
        </w:rPr>
        <w:footnoteReference w:id="24"/>
      </w:r>
    </w:p>
    <w:p w14:paraId="3BB372E7" w14:textId="62B48B73" w:rsidR="00651ECE" w:rsidRPr="00A83FAC" w:rsidRDefault="00651ECE" w:rsidP="002F025A">
      <w:pPr>
        <w:pStyle w:val="Heading2"/>
        <w:spacing w:after="0" w:afterAutospacing="0"/>
        <w:rPr>
          <w:lang w:eastAsia="en-GB"/>
        </w:rPr>
      </w:pPr>
      <w:bookmarkStart w:id="95" w:name="_Toc531264943"/>
      <w:r w:rsidRPr="00A83FAC">
        <w:rPr>
          <w:lang w:eastAsia="en-GB"/>
        </w:rPr>
        <w:t>People with disabilities are another vulnerable group</w:t>
      </w:r>
      <w:bookmarkEnd w:id="95"/>
    </w:p>
    <w:p w14:paraId="6E4BE786" w14:textId="77777777" w:rsidR="00651ECE" w:rsidRDefault="00651ECE" w:rsidP="002F025A">
      <w:pPr>
        <w:spacing w:after="0" w:line="276" w:lineRule="auto"/>
        <w:jc w:val="both"/>
        <w:rPr>
          <w:rFonts w:eastAsia="Times New Roman" w:cs="Times New Roman"/>
          <w:bCs/>
          <w:color w:val="000000"/>
          <w:sz w:val="24"/>
          <w:szCs w:val="24"/>
          <w:lang w:eastAsia="en-GB"/>
        </w:rPr>
      </w:pPr>
      <w:r w:rsidRPr="00A83FAC">
        <w:rPr>
          <w:rFonts w:eastAsia="Times New Roman" w:cs="Times New Roman"/>
          <w:bCs/>
          <w:color w:val="000000"/>
          <w:sz w:val="24"/>
          <w:szCs w:val="24"/>
          <w:lang w:eastAsia="en-GB"/>
        </w:rPr>
        <w:t>Disabilities in Lao PDR are often caused by UXO, road traffic accidents, disease and congenital conditions. The overall prevalence of disabilities among the population 5 years and over is 2.8 percent. 10 Lao PDR ratified the Convention on the Rights of Persons with Disabilities (CRPD) in 2009 and submitted the State Party’s Report in 2016.11 Lao PDR has set up the National Commission for Persons with Disabilities and the Elderly, and has taken several measures to implement the CRPD as laid out in its Report, such as the Decree on Persons with Disabilities (No. 137) in 2014, and adopting a National Strategy and Plan of Action on Inclusive Education (20112015).</w:t>
      </w:r>
    </w:p>
    <w:p w14:paraId="70FDF730" w14:textId="77777777" w:rsidR="009C033A" w:rsidRPr="00A83FAC" w:rsidRDefault="009C033A" w:rsidP="002F025A">
      <w:pPr>
        <w:spacing w:after="0" w:line="276" w:lineRule="auto"/>
        <w:jc w:val="both"/>
        <w:rPr>
          <w:rFonts w:eastAsia="Times New Roman" w:cs="Times New Roman"/>
          <w:bCs/>
          <w:color w:val="000000"/>
          <w:sz w:val="24"/>
          <w:szCs w:val="24"/>
          <w:lang w:eastAsia="en-GB"/>
        </w:rPr>
      </w:pPr>
    </w:p>
    <w:p w14:paraId="5A00E1D9" w14:textId="77777777" w:rsidR="00651ECE" w:rsidRPr="00A83FAC" w:rsidRDefault="00651ECE" w:rsidP="00A83FAC">
      <w:pPr>
        <w:spacing w:after="0" w:line="276" w:lineRule="auto"/>
        <w:jc w:val="both"/>
        <w:rPr>
          <w:rFonts w:eastAsia="Times New Roman" w:cs="Times New Roman"/>
          <w:bCs/>
          <w:color w:val="000000"/>
          <w:sz w:val="24"/>
          <w:szCs w:val="24"/>
          <w:lang w:eastAsia="en-GB"/>
        </w:rPr>
      </w:pPr>
      <w:bookmarkStart w:id="96" w:name="_Toc531264944"/>
      <w:r w:rsidRPr="000F0B41">
        <w:rPr>
          <w:rStyle w:val="Heading2Char"/>
        </w:rPr>
        <w:t>Measurement issues</w:t>
      </w:r>
      <w:bookmarkEnd w:id="96"/>
      <w:r w:rsidRPr="00A83FAC">
        <w:rPr>
          <w:rFonts w:eastAsia="Times New Roman" w:cs="Times New Roman"/>
          <w:b/>
          <w:bCs/>
          <w:color w:val="000000"/>
          <w:sz w:val="24"/>
          <w:szCs w:val="24"/>
          <w:lang w:eastAsia="en-GB"/>
        </w:rPr>
        <w:t>:</w:t>
      </w:r>
      <w:r w:rsidRPr="00A83FAC">
        <w:rPr>
          <w:rFonts w:eastAsia="Times New Roman" w:cs="Times New Roman"/>
          <w:bCs/>
          <w:color w:val="000000"/>
          <w:sz w:val="24"/>
          <w:szCs w:val="24"/>
          <w:lang w:eastAsia="en-GB"/>
        </w:rPr>
        <w:t xml:space="preserve"> Lao PDR has an effective education management information system (EMIS), which produces data routinely disaggregated by sex and robust enough for annual planning. Many SDG 4 indicators can be monitored through EMIS. Data on technical and vocational education and training (TVET) need strengthening and linkage with employment outcomes. Education for children with disabilities will require further inter-ministerial work. Successive surveys and censuses will need standardization: the mix of self-reported and tested literacy rates in different surveys funded by different partners is not conducive to interpreting trends. </w:t>
      </w:r>
    </w:p>
    <w:p w14:paraId="6EE533F2" w14:textId="77777777" w:rsidR="00651ECE" w:rsidRPr="00A83FAC" w:rsidRDefault="00651ECE" w:rsidP="00A83FAC">
      <w:pPr>
        <w:spacing w:after="0" w:line="276" w:lineRule="auto"/>
        <w:jc w:val="both"/>
        <w:rPr>
          <w:rFonts w:eastAsia="Times New Roman" w:cs="Times New Roman"/>
          <w:bCs/>
          <w:color w:val="000000"/>
          <w:sz w:val="24"/>
          <w:szCs w:val="24"/>
          <w:lang w:eastAsia="en-GB"/>
        </w:rPr>
      </w:pPr>
      <w:bookmarkStart w:id="97" w:name="_Toc531264945"/>
      <w:r w:rsidRPr="000F0B41">
        <w:rPr>
          <w:rStyle w:val="Heading2Char"/>
        </w:rPr>
        <w:t>Disaggregation of data by sex and age has improved but is still inconsistent</w:t>
      </w:r>
      <w:bookmarkEnd w:id="97"/>
      <w:r w:rsidRPr="00A83FAC">
        <w:rPr>
          <w:rFonts w:eastAsia="Times New Roman" w:cs="Times New Roman"/>
          <w:b/>
          <w:bCs/>
          <w:color w:val="000000"/>
          <w:sz w:val="24"/>
          <w:szCs w:val="24"/>
          <w:lang w:eastAsia="en-GB"/>
        </w:rPr>
        <w:t>.</w:t>
      </w:r>
      <w:r w:rsidRPr="00A83FAC">
        <w:rPr>
          <w:rFonts w:eastAsia="Times New Roman" w:cs="Times New Roman"/>
          <w:bCs/>
          <w:color w:val="000000"/>
          <w:sz w:val="24"/>
          <w:szCs w:val="24"/>
          <w:lang w:eastAsia="en-GB"/>
        </w:rPr>
        <w:t xml:space="preserve"> Moreover, many areas such as employment, migration, incomes, disability, domestic violence, ethnicity, and residence need robust gender statistics. Data on violence against women and girls need to be regularly collected and monitored with due consideration of the principles to ensure women’s safety and confidentiality.</w:t>
      </w:r>
    </w:p>
    <w:p w14:paraId="6A06BD41" w14:textId="77777777" w:rsidR="000F0B41" w:rsidRDefault="00651ECE" w:rsidP="000F0B41">
      <w:pPr>
        <w:spacing w:after="0" w:line="276" w:lineRule="auto"/>
        <w:jc w:val="both"/>
        <w:rPr>
          <w:rFonts w:cs="Times New Roman"/>
          <w:sz w:val="24"/>
          <w:szCs w:val="24"/>
        </w:rPr>
      </w:pPr>
      <w:bookmarkStart w:id="98" w:name="_Toc531264946"/>
      <w:r w:rsidRPr="000F0B41">
        <w:rPr>
          <w:rStyle w:val="Heading2Char"/>
        </w:rPr>
        <w:t>Measurement issues</w:t>
      </w:r>
      <w:bookmarkEnd w:id="98"/>
      <w:r w:rsidRPr="00A83FAC">
        <w:rPr>
          <w:rFonts w:cs="Times New Roman"/>
          <w:b/>
          <w:sz w:val="24"/>
          <w:szCs w:val="24"/>
        </w:rPr>
        <w:t>:</w:t>
      </w:r>
      <w:r w:rsidRPr="00A83FAC">
        <w:rPr>
          <w:rFonts w:cs="Times New Roman"/>
          <w:sz w:val="24"/>
          <w:szCs w:val="24"/>
        </w:rPr>
        <w:t xml:space="preserve"> Administrative systems for SDG 16 indicators need strengthening to produce regular and robust reports with </w:t>
      </w:r>
      <w:r w:rsidR="00E30948" w:rsidRPr="00A83FAC">
        <w:rPr>
          <w:rFonts w:cs="Times New Roman"/>
          <w:sz w:val="24"/>
          <w:szCs w:val="24"/>
        </w:rPr>
        <w:t>sex-disaggregated</w:t>
      </w:r>
      <w:r w:rsidRPr="00A83FAC">
        <w:rPr>
          <w:rFonts w:cs="Times New Roman"/>
          <w:sz w:val="24"/>
          <w:szCs w:val="24"/>
        </w:rPr>
        <w:t xml:space="preserve"> data. These are the indicators on homicide victims and victims of violence, the handling of cases by the Ministry of Justice and the People’s Supreme Court, transparency in budget planning and execution, the composition of public sector employees (by gender, ethnicity and disability status), and birth registration. </w:t>
      </w:r>
    </w:p>
    <w:p w14:paraId="1F9747A6" w14:textId="77777777" w:rsidR="008208F2" w:rsidRPr="00A21E0D" w:rsidRDefault="00651ECE" w:rsidP="00A21E0D">
      <w:pPr>
        <w:spacing w:after="0" w:line="276" w:lineRule="auto"/>
        <w:jc w:val="both"/>
        <w:rPr>
          <w:rFonts w:cs="Times New Roman"/>
          <w:sz w:val="24"/>
          <w:szCs w:val="24"/>
        </w:rPr>
      </w:pPr>
      <w:bookmarkStart w:id="99" w:name="_Toc531264947"/>
      <w:r w:rsidRPr="000F0B41">
        <w:rPr>
          <w:rStyle w:val="Heading2Char"/>
        </w:rPr>
        <w:lastRenderedPageBreak/>
        <w:t>Tackling the measurement and data challenges identified in this report</w:t>
      </w:r>
      <w:bookmarkEnd w:id="99"/>
      <w:r w:rsidRPr="00A83FAC">
        <w:rPr>
          <w:rFonts w:cs="Times New Roman"/>
          <w:b/>
          <w:sz w:val="24"/>
          <w:szCs w:val="24"/>
        </w:rPr>
        <w:t>.</w:t>
      </w:r>
      <w:r w:rsidRPr="00A83FAC">
        <w:rPr>
          <w:rFonts w:cs="Times New Roman"/>
          <w:sz w:val="24"/>
          <w:szCs w:val="24"/>
        </w:rPr>
        <w:t xml:space="preserve"> Lao PDR has passed Statistics Law No.03/NA, dated 30 June 2010 with a clause requiring gender disaggregated statistics.141 Support is needed to strengthen statistical capacities to track SDGs and fully implement the Statistics Law. Among the gaps that have been identified </w:t>
      </w:r>
      <w:r w:rsidR="00BD6ADE" w:rsidRPr="00A83FAC">
        <w:rPr>
          <w:rFonts w:cs="Times New Roman"/>
          <w:sz w:val="24"/>
          <w:szCs w:val="24"/>
        </w:rPr>
        <w:t>is the lack</w:t>
      </w:r>
      <w:r w:rsidRPr="00A83FAC">
        <w:rPr>
          <w:rFonts w:cs="Times New Roman"/>
          <w:sz w:val="24"/>
          <w:szCs w:val="24"/>
        </w:rPr>
        <w:t xml:space="preserve"> of systematic disaggregation of data by gender and especially by disability status. Monitoring the well-being of people with disabilities needs to start with key indicators, such as access to basic services. Other national priorities include strengthening and expanding the coverage of the civil registration and vital statistics system and strengthening administrative information systems to reliably track key service </w:t>
      </w:r>
      <w:r w:rsidR="00A21E0D">
        <w:rPr>
          <w:rFonts w:cs="Times New Roman"/>
          <w:sz w:val="24"/>
          <w:szCs w:val="24"/>
        </w:rPr>
        <w:t>coverage and outcome indicators</w:t>
      </w:r>
    </w:p>
    <w:p w14:paraId="09A46767" w14:textId="77777777" w:rsidR="00651ECE" w:rsidRPr="00EB014A" w:rsidRDefault="00651ECE" w:rsidP="008208F2">
      <w:pPr>
        <w:pStyle w:val="Heading1"/>
        <w:rPr>
          <w:sz w:val="32"/>
          <w:szCs w:val="32"/>
        </w:rPr>
      </w:pPr>
      <w:bookmarkStart w:id="100" w:name="_Toc531264948"/>
      <w:r w:rsidRPr="00EB014A">
        <w:rPr>
          <w:sz w:val="32"/>
          <w:szCs w:val="32"/>
        </w:rPr>
        <w:t>Latvia</w:t>
      </w:r>
      <w:bookmarkEnd w:id="100"/>
    </w:p>
    <w:p w14:paraId="031F817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the medium term, Latvia has prioritised reducing the poverty rate for employed persons and families with children, while continuing to improve conditions for older persons and persons with disabilities. The share of people at risk of poverty or social exclusion (Eurostat data) fell by 10 % between 2010 (38.2%) and 2016 (28.2%), while the population has decreased by about 9% during the same period.</w:t>
      </w:r>
      <w:r w:rsidR="00815B49">
        <w:rPr>
          <w:rStyle w:val="FootnoteReference"/>
          <w:rFonts w:cs="Times New Roman"/>
          <w:sz w:val="24"/>
          <w:szCs w:val="24"/>
        </w:rPr>
        <w:footnoteReference w:id="25"/>
      </w:r>
    </w:p>
    <w:p w14:paraId="6AB63154"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Persons with disabilities are provided with government-funded assistant services to access schools, universities and work. In 2016, 24.9% of persons with disabilities (52% women and 48% men) were registered as employed. To encourage employment of persons at risk of social exclusion, the government has launched a pilot project to support social enterprises. From 2018, businesses can qualify for social enterprise status and receive special support</w:t>
      </w:r>
    </w:p>
    <w:p w14:paraId="6A8F5CD3"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Support to families with children has been significantly increased between 2014 and 2018 through family benefits during the child-care period. This includes differentiated family benefits, depending on the number of children, additional allowances and tax exemptions. Local governments provide free meals in schools and kindergartens, </w:t>
      </w:r>
      <w:r w:rsidR="00B3119A" w:rsidRPr="00A83FAC">
        <w:rPr>
          <w:rFonts w:cs="Times New Roman"/>
          <w:sz w:val="24"/>
          <w:szCs w:val="24"/>
        </w:rPr>
        <w:t>and there are also discounts on</w:t>
      </w:r>
      <w:r w:rsidRPr="00A83FAC">
        <w:rPr>
          <w:rFonts w:cs="Times New Roman"/>
          <w:sz w:val="24"/>
          <w:szCs w:val="24"/>
        </w:rPr>
        <w:t xml:space="preserve"> public transport. Persons with disabilities, orphans etc. receive free public transport and families with three and more children ar</w:t>
      </w:r>
      <w:r w:rsidR="00682A66" w:rsidRPr="00A83FAC">
        <w:rPr>
          <w:rFonts w:cs="Times New Roman"/>
          <w:sz w:val="24"/>
          <w:szCs w:val="24"/>
        </w:rPr>
        <w:t>e entitled to a 25% discount on</w:t>
      </w:r>
      <w:r w:rsidRPr="00A83FAC">
        <w:rPr>
          <w:rFonts w:cs="Times New Roman"/>
          <w:sz w:val="24"/>
          <w:szCs w:val="24"/>
        </w:rPr>
        <w:t xml:space="preserve"> public transportation costs. This support has contributed to the reduction in the risk of poverty for families in which two adults raise three or more children (19.8 % in 2016), however, the risk of poverty remains high (34.3 %) in single-parent families.</w:t>
      </w:r>
    </w:p>
    <w:p w14:paraId="18E8FE6B" w14:textId="77777777" w:rsidR="00651ECE" w:rsidRPr="00A83FAC" w:rsidRDefault="00F54C40" w:rsidP="00A83FAC">
      <w:pPr>
        <w:spacing w:line="276" w:lineRule="auto"/>
        <w:jc w:val="both"/>
        <w:rPr>
          <w:rFonts w:cs="Times New Roman"/>
          <w:sz w:val="24"/>
          <w:szCs w:val="24"/>
        </w:rPr>
      </w:pPr>
      <w:r w:rsidRPr="00A83FAC">
        <w:rPr>
          <w:rFonts w:cs="Times New Roman"/>
          <w:sz w:val="24"/>
          <w:szCs w:val="24"/>
        </w:rPr>
        <w:t>Employment is a key factor in</w:t>
      </w:r>
      <w:r w:rsidR="00651ECE" w:rsidRPr="00A83FAC">
        <w:rPr>
          <w:rFonts w:cs="Times New Roman"/>
          <w:sz w:val="24"/>
          <w:szCs w:val="24"/>
        </w:rPr>
        <w:t xml:space="preserve"> improving people’s lives. The employment rate increased during the economic recovery, boosted by labour market inclusion programmes that have enhanced opportunities for youth, people over the age of 50, the long-term unemployed and persons having served prison sentences. Persons with disabilities are provided government funded assistant services to access educational institutions and/or work places. A pilot project has been launched to support the newly legislated social entrepreneurship system, and from 2018 businesses qualifying for the status of social entrepreneur may receive support for inclusion initiatives.</w:t>
      </w:r>
    </w:p>
    <w:p w14:paraId="3D751AB3"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On the macro level, a relatively small percentage of the GDP is channelled to social protection. Changes in the corporate income tax will promote business activity, hence competitiveness. However, the changes may lower tax revenues against the GDP, which, if they were higher, could be </w:t>
      </w:r>
      <w:r w:rsidRPr="00A83FAC">
        <w:rPr>
          <w:rFonts w:cs="Times New Roman"/>
          <w:sz w:val="24"/>
          <w:szCs w:val="24"/>
        </w:rPr>
        <w:lastRenderedPageBreak/>
        <w:t>effectively redistributed to persons with insufficient income from paid employment, such as people with disabilities, the elderly, etc.</w:t>
      </w:r>
    </w:p>
    <w:p w14:paraId="508E17F9"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Latvia is introducing a compulsory health insurance from 2019 that must be monitored carefully to ensure that it does not pose risks for certain groups. Although all citizens will continue to be entitled to basic health care services, in the future a full basket of services funded by the government will be available to socially insured persons and those who make voluntary health insurance contributions. The full-service basket also will be available to certain vulnerable groups: children up to age of 18, orphans and children without</w:t>
      </w:r>
      <w:r w:rsidR="00716DE8" w:rsidRPr="00A83FAC">
        <w:rPr>
          <w:rFonts w:cs="Times New Roman"/>
          <w:sz w:val="24"/>
          <w:szCs w:val="24"/>
        </w:rPr>
        <w:t xml:space="preserve"> a</w:t>
      </w:r>
      <w:r w:rsidRPr="00A83FAC">
        <w:rPr>
          <w:rFonts w:cs="Times New Roman"/>
          <w:sz w:val="24"/>
          <w:szCs w:val="24"/>
        </w:rPr>
        <w:t xml:space="preserve"> parental care up to the age of 24, pupils and students, persons with disability groups I and II, the unemployed, etc.</w:t>
      </w:r>
    </w:p>
    <w:p w14:paraId="763A8837" w14:textId="77777777" w:rsidR="00651ECE" w:rsidRPr="00EB014A" w:rsidRDefault="00651ECE" w:rsidP="00415F47">
      <w:pPr>
        <w:pStyle w:val="Heading1"/>
        <w:rPr>
          <w:sz w:val="32"/>
          <w:szCs w:val="32"/>
        </w:rPr>
      </w:pPr>
      <w:bookmarkStart w:id="101" w:name="_Toc531264949"/>
      <w:r w:rsidRPr="00EB014A">
        <w:rPr>
          <w:sz w:val="32"/>
          <w:szCs w:val="32"/>
        </w:rPr>
        <w:t>Lebanon</w:t>
      </w:r>
      <w:bookmarkEnd w:id="101"/>
    </w:p>
    <w:p w14:paraId="3E88A13D"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Public sector employees have access to various social protection programmes such as maternity leave, health cover, private education, and end of service indemnity schemes that offer a choice between a lump sum after retirement or a monthly pension—and sometimes both.</w:t>
      </w:r>
      <w:r w:rsidR="00815B49">
        <w:rPr>
          <w:rStyle w:val="FootnoteReference"/>
          <w:rFonts w:cs="Times New Roman"/>
          <w:sz w:val="24"/>
          <w:szCs w:val="24"/>
        </w:rPr>
        <w:footnoteReference w:id="26"/>
      </w:r>
      <w:r w:rsidRPr="00A83FAC">
        <w:rPr>
          <w:rFonts w:cs="Times New Roman"/>
          <w:sz w:val="24"/>
          <w:szCs w:val="24"/>
        </w:rPr>
        <w:t xml:space="preserve"> Private sector employees have </w:t>
      </w:r>
      <w:r w:rsidR="00CB7D91" w:rsidRPr="00A83FAC">
        <w:rPr>
          <w:rFonts w:cs="Times New Roman"/>
          <w:sz w:val="24"/>
          <w:szCs w:val="24"/>
        </w:rPr>
        <w:t>access</w:t>
      </w:r>
      <w:r w:rsidRPr="00A83FAC">
        <w:rPr>
          <w:rFonts w:cs="Times New Roman"/>
          <w:sz w:val="24"/>
          <w:szCs w:val="24"/>
        </w:rPr>
        <w:t xml:space="preserve"> to the NSSF. Most of the NSSF’s protection schemes offer maternity and health cover and a lump sum end-of-service indemnity on retirement. The elderly and non-public sector retirees, the disabled, the unemployed and blue-collar self-employed benefit from medical services cover provided by the </w:t>
      </w:r>
      <w:proofErr w:type="spellStart"/>
      <w:r w:rsidRPr="00A83FAC">
        <w:rPr>
          <w:rFonts w:cs="Times New Roman"/>
          <w:sz w:val="24"/>
          <w:szCs w:val="24"/>
        </w:rPr>
        <w:t>MoPH</w:t>
      </w:r>
      <w:proofErr w:type="spellEnd"/>
      <w:r w:rsidRPr="00A83FAC">
        <w:rPr>
          <w:rFonts w:cs="Times New Roman"/>
          <w:sz w:val="24"/>
          <w:szCs w:val="24"/>
        </w:rPr>
        <w:t xml:space="preserve">, or they receive social assistance under </w:t>
      </w:r>
      <w:proofErr w:type="spellStart"/>
      <w:r w:rsidRPr="00A83FAC">
        <w:rPr>
          <w:rFonts w:cs="Times New Roman"/>
          <w:sz w:val="24"/>
          <w:szCs w:val="24"/>
        </w:rPr>
        <w:t>MoSA’s</w:t>
      </w:r>
      <w:proofErr w:type="spellEnd"/>
      <w:r w:rsidRPr="00A83FAC">
        <w:rPr>
          <w:rFonts w:cs="Times New Roman"/>
          <w:sz w:val="24"/>
          <w:szCs w:val="24"/>
        </w:rPr>
        <w:t xml:space="preserve"> programmes. </w:t>
      </w:r>
      <w:proofErr w:type="spellStart"/>
      <w:r w:rsidRPr="00A83FAC">
        <w:rPr>
          <w:rFonts w:cs="Times New Roman"/>
          <w:sz w:val="24"/>
          <w:szCs w:val="24"/>
        </w:rPr>
        <w:t>MoSA</w:t>
      </w:r>
      <w:proofErr w:type="spellEnd"/>
      <w:r w:rsidRPr="00A83FAC">
        <w:rPr>
          <w:rFonts w:cs="Times New Roman"/>
          <w:sz w:val="24"/>
          <w:szCs w:val="24"/>
        </w:rPr>
        <w:t xml:space="preserve"> is currently preparing a participatory study on social protection to improve its provision by a well-identified formal and unified system. Many social services are already available and the disabled also receive assistance and medical coverage through </w:t>
      </w:r>
      <w:proofErr w:type="spellStart"/>
      <w:r w:rsidRPr="00A83FAC">
        <w:rPr>
          <w:rFonts w:cs="Times New Roman"/>
          <w:sz w:val="24"/>
          <w:szCs w:val="24"/>
        </w:rPr>
        <w:t>MoPH</w:t>
      </w:r>
      <w:proofErr w:type="spellEnd"/>
      <w:r w:rsidRPr="00A83FAC">
        <w:rPr>
          <w:rFonts w:cs="Times New Roman"/>
          <w:sz w:val="24"/>
          <w:szCs w:val="24"/>
        </w:rPr>
        <w:t xml:space="preserve"> and </w:t>
      </w:r>
      <w:proofErr w:type="spellStart"/>
      <w:r w:rsidRPr="00A83FAC">
        <w:rPr>
          <w:rFonts w:cs="Times New Roman"/>
          <w:sz w:val="24"/>
          <w:szCs w:val="24"/>
        </w:rPr>
        <w:t>MoSA</w:t>
      </w:r>
      <w:proofErr w:type="spellEnd"/>
      <w:r w:rsidRPr="00A83FAC">
        <w:rPr>
          <w:rFonts w:cs="Times New Roman"/>
          <w:sz w:val="24"/>
          <w:szCs w:val="24"/>
        </w:rPr>
        <w:t>.</w:t>
      </w:r>
    </w:p>
    <w:p w14:paraId="1A9E735C"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To facilitate school enrolment and provide services to students who have learning, physical and sensory disabilities, MEHE is implementing several initiatives with different education partners. MEHE is currently piloting inclusion in 30 public schools and equipping 100 public schools with resource rooms to support students with learning disabilities Human rights: </w:t>
      </w:r>
      <w:proofErr w:type="spellStart"/>
      <w:r w:rsidRPr="00A83FAC">
        <w:rPr>
          <w:rFonts w:cs="Times New Roman"/>
          <w:sz w:val="24"/>
          <w:szCs w:val="24"/>
        </w:rPr>
        <w:t>ProAbled</w:t>
      </w:r>
      <w:proofErr w:type="spellEnd"/>
      <w:r w:rsidRPr="00A83FAC">
        <w:rPr>
          <w:rFonts w:cs="Times New Roman"/>
          <w:sz w:val="24"/>
          <w:szCs w:val="24"/>
        </w:rPr>
        <w:t xml:space="preserve"> is an online job opportunities platform for people with disabilities.</w:t>
      </w:r>
    </w:p>
    <w:p w14:paraId="4BBC4DDD" w14:textId="77777777" w:rsidR="00651ECE" w:rsidRPr="00EB014A" w:rsidRDefault="00651ECE" w:rsidP="00415F47">
      <w:pPr>
        <w:pStyle w:val="Heading1"/>
        <w:rPr>
          <w:sz w:val="32"/>
          <w:szCs w:val="32"/>
        </w:rPr>
      </w:pPr>
      <w:bookmarkStart w:id="102" w:name="_Toc531264950"/>
      <w:r w:rsidRPr="00EB014A">
        <w:rPr>
          <w:sz w:val="32"/>
          <w:szCs w:val="32"/>
        </w:rPr>
        <w:t>Lithuania</w:t>
      </w:r>
      <w:bookmarkEnd w:id="102"/>
    </w:p>
    <w:p w14:paraId="1203EF0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Single persons, single-adult households with one and more children, disabled and elderly persons are persons who are at the highest risk of poverty in Lithuania.</w:t>
      </w:r>
      <w:r w:rsidR="00324251">
        <w:rPr>
          <w:rStyle w:val="FootnoteReference"/>
          <w:rFonts w:cs="Times New Roman"/>
          <w:sz w:val="24"/>
          <w:szCs w:val="24"/>
        </w:rPr>
        <w:footnoteReference w:id="27"/>
      </w:r>
      <w:r w:rsidRPr="00A83FAC">
        <w:rPr>
          <w:rFonts w:cs="Times New Roman"/>
          <w:sz w:val="24"/>
          <w:szCs w:val="24"/>
        </w:rPr>
        <w:t xml:space="preserve"> Another concern is the increasing at-risk-of-poverty rate of the disabled (persons whose activity was restricted for 6 months and longer due to health problems) and persons of 65 years of age and over, which in 2016 amounted to 30.6% and 27.7% respectively. Therefore, Lithuania is carrying out significant reforms to help reduce poverty and social exclusion.  To improve the situation of elderly and disabled persons, however, the Government seeks to maintain the sustainability of the pension system as well for the reason that an unsustainable pension system inspires no confidence.  </w:t>
      </w:r>
    </w:p>
    <w:p w14:paraId="3BF5ADEB"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The launch of an institutional care reform that is gaining momentum has been a step of particular importance. This reform will replace the long-standing Soviet system and create a system that is </w:t>
      </w:r>
      <w:r w:rsidRPr="00A83FAC">
        <w:rPr>
          <w:rFonts w:cs="Times New Roman"/>
          <w:sz w:val="24"/>
          <w:szCs w:val="24"/>
        </w:rPr>
        <w:lastRenderedPageBreak/>
        <w:t xml:space="preserve">completely new for Lithuania. The institutional care reform will help to establish a system of integrated services which will make individual services available for each mentally disabled person or his/her relatives according to their needs in the community and ensure that each child left without parental care grows in a family or in an environment as close to the family as possible. </w:t>
      </w:r>
    </w:p>
    <w:p w14:paraId="5B1DEA0F"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In developing inclusive education, more efficient assistance will be provided for the individual progress of persons with disabilities and special learning needs. Lithuania seeks to make the general schools </w:t>
      </w:r>
      <w:proofErr w:type="gramStart"/>
      <w:r w:rsidRPr="00A83FAC">
        <w:rPr>
          <w:rFonts w:cs="Times New Roman"/>
          <w:sz w:val="24"/>
          <w:szCs w:val="24"/>
        </w:rPr>
        <w:t>more attractive and ready</w:t>
      </w:r>
      <w:proofErr w:type="gramEnd"/>
      <w:r w:rsidRPr="00A83FAC">
        <w:rPr>
          <w:rFonts w:cs="Times New Roman"/>
          <w:sz w:val="24"/>
          <w:szCs w:val="24"/>
        </w:rPr>
        <w:t xml:space="preserve"> to accept children with disabilities and special learning needs who currently are educated at special schools: jobs for assistant teachers are established, possibilities for allocating larger funds are reviewe</w:t>
      </w:r>
      <w:r w:rsidR="00EA649D" w:rsidRPr="00A83FAC">
        <w:rPr>
          <w:rFonts w:cs="Times New Roman"/>
          <w:sz w:val="24"/>
          <w:szCs w:val="24"/>
        </w:rPr>
        <w:t>d, schools are encouraged to ado</w:t>
      </w:r>
      <w:r w:rsidRPr="00A83FAC">
        <w:rPr>
          <w:rFonts w:cs="Times New Roman"/>
          <w:sz w:val="24"/>
          <w:szCs w:val="24"/>
        </w:rPr>
        <w:t xml:space="preserve">pt the physical environment to the universal design requirements, pedagogical workers undergo training, and schools are supplied with the required teaching aids. Since 1 September 2017, the administrations of 55 municipalities have established positions of interinstitutional cooperation coordinators whose main purpose is to take care of the development of education assistance and social and health services for children and their parents, and to reduce the negative effect of the social and economic context on the children’s learning achievements and personal development. Despite the attempts to lower the share of children learning at special schools, the situation has not improved since 2012 (the share of children learning at special schools accounted for 0.99% in 2012 and 1.1% in 2016). The number of vocational schools implementing vocational training programmes customised for the disabled (about one-third) is increasing in Lithuania. However, the share of persons with disabilities at vocational schools is very small and it has changed slightly (this share was 2.47% in 2012 and 2.84% in 2016). The situation at higher education establishments is similar (0.54% in 2012 and 0.55% in 2016). Social scholarships are granted to students and, to improve the availability of studies, successful students also offered an opportunity to receive targeted payments. </w:t>
      </w:r>
    </w:p>
    <w:p w14:paraId="25A92B8D"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view of the existing situation, it is planned to increase the funding for the development of children’s non-formal education (to ensure the inclusion of children with disabilities), establish a network of joint schools with special education divisions and draw up qualification development programmes for teachers aimed at the provision of individual assistance for the education of children with special needs in classes. There are also plans to create and implement a mechanism for the provision of services designed for the development of activities that promote lifelong learning and professional career planning, by devoting particularly great attention to the disabled and foreseeing their possibilities, adapt the physical and information environment of vocational schools to the disabled and modernise the student social support system.</w:t>
      </w:r>
    </w:p>
    <w:p w14:paraId="65F87B7D" w14:textId="12AE21A2" w:rsidR="00651ECE" w:rsidRPr="00A83FAC" w:rsidRDefault="009C033A" w:rsidP="00851049">
      <w:pPr>
        <w:pStyle w:val="Heading2"/>
        <w:spacing w:after="0" w:afterAutospacing="0"/>
      </w:pPr>
      <w:bookmarkStart w:id="103" w:name="_Toc531264951"/>
      <w:r>
        <w:t xml:space="preserve">Achieve </w:t>
      </w:r>
      <w:r w:rsidR="002825D2">
        <w:t>g</w:t>
      </w:r>
      <w:r>
        <w:t xml:space="preserve">ender </w:t>
      </w:r>
      <w:r w:rsidR="002825D2">
        <w:t>e</w:t>
      </w:r>
      <w:r>
        <w:t xml:space="preserve">quality and </w:t>
      </w:r>
      <w:r w:rsidR="002825D2">
        <w:t>e</w:t>
      </w:r>
      <w:r>
        <w:t xml:space="preserve">mpower </w:t>
      </w:r>
      <w:r w:rsidR="002825D2">
        <w:t>a</w:t>
      </w:r>
      <w:r>
        <w:t xml:space="preserve">ll </w:t>
      </w:r>
      <w:r w:rsidR="002825D2">
        <w:t>w</w:t>
      </w:r>
      <w:r>
        <w:t>omen a</w:t>
      </w:r>
      <w:r w:rsidRPr="00A83FAC">
        <w:t xml:space="preserve">nd </w:t>
      </w:r>
      <w:r w:rsidR="002825D2">
        <w:t>g</w:t>
      </w:r>
      <w:r w:rsidRPr="00A83FAC">
        <w:t>irls</w:t>
      </w:r>
      <w:bookmarkEnd w:id="103"/>
    </w:p>
    <w:p w14:paraId="08A65E41" w14:textId="77777777" w:rsidR="00851049" w:rsidRDefault="00651ECE" w:rsidP="00FE4F10">
      <w:pPr>
        <w:spacing w:after="0" w:line="276" w:lineRule="auto"/>
        <w:jc w:val="both"/>
        <w:rPr>
          <w:rFonts w:cs="Times New Roman"/>
          <w:sz w:val="24"/>
          <w:szCs w:val="24"/>
        </w:rPr>
      </w:pPr>
      <w:r w:rsidRPr="00A83FAC">
        <w:rPr>
          <w:rFonts w:cs="Times New Roman"/>
          <w:sz w:val="24"/>
          <w:szCs w:val="24"/>
        </w:rPr>
        <w:t xml:space="preserve">A network of specialised assistance centres operates in the sphere of assistance to victims of domestic violence. In 2017, assistance at specialised centres was provided to a total of 11 600 persons (of which 9 300 were women and 1 600 were men, and more than 600 children; also, the victims of violence who benefited from assistance included 507 disabled persons). The specialised assistance centres are funded on a project basis, and this funding has been increasing steadily during the recent years.  Social security pensions were increased in 2017. This has affected more than 593 000 pensioners, more than 202 000 recipients of disability pensions and 7 400 recipients of early pensions. With a view to ensuring the consistent increase of pensions in accordance with the </w:t>
      </w:r>
      <w:r w:rsidRPr="00A83FAC">
        <w:rPr>
          <w:rFonts w:cs="Times New Roman"/>
          <w:sz w:val="24"/>
          <w:szCs w:val="24"/>
        </w:rPr>
        <w:lastRenderedPageBreak/>
        <w:t>country’s economic indicators, pensions are subject to indexing from 1 January 2018. In 2016–2018, Lithuania has increased the basic non-taxable income amount (hereinafter ‘NTIA’) and individual non-taxable income amounts for the disabled.</w:t>
      </w:r>
    </w:p>
    <w:p w14:paraId="717A900B" w14:textId="77777777" w:rsidR="00FE4F10" w:rsidRPr="00FE4F10" w:rsidRDefault="00FE4F10" w:rsidP="00FE4F10">
      <w:pPr>
        <w:spacing w:after="0" w:line="276" w:lineRule="auto"/>
        <w:jc w:val="both"/>
        <w:rPr>
          <w:rFonts w:cs="Times New Roman"/>
          <w:sz w:val="24"/>
          <w:szCs w:val="24"/>
        </w:rPr>
      </w:pPr>
    </w:p>
    <w:p w14:paraId="05F4EB30" w14:textId="77777777" w:rsidR="00651ECE" w:rsidRPr="00EB014A" w:rsidRDefault="00651ECE" w:rsidP="00851049">
      <w:pPr>
        <w:pStyle w:val="Heading1"/>
        <w:rPr>
          <w:sz w:val="32"/>
          <w:szCs w:val="32"/>
        </w:rPr>
      </w:pPr>
      <w:bookmarkStart w:id="104" w:name="_Toc531264952"/>
      <w:r w:rsidRPr="00EB014A">
        <w:rPr>
          <w:sz w:val="32"/>
          <w:szCs w:val="32"/>
        </w:rPr>
        <w:t>Namibia</w:t>
      </w:r>
      <w:bookmarkEnd w:id="104"/>
    </w:p>
    <w:p w14:paraId="1FEF473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general, considerable inequalities of access to university education remain in terms of social class, geographical location, marginalized groups as well as those with special needs and disabilities.</w:t>
      </w:r>
      <w:r w:rsidR="00324251">
        <w:rPr>
          <w:rStyle w:val="FootnoteReference"/>
          <w:rFonts w:cs="Times New Roman"/>
          <w:sz w:val="24"/>
          <w:szCs w:val="24"/>
        </w:rPr>
        <w:footnoteReference w:id="28"/>
      </w:r>
    </w:p>
    <w:p w14:paraId="398BB3FD"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During the period between independence in 1990 and 2017 the country notably reduced poverty, increased access via free education at both primary and secondary school levels, broadened health services coverage (including stabilizing the HIV and AIDS epidemic), increased the coverage and value of old age, disability and OVC social safety grants, safeguarded biodiversity and ecosystem services in protected areas, adop</w:t>
      </w:r>
      <w:r w:rsidR="00A21E0D">
        <w:rPr>
          <w:rFonts w:cs="Times New Roman"/>
          <w:sz w:val="24"/>
          <w:szCs w:val="24"/>
        </w:rPr>
        <w:t>ted legislation to improve good governance an</w:t>
      </w:r>
      <w:r w:rsidRPr="00A83FAC">
        <w:rPr>
          <w:rFonts w:cs="Times New Roman"/>
          <w:sz w:val="24"/>
          <w:szCs w:val="24"/>
        </w:rPr>
        <w:t>d environmental management,</w:t>
      </w:r>
      <w:r w:rsidRPr="00A83FAC">
        <w:rPr>
          <w:rFonts w:cs="Times New Roman"/>
          <w:sz w:val="24"/>
          <w:szCs w:val="24"/>
        </w:rPr>
        <w:tab/>
        <w:t>and created specific institutions to</w:t>
      </w:r>
      <w:r w:rsidR="00A21E0D">
        <w:rPr>
          <w:rFonts w:cs="Times New Roman"/>
          <w:sz w:val="24"/>
          <w:szCs w:val="24"/>
        </w:rPr>
        <w:t xml:space="preserve"> target </w:t>
      </w:r>
      <w:r w:rsidRPr="00A83FAC">
        <w:rPr>
          <w:rFonts w:cs="Times New Roman"/>
          <w:sz w:val="24"/>
          <w:szCs w:val="24"/>
        </w:rPr>
        <w:t>support for the poor.</w:t>
      </w:r>
      <w:r w:rsidR="00324251">
        <w:rPr>
          <w:rStyle w:val="FootnoteReference"/>
          <w:rFonts w:cs="Times New Roman"/>
          <w:sz w:val="24"/>
          <w:szCs w:val="24"/>
        </w:rPr>
        <w:footnoteReference w:id="29"/>
      </w:r>
      <w:r w:rsidRPr="00A83FAC">
        <w:rPr>
          <w:rFonts w:cs="Times New Roman"/>
          <w:sz w:val="24"/>
          <w:szCs w:val="24"/>
        </w:rPr>
        <w:t xml:space="preserve"> The growth in employment opportunities subsequently fell short of the of number new entrants in the labour market, thus there is now high unemployment rate (34 percent), impacting certain vulnerable groups more severely, including women, youth, people with disabilities, and the poor.</w:t>
      </w:r>
    </w:p>
    <w:p w14:paraId="3F84D4CA" w14:textId="77777777" w:rsidR="00651ECE" w:rsidRPr="00A83FAC" w:rsidRDefault="00651ECE" w:rsidP="00A83FAC">
      <w:pPr>
        <w:spacing w:line="276" w:lineRule="auto"/>
        <w:jc w:val="both"/>
        <w:rPr>
          <w:rFonts w:cs="Times New Roman"/>
          <w:sz w:val="24"/>
          <w:szCs w:val="24"/>
        </w:rPr>
      </w:pPr>
      <w:bookmarkStart w:id="105" w:name="_Toc531264953"/>
      <w:r w:rsidRPr="00851049">
        <w:rPr>
          <w:rStyle w:val="Heading2Char"/>
        </w:rPr>
        <w:t>Fragmented social programmes</w:t>
      </w:r>
      <w:bookmarkEnd w:id="105"/>
      <w:r w:rsidRPr="00A83FAC">
        <w:rPr>
          <w:rFonts w:cs="Times New Roman"/>
          <w:b/>
          <w:sz w:val="24"/>
          <w:szCs w:val="24"/>
        </w:rPr>
        <w:t>.</w:t>
      </w:r>
      <w:r w:rsidRPr="00A83FAC">
        <w:rPr>
          <w:rFonts w:cs="Times New Roman"/>
          <w:sz w:val="24"/>
          <w:szCs w:val="24"/>
        </w:rPr>
        <w:t xml:space="preserve"> Namibia has one of the most comprehensive social protection systems in sub-Saharan Africa: it supports elderly people, orphans and vulnerable children, people with disabilities, war veterans, school children, marginalized communities and populations affected by hunger. However, the registration and targeting procedures are not efficient, monitoring needs strengthening as well as </w:t>
      </w:r>
      <w:r w:rsidR="00D73B6C" w:rsidRPr="00A83FAC">
        <w:rPr>
          <w:rFonts w:cs="Times New Roman"/>
          <w:sz w:val="24"/>
          <w:szCs w:val="24"/>
        </w:rPr>
        <w:t xml:space="preserve">the </w:t>
      </w:r>
      <w:r w:rsidRPr="00A83FAC">
        <w:rPr>
          <w:rFonts w:cs="Times New Roman"/>
          <w:sz w:val="24"/>
          <w:szCs w:val="24"/>
        </w:rPr>
        <w:t>beneficiary selection, which leads to exclusion and</w:t>
      </w:r>
      <w:r w:rsidRPr="00A83FAC">
        <w:rPr>
          <w:rFonts w:cs="Times New Roman"/>
          <w:sz w:val="24"/>
          <w:szCs w:val="24"/>
        </w:rPr>
        <w:tab/>
        <w:t xml:space="preserve">inclusion errors. </w:t>
      </w:r>
    </w:p>
    <w:p w14:paraId="65E42817" w14:textId="3C8A5833" w:rsidR="00651ECE" w:rsidRPr="00A83FAC" w:rsidRDefault="00651ECE" w:rsidP="00A83FAC">
      <w:pPr>
        <w:spacing w:line="276" w:lineRule="auto"/>
        <w:jc w:val="both"/>
        <w:rPr>
          <w:rFonts w:cs="Times New Roman"/>
          <w:sz w:val="24"/>
          <w:szCs w:val="24"/>
        </w:rPr>
      </w:pPr>
      <w:bookmarkStart w:id="106" w:name="_Toc531264954"/>
      <w:r w:rsidRPr="00851049">
        <w:rPr>
          <w:rStyle w:val="Heading2Char"/>
        </w:rPr>
        <w:t xml:space="preserve">Higher </w:t>
      </w:r>
      <w:r w:rsidR="00FD3ADE">
        <w:rPr>
          <w:rStyle w:val="Heading2Char"/>
        </w:rPr>
        <w:t>e</w:t>
      </w:r>
      <w:r w:rsidRPr="00851049">
        <w:rPr>
          <w:rStyle w:val="Heading2Char"/>
        </w:rPr>
        <w:t xml:space="preserve">ducation and </w:t>
      </w:r>
      <w:r w:rsidR="00FD3ADE">
        <w:rPr>
          <w:rStyle w:val="Heading2Char"/>
        </w:rPr>
        <w:t>t</w:t>
      </w:r>
      <w:r w:rsidRPr="00851049">
        <w:rPr>
          <w:rStyle w:val="Heading2Char"/>
        </w:rPr>
        <w:t>raining</w:t>
      </w:r>
      <w:bookmarkEnd w:id="106"/>
      <w:r w:rsidRPr="00A83FAC">
        <w:rPr>
          <w:rFonts w:cs="Times New Roman"/>
          <w:sz w:val="24"/>
          <w:szCs w:val="24"/>
        </w:rPr>
        <w:t>. With reference to Namibian higher education, quality and relevance of university education has been a serious concern for both private and public-sector employers. Considerable inequalities of access to university education remain in terms of social class, geographical location, marginalized groups as well as those with special needs and disabilities.</w:t>
      </w:r>
    </w:p>
    <w:p w14:paraId="7CE2EAF8" w14:textId="77777777" w:rsidR="00651ECE" w:rsidRPr="00EB014A" w:rsidRDefault="00651ECE" w:rsidP="00851049">
      <w:pPr>
        <w:pStyle w:val="Heading1"/>
        <w:rPr>
          <w:sz w:val="32"/>
          <w:szCs w:val="32"/>
        </w:rPr>
      </w:pPr>
      <w:bookmarkStart w:id="107" w:name="_Toc531264955"/>
      <w:r w:rsidRPr="00EB014A">
        <w:rPr>
          <w:sz w:val="32"/>
          <w:szCs w:val="32"/>
        </w:rPr>
        <w:t>Poland</w:t>
      </w:r>
      <w:bookmarkEnd w:id="107"/>
    </w:p>
    <w:p w14:paraId="285D2C8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Poverty reduction is an essential element of the Strategy for Responsible Development. According to the SRD, the groups at the highest risk of poverty in Poland are families with many children and single-parent families, children and youth (in particular those with disabilities) and families where at least one carer is unemployed.</w:t>
      </w:r>
      <w:r w:rsidR="00C420CB">
        <w:rPr>
          <w:rStyle w:val="FootnoteReference"/>
          <w:rFonts w:cs="Times New Roman"/>
          <w:sz w:val="24"/>
          <w:szCs w:val="24"/>
        </w:rPr>
        <w:footnoteReference w:id="30"/>
      </w:r>
    </w:p>
    <w:p w14:paraId="1981D10C"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The improvement of the situation of dependent persons (children, elderly and disabled persons and their families) is implemented within the framework of policies and programmes addressed to these groups of persons. The Friendly Poland - Accessibility Plus Programme, on the other hand, aims to improve the quality and independence of life of all citizens, including in particular the elderly and </w:t>
      </w:r>
      <w:r w:rsidRPr="00A83FAC">
        <w:rPr>
          <w:rFonts w:cs="Times New Roman"/>
          <w:sz w:val="24"/>
          <w:szCs w:val="24"/>
        </w:rPr>
        <w:lastRenderedPageBreak/>
        <w:t>people with permanent or temporary limitations to mobility and perception. This is to be achieved by improving the accessibility of public areas, products and services in terms of architecture, information and communication. A number of measures in the For-Life programme provide for the improvement of the situation of heavily burdened families with expenditures on treatment and rehabilitation of disabled people.</w:t>
      </w:r>
    </w:p>
    <w:p w14:paraId="243D6DF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order to reduce the mortality and post-traumatic disability of injured persons in accidents, injury centres for adults have been established in Poland, where traumatic patients, including accident victims, are treated. It is planned to create injury centres for children.</w:t>
      </w:r>
    </w:p>
    <w:p w14:paraId="63B03D79"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Comprehensive support programme for families “For Life” - comprehensive solutions concerning support for families with persons with disabilities, including children with disabilities, in particular in areas concerning support for pregnant women, early support for the child and its family, support and rehabilitation services, health, education, housing support, as well as coordination, counselling and information. The solutions adopted in the Programme are aimed at enabling real and full social integration of people with disabilities and at providing psychological, social, functional and economic support to their families.</w:t>
      </w:r>
    </w:p>
    <w:p w14:paraId="7B333341"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Economic activation of young people, women, people aged 50+, the long-term unemployed, as well as people with disabilities is the overriding objective at the junction of economic and social policy. It is also important to improve the flow of unused labour from agriculture to other sectors e.g. by facilitating the acquisition of professional skills and qualifications (in particular by people from small and medium-sized agricultural holdings) and making it possible to combine work and agricultural activity. </w:t>
      </w:r>
    </w:p>
    <w:p w14:paraId="76423ED1"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An important element of the development of the Polish labour market is to ensure its openness to the most vulnerable groups, i.e. people with disabilities. The Strategy for persons with disabilities 2018-30 and the related National Programme for Employment of Persons with Disabilities are being prepared, which provide e.g. for supplementing or modifying the currently functioning instruments supporting employment and economic activation of persons with disabilities and supporting them in entering and maintaining the labour market or taking up economic activity.</w:t>
      </w:r>
    </w:p>
    <w:p w14:paraId="6670E204"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With a view to equalising the living standards of communities living in different areas of Poland, it is important to improve access to services, including social and health services. Within this area, solutions are implemented to increase access to cheap housing, changes in the functioning of the private rental market and supported housing for people at risk of social exclusion. Social activities aimed at reducing inequality among children, access to assistance and care services and rehabilitation equipment for persons with disabilities, promotion of professional and social activity of seniors, ensuring accessibility to public space for persons with reduced mobility are implemented.</w:t>
      </w:r>
    </w:p>
    <w:p w14:paraId="139BAAAB"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Equal access to the labour market ensuring the use of the potential of human resources is also important for the preservation of social equality within the country. In this respect, support instruments are adjusted to individual needs of the local labour market, considering human capital reserves available in the region (young people, women, people with disabilities, people aged 50+, the long-term unemployed, including those in sectors with unused labour resources - agriculture, mining, etc.)</w:t>
      </w:r>
    </w:p>
    <w:p w14:paraId="55EF1539" w14:textId="77777777" w:rsidR="00651ECE" w:rsidRPr="00EB014A" w:rsidRDefault="00651ECE" w:rsidP="00851049">
      <w:pPr>
        <w:pStyle w:val="Heading1"/>
        <w:rPr>
          <w:sz w:val="32"/>
          <w:szCs w:val="32"/>
        </w:rPr>
      </w:pPr>
      <w:bookmarkStart w:id="108" w:name="_Toc531264956"/>
      <w:r w:rsidRPr="00EB014A">
        <w:rPr>
          <w:sz w:val="32"/>
          <w:szCs w:val="32"/>
        </w:rPr>
        <w:lastRenderedPageBreak/>
        <w:t>Qatar</w:t>
      </w:r>
      <w:bookmarkEnd w:id="108"/>
    </w:p>
    <w:p w14:paraId="500E00E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Qatar has built an advanced infrastructure, enabled citizens to obtain modern housing, constructed universities, research </w:t>
      </w:r>
      <w:proofErr w:type="spellStart"/>
      <w:r w:rsidRPr="00A83FAC">
        <w:rPr>
          <w:rFonts w:cs="Times New Roman"/>
          <w:sz w:val="24"/>
          <w:szCs w:val="24"/>
        </w:rPr>
        <w:t>centers</w:t>
      </w:r>
      <w:proofErr w:type="spellEnd"/>
      <w:r w:rsidRPr="00A83FAC">
        <w:rPr>
          <w:rFonts w:cs="Times New Roman"/>
          <w:sz w:val="24"/>
          <w:szCs w:val="24"/>
        </w:rPr>
        <w:t xml:space="preserve">, schools, public libraries, museums, heritage villages and clubs, and established hospitals, health </w:t>
      </w:r>
      <w:proofErr w:type="spellStart"/>
      <w:r w:rsidRPr="00A83FAC">
        <w:rPr>
          <w:rFonts w:cs="Times New Roman"/>
          <w:sz w:val="24"/>
          <w:szCs w:val="24"/>
        </w:rPr>
        <w:t>centers</w:t>
      </w:r>
      <w:proofErr w:type="spellEnd"/>
      <w:r w:rsidRPr="00A83FAC">
        <w:rPr>
          <w:rFonts w:cs="Times New Roman"/>
          <w:sz w:val="24"/>
          <w:szCs w:val="24"/>
        </w:rPr>
        <w:t xml:space="preserve">, playgrounds, parks, green areas and rehabilitation </w:t>
      </w:r>
      <w:proofErr w:type="spellStart"/>
      <w:r w:rsidRPr="00A83FAC">
        <w:rPr>
          <w:rFonts w:cs="Times New Roman"/>
          <w:sz w:val="24"/>
          <w:szCs w:val="24"/>
        </w:rPr>
        <w:t>centers</w:t>
      </w:r>
      <w:proofErr w:type="spellEnd"/>
      <w:r w:rsidRPr="00A83FAC">
        <w:rPr>
          <w:rFonts w:cs="Times New Roman"/>
          <w:sz w:val="24"/>
          <w:szCs w:val="24"/>
        </w:rPr>
        <w:t xml:space="preserve"> for people with disabilities. It has further provided clean water and electricity at affordable cost, in addition to transport, telephone and Internet networks.</w:t>
      </w:r>
      <w:r w:rsidR="00C420CB">
        <w:rPr>
          <w:rStyle w:val="FootnoteReference"/>
          <w:rFonts w:cs="Times New Roman"/>
          <w:sz w:val="24"/>
          <w:szCs w:val="24"/>
        </w:rPr>
        <w:footnoteReference w:id="31"/>
      </w:r>
    </w:p>
    <w:p w14:paraId="4445658D" w14:textId="77777777" w:rsidR="00465BCC" w:rsidRDefault="00651ECE" w:rsidP="00A83FAC">
      <w:pPr>
        <w:spacing w:line="276" w:lineRule="auto"/>
        <w:jc w:val="both"/>
        <w:rPr>
          <w:rFonts w:cs="Times New Roman"/>
          <w:sz w:val="24"/>
          <w:szCs w:val="24"/>
        </w:rPr>
      </w:pPr>
      <w:r w:rsidRPr="00A83FAC">
        <w:rPr>
          <w:rFonts w:cs="Times New Roman"/>
          <w:sz w:val="24"/>
          <w:szCs w:val="24"/>
        </w:rPr>
        <w:t>Achievements</w:t>
      </w:r>
      <w:r w:rsidR="00465BCC">
        <w:rPr>
          <w:rFonts w:cs="Times New Roman"/>
          <w:sz w:val="24"/>
          <w:szCs w:val="24"/>
        </w:rPr>
        <w:t>.</w:t>
      </w:r>
      <w:r w:rsidR="00465BCC">
        <w:rPr>
          <w:rStyle w:val="FootnoteReference"/>
          <w:rFonts w:cs="Times New Roman"/>
          <w:sz w:val="24"/>
          <w:szCs w:val="24"/>
        </w:rPr>
        <w:footnoteReference w:id="32"/>
      </w:r>
    </w:p>
    <w:p w14:paraId="35559E93"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Public spending on social benefits as a percentage of GDP rose from 0.</w:t>
      </w:r>
      <w:r w:rsidR="00465BCC">
        <w:rPr>
          <w:rFonts w:cs="Times New Roman"/>
          <w:sz w:val="24"/>
          <w:szCs w:val="24"/>
        </w:rPr>
        <w:t>05% in 2008 to 0.14% in 2015</w:t>
      </w:r>
      <w:r w:rsidRPr="00A83FAC">
        <w:rPr>
          <w:rFonts w:cs="Times New Roman"/>
          <w:sz w:val="24"/>
          <w:szCs w:val="24"/>
        </w:rPr>
        <w:t>.</w:t>
      </w:r>
      <w:r w:rsidR="00465BCC">
        <w:rPr>
          <w:rStyle w:val="FootnoteReference"/>
          <w:rFonts w:cs="Times New Roman"/>
          <w:sz w:val="24"/>
          <w:szCs w:val="24"/>
        </w:rPr>
        <w:footnoteReference w:id="33"/>
      </w:r>
      <w:r w:rsidRPr="00A83FAC">
        <w:rPr>
          <w:rFonts w:cs="Times New Roman"/>
          <w:sz w:val="24"/>
          <w:szCs w:val="24"/>
        </w:rPr>
        <w:t xml:space="preserve"> The promotion and protection of the rights of persons with disabilities is a top priority for Qatar through its ratification of the Convention on the Rights of Persons with Disabilities. Qatar has made significant strides towards promoting the rights of marginalized and vulnerable groups and their integration into society and in the </w:t>
      </w:r>
      <w:proofErr w:type="spellStart"/>
      <w:r w:rsidRPr="00A83FAC">
        <w:rPr>
          <w:rFonts w:cs="Times New Roman"/>
          <w:sz w:val="24"/>
          <w:szCs w:val="24"/>
        </w:rPr>
        <w:t>labor</w:t>
      </w:r>
      <w:proofErr w:type="spellEnd"/>
      <w:r w:rsidRPr="00A83FAC">
        <w:rPr>
          <w:rFonts w:cs="Times New Roman"/>
          <w:sz w:val="24"/>
          <w:szCs w:val="24"/>
        </w:rPr>
        <w:t xml:space="preserve"> force, especially </w:t>
      </w:r>
      <w:r w:rsidR="00465BCC">
        <w:rPr>
          <w:rFonts w:cs="Times New Roman"/>
          <w:sz w:val="24"/>
          <w:szCs w:val="24"/>
        </w:rPr>
        <w:t>in employment and education</w:t>
      </w:r>
      <w:r w:rsidRPr="00A83FAC">
        <w:rPr>
          <w:rFonts w:cs="Times New Roman"/>
          <w:sz w:val="24"/>
          <w:szCs w:val="24"/>
        </w:rPr>
        <w:t>.</w:t>
      </w:r>
      <w:r w:rsidR="00465BCC">
        <w:rPr>
          <w:rStyle w:val="FootnoteReference"/>
          <w:rFonts w:cs="Times New Roman"/>
          <w:sz w:val="24"/>
          <w:szCs w:val="24"/>
        </w:rPr>
        <w:footnoteReference w:id="34"/>
      </w:r>
      <w:r w:rsidRPr="00A83FAC">
        <w:rPr>
          <w:rFonts w:cs="Times New Roman"/>
          <w:sz w:val="24"/>
          <w:szCs w:val="24"/>
        </w:rPr>
        <w:t xml:space="preserve"> Substantial progress has been made in providing persons with disabilities with support and means to exercise their rights, particularly in the areas of education, employment and sporting activities. The role of civil society in various aspects of social work is increasing through the distinctive efforts of civil society organizations.</w:t>
      </w:r>
    </w:p>
    <w:p w14:paraId="30B14AC4"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Provide universal access to safe, inclusive and accessible green spaces and public areas, in particular for women, children, older persons and persons with disabilities Due to the high and rapid urban growth rate in Doha city and other urban areas of Qatar, the need for green spaces and public and inclusive recreation areas has increased. </w:t>
      </w:r>
      <w:r w:rsidR="00465BCC" w:rsidRPr="00465BCC">
        <w:rPr>
          <w:rFonts w:cs="Times New Roman"/>
          <w:sz w:val="24"/>
          <w:szCs w:val="24"/>
        </w:rPr>
        <w:t>In the relatively harsh climate of Qatar during the summer, the absence of natural protection makes the use of outer spaces unattractive to the population. The National Development Strategy 2018-2022 sets out a target to establish a green belt around Doha and its suburbs, which will play a major role in improving environmental and health conditions. Qatar National Master plan 2032 includes a number of urban development policies and procedures for the expansion and development of open spaces, parks and recreational services aimed at providing public spaces that are vital, attractive and accessible for all users. The plan also aims to use natural and urban garden landscaping designs as basic tools in the design of public spaces and open areas</w:t>
      </w:r>
      <w:r w:rsidR="00465BCC">
        <w:rPr>
          <w:rFonts w:cs="Times New Roman"/>
          <w:sz w:val="24"/>
          <w:szCs w:val="24"/>
        </w:rPr>
        <w:t>.</w:t>
      </w:r>
      <w:r w:rsidR="00465BCC">
        <w:rPr>
          <w:rStyle w:val="FootnoteReference"/>
          <w:rFonts w:cs="Times New Roman"/>
          <w:sz w:val="24"/>
          <w:szCs w:val="24"/>
        </w:rPr>
        <w:footnoteReference w:id="35"/>
      </w:r>
      <w:r w:rsidRPr="00A83FAC">
        <w:rPr>
          <w:rFonts w:cs="Times New Roman"/>
          <w:sz w:val="24"/>
          <w:szCs w:val="24"/>
        </w:rPr>
        <w:t xml:space="preserve">The open, well-prepared green spaces have grown at an annual growth rate of 4% for the use of all segments of society, especially women, children, the elderly and persons with disabilities. There has been a significant expansion in the number of integrated parks between 2010 and 2016 with an annual growth rate of 9%. </w:t>
      </w:r>
    </w:p>
    <w:p w14:paraId="1C8E011F" w14:textId="77777777" w:rsidR="00651ECE" w:rsidRPr="00EB014A" w:rsidRDefault="00651ECE" w:rsidP="00407F12">
      <w:pPr>
        <w:pStyle w:val="Heading1"/>
        <w:rPr>
          <w:sz w:val="32"/>
          <w:szCs w:val="32"/>
        </w:rPr>
      </w:pPr>
      <w:bookmarkStart w:id="109" w:name="_Toc531264957"/>
      <w:r w:rsidRPr="00EB014A">
        <w:rPr>
          <w:sz w:val="32"/>
          <w:szCs w:val="32"/>
        </w:rPr>
        <w:lastRenderedPageBreak/>
        <w:t>Romania</w:t>
      </w:r>
      <w:bookmarkEnd w:id="109"/>
    </w:p>
    <w:p w14:paraId="0ECDB36B"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In the health field, the </w:t>
      </w:r>
      <w:r w:rsidR="00BD6ADE" w:rsidRPr="00A83FAC">
        <w:rPr>
          <w:rFonts w:cs="Times New Roman"/>
          <w:sz w:val="24"/>
          <w:szCs w:val="24"/>
        </w:rPr>
        <w:t>National Health Strategy 2014 represents the main strategic document</w:t>
      </w:r>
      <w:r w:rsidRPr="00A83FAC">
        <w:rPr>
          <w:rFonts w:cs="Times New Roman"/>
          <w:sz w:val="24"/>
          <w:szCs w:val="24"/>
        </w:rPr>
        <w:t xml:space="preserve"> – 2020 (NHS), adopted by the Romanian Government at the end of 2014 (GD no 1028/2011). </w:t>
      </w:r>
      <w:r w:rsidR="00B85DF2">
        <w:rPr>
          <w:rStyle w:val="FootnoteReference"/>
          <w:rFonts w:cs="Times New Roman"/>
          <w:sz w:val="24"/>
          <w:szCs w:val="24"/>
        </w:rPr>
        <w:footnoteReference w:id="36"/>
      </w:r>
      <w:r w:rsidRPr="00A83FAC">
        <w:rPr>
          <w:rFonts w:cs="Times New Roman"/>
          <w:sz w:val="24"/>
          <w:szCs w:val="24"/>
        </w:rPr>
        <w:t xml:space="preserve">Beyond this, many sectoral strategies have been developed with the timeline 2014 – 2020 at national level, in an attempt to define a coordinated framework for reforming those sectors and to access, in this purpose, the EU funds (e.g. the strategy for child protection, the strategy for long life learning, the strategy for promoting active ageing, the strategy for social inclusion and poverty reduction, the strategy regarding the persons with disabilities) etc. Most of these strategies have objectives or areas involving the health sector, but the synergy and coordination in their implementation should be improved.  </w:t>
      </w:r>
    </w:p>
    <w:p w14:paraId="0468C95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The health system is social insurance based and theoretically all the people supposed to be insured. Some particul</w:t>
      </w:r>
      <w:r w:rsidR="004D473F" w:rsidRPr="00A83FAC">
        <w:rPr>
          <w:rFonts w:cs="Times New Roman"/>
          <w:sz w:val="24"/>
          <w:szCs w:val="24"/>
        </w:rPr>
        <w:t xml:space="preserve">ar groups are being protected by law and </w:t>
      </w:r>
      <w:r w:rsidRPr="00A83FAC">
        <w:rPr>
          <w:rFonts w:cs="Times New Roman"/>
          <w:sz w:val="24"/>
          <w:szCs w:val="24"/>
        </w:rPr>
        <w:t>being insured without payment (</w:t>
      </w:r>
      <w:proofErr w:type="spellStart"/>
      <w:r w:rsidRPr="00A83FAC">
        <w:rPr>
          <w:rFonts w:cs="Times New Roman"/>
          <w:sz w:val="24"/>
          <w:szCs w:val="24"/>
        </w:rPr>
        <w:t>eg</w:t>
      </w:r>
      <w:proofErr w:type="spellEnd"/>
      <w:r w:rsidRPr="00A83FAC">
        <w:rPr>
          <w:rFonts w:cs="Times New Roman"/>
          <w:sz w:val="24"/>
          <w:szCs w:val="24"/>
        </w:rPr>
        <w:t>: children, pensioners with low income, people with disabilities, people benefiting for a minimum income guaranteed by the state, unemployed, prisoners, pregnant women without income or uninsured people with severe diseases, covered by the national health programs)</w:t>
      </w:r>
      <w:r w:rsidR="005E5469" w:rsidRPr="00A83FAC">
        <w:rPr>
          <w:rFonts w:cs="Times New Roman"/>
          <w:sz w:val="24"/>
          <w:szCs w:val="24"/>
        </w:rPr>
        <w:t>.</w:t>
      </w:r>
    </w:p>
    <w:p w14:paraId="4300F4A8" w14:textId="77777777" w:rsidR="00651ECE" w:rsidRPr="00A83FAC" w:rsidRDefault="00651ECE" w:rsidP="00407F12">
      <w:pPr>
        <w:pStyle w:val="Heading2"/>
        <w:spacing w:before="0" w:beforeAutospacing="0" w:after="0" w:afterAutospacing="0"/>
      </w:pPr>
      <w:bookmarkStart w:id="110" w:name="_Toc531264958"/>
      <w:r w:rsidRPr="00A83FAC">
        <w:t>Addressing most vulnerable groups</w:t>
      </w:r>
      <w:bookmarkEnd w:id="110"/>
    </w:p>
    <w:p w14:paraId="16B6BA02" w14:textId="77777777" w:rsidR="00651ECE" w:rsidRPr="00A83FAC" w:rsidRDefault="00651ECE" w:rsidP="00407F12">
      <w:pPr>
        <w:spacing w:after="0" w:line="276" w:lineRule="auto"/>
        <w:jc w:val="both"/>
        <w:rPr>
          <w:rFonts w:cs="Times New Roman"/>
          <w:sz w:val="24"/>
          <w:szCs w:val="24"/>
        </w:rPr>
      </w:pPr>
      <w:r w:rsidRPr="00A83FAC">
        <w:rPr>
          <w:rFonts w:cs="Times New Roman"/>
          <w:sz w:val="24"/>
          <w:szCs w:val="24"/>
        </w:rPr>
        <w:t>Some health policies and national health programs are targeting vulnerable groups:  In Romania some categories of people are exempted from the payment of health contribution, in order to be protected by poverty (children, people with disabilities, pregnant women without income, retired people and adults with low income, unemployed etc.).</w:t>
      </w:r>
    </w:p>
    <w:p w14:paraId="7B0AA48E" w14:textId="77777777" w:rsidR="00DA3FAF" w:rsidRPr="00A83FAC" w:rsidRDefault="00651ECE" w:rsidP="00A83FAC">
      <w:pPr>
        <w:spacing w:line="276" w:lineRule="auto"/>
        <w:jc w:val="both"/>
        <w:rPr>
          <w:rFonts w:cs="Times New Roman"/>
          <w:color w:val="222222"/>
          <w:sz w:val="24"/>
          <w:szCs w:val="24"/>
          <w:lang w:val="en-US"/>
        </w:rPr>
      </w:pPr>
      <w:bookmarkStart w:id="111" w:name="_Toc531264959"/>
      <w:r w:rsidRPr="00407F12">
        <w:rPr>
          <w:rStyle w:val="Heading2Char"/>
        </w:rPr>
        <w:t xml:space="preserve">Longer working life is encouraged and ability to work is </w:t>
      </w:r>
      <w:r w:rsidR="00397AD6" w:rsidRPr="00407F12">
        <w:rPr>
          <w:rStyle w:val="Heading2Char"/>
        </w:rPr>
        <w:t>maintained</w:t>
      </w:r>
      <w:bookmarkEnd w:id="111"/>
      <w:r w:rsidR="00397AD6" w:rsidRPr="00A83FAC">
        <w:rPr>
          <w:rFonts w:cs="Times New Roman"/>
          <w:b/>
          <w:sz w:val="24"/>
          <w:szCs w:val="24"/>
        </w:rPr>
        <w:t>.</w:t>
      </w:r>
      <w:r w:rsidR="00397AD6" w:rsidRPr="00A83FAC">
        <w:rPr>
          <w:rFonts w:cs="Times New Roman"/>
          <w:color w:val="222222"/>
          <w:sz w:val="24"/>
          <w:szCs w:val="24"/>
        </w:rPr>
        <w:t xml:space="preserve"> Presently</w:t>
      </w:r>
      <w:r w:rsidR="00DA3FAF" w:rsidRPr="00A83FAC">
        <w:rPr>
          <w:rFonts w:cs="Times New Roman"/>
          <w:color w:val="222222"/>
          <w:sz w:val="24"/>
          <w:szCs w:val="24"/>
        </w:rPr>
        <w:t xml:space="preserve">, a very low percentage of people with disabilities are active in the </w:t>
      </w:r>
      <w:proofErr w:type="spellStart"/>
      <w:r w:rsidR="00DA3FAF" w:rsidRPr="00A83FAC">
        <w:rPr>
          <w:rFonts w:cs="Times New Roman"/>
          <w:color w:val="222222"/>
          <w:sz w:val="24"/>
          <w:szCs w:val="24"/>
        </w:rPr>
        <w:t>labor</w:t>
      </w:r>
      <w:proofErr w:type="spellEnd"/>
      <w:r w:rsidR="00DA3FAF" w:rsidRPr="00A83FAC">
        <w:rPr>
          <w:rFonts w:cs="Times New Roman"/>
          <w:color w:val="222222"/>
          <w:sz w:val="24"/>
          <w:szCs w:val="24"/>
        </w:rPr>
        <w:t xml:space="preserve"> market - only 7.25% of people with disabilities between the ages of 18 and 64. Thus, the disability indemnity and the complementary budget are the main sources of income for this vulnerable group. Based on the legal rules, people with disabilities can enter the open (and highly competitive) </w:t>
      </w:r>
      <w:proofErr w:type="spellStart"/>
      <w:r w:rsidR="00DA3FAF" w:rsidRPr="00A83FAC">
        <w:rPr>
          <w:rFonts w:cs="Times New Roman"/>
          <w:color w:val="222222"/>
          <w:sz w:val="24"/>
          <w:szCs w:val="24"/>
        </w:rPr>
        <w:t>labormarket</w:t>
      </w:r>
      <w:proofErr w:type="spellEnd"/>
      <w:r w:rsidR="00DA3FAF" w:rsidRPr="00A83FAC">
        <w:rPr>
          <w:rFonts w:cs="Times New Roman"/>
          <w:color w:val="222222"/>
          <w:sz w:val="24"/>
          <w:szCs w:val="24"/>
        </w:rPr>
        <w:t>. Romanian law specifies that companies with more than 50 employees must ensure that at least 4% of their staff is comprised of people with disabilities. If not, they need to pay an amount equivalent to half of the minimum income for all positions that are not occupied by people with disabilities or to buy products from the sheltered units. In practice, the majority of enterprises prefer to pay the penalties, instead of hiring people with disabilities and to benefit from the incentives and facilities established by law.</w:t>
      </w:r>
    </w:p>
    <w:p w14:paraId="6257E6E0" w14:textId="77777777" w:rsidR="00861E59" w:rsidRPr="00CE0B9D" w:rsidRDefault="00DA3FAF" w:rsidP="00CE0B9D">
      <w:pPr>
        <w:spacing w:after="0" w:line="276" w:lineRule="auto"/>
        <w:jc w:val="both"/>
        <w:rPr>
          <w:rFonts w:cs="Times New Roman"/>
          <w:color w:val="222222"/>
          <w:sz w:val="24"/>
          <w:szCs w:val="24"/>
          <w:lang w:val="en-US"/>
        </w:rPr>
      </w:pPr>
      <w:r w:rsidRPr="00A83FAC">
        <w:rPr>
          <w:rFonts w:cs="Times New Roman"/>
          <w:color w:val="222222"/>
          <w:sz w:val="24"/>
          <w:szCs w:val="24"/>
        </w:rPr>
        <w:t>Long-term and health care for the dependent elderly Decreased dependence of the elderly and improving long-term care (LTC) as part of the Active Ageing concept is a strategic objective assumed by the Romanian Government in the National Strategy for the promotion of Active Ageing and Elder Protection 2015-2020. However, the level of formal supply of LTC services is low, and the system is fragmented across the health/social service divide, distinctions between disabled and older persons, as well as across jurisdictions with uneven access to services. A heavy burden of care provision is, therefore, falling on family members without any major support structure. Historic cultural norms of care provided by the family have more recently been stressed by strong emigration flows. </w:t>
      </w:r>
    </w:p>
    <w:p w14:paraId="614112FD" w14:textId="77777777" w:rsidR="00F11734" w:rsidRDefault="00F11734" w:rsidP="00861E59">
      <w:pPr>
        <w:pStyle w:val="Heading2"/>
        <w:spacing w:after="0" w:afterAutospacing="0"/>
      </w:pPr>
    </w:p>
    <w:p w14:paraId="1882582B" w14:textId="77777777" w:rsidR="00651ECE" w:rsidRPr="00A83FAC" w:rsidRDefault="00651ECE" w:rsidP="00861E59">
      <w:pPr>
        <w:pStyle w:val="Heading2"/>
        <w:spacing w:after="0" w:afterAutospacing="0"/>
      </w:pPr>
      <w:bookmarkStart w:id="112" w:name="_Toc531264960"/>
      <w:r w:rsidRPr="00A83FAC">
        <w:t>Public safety</w:t>
      </w:r>
      <w:bookmarkEnd w:id="112"/>
    </w:p>
    <w:p w14:paraId="5B7D1E72" w14:textId="77777777" w:rsidR="00651ECE" w:rsidRPr="00A83FAC" w:rsidRDefault="00651ECE" w:rsidP="00861E59">
      <w:pPr>
        <w:spacing w:after="0" w:line="276" w:lineRule="auto"/>
        <w:jc w:val="both"/>
        <w:rPr>
          <w:rFonts w:cs="Times New Roman"/>
          <w:sz w:val="24"/>
          <w:szCs w:val="24"/>
        </w:rPr>
      </w:pPr>
      <w:r w:rsidRPr="00A83FAC">
        <w:rPr>
          <w:rFonts w:cs="Times New Roman"/>
          <w:sz w:val="24"/>
          <w:szCs w:val="24"/>
        </w:rPr>
        <w:t xml:space="preserve">According to the National Strategy on Social Inclusion and Poverty Reduction 2015-2020 of the Ministry of </w:t>
      </w:r>
      <w:proofErr w:type="spellStart"/>
      <w:r w:rsidRPr="00A83FAC">
        <w:rPr>
          <w:rFonts w:cs="Times New Roman"/>
          <w:sz w:val="24"/>
          <w:szCs w:val="24"/>
        </w:rPr>
        <w:t>Labor</w:t>
      </w:r>
      <w:proofErr w:type="spellEnd"/>
      <w:r w:rsidRPr="00A83FAC">
        <w:rPr>
          <w:rFonts w:cs="Times New Roman"/>
          <w:sz w:val="24"/>
          <w:szCs w:val="24"/>
        </w:rPr>
        <w:t xml:space="preserve"> and Social Justice, children, elderly and citizens with disabilities represent the most vulnerable communities in Romania. From this perspective, this guideline covers general safety and security measures such as and, in particular, measures </w:t>
      </w:r>
      <w:proofErr w:type="spellStart"/>
      <w:r w:rsidRPr="00A83FAC">
        <w:rPr>
          <w:rFonts w:cs="Times New Roman"/>
          <w:sz w:val="24"/>
          <w:szCs w:val="24"/>
        </w:rPr>
        <w:t>centered</w:t>
      </w:r>
      <w:proofErr w:type="spellEnd"/>
      <w:r w:rsidRPr="00A83FAC">
        <w:rPr>
          <w:rFonts w:cs="Times New Roman"/>
          <w:sz w:val="24"/>
          <w:szCs w:val="24"/>
        </w:rPr>
        <w:t xml:space="preserve"> on vulnerable members of the human communities in Romania.</w:t>
      </w:r>
    </w:p>
    <w:p w14:paraId="6A05D76C" w14:textId="77777777" w:rsidR="00651ECE" w:rsidRPr="00A83FAC" w:rsidRDefault="00651ECE" w:rsidP="00A83FAC">
      <w:pPr>
        <w:spacing w:after="0" w:line="276" w:lineRule="auto"/>
        <w:jc w:val="both"/>
        <w:rPr>
          <w:rFonts w:eastAsia="Times New Roman" w:cs="Times New Roman"/>
          <w:b/>
          <w:bCs/>
          <w:color w:val="000000"/>
          <w:sz w:val="24"/>
          <w:szCs w:val="24"/>
          <w:lang w:eastAsia="en-GB"/>
        </w:rPr>
      </w:pPr>
    </w:p>
    <w:p w14:paraId="7D264C88" w14:textId="77777777" w:rsidR="00651ECE" w:rsidRDefault="00651ECE" w:rsidP="002950E9">
      <w:pPr>
        <w:pStyle w:val="Heading1"/>
        <w:rPr>
          <w:rFonts w:eastAsia="Times New Roman"/>
          <w:sz w:val="32"/>
          <w:szCs w:val="32"/>
          <w:lang w:eastAsia="en-GB"/>
        </w:rPr>
      </w:pPr>
      <w:bookmarkStart w:id="113" w:name="_Toc531264961"/>
      <w:r w:rsidRPr="00EB014A">
        <w:rPr>
          <w:rFonts w:eastAsia="Times New Roman"/>
          <w:sz w:val="32"/>
          <w:szCs w:val="32"/>
          <w:lang w:eastAsia="en-GB"/>
        </w:rPr>
        <w:t>Saudi Arabia</w:t>
      </w:r>
      <w:bookmarkEnd w:id="113"/>
    </w:p>
    <w:p w14:paraId="4152F8BD" w14:textId="77777777" w:rsidR="00B85DF2" w:rsidRPr="00A21E0D" w:rsidRDefault="00B85DF2" w:rsidP="00B85DF2">
      <w:pPr>
        <w:rPr>
          <w:b/>
          <w:sz w:val="24"/>
          <w:szCs w:val="24"/>
          <w:lang w:val="en-US" w:eastAsia="en-GB"/>
        </w:rPr>
      </w:pPr>
      <w:r w:rsidRPr="00A21E0D">
        <w:rPr>
          <w:b/>
          <w:sz w:val="24"/>
          <w:szCs w:val="24"/>
          <w:lang w:val="en-US" w:eastAsia="en-GB"/>
        </w:rPr>
        <w:t>Equal opportunities</w:t>
      </w:r>
    </w:p>
    <w:p w14:paraId="271D43E7" w14:textId="77777777" w:rsidR="00B85DF2" w:rsidRPr="00B85DF2" w:rsidRDefault="00B85DF2" w:rsidP="00B85DF2">
      <w:pPr>
        <w:rPr>
          <w:sz w:val="24"/>
          <w:szCs w:val="24"/>
          <w:lang w:val="en-US" w:eastAsia="en-GB"/>
        </w:rPr>
      </w:pPr>
      <w:r w:rsidRPr="00B85DF2">
        <w:rPr>
          <w:sz w:val="24"/>
          <w:szCs w:val="24"/>
          <w:lang w:val="en-US" w:eastAsia="en-GB"/>
        </w:rPr>
        <w:t xml:space="preserve">The Ministry of Education seeks to achieve the requirements associated with SDG 4 “Ensure inclusive and equitable quality education and promote lifelong learning opportunities for all”. This objective has been at the core of strategies, initiatives and programs launched by the Ministry in various areas. Key among these are; </w:t>
      </w:r>
      <w:r w:rsidR="00B9680A">
        <w:rPr>
          <w:rStyle w:val="FootnoteReference"/>
          <w:sz w:val="24"/>
          <w:szCs w:val="24"/>
          <w:lang w:val="en-US" w:eastAsia="en-GB"/>
        </w:rPr>
        <w:footnoteReference w:id="37"/>
      </w:r>
    </w:p>
    <w:p w14:paraId="28C2B535" w14:textId="77777777" w:rsidR="00B85DF2" w:rsidRPr="00B85DF2" w:rsidRDefault="00B85DF2" w:rsidP="00B85DF2">
      <w:pPr>
        <w:rPr>
          <w:b/>
          <w:sz w:val="24"/>
          <w:szCs w:val="24"/>
          <w:lang w:val="en-US" w:eastAsia="en-GB"/>
        </w:rPr>
      </w:pPr>
      <w:r w:rsidRPr="00B85DF2">
        <w:rPr>
          <w:b/>
          <w:sz w:val="24"/>
          <w:szCs w:val="24"/>
          <w:lang w:val="en-US" w:eastAsia="en-GB"/>
        </w:rPr>
        <w:t>Special needs education</w:t>
      </w:r>
    </w:p>
    <w:p w14:paraId="50AE863F" w14:textId="77777777" w:rsidR="00651ECE" w:rsidRPr="00A83FAC" w:rsidRDefault="00651ECE" w:rsidP="00A83FAC">
      <w:pPr>
        <w:pStyle w:val="ListParagraph"/>
        <w:numPr>
          <w:ilvl w:val="0"/>
          <w:numId w:val="19"/>
        </w:numPr>
        <w:spacing w:line="276" w:lineRule="auto"/>
        <w:jc w:val="both"/>
        <w:rPr>
          <w:rFonts w:cs="Times New Roman"/>
          <w:sz w:val="24"/>
          <w:szCs w:val="24"/>
        </w:rPr>
      </w:pPr>
      <w:r w:rsidRPr="00A83FAC">
        <w:rPr>
          <w:rFonts w:cs="Times New Roman"/>
          <w:sz w:val="24"/>
          <w:szCs w:val="24"/>
        </w:rPr>
        <w:t xml:space="preserve">Development of special education, through </w:t>
      </w:r>
      <w:r w:rsidR="007B6AA1" w:rsidRPr="00A83FAC">
        <w:rPr>
          <w:rFonts w:cs="Times New Roman"/>
          <w:sz w:val="24"/>
          <w:szCs w:val="24"/>
        </w:rPr>
        <w:t xml:space="preserve">the </w:t>
      </w:r>
      <w:r w:rsidRPr="00A83FAC">
        <w:rPr>
          <w:rFonts w:cs="Times New Roman"/>
          <w:sz w:val="24"/>
          <w:szCs w:val="24"/>
        </w:rPr>
        <w:t xml:space="preserve">development of a national strategy for the education of people with disabilities. </w:t>
      </w:r>
    </w:p>
    <w:p w14:paraId="5261107A" w14:textId="77777777" w:rsidR="00651ECE" w:rsidRPr="00A83FAC" w:rsidRDefault="00651ECE" w:rsidP="00A83FAC">
      <w:pPr>
        <w:pStyle w:val="ListParagraph"/>
        <w:numPr>
          <w:ilvl w:val="0"/>
          <w:numId w:val="19"/>
        </w:numPr>
        <w:spacing w:line="276" w:lineRule="auto"/>
        <w:jc w:val="both"/>
        <w:rPr>
          <w:rFonts w:cs="Times New Roman"/>
          <w:sz w:val="24"/>
          <w:szCs w:val="24"/>
        </w:rPr>
      </w:pPr>
      <w:r w:rsidRPr="00A83FAC">
        <w:rPr>
          <w:rFonts w:cs="Times New Roman"/>
          <w:sz w:val="24"/>
          <w:szCs w:val="24"/>
        </w:rPr>
        <w:t xml:space="preserve">Creation of a national centre for special education, in cooperation with the private sector. The </w:t>
      </w:r>
      <w:proofErr w:type="spellStart"/>
      <w:r w:rsidRPr="00A83FAC">
        <w:rPr>
          <w:rFonts w:cs="Times New Roman"/>
          <w:sz w:val="24"/>
          <w:szCs w:val="24"/>
        </w:rPr>
        <w:t>center</w:t>
      </w:r>
      <w:proofErr w:type="spellEnd"/>
      <w:r w:rsidRPr="00A83FAC">
        <w:rPr>
          <w:rFonts w:cs="Times New Roman"/>
          <w:sz w:val="24"/>
          <w:szCs w:val="24"/>
        </w:rPr>
        <w:t xml:space="preserve"> will provide integrated high-quality education and training to students with disabilities, along with their teachers and families.</w:t>
      </w:r>
    </w:p>
    <w:p w14:paraId="70C2003E" w14:textId="77777777" w:rsidR="00651ECE" w:rsidRPr="002950E9" w:rsidRDefault="00651ECE" w:rsidP="00A83FAC">
      <w:pPr>
        <w:pStyle w:val="ListParagraph"/>
        <w:numPr>
          <w:ilvl w:val="0"/>
          <w:numId w:val="19"/>
        </w:numPr>
        <w:spacing w:line="276" w:lineRule="auto"/>
        <w:jc w:val="both"/>
        <w:rPr>
          <w:rFonts w:cs="Times New Roman"/>
          <w:sz w:val="24"/>
          <w:szCs w:val="24"/>
        </w:rPr>
      </w:pPr>
      <w:r w:rsidRPr="00A83FAC">
        <w:rPr>
          <w:rFonts w:cs="Times New Roman"/>
          <w:sz w:val="24"/>
          <w:szCs w:val="24"/>
        </w:rPr>
        <w:t>School transportation for special education students of with motor disability.</w:t>
      </w:r>
    </w:p>
    <w:p w14:paraId="5D904840" w14:textId="77777777" w:rsidR="00651ECE" w:rsidRPr="00EB014A" w:rsidRDefault="00651ECE" w:rsidP="002950E9">
      <w:pPr>
        <w:pStyle w:val="Heading1"/>
        <w:rPr>
          <w:rFonts w:eastAsia="Times New Roman"/>
          <w:sz w:val="32"/>
          <w:szCs w:val="32"/>
          <w:lang w:eastAsia="en-GB"/>
        </w:rPr>
      </w:pPr>
      <w:bookmarkStart w:id="114" w:name="_Toc531264962"/>
      <w:r w:rsidRPr="00EB014A">
        <w:rPr>
          <w:rFonts w:eastAsia="Times New Roman"/>
          <w:sz w:val="32"/>
          <w:szCs w:val="32"/>
          <w:lang w:eastAsia="en-GB"/>
        </w:rPr>
        <w:t>Singapore</w:t>
      </w:r>
      <w:bookmarkEnd w:id="114"/>
    </w:p>
    <w:p w14:paraId="0330B7AA" w14:textId="77777777" w:rsidR="00651ECE" w:rsidRPr="00A83FAC" w:rsidRDefault="00651ECE" w:rsidP="00A83FAC">
      <w:pPr>
        <w:spacing w:line="276" w:lineRule="auto"/>
        <w:jc w:val="both"/>
        <w:rPr>
          <w:rFonts w:cs="Times New Roman"/>
          <w:sz w:val="24"/>
          <w:szCs w:val="24"/>
        </w:rPr>
      </w:pPr>
      <w:proofErr w:type="spellStart"/>
      <w:r w:rsidRPr="00A83FAC">
        <w:rPr>
          <w:rFonts w:cs="Times New Roman"/>
          <w:sz w:val="24"/>
          <w:szCs w:val="24"/>
        </w:rPr>
        <w:t>ComCare</w:t>
      </w:r>
      <w:proofErr w:type="spellEnd"/>
      <w:r w:rsidRPr="00A83FAC">
        <w:rPr>
          <w:rFonts w:cs="Times New Roman"/>
          <w:sz w:val="24"/>
          <w:szCs w:val="24"/>
        </w:rPr>
        <w:t xml:space="preserve"> provides assistance to low-income Singaporeans to meet their basic needs.</w:t>
      </w:r>
      <w:r w:rsidR="00B9680A">
        <w:rPr>
          <w:rStyle w:val="FootnoteReference"/>
          <w:rFonts w:cs="Times New Roman"/>
          <w:sz w:val="24"/>
          <w:szCs w:val="24"/>
        </w:rPr>
        <w:footnoteReference w:id="38"/>
      </w:r>
      <w:r w:rsidRPr="00A83FAC">
        <w:rPr>
          <w:rFonts w:cs="Times New Roman"/>
          <w:sz w:val="24"/>
          <w:szCs w:val="24"/>
        </w:rPr>
        <w:t xml:space="preserve"> There are four </w:t>
      </w:r>
      <w:proofErr w:type="spellStart"/>
      <w:r w:rsidRPr="00A83FAC">
        <w:rPr>
          <w:rFonts w:cs="Times New Roman"/>
          <w:sz w:val="24"/>
          <w:szCs w:val="24"/>
        </w:rPr>
        <w:t>ComCare</w:t>
      </w:r>
      <w:proofErr w:type="spellEnd"/>
      <w:r w:rsidRPr="00A83FAC">
        <w:rPr>
          <w:rFonts w:cs="Times New Roman"/>
          <w:sz w:val="24"/>
          <w:szCs w:val="24"/>
        </w:rPr>
        <w:t xml:space="preserve"> schemes: Short-to-Medium-Term Assistance (SMTA), Long-Term Assistance (LTA), </w:t>
      </w:r>
      <w:proofErr w:type="spellStart"/>
      <w:r w:rsidRPr="00A83FAC">
        <w:rPr>
          <w:rFonts w:cs="Times New Roman"/>
          <w:sz w:val="24"/>
          <w:szCs w:val="24"/>
        </w:rPr>
        <w:t>ComCare</w:t>
      </w:r>
      <w:proofErr w:type="spellEnd"/>
      <w:r w:rsidRPr="00A83FAC">
        <w:rPr>
          <w:rFonts w:cs="Times New Roman"/>
          <w:sz w:val="24"/>
          <w:szCs w:val="24"/>
        </w:rPr>
        <w:t xml:space="preserve"> Interim Assistance, and Student Care Fee Assistance. SMTA targets low-income families and individuals who are temporarily unable to work (e.g. due to illness, </w:t>
      </w:r>
      <w:r w:rsidR="00397AD6" w:rsidRPr="00A83FAC">
        <w:rPr>
          <w:rFonts w:cs="Times New Roman"/>
          <w:sz w:val="24"/>
          <w:szCs w:val="24"/>
        </w:rPr>
        <w:t>care giving</w:t>
      </w:r>
      <w:r w:rsidRPr="00A83FAC">
        <w:rPr>
          <w:rFonts w:cs="Times New Roman"/>
          <w:sz w:val="24"/>
          <w:szCs w:val="24"/>
        </w:rPr>
        <w:t xml:space="preserve"> responsibilities), and those who are unemployed and need temporary financial support while they seek employment. LTA targets individuals who are unable to work due to old age, long-term illness, </w:t>
      </w:r>
      <w:r w:rsidR="001634F8" w:rsidRPr="00A83FAC">
        <w:rPr>
          <w:rFonts w:cs="Times New Roman"/>
          <w:sz w:val="24"/>
          <w:szCs w:val="24"/>
        </w:rPr>
        <w:t>and disability</w:t>
      </w:r>
      <w:r w:rsidRPr="00A83FAC">
        <w:rPr>
          <w:rFonts w:cs="Times New Roman"/>
          <w:sz w:val="24"/>
          <w:szCs w:val="24"/>
        </w:rPr>
        <w:t>, have limited or no means of income, and have little or no family support. Assistance such as cash grants, r</w:t>
      </w:r>
      <w:r w:rsidR="001634F8" w:rsidRPr="00A83FAC">
        <w:rPr>
          <w:rFonts w:cs="Times New Roman"/>
          <w:sz w:val="24"/>
          <w:szCs w:val="24"/>
        </w:rPr>
        <w:t>ental, utility</w:t>
      </w:r>
      <w:r w:rsidRPr="00A83FAC">
        <w:rPr>
          <w:rFonts w:cs="Times New Roman"/>
          <w:sz w:val="24"/>
          <w:szCs w:val="24"/>
        </w:rPr>
        <w:t xml:space="preserve"> assistance, medical assistance, and employment assistance may be provided based on the assessed needs of the individual. Individuals are also linked up with other services, such as Family Service Centres (FSCs), Medical Social Workers at Public Healthcare Institutions, Senior Activity Centres, or affiliated agencies for further social support as needed.</w:t>
      </w:r>
    </w:p>
    <w:p w14:paraId="7F02A442"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Singapore has also introduced the Nominated Member of Parliament (NMP) scheme to promote political inclusion of all Singaporeans, including those who may be potentially disadvantaged and </w:t>
      </w:r>
      <w:r w:rsidRPr="00A83FAC">
        <w:rPr>
          <w:rFonts w:cs="Times New Roman"/>
          <w:sz w:val="24"/>
          <w:szCs w:val="24"/>
        </w:rPr>
        <w:lastRenderedPageBreak/>
        <w:t xml:space="preserve">marginalised. NMPs represent the varied interests of different groups of Singaporeans. For example, NMP Ms Chia Yong </w:t>
      </w:r>
      <w:proofErr w:type="spellStart"/>
      <w:r w:rsidRPr="00A83FAC">
        <w:rPr>
          <w:rFonts w:cs="Times New Roman"/>
          <w:sz w:val="24"/>
          <w:szCs w:val="24"/>
        </w:rPr>
        <w:t>Yong</w:t>
      </w:r>
      <w:proofErr w:type="spellEnd"/>
      <w:r w:rsidRPr="00A83FAC">
        <w:rPr>
          <w:rFonts w:cs="Times New Roman"/>
          <w:sz w:val="24"/>
          <w:szCs w:val="24"/>
        </w:rPr>
        <w:t>, who is also the President of the SPD, has spoken in Parliament to champion issues concerning the welfare of persons with disabilities.</w:t>
      </w:r>
    </w:p>
    <w:p w14:paraId="23647E54"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Singapore has also introduced various policies to ensure that all Singaporeans are empowered to achieve their fullest potential. This includes our Third Enabling Masterplan (2017 - 2021), which looks at improving the quality of life of persons with disabilities, supporting their caregivers, and building a community that is more caring and inclusive. The Masterplan was endorsed by a Steering </w:t>
      </w:r>
      <w:r w:rsidR="00F34E2F" w:rsidRPr="00A83FAC">
        <w:rPr>
          <w:rFonts w:cs="Times New Roman"/>
          <w:sz w:val="24"/>
          <w:szCs w:val="24"/>
        </w:rPr>
        <w:t>Committee that</w:t>
      </w:r>
      <w:r w:rsidRPr="00A83FAC">
        <w:rPr>
          <w:rFonts w:cs="Times New Roman"/>
          <w:sz w:val="24"/>
          <w:szCs w:val="24"/>
        </w:rPr>
        <w:t xml:space="preserve"> included key stakeholders such as persons with disabilities, caregivers, </w:t>
      </w:r>
      <w:r w:rsidR="00F34E2F" w:rsidRPr="00A83FAC">
        <w:rPr>
          <w:rFonts w:cs="Times New Roman"/>
          <w:sz w:val="24"/>
          <w:szCs w:val="24"/>
        </w:rPr>
        <w:t>and professionals</w:t>
      </w:r>
      <w:r w:rsidRPr="00A83FAC">
        <w:rPr>
          <w:rFonts w:cs="Times New Roman"/>
          <w:sz w:val="24"/>
          <w:szCs w:val="24"/>
        </w:rPr>
        <w:t xml:space="preserve"> in the disability field, voluntary welfare organisations, and Government agencies.</w:t>
      </w:r>
    </w:p>
    <w:p w14:paraId="614F1AC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Inclusive Transport We continue to put in measures to guarantee the accessibility of public transport to all, including the elderly, disabled, visually-handicapped, and families with young children. Since 2006, all our train stations have been equipped with at least one barrier-free entrance with a lift, a tactile guidance system, and wheelchair-accessible toilets. More than 85% of train stations now have barrier-free access routes from the station entrance to the station platforms. Priority queue zones for passengers in need for boarding of trains, public buses and lifts were introduced in 2015, and have been implemented in 20 train stations and nine bus interchanges to date. Since April 2017, our public buses are also equipped to allow parents to board with children in open strollers. By 2020, all public buses will be wheelchair-accessible.</w:t>
      </w:r>
    </w:p>
    <w:p w14:paraId="32C34253"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Safer Streets To make our streets safer for the elderly and persons with disabilities, 50 “Silver Zones” will be implemented by 2023 in areas with high senior resident populations, amenities which seniors frequent, or higher accident rates involving senior pedestrians. Silver Zones have road safety features, such as lower speed limits, centre dividers, and road humps and chicanes that slow down motorists and remind them to look out for pedestrians. To date, 15 Silver Zones have been completed.</w:t>
      </w:r>
    </w:p>
    <w:p w14:paraId="07D43190" w14:textId="77777777" w:rsidR="00651ECE" w:rsidRPr="00EB014A" w:rsidRDefault="00651ECE" w:rsidP="00024C4E">
      <w:pPr>
        <w:pStyle w:val="Heading1"/>
        <w:rPr>
          <w:rFonts w:eastAsia="Times New Roman"/>
          <w:sz w:val="32"/>
          <w:szCs w:val="32"/>
          <w:lang w:eastAsia="en-GB"/>
        </w:rPr>
      </w:pPr>
      <w:bookmarkStart w:id="115" w:name="_Toc531264963"/>
      <w:r w:rsidRPr="00EB014A">
        <w:rPr>
          <w:rFonts w:eastAsia="Times New Roman"/>
          <w:sz w:val="32"/>
          <w:szCs w:val="32"/>
          <w:lang w:eastAsia="en-GB"/>
        </w:rPr>
        <w:t>Spain</w:t>
      </w:r>
      <w:bookmarkEnd w:id="115"/>
    </w:p>
    <w:p w14:paraId="727E18C2"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an outstanding exercise of shared construction, on 9 April the Congress of Deputies hosted the most important event in this process, organized by thirteen networks and platforms, three nationwide trade unions, twenty-five civil society organizations and four university research institutes and study centres.</w:t>
      </w:r>
      <w:r w:rsidR="003F37C1">
        <w:rPr>
          <w:rStyle w:val="FootnoteReference"/>
          <w:rFonts w:cs="Times New Roman"/>
          <w:sz w:val="24"/>
          <w:szCs w:val="24"/>
        </w:rPr>
        <w:footnoteReference w:id="39"/>
      </w:r>
      <w:r w:rsidRPr="00A83FAC">
        <w:rPr>
          <w:rFonts w:cs="Times New Roman"/>
          <w:sz w:val="24"/>
          <w:szCs w:val="24"/>
        </w:rPr>
        <w:t xml:space="preserve"> Noteworthy among these organizations is the Third-Sector Platform, which includes Spain’s Volunteering Platform, the European Anti-Poverty Network in Spain, the Social Action NGO Platform, the Spanish Committee of Representatives of Persons with Disabilities,</w:t>
      </w:r>
    </w:p>
    <w:p w14:paraId="6A88B433" w14:textId="77777777" w:rsidR="00651ECE" w:rsidRPr="00A83FAC" w:rsidRDefault="00651ECE" w:rsidP="00024C4E">
      <w:pPr>
        <w:pStyle w:val="Heading2"/>
        <w:spacing w:after="0" w:afterAutospacing="0"/>
      </w:pPr>
      <w:bookmarkStart w:id="116" w:name="_Toc531264964"/>
      <w:r w:rsidRPr="00A83FAC">
        <w:t xml:space="preserve">Organized civil society: </w:t>
      </w:r>
      <w:proofErr w:type="spellStart"/>
      <w:r w:rsidRPr="00A83FAC">
        <w:t>FuturoenComún’s</w:t>
      </w:r>
      <w:proofErr w:type="spellEnd"/>
      <w:r w:rsidRPr="00A83FAC">
        <w:t xml:space="preserve"> vision of the Action Plan</w:t>
      </w:r>
      <w:bookmarkEnd w:id="116"/>
    </w:p>
    <w:p w14:paraId="1975EDC2" w14:textId="77777777" w:rsidR="00651ECE" w:rsidRPr="00A83FAC" w:rsidRDefault="00651ECE" w:rsidP="00024C4E">
      <w:pPr>
        <w:spacing w:after="0" w:line="276" w:lineRule="auto"/>
        <w:jc w:val="both"/>
        <w:rPr>
          <w:rFonts w:cs="Times New Roman"/>
          <w:sz w:val="24"/>
          <w:szCs w:val="24"/>
        </w:rPr>
      </w:pPr>
      <w:proofErr w:type="spellStart"/>
      <w:r w:rsidRPr="00A83FAC">
        <w:rPr>
          <w:rFonts w:cs="Times New Roman"/>
          <w:sz w:val="24"/>
          <w:szCs w:val="24"/>
        </w:rPr>
        <w:t>Futuroen</w:t>
      </w:r>
      <w:proofErr w:type="spellEnd"/>
      <w:r w:rsidR="00397AD6">
        <w:rPr>
          <w:rFonts w:cs="Times New Roman"/>
          <w:sz w:val="24"/>
          <w:szCs w:val="24"/>
        </w:rPr>
        <w:t xml:space="preserve"> </w:t>
      </w:r>
      <w:proofErr w:type="spellStart"/>
      <w:r w:rsidRPr="00A83FAC">
        <w:rPr>
          <w:rFonts w:cs="Times New Roman"/>
          <w:sz w:val="24"/>
          <w:szCs w:val="24"/>
        </w:rPr>
        <w:t>Común</w:t>
      </w:r>
      <w:proofErr w:type="spellEnd"/>
      <w:r w:rsidRPr="00A83FAC">
        <w:rPr>
          <w:rFonts w:cs="Times New Roman"/>
          <w:sz w:val="24"/>
          <w:szCs w:val="24"/>
        </w:rPr>
        <w:t xml:space="preserve"> is an innovative inter-sector dialogue platform, working towards sustainable development, human rights and the strengthening of the civic democratic space. It comprises more than 50 organizations with different focuses, including the environment, human rights, social action, feminism, childhood, disability, alternative economy, human mobility, and labour issues. It works using a systemic, cross-cutting approach, to generate proposals for policy change, awareness-raising and mobilization.</w:t>
      </w:r>
    </w:p>
    <w:p w14:paraId="5C2EEE29"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lastRenderedPageBreak/>
        <w:t>In the near future, further measures expected include the prompt adoption of the 2017-2020 National Strategy to Prevent and Reduce Poverty and Social Exclusion, as well as the continuation of the Action Plan within the 2014-2020 Spanish Strategy for Persons with Disability. In addition, the ongoing 2015-2020 Comprehensive National Strategy for Homeless Persons will be further developed, and a new Strategic Plan for Equal Opportunities will aim to reduce the inequalities between women and men that persist in employment and in the economy.</w:t>
      </w:r>
    </w:p>
    <w:p w14:paraId="0F738E10"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Spain’s Health Ministry has expressed its willingness to contribute to mainstreaming the contents of the 2030 Agenda in the field of public health and to help achieve the progressive implementation of the “health in all policies” goal, seeking to act not only in disease prevention but also in promoting individual and collective health within the healthiest possible environment. It has been affirmed that the definition made of public health should integrate all the dimensions of the 2030 Agenda: social, economic, environmental and governance. These dimensions are determinants of the population’s health (in addition to the biological concept and the focus adopted within the healthcare services). Therefore, in the health sector, these dimensions should all be addressed as a natural and harmonious part of public policies regarding health care. In addition, social well-being must be taken into account, with special concern for particularly vulnerable areas of the population such as persons with disabilities and the elderly. </w:t>
      </w:r>
    </w:p>
    <w:p w14:paraId="5F1DB641"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Furthermore, measures should be adopted to prevent and respond appropriately to disabilities, reducing their impact on individual health, and promoting quality of life and integration into the activities of </w:t>
      </w:r>
      <w:r w:rsidR="002C316E" w:rsidRPr="00A83FAC">
        <w:rPr>
          <w:rFonts w:cs="Times New Roman"/>
          <w:sz w:val="24"/>
          <w:szCs w:val="24"/>
        </w:rPr>
        <w:t xml:space="preserve">the </w:t>
      </w:r>
      <w:r w:rsidRPr="00A83FAC">
        <w:rPr>
          <w:rFonts w:cs="Times New Roman"/>
          <w:sz w:val="24"/>
          <w:szCs w:val="24"/>
        </w:rPr>
        <w:t>society. Moreover, the need for preventive measures should not be limited to individual interventions. The social sphere exerts a decisive influence on the life of individuals, and so interventions in this area must also adopt a collective scope, and therefore address a much more extensive and heterogeneous environment. Finally, making all levels of the health system more inclusive and accessible to persons with disabilities will also reduce inequalities and unmet health needs (WHO World Report on Disability, 2011).</w:t>
      </w:r>
    </w:p>
    <w:p w14:paraId="11E5CF8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Statistics published by the Ministry of Education, Culture and Sports for the academic year 2015-16 show that students receiving support for special educational needs accounted for 2.6% of the total student population and that 83.0% of them attended conventional schools and institutions, although there is some variability in the rate of integration according to the type of disability presented. Thus, among students with visual disability or behavioural/personality disorders, integration rates of 95.1% and 96.8%, respectively, have been achieved. It can be concluded, therefore, that students with special educational needs are normally incorporated into conventional schools, where they are given the necessary support for effective inclusion, as required under the UN Convention on the Rights of Persons with Disabilities, which was ratified by Spain in 2008. </w:t>
      </w:r>
    </w:p>
    <w:p w14:paraId="385747CF"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Children with disabilities need effective technical, material and human support. The lack of such support has a significant negative impact on their daily activities, both in the classroom and in after-school activities. Apart from academic questions, the issue of these students’ coexistence with their peers must be addressed, recognizing that situations of bullying may arise and must be eradicated.</w:t>
      </w:r>
    </w:p>
    <w:p w14:paraId="076A9AE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Nevertheless, our society is still confronted with fundamental challenges to real and effective equality. Despite the notional equality declared in the Constitution and in our legal system, and the </w:t>
      </w:r>
      <w:r w:rsidRPr="00A83FAC">
        <w:rPr>
          <w:rFonts w:cs="Times New Roman"/>
          <w:sz w:val="24"/>
          <w:szCs w:val="24"/>
        </w:rPr>
        <w:lastRenderedPageBreak/>
        <w:t xml:space="preserve">significant progress made in recent years, discrimination persists, ranging from the most extreme forms—such as those suffered by women who are victims of violence—to those which are less perceptible but suffered every day, in all areas. Accordingly, it is essential to assist those who are victims of multiple discrimination (a population group that is too often ignored), such as women and girls with disabilities. </w:t>
      </w:r>
    </w:p>
    <w:p w14:paraId="1FC56D6E"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The most serious manifestation of inequality between women and men is undoubtedly that of gender violence. Since 2012 the existence of disability has also been taken into consideration. Thus, between 2012 and July 2017, 26 persons with disabilities were killed. In 2017, 13,500 complaints of gender violence were recorded, which highlights the urgent and continuing need for Spain to address the question of violence against women.</w:t>
      </w:r>
    </w:p>
    <w:p w14:paraId="7403E2CF"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Disability is another factor that heightens women’s risk of social exclusion, in areas such as health conditions, access to education, justice and employment, and in their level of participation in the society of which they are part. Jointly, these aspects can produce the phenomenon of multiple discrimination, placing women with disabilities in a position of even greater vulnerability to violence and limitations to their sexual and reproductive rights, as well as exacerbating inequalities in social issues, education, employment, and health.</w:t>
      </w:r>
    </w:p>
    <w:p w14:paraId="542114D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The most notable feature of the population sector comprising persons with disabilities (SDG indicators 8.5.1 and 8.5.2.)—which in 2016 included more than 1.84 million persons aged between 16 and 64—is their low level of participation in the labour market. Their activity rate is lower than that of the population as a whole, although it has risen during the last three years. In the same line, unemployment among those with disabilities has fallen since 2014; nevertheless, it continues to be notably higher than the overall rate. The proportion of those in work has also grown in recent years. There is almost no gender gap between men and women with disabilities; thus, the unemployment rate among women with disabilities is only one point higher than that for men.</w:t>
      </w:r>
    </w:p>
    <w:p w14:paraId="1429367A"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SDG 10 seeks to reduce the inequality caused by factors such as sex, age, disability, race, ethnicity and religion, both within Spain and among countries, through the adoption of relevant policies and legislation. Special attention will be paid to the case of persons with disabilities, who experience significant financial inequality due to the additional expenses their condition provokes in daily life, such as those of the technical means and support needed to ensure personal autonomy and independent living. This SDG also aims to improve the regulation and control of financial markets and institutions.</w:t>
      </w:r>
    </w:p>
    <w:p w14:paraId="0C1BACE8" w14:textId="77777777" w:rsidR="00651ECE" w:rsidRPr="00A83FAC" w:rsidRDefault="00651ECE" w:rsidP="00A83FAC">
      <w:pPr>
        <w:spacing w:line="276" w:lineRule="auto"/>
        <w:jc w:val="both"/>
        <w:rPr>
          <w:rFonts w:cs="Times New Roman"/>
          <w:sz w:val="24"/>
          <w:szCs w:val="24"/>
        </w:rPr>
      </w:pPr>
      <w:bookmarkStart w:id="117" w:name="_Toc531264965"/>
      <w:r w:rsidRPr="00024C4E">
        <w:rPr>
          <w:rStyle w:val="Heading2Char"/>
        </w:rPr>
        <w:t>The challenge of accessibility</w:t>
      </w:r>
      <w:bookmarkEnd w:id="117"/>
      <w:r w:rsidRPr="00A83FAC">
        <w:rPr>
          <w:rFonts w:cs="Times New Roman"/>
          <w:b/>
          <w:sz w:val="24"/>
          <w:szCs w:val="24"/>
        </w:rPr>
        <w:t>.</w:t>
      </w:r>
      <w:r w:rsidRPr="00A83FAC">
        <w:rPr>
          <w:rFonts w:cs="Times New Roman"/>
          <w:sz w:val="24"/>
          <w:szCs w:val="24"/>
        </w:rPr>
        <w:t xml:space="preserve"> Cities are increasingly working to adapt their infrastructures and services to people with disabilities. Issues such as urban constructions, public spaces, transport, housing and related infrastructure, information and communication are of crucial importance in determining the accessibility or otherwise of a city, an issue that presents a significant challenge to the provision of social inclusion. Investments in accessibility always generate multiple benefits that are enjoyed by all citizens, regardless of whether they have a disability.</w:t>
      </w:r>
    </w:p>
    <w:p w14:paraId="1CC4F7CE"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In the regulatory field, Act 9/2017, of 8 November, on public sector contracts (transposing EU Directive 2014/24 on public procurement into domestic law) has as a fundamental goal that of clarifying the regulations in force, to enhance legal security and to ensure that public procurement is </w:t>
      </w:r>
      <w:r w:rsidRPr="00A83FAC">
        <w:rPr>
          <w:rFonts w:cs="Times New Roman"/>
          <w:sz w:val="24"/>
          <w:szCs w:val="24"/>
        </w:rPr>
        <w:lastRenderedPageBreak/>
        <w:t xml:space="preserve">used as an instrument favouring EU and national policies regarding environmental issues, as well as in the social field (hiring persons with disabilities and at risk of exclusion) and in ethical matters (such as ensuring respect for human rights throughout the production chain, as supported by the Fair Trade movement). In the general context of reducing inequality, the promotion of equal access to justice represents a further element of social cohesion. Indeed, it is the basis of a democratic society, because economic, social or educational vulnerability should never be an obstacle to citizens’ obtaining the legal protection of the State. Thus, the free legal aid system has been reformed so that disadvantaged groups, such as victims of gender violence, terrorism and trafficking in human beings, and minors and disabled persons who are victims of mistreatment, may benefit from it. </w:t>
      </w:r>
    </w:p>
    <w:p w14:paraId="4B63642A"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With respect to persons with disabilities, particular concern has been raised about the rising number of hate crimes committed against those with </w:t>
      </w:r>
      <w:r w:rsidR="00B16B9E" w:rsidRPr="00A83FAC">
        <w:rPr>
          <w:rFonts w:cs="Times New Roman"/>
          <w:sz w:val="24"/>
          <w:szCs w:val="24"/>
        </w:rPr>
        <w:t xml:space="preserve">a </w:t>
      </w:r>
      <w:r w:rsidRPr="00A83FAC">
        <w:rPr>
          <w:rFonts w:cs="Times New Roman"/>
          <w:sz w:val="24"/>
          <w:szCs w:val="24"/>
        </w:rPr>
        <w:t xml:space="preserve">disability. This worrying situation was reported in the 2017 </w:t>
      </w:r>
      <w:proofErr w:type="spellStart"/>
      <w:r w:rsidRPr="00A83FAC">
        <w:rPr>
          <w:rFonts w:cs="Times New Roman"/>
          <w:sz w:val="24"/>
          <w:szCs w:val="24"/>
        </w:rPr>
        <w:t>Ombuds</w:t>
      </w:r>
      <w:proofErr w:type="spellEnd"/>
      <w:r w:rsidRPr="00A83FAC">
        <w:rPr>
          <w:rFonts w:cs="Times New Roman"/>
          <w:sz w:val="24"/>
          <w:szCs w:val="24"/>
        </w:rPr>
        <w:t xml:space="preserve"> Annual Report, together with difficulties in securing access to justice for women with disabilities and for persons with intellectual disabilities. Nevertheless, the Report acknowledges improvements in police treatment towards persons with an intellectual disability who may have suffered criminal victimization (intervention as a witness during the police process, procedural adaptations to ensure access to justice under equal conditions, etc.).</w:t>
      </w:r>
    </w:p>
    <w:p w14:paraId="3F06804A"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Going forward, planned measures include the upcoming approval of the 2017-2020 National Strategy to Prevent and Combat Poverty and Social Exclusion, as well as monitoring of the 20142020 Spanish Disability Strategy Action Plan. Furthermore, there is already a 2015-2020 Comprehensive National Strategy for Homeless People, which will be further developed. Also, the Strategic Plan for Equal Opportunities will address reducing the inequalities that still exist between women and men in employment and the economy as a whole.</w:t>
      </w:r>
    </w:p>
    <w:p w14:paraId="7774795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 2016, the highest percentage of women at risk of poverty or social exclusion in Spain was in unemployed women (59.5%), and the second highest percentage was in non-working women (32.7%). In 2016, among men, the highest percentage in Spain was in unemployed men (70.9%), and the second highest percentage was in non-working men (46.8%). Given that the unemployment rate among people with disabilities in 2016 was 9.1pp higher than that for those who have no disabilities, and that the participation rate was 42.8pp lower than that for those who have no disabilities, people with disabilities are one of the groups at the greatest risk of poverty or social exclusion.</w:t>
      </w:r>
    </w:p>
    <w:p w14:paraId="4A5FCC02"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It is also important to highlight that the risk of financial problems for families with minors, which is particularly high when one or more have disabilities, is notably higher than in any other form of family. The social exclusion rate for households in Spain is 1.5 times higher when families include minors aged under 18 and is 2.5 times higher in large families. This problem is especially serious in terms of breaking the vicious circle of poverty. As the report on Inter-Generational Transfer of Poverty (FOESSA, 2016) states, 8 out of 10 people who experienced severe financial difficulties in their childhood or adolescence, repeat the experience as adults.</w:t>
      </w:r>
    </w:p>
    <w:p w14:paraId="582234A1" w14:textId="77777777" w:rsidR="00651ECE" w:rsidRPr="00EB014A" w:rsidRDefault="00651ECE" w:rsidP="00024C4E">
      <w:pPr>
        <w:pStyle w:val="Heading1"/>
        <w:rPr>
          <w:rFonts w:eastAsia="Times New Roman"/>
          <w:sz w:val="32"/>
          <w:szCs w:val="32"/>
          <w:lang w:eastAsia="en-GB"/>
        </w:rPr>
      </w:pPr>
      <w:bookmarkStart w:id="118" w:name="_Toc531264966"/>
      <w:r w:rsidRPr="00EB014A">
        <w:rPr>
          <w:rFonts w:eastAsia="Times New Roman"/>
          <w:sz w:val="32"/>
          <w:szCs w:val="32"/>
          <w:lang w:eastAsia="en-GB"/>
        </w:rPr>
        <w:t>Sri Lanka</w:t>
      </w:r>
      <w:bookmarkEnd w:id="118"/>
    </w:p>
    <w:p w14:paraId="3349DE67" w14:textId="7D3608E7" w:rsidR="00AB7350" w:rsidRPr="00A83FAC" w:rsidRDefault="00AB7350" w:rsidP="00A83FAC">
      <w:pPr>
        <w:spacing w:line="276" w:lineRule="auto"/>
        <w:jc w:val="both"/>
        <w:rPr>
          <w:rFonts w:cs="Times New Roman"/>
          <w:color w:val="222222"/>
          <w:sz w:val="24"/>
          <w:szCs w:val="24"/>
          <w:lang w:val="en-US"/>
        </w:rPr>
      </w:pPr>
      <w:bookmarkStart w:id="119" w:name="_Toc531264967"/>
      <w:r w:rsidRPr="00024C4E">
        <w:rPr>
          <w:rStyle w:val="Heading2Char"/>
        </w:rPr>
        <w:t xml:space="preserve">Social </w:t>
      </w:r>
      <w:r w:rsidR="006C0A36">
        <w:rPr>
          <w:rStyle w:val="Heading2Char"/>
        </w:rPr>
        <w:t>p</w:t>
      </w:r>
      <w:r w:rsidRPr="00024C4E">
        <w:rPr>
          <w:rStyle w:val="Heading2Char"/>
        </w:rPr>
        <w:t>rotection</w:t>
      </w:r>
      <w:bookmarkEnd w:id="119"/>
      <w:r w:rsidRPr="00A83FAC">
        <w:rPr>
          <w:rFonts w:cs="Times New Roman"/>
          <w:color w:val="222222"/>
          <w:sz w:val="24"/>
          <w:szCs w:val="24"/>
        </w:rPr>
        <w:t xml:space="preserve">: There are a large number of social protection programmes implemented by Government agencies targeted towards the poor and other vulnerable groups like elderly, persons </w:t>
      </w:r>
      <w:r w:rsidRPr="00A83FAC">
        <w:rPr>
          <w:rFonts w:cs="Times New Roman"/>
          <w:color w:val="222222"/>
          <w:sz w:val="24"/>
          <w:szCs w:val="24"/>
        </w:rPr>
        <w:lastRenderedPageBreak/>
        <w:t>with disability and internally displaced persons.</w:t>
      </w:r>
      <w:r w:rsidR="003F37C1">
        <w:rPr>
          <w:rStyle w:val="FootnoteReference"/>
          <w:rFonts w:cs="Times New Roman"/>
          <w:color w:val="222222"/>
          <w:sz w:val="24"/>
          <w:szCs w:val="24"/>
        </w:rPr>
        <w:footnoteReference w:id="40"/>
      </w:r>
      <w:r w:rsidRPr="00A83FAC">
        <w:rPr>
          <w:rFonts w:cs="Times New Roman"/>
          <w:color w:val="222222"/>
          <w:sz w:val="24"/>
          <w:szCs w:val="24"/>
        </w:rPr>
        <w:t xml:space="preserve"> These include the </w:t>
      </w:r>
      <w:proofErr w:type="spellStart"/>
      <w:r w:rsidRPr="00A83FAC">
        <w:rPr>
          <w:rFonts w:cs="Times New Roman"/>
          <w:color w:val="222222"/>
          <w:sz w:val="24"/>
          <w:szCs w:val="24"/>
        </w:rPr>
        <w:t>Samurdhi</w:t>
      </w:r>
      <w:proofErr w:type="spellEnd"/>
      <w:r w:rsidRPr="00A83FAC">
        <w:rPr>
          <w:rFonts w:cs="Times New Roman"/>
          <w:color w:val="222222"/>
          <w:sz w:val="24"/>
          <w:szCs w:val="24"/>
        </w:rPr>
        <w:t xml:space="preserve"> program- the main poverty alleviation program, elderly assistance programme and disability assistance program. The establishment of the Welfare Benefit Board (WBB) in 2016 is a significant step towards ensuring access to social protection among the neediest groups. The WBB is tasked with the creation of an integrated social safety net with a unified social registry and the formulation of appropriate selection criteria for each social protection programme; this initiative is expected to help minimize targeting errors and provide social protection to the most vulnerable people in the country.</w:t>
      </w:r>
    </w:p>
    <w:p w14:paraId="33E5EE0F" w14:textId="77777777" w:rsidR="00AB7350" w:rsidRPr="00A83FAC" w:rsidRDefault="00AB7350" w:rsidP="00A83FAC">
      <w:pPr>
        <w:spacing w:line="276" w:lineRule="auto"/>
        <w:jc w:val="both"/>
        <w:rPr>
          <w:rFonts w:cs="Times New Roman"/>
          <w:color w:val="222222"/>
          <w:sz w:val="24"/>
          <w:szCs w:val="24"/>
          <w:lang w:val="en-US"/>
        </w:rPr>
      </w:pPr>
      <w:r w:rsidRPr="00A83FAC">
        <w:rPr>
          <w:rFonts w:cs="Times New Roman"/>
          <w:color w:val="222222"/>
          <w:sz w:val="24"/>
          <w:szCs w:val="24"/>
        </w:rPr>
        <w:t>In addition, the PIP 2017-2020 has identified key vulnerable groups and programmes in place to ensure that these groups are not left behind. Given the low political participation of women, steps for women’s empowerment have been introduced through quotas for female representation in political institutions. Additionally, there are several on-going livelihood development programmes that target vulnerable women.13 In terms of improving the welfare of children, the country is aiming at reducing malnutrition and taking steps to ensure child safety especially in the face of increasing violence against children.</w:t>
      </w:r>
    </w:p>
    <w:p w14:paraId="16EA8AB8" w14:textId="77777777" w:rsidR="00AB7350" w:rsidRDefault="00AB7350" w:rsidP="00EB014A">
      <w:pPr>
        <w:spacing w:after="0" w:line="276" w:lineRule="auto"/>
        <w:jc w:val="both"/>
        <w:rPr>
          <w:rFonts w:eastAsia="Times New Roman" w:cs="Times New Roman"/>
          <w:color w:val="222222"/>
          <w:sz w:val="24"/>
          <w:szCs w:val="24"/>
          <w:lang w:val="en-US"/>
        </w:rPr>
      </w:pPr>
      <w:r w:rsidRPr="00A83FAC">
        <w:rPr>
          <w:rFonts w:eastAsia="Times New Roman" w:cs="Arial"/>
          <w:color w:val="222222"/>
          <w:sz w:val="24"/>
          <w:szCs w:val="24"/>
          <w:shd w:val="clear" w:color="auto" w:fill="FFFFFF"/>
          <w:lang w:val="en-US"/>
        </w:rPr>
        <w:t> Sri Lanka has identified the challenges posed by the rapidly increasing aging population and is currently developing a new model for elder care to ensure the protection of vulnerable elders.15 With regard to improving the well-being </w:t>
      </w:r>
      <w:r w:rsidRPr="00A83FAC">
        <w:rPr>
          <w:rFonts w:eastAsia="Times New Roman" w:cs="Times New Roman"/>
          <w:color w:val="222222"/>
          <w:sz w:val="24"/>
          <w:szCs w:val="24"/>
          <w:lang w:val="en-US"/>
        </w:rPr>
        <w:t xml:space="preserve">of the differently-abled, Sri Lanka is focusing on supporting targeted welfare </w:t>
      </w:r>
      <w:proofErr w:type="spellStart"/>
      <w:r w:rsidRPr="00A83FAC">
        <w:rPr>
          <w:rFonts w:eastAsia="Times New Roman" w:cs="Times New Roman"/>
          <w:color w:val="222222"/>
          <w:sz w:val="24"/>
          <w:szCs w:val="24"/>
          <w:lang w:val="en-US"/>
        </w:rPr>
        <w:t>programmes</w:t>
      </w:r>
      <w:proofErr w:type="spellEnd"/>
      <w:r w:rsidRPr="00A83FAC">
        <w:rPr>
          <w:rFonts w:eastAsia="Times New Roman" w:cs="Times New Roman"/>
          <w:color w:val="222222"/>
          <w:sz w:val="24"/>
          <w:szCs w:val="24"/>
          <w:lang w:val="en-US"/>
        </w:rPr>
        <w:t xml:space="preserve"> for poor, severely disabled people and developing livelihoods through Community Based Rehabilitation. The principle of ‘leaving no one behind’ is well-entrenched in the country’s legislations and policy frameworks. It is at the heart of Sri Lanka’s development agenda. This has provided the foundation for the country to make significant progress under the 2030 Agenda. The Government is taking action to further enhance the inclusion of marginalized groups in making Government policies and plans at the provincial and national levels. In addition, it is essential to raise awareness of SDGs among all stakeholders17 including the general public, and especially the vulnerable and marginalized communities. Furthermore, there is a need for more disaggregated data - for</w:t>
      </w:r>
      <w:r w:rsidRPr="00A83FAC">
        <w:rPr>
          <w:rFonts w:eastAsia="Times New Roman" w:cs="Arial"/>
          <w:color w:val="222222"/>
          <w:sz w:val="24"/>
          <w:szCs w:val="24"/>
          <w:shd w:val="clear" w:color="auto" w:fill="FFFFFF"/>
          <w:lang w:val="en-US"/>
        </w:rPr>
        <w:t> exampl</w:t>
      </w:r>
      <w:r w:rsidRPr="00A83FAC">
        <w:rPr>
          <w:rFonts w:eastAsia="Times New Roman" w:cs="Times New Roman"/>
          <w:color w:val="222222"/>
          <w:sz w:val="24"/>
          <w:szCs w:val="24"/>
          <w:lang w:val="en-US"/>
        </w:rPr>
        <w:t>e, based on gender, disability status, migrant status, etc. - in order to enable evidence-based policy formulation fully equipped to ensure that no one is left behind</w:t>
      </w:r>
      <w:r w:rsidR="0027041B">
        <w:rPr>
          <w:rFonts w:eastAsia="Times New Roman" w:cs="Times New Roman"/>
          <w:color w:val="222222"/>
          <w:sz w:val="24"/>
          <w:szCs w:val="24"/>
          <w:lang w:val="en-US"/>
        </w:rPr>
        <w:t>.</w:t>
      </w:r>
    </w:p>
    <w:p w14:paraId="3ED88372" w14:textId="77777777" w:rsidR="0027041B" w:rsidRPr="00A83FAC" w:rsidRDefault="0027041B" w:rsidP="00EB014A">
      <w:pPr>
        <w:spacing w:after="0" w:line="276" w:lineRule="auto"/>
        <w:jc w:val="both"/>
        <w:rPr>
          <w:rFonts w:eastAsia="Times New Roman" w:cs="Times New Roman"/>
          <w:sz w:val="24"/>
          <w:szCs w:val="24"/>
          <w:lang w:val="en-US"/>
        </w:rPr>
      </w:pPr>
    </w:p>
    <w:p w14:paraId="133774A6" w14:textId="77777777" w:rsidR="00AB7350" w:rsidRPr="00A83FAC" w:rsidRDefault="00AB7350" w:rsidP="00A83FAC">
      <w:pPr>
        <w:spacing w:line="276" w:lineRule="auto"/>
        <w:jc w:val="both"/>
        <w:rPr>
          <w:rFonts w:cs="Times New Roman"/>
          <w:color w:val="222222"/>
          <w:sz w:val="24"/>
          <w:szCs w:val="24"/>
          <w:lang w:val="en-US"/>
        </w:rPr>
      </w:pPr>
      <w:r w:rsidRPr="00A83FAC">
        <w:rPr>
          <w:rFonts w:cs="Times New Roman"/>
          <w:color w:val="222222"/>
          <w:sz w:val="24"/>
          <w:szCs w:val="24"/>
        </w:rPr>
        <w:t>Many social protection programmes have been implemented in Sri Lanka targeting vulnerable segments of the population such as the poor, elderly, disabled, children, and women. Despite the multitude of programmes, gaps are observed in the current social protection system. These include: issues in targeting, inadequate benefits and lack of coordination among programmes leading to high costs and overlaps of beneficiaries.</w:t>
      </w:r>
    </w:p>
    <w:p w14:paraId="5182BBAD" w14:textId="77777777" w:rsidR="00AB7350" w:rsidRPr="00A83FAC" w:rsidRDefault="00AB7350" w:rsidP="00A83FAC">
      <w:pPr>
        <w:spacing w:line="276" w:lineRule="auto"/>
        <w:jc w:val="both"/>
        <w:rPr>
          <w:rFonts w:cs="Times New Roman"/>
          <w:color w:val="222222"/>
          <w:sz w:val="24"/>
          <w:szCs w:val="24"/>
          <w:lang w:val="en-US"/>
        </w:rPr>
      </w:pPr>
      <w:r w:rsidRPr="00A83FAC">
        <w:rPr>
          <w:rFonts w:cs="Times New Roman"/>
          <w:color w:val="222222"/>
          <w:sz w:val="24"/>
          <w:szCs w:val="24"/>
        </w:rPr>
        <w:t>It is further imperative to improve targeting of the social protection programmes and ensure that the deserving and the marginalized groups are sufficiently covered by these programmes. In addition, it is necessary to revisit the adequacy of benefits given under these programmes. As a significant step towards achieving this, the Welfare Benefit Board (WBB) was established in 2016, tasked with the creation of an integrated social protection system. At present, the WBB is in the process of compiling a unified database for four key programmes (</w:t>
      </w:r>
      <w:proofErr w:type="spellStart"/>
      <w:r w:rsidRPr="00A83FAC">
        <w:rPr>
          <w:rFonts w:cs="Times New Roman"/>
          <w:color w:val="222222"/>
          <w:sz w:val="24"/>
          <w:szCs w:val="24"/>
        </w:rPr>
        <w:t>Samurdhi</w:t>
      </w:r>
      <w:proofErr w:type="spellEnd"/>
      <w:r w:rsidRPr="00A83FAC">
        <w:rPr>
          <w:rFonts w:cs="Times New Roman"/>
          <w:color w:val="222222"/>
          <w:sz w:val="24"/>
          <w:szCs w:val="24"/>
        </w:rPr>
        <w:t xml:space="preserve">, elder payments, disability payments, kidney </w:t>
      </w:r>
      <w:r w:rsidRPr="00A83FAC">
        <w:rPr>
          <w:rFonts w:cs="Times New Roman"/>
          <w:color w:val="222222"/>
          <w:sz w:val="24"/>
          <w:szCs w:val="24"/>
        </w:rPr>
        <w:lastRenderedPageBreak/>
        <w:t>patient payments), and refining their selection criteria. It is expected that in the long-term all social protection programmes in the country will be included in this integrated system, leading to improved targeting and minimized overlaps among the programmes.</w:t>
      </w:r>
    </w:p>
    <w:p w14:paraId="1F66BE9B"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Census of Population and Housi</w:t>
      </w:r>
      <w:r w:rsidR="00AB7350" w:rsidRPr="00A83FAC">
        <w:rPr>
          <w:rFonts w:cs="Times New Roman"/>
          <w:sz w:val="24"/>
          <w:szCs w:val="24"/>
        </w:rPr>
        <w:t>ng data reveals that nearly one-</w:t>
      </w:r>
      <w:r w:rsidRPr="00A83FAC">
        <w:rPr>
          <w:rFonts w:cs="Times New Roman"/>
          <w:sz w:val="24"/>
          <w:szCs w:val="24"/>
        </w:rPr>
        <w:t xml:space="preserve">fourth of 5-14-year-old children with disabilities are not in school.89 Moreover, participation in education declines with age: around 55.4% of the disabled population aged 15-19 and 86% of the disabled population aged 20-24 years were not engaged in any educational activity or vocational training. Access and quality concerns also exist for vulnerable students from disadvantaged backgrounds. There are wide disparities in exam pass rates among rich and poor students: in 2012/13, around 60% of students belonging to the richest expenditure </w:t>
      </w:r>
      <w:r w:rsidR="00EF244D" w:rsidRPr="00A83FAC">
        <w:rPr>
          <w:rFonts w:cs="Times New Roman"/>
          <w:sz w:val="24"/>
          <w:szCs w:val="24"/>
        </w:rPr>
        <w:t>docile</w:t>
      </w:r>
      <w:r w:rsidRPr="00A83FAC">
        <w:rPr>
          <w:rFonts w:cs="Times New Roman"/>
          <w:sz w:val="24"/>
          <w:szCs w:val="24"/>
        </w:rPr>
        <w:t xml:space="preserve"> passed the O-Levels and A-Levels, compared to only 20% in the lowest expenditure decile.91 Distribution of school resources also favours more affluent students attending privileged schools, while low income students lack high-quality school infrastructure and teachers.</w:t>
      </w:r>
    </w:p>
    <w:p w14:paraId="43AB0338"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Attention also needed to increase facilities and access to education for the disabled, by improving related school infrastructure, implementing appropriate training programmes for special education teachers, as well as nurturing appropriate mindsets of principals, teachers, and fellow-students in accommodating and assisting differently-abled children throughout their school career. In this regard, the Government has pledged to improve education access for the differently abled through more targeted education programmes.</w:t>
      </w:r>
    </w:p>
    <w:p w14:paraId="12A75D0E" w14:textId="77777777" w:rsidR="00651ECE" w:rsidRPr="00CA4325" w:rsidRDefault="00651ECE" w:rsidP="00024C4E">
      <w:pPr>
        <w:pStyle w:val="Heading1"/>
        <w:rPr>
          <w:rFonts w:eastAsia="Times New Roman"/>
          <w:sz w:val="32"/>
          <w:szCs w:val="32"/>
          <w:lang w:eastAsia="en-GB"/>
        </w:rPr>
      </w:pPr>
      <w:bookmarkStart w:id="120" w:name="_Toc531264968"/>
      <w:r w:rsidRPr="00CA4325">
        <w:rPr>
          <w:rFonts w:eastAsia="Times New Roman"/>
          <w:sz w:val="32"/>
          <w:szCs w:val="32"/>
          <w:lang w:eastAsia="en-GB"/>
        </w:rPr>
        <w:t>State of Palestine</w:t>
      </w:r>
      <w:bookmarkEnd w:id="120"/>
    </w:p>
    <w:p w14:paraId="39A9902B"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The Israeli occupation imposes immense restrictions on the Palestinian government, which have created an external disabling environment that counteracts the government’s efforts to foster an internal enabling environment.</w:t>
      </w:r>
      <w:r w:rsidR="003F37C1">
        <w:rPr>
          <w:rStyle w:val="FootnoteReference"/>
          <w:rFonts w:cs="Times New Roman"/>
          <w:sz w:val="24"/>
          <w:szCs w:val="24"/>
        </w:rPr>
        <w:footnoteReference w:id="41"/>
      </w:r>
      <w:r w:rsidRPr="00A83FAC">
        <w:rPr>
          <w:rFonts w:cs="Times New Roman"/>
          <w:sz w:val="24"/>
          <w:szCs w:val="24"/>
        </w:rPr>
        <w:t xml:space="preserve"> Despite external challenges, the Palestinian government took the required measures to establish an institutional enabling environment towards the achievement of the SDGs. Until the right of self-determination is attained and an end is put to the colonization and occupation of Palestinian land, an external disabling environment will continue to be imposed upon the Palestinian governments strive to join the international community in achieving the SDGs and attaining a better quality of life for all of its citizens.</w:t>
      </w:r>
    </w:p>
    <w:p w14:paraId="390C904C"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Despite the efforts made, the adoption of the Law on the Rights of Persons with Disabilities and the ratification of the Convention on the Rights of Persons with Disabilities by Palestine, persons with disabilities continue to live in a state of marginalization and social exclusion in many areas, especially women with disabilities. The realization of the rights of persons with disabilities and the achievement of social, economic and political integration have many challenges, including the lack of enforcement of laws and legislation on the rights of persons with disabilities, particularly those related to the compatibility of public spaces with the needs of persons with disabilities. The prevailing societal culture towards persons with disabilities, the inability of persons with disabilities to access and benefit from public services, and the limited programs for the training and rehabilitation of persons with disabilities are also challenges facing reducing poverty amongst disabled persons</w:t>
      </w:r>
      <w:r w:rsidR="0067231E">
        <w:rPr>
          <w:rFonts w:cs="Times New Roman"/>
          <w:sz w:val="24"/>
          <w:szCs w:val="24"/>
        </w:rPr>
        <w:t>.</w:t>
      </w:r>
      <w:r w:rsidR="0067231E">
        <w:rPr>
          <w:rStyle w:val="FootnoteReference"/>
          <w:rFonts w:cs="Times New Roman"/>
          <w:sz w:val="24"/>
          <w:szCs w:val="24"/>
        </w:rPr>
        <w:footnoteReference w:id="42"/>
      </w:r>
    </w:p>
    <w:p w14:paraId="320882CF" w14:textId="77777777" w:rsidR="00EF244D" w:rsidRPr="00A83FAC" w:rsidRDefault="00EF244D" w:rsidP="00A83FAC">
      <w:pPr>
        <w:spacing w:line="276" w:lineRule="auto"/>
        <w:jc w:val="both"/>
        <w:rPr>
          <w:rFonts w:cs="Times New Roman"/>
          <w:color w:val="222222"/>
          <w:sz w:val="24"/>
          <w:szCs w:val="24"/>
          <w:lang w:val="en-US"/>
        </w:rPr>
      </w:pPr>
      <w:r w:rsidRPr="00A83FAC">
        <w:rPr>
          <w:rFonts w:cs="Times New Roman"/>
          <w:color w:val="222222"/>
          <w:sz w:val="24"/>
          <w:szCs w:val="24"/>
        </w:rPr>
        <w:lastRenderedPageBreak/>
        <w:t>The Government and its partners have made great efforts to provide social protection and promote the social and economic integration of persons with disabilities. In addition, to support and raising awareness of the rights of persons with disabilities, the government issued the disability card, which gives persons with disabilities a special set of packages that include special services and access to medical instruments. To increase the inclusivity of persons with disabilities the government supports vocational training programs and provide soft loans to persons with disabilities to help them create their own income-generating businesses. The Ministry of Social Development and its partners are reviewing the laws on the rights of persons with disabilities to amend and develop them to align with the International Convention on Persons with Disabilities.</w:t>
      </w:r>
    </w:p>
    <w:p w14:paraId="0B8F18D1" w14:textId="77777777" w:rsidR="00EF244D" w:rsidRPr="00A83FAC" w:rsidRDefault="00EF244D" w:rsidP="00A83FAC">
      <w:pPr>
        <w:spacing w:line="276" w:lineRule="auto"/>
        <w:jc w:val="both"/>
        <w:rPr>
          <w:rFonts w:cs="Times New Roman"/>
          <w:color w:val="222222"/>
          <w:sz w:val="24"/>
          <w:szCs w:val="24"/>
          <w:lang w:val="en-US"/>
        </w:rPr>
      </w:pPr>
      <w:r w:rsidRPr="00A83FAC">
        <w:rPr>
          <w:rFonts w:cs="Times New Roman"/>
          <w:color w:val="222222"/>
          <w:sz w:val="24"/>
          <w:szCs w:val="24"/>
        </w:rPr>
        <w:t>Currently, the Ministry of Social Development (</w:t>
      </w:r>
      <w:proofErr w:type="spellStart"/>
      <w:r w:rsidRPr="00A83FAC">
        <w:rPr>
          <w:rFonts w:cs="Times New Roman"/>
          <w:color w:val="222222"/>
          <w:sz w:val="24"/>
          <w:szCs w:val="24"/>
        </w:rPr>
        <w:t>MoSD</w:t>
      </w:r>
      <w:proofErr w:type="spellEnd"/>
      <w:r w:rsidRPr="00A83FAC">
        <w:rPr>
          <w:rFonts w:cs="Times New Roman"/>
          <w:color w:val="222222"/>
          <w:sz w:val="24"/>
          <w:szCs w:val="24"/>
        </w:rPr>
        <w:t xml:space="preserve">) is implementing a poverty alleviation program that directly transfers regular quarterly funds to the most poverty-stricken families in Palestine. Among the cash transfers, beneficiaries are 36,000 elderly-headed households and 19,000 households headed by a person with disabilities. In this regard, the </w:t>
      </w:r>
      <w:proofErr w:type="spellStart"/>
      <w:r w:rsidRPr="00A83FAC">
        <w:rPr>
          <w:rFonts w:cs="Times New Roman"/>
          <w:color w:val="222222"/>
          <w:sz w:val="24"/>
          <w:szCs w:val="24"/>
        </w:rPr>
        <w:t>MoSD</w:t>
      </w:r>
      <w:proofErr w:type="spellEnd"/>
      <w:r w:rsidRPr="00A83FAC">
        <w:rPr>
          <w:rFonts w:cs="Times New Roman"/>
          <w:color w:val="222222"/>
          <w:sz w:val="24"/>
          <w:szCs w:val="24"/>
        </w:rPr>
        <w:t xml:space="preserve"> is also working to establish a social protection floor starting with allowances to the elderly and the disabled, and one of the </w:t>
      </w:r>
      <w:proofErr w:type="spellStart"/>
      <w:r w:rsidRPr="00A83FAC">
        <w:rPr>
          <w:rFonts w:cs="Times New Roman"/>
          <w:color w:val="222222"/>
          <w:sz w:val="24"/>
          <w:szCs w:val="24"/>
        </w:rPr>
        <w:t>MoSD’s</w:t>
      </w:r>
      <w:proofErr w:type="spellEnd"/>
      <w:r w:rsidRPr="00A83FAC">
        <w:rPr>
          <w:rFonts w:cs="Times New Roman"/>
          <w:color w:val="222222"/>
          <w:sz w:val="24"/>
          <w:szCs w:val="24"/>
        </w:rPr>
        <w:t xml:space="preserve"> key projects has been a micro-credit lending scheme for the people with disabilities to generate income and facilitate social inclusion.</w:t>
      </w:r>
    </w:p>
    <w:p w14:paraId="0BB7C6B2" w14:textId="77777777" w:rsidR="00EF244D" w:rsidRPr="00A83FAC" w:rsidRDefault="00EF244D" w:rsidP="00A83FAC">
      <w:pPr>
        <w:spacing w:line="276" w:lineRule="auto"/>
        <w:jc w:val="both"/>
        <w:rPr>
          <w:rFonts w:cs="Times New Roman"/>
          <w:color w:val="222222"/>
          <w:sz w:val="24"/>
          <w:szCs w:val="24"/>
          <w:lang w:val="en-US"/>
        </w:rPr>
      </w:pPr>
      <w:r w:rsidRPr="00A83FAC">
        <w:rPr>
          <w:rFonts w:cs="Times New Roman"/>
          <w:color w:val="222222"/>
          <w:sz w:val="24"/>
          <w:szCs w:val="24"/>
        </w:rPr>
        <w:t>The Palestinian government decided to establish a Unified Portal Gate for social assistance and social services for the purpose of coordination; this will serve to reduce inefficient spending and duplication in support programs particularly between civil society and the government. In addition, the government aims to expand economic and social integration programs for marginalized individuals, especially persons with disabilities. Moreover, to follow up the implementation of the Government’s decision to adopt public buildings to the needs of persons with disabilities. </w:t>
      </w:r>
    </w:p>
    <w:p w14:paraId="244E5A0E"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Palestinian laws provide for the provision of health care to persons with disabilities and their free access to health services covered by governmental health insurance. A person with a disability is granted government health insurance if the disability rate is 60% or above. Persons with mental and psychiatric disabilities are also part of the government funded free public health insurance. To facilitate their access to health services, the Government has adapted all government hospitals to the needs of people with mobility disabilities and has worked to adapt primary health care </w:t>
      </w:r>
      <w:proofErr w:type="spellStart"/>
      <w:r w:rsidRPr="00A83FAC">
        <w:rPr>
          <w:rFonts w:cs="Times New Roman"/>
          <w:sz w:val="24"/>
          <w:szCs w:val="24"/>
        </w:rPr>
        <w:t>centers</w:t>
      </w:r>
      <w:proofErr w:type="spellEnd"/>
      <w:r w:rsidRPr="00A83FAC">
        <w:rPr>
          <w:rFonts w:cs="Times New Roman"/>
          <w:sz w:val="24"/>
          <w:szCs w:val="24"/>
        </w:rPr>
        <w:t xml:space="preserve">. The Government and its partners provide medical assistive devices and tools, and provide rehabilitation, psychological and social support services. Despite efforts, persons with disabilities continue to face difficulties in accessing health care, especially women with disabilities, and persons with mental disabilities. </w:t>
      </w:r>
      <w:r w:rsidR="00EF244D" w:rsidRPr="00A83FAC">
        <w:rPr>
          <w:rFonts w:cs="Times New Roman"/>
          <w:sz w:val="24"/>
          <w:szCs w:val="24"/>
        </w:rPr>
        <w:t>Lack of adequate infrastructure for the needs of persons with disabilities, lack of specialized medical staff in the areas of disability, lack of mental health care services, and the difficult economic situation of persons with disabilities is</w:t>
      </w:r>
      <w:r w:rsidRPr="00A83FAC">
        <w:rPr>
          <w:rFonts w:cs="Times New Roman"/>
          <w:sz w:val="24"/>
          <w:szCs w:val="24"/>
        </w:rPr>
        <w:t xml:space="preserve"> all factors impeding their access to health care</w:t>
      </w:r>
    </w:p>
    <w:p w14:paraId="6CE1982F" w14:textId="77777777" w:rsidR="00651ECE" w:rsidRPr="00A83FAC" w:rsidRDefault="00651ECE" w:rsidP="00024C4E">
      <w:pPr>
        <w:pStyle w:val="Heading2"/>
        <w:spacing w:after="0" w:afterAutospacing="0"/>
      </w:pPr>
      <w:bookmarkStart w:id="121" w:name="_Toc531264969"/>
      <w:r w:rsidRPr="00A83FAC">
        <w:t>Key challenges to good health and wellbeing:</w:t>
      </w:r>
      <w:bookmarkEnd w:id="121"/>
    </w:p>
    <w:p w14:paraId="25983FC2" w14:textId="77777777" w:rsidR="00651ECE" w:rsidRDefault="00651ECE" w:rsidP="00024C4E">
      <w:pPr>
        <w:spacing w:after="0" w:line="276" w:lineRule="auto"/>
        <w:jc w:val="both"/>
        <w:rPr>
          <w:rFonts w:cs="Times New Roman"/>
          <w:sz w:val="24"/>
          <w:szCs w:val="24"/>
        </w:rPr>
      </w:pPr>
      <w:r w:rsidRPr="00A83FAC">
        <w:rPr>
          <w:rFonts w:cs="Times New Roman"/>
          <w:sz w:val="24"/>
          <w:szCs w:val="24"/>
        </w:rPr>
        <w:t xml:space="preserve">Despite the efforts of the </w:t>
      </w:r>
      <w:proofErr w:type="spellStart"/>
      <w:r w:rsidRPr="00A83FAC">
        <w:rPr>
          <w:rFonts w:cs="Times New Roman"/>
          <w:sz w:val="24"/>
          <w:szCs w:val="24"/>
        </w:rPr>
        <w:t>MoH</w:t>
      </w:r>
      <w:proofErr w:type="spellEnd"/>
      <w:r w:rsidRPr="00A83FAC">
        <w:rPr>
          <w:rFonts w:cs="Times New Roman"/>
          <w:sz w:val="24"/>
          <w:szCs w:val="24"/>
        </w:rPr>
        <w:t xml:space="preserve"> to improve the Palestinian healthcare system, violence and the policies of the Israeli occupation continues to put severe restrictions and strains on the well-being of Palestinians and development of Palestinian healthcare. Since the beginning of the March of Return, Israeli Occupying Forces killed 131 Palestinians and 14,000 injured. Serious injuries result in long-</w:t>
      </w:r>
      <w:r w:rsidRPr="00A83FAC">
        <w:rPr>
          <w:rFonts w:cs="Times New Roman"/>
          <w:sz w:val="24"/>
          <w:szCs w:val="24"/>
        </w:rPr>
        <w:lastRenderedPageBreak/>
        <w:t>term disabilities and the need for continuous medical treatment, particularly as the majority of those injured are children or youth.</w:t>
      </w:r>
    </w:p>
    <w:p w14:paraId="5CD2B28B" w14:textId="77777777" w:rsidR="00CA4325" w:rsidRPr="00A83FAC" w:rsidRDefault="00CA4325" w:rsidP="00024C4E">
      <w:pPr>
        <w:spacing w:after="0" w:line="276" w:lineRule="auto"/>
        <w:jc w:val="both"/>
        <w:rPr>
          <w:rFonts w:cs="Times New Roman"/>
          <w:sz w:val="24"/>
          <w:szCs w:val="24"/>
        </w:rPr>
      </w:pPr>
    </w:p>
    <w:p w14:paraId="1A1859C3"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 xml:space="preserve">The </w:t>
      </w:r>
      <w:proofErr w:type="spellStart"/>
      <w:r w:rsidRPr="00A83FAC">
        <w:rPr>
          <w:rFonts w:cs="Times New Roman"/>
          <w:sz w:val="24"/>
          <w:szCs w:val="24"/>
        </w:rPr>
        <w:t>MoH</w:t>
      </w:r>
      <w:proofErr w:type="spellEnd"/>
      <w:r w:rsidRPr="00A83FAC">
        <w:rPr>
          <w:rFonts w:cs="Times New Roman"/>
          <w:sz w:val="24"/>
          <w:szCs w:val="24"/>
        </w:rPr>
        <w:t xml:space="preserve"> is committed to widening its specialty coverage network and localizing services to reduce its budget for referring special cases to hospitals abroad and create local specialized healthcare coverage through partnership with the hospitals in East Jerusalem. This includes: widening primary, secondary and tertiary healthcare services and improving health access especially in vulnerable areas especially to persons with disabilities both physical and mental, residents in Area C, and improve maternal and sexual health; providing quality free drug rehabilitation services to all drug abusers; and implementing international standards for healthcare. Education is a core of Palestinian value, and the Palestinian government shares this view with its citizens that education is a tool for empowerment and resilience. Hence, it provides free primary and secondary education for all, and has ratified “Education Law 2017” - a mandatory minimum of 10 years of schooling for all its citizens. The provision of net school enrolment rates in 2016 was 98.2% for primary education (1-4), 98% for upper basic education (5-10) and 63% for secondary education (11-12)</w:t>
      </w:r>
      <w:r w:rsidR="0067231E">
        <w:rPr>
          <w:rFonts w:cs="Times New Roman"/>
          <w:sz w:val="24"/>
          <w:szCs w:val="24"/>
        </w:rPr>
        <w:t>.</w:t>
      </w:r>
      <w:r w:rsidR="0067231E">
        <w:rPr>
          <w:rStyle w:val="FootnoteReference"/>
          <w:rFonts w:cs="Times New Roman"/>
          <w:sz w:val="24"/>
          <w:szCs w:val="24"/>
        </w:rPr>
        <w:footnoteReference w:id="43"/>
      </w:r>
      <w:r w:rsidRPr="00A83FAC">
        <w:rPr>
          <w:rFonts w:cs="Times New Roman"/>
          <w:sz w:val="24"/>
          <w:szCs w:val="24"/>
        </w:rPr>
        <w:t xml:space="preserve"> Pre-schooling enrolment has also increased by 50.7% between 2012 and 2016, reaching 56%, while the enrolment rates for students aged one year before entry into basic education is 75%29. For children with disabilities the enrolment rate was 32.5% in 2011 between ages 6-9, while for children ages 10-15 the enrolment rate was 69.8%.</w:t>
      </w:r>
      <w:r w:rsidR="0067231E">
        <w:rPr>
          <w:rStyle w:val="FootnoteReference"/>
          <w:rFonts w:cs="Times New Roman"/>
          <w:sz w:val="24"/>
          <w:szCs w:val="24"/>
        </w:rPr>
        <w:footnoteReference w:id="44"/>
      </w:r>
      <w:r w:rsidRPr="00A83FAC">
        <w:rPr>
          <w:rFonts w:cs="Times New Roman"/>
          <w:sz w:val="24"/>
          <w:szCs w:val="24"/>
        </w:rPr>
        <w:t xml:space="preserve"> Persons with disabilities remain left behind in the educational system, where illiteracy rates amongst person with disabilities is 31.7% (34% in West Bank and 29% in Gaza Strip) as of 2017, and 4.5% (3.8 in West Bank and 5.4% in Gaza Strip)</w:t>
      </w:r>
      <w:r w:rsidR="003F094E" w:rsidRPr="003F094E">
        <w:rPr>
          <w:rStyle w:val="FootnoteReference"/>
          <w:rFonts w:cs="Times New Roman"/>
          <w:sz w:val="24"/>
          <w:szCs w:val="24"/>
        </w:rPr>
        <w:footnoteReference w:id="45"/>
      </w:r>
      <w:r w:rsidRPr="00A83FAC">
        <w:rPr>
          <w:rFonts w:cs="Times New Roman"/>
          <w:sz w:val="24"/>
          <w:szCs w:val="24"/>
        </w:rPr>
        <w:t xml:space="preserve"> of whom have completed university education. Attendance rates of persons with disabilities particularly ones with hearing disabilities, autism, and mild learning disability remain low due to the incapability of the ministry of Education of attending to their needs. Enrolment in vocational and technical education remains low at 2.6%</w:t>
      </w:r>
      <w:r w:rsidR="003F094E" w:rsidRPr="003F094E">
        <w:rPr>
          <w:rStyle w:val="FootnoteReference"/>
          <w:rFonts w:cs="Times New Roman"/>
          <w:sz w:val="24"/>
          <w:szCs w:val="24"/>
        </w:rPr>
        <w:footnoteReference w:id="46"/>
      </w:r>
      <w:r w:rsidRPr="00A83FAC">
        <w:rPr>
          <w:rFonts w:cs="Times New Roman"/>
          <w:sz w:val="24"/>
          <w:szCs w:val="24"/>
        </w:rPr>
        <w:t xml:space="preserve"> and approximately 25.8% of youth, aged 18-24 </w:t>
      </w:r>
      <w:r w:rsidR="00851272" w:rsidRPr="00A83FAC">
        <w:rPr>
          <w:rFonts w:cs="Times New Roman"/>
          <w:sz w:val="24"/>
          <w:szCs w:val="24"/>
        </w:rPr>
        <w:t>is</w:t>
      </w:r>
      <w:r w:rsidRPr="00A83FAC">
        <w:rPr>
          <w:rFonts w:cs="Times New Roman"/>
          <w:sz w:val="24"/>
          <w:szCs w:val="24"/>
        </w:rPr>
        <w:t xml:space="preserve"> enrolled in higher education institutions</w:t>
      </w:r>
      <w:r w:rsidR="003F094E" w:rsidRPr="003F094E">
        <w:rPr>
          <w:rStyle w:val="FootnoteReference"/>
          <w:rFonts w:cs="Times New Roman"/>
          <w:sz w:val="24"/>
          <w:szCs w:val="24"/>
        </w:rPr>
        <w:footnoteReference w:id="47"/>
      </w:r>
    </w:p>
    <w:p w14:paraId="33384A75"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Internal challenges include the lack of sufficient numbers of qualified technical employees, the brain drain of skilled staff owing to the challenging living conditions decrease the ability the government to deliver better results and higher educational standards39. The Education ministry’s implementation of the Inclusive Education Policy faces a number of challenges, namely: shortage of specialized staff in dealing with disabilities, lack of availability of resource rooms where 123 rooms operate in 1800 public schools; inadequate adaptation of schools to the needs of persons with mobility disabilities, which constitute 65% of school.</w:t>
      </w:r>
      <w:r w:rsidR="003F094E">
        <w:rPr>
          <w:rStyle w:val="FootnoteReference"/>
          <w:rFonts w:cs="Times New Roman"/>
          <w:sz w:val="24"/>
          <w:szCs w:val="24"/>
        </w:rPr>
        <w:footnoteReference w:id="48"/>
      </w:r>
    </w:p>
    <w:p w14:paraId="118D4253" w14:textId="459AA329" w:rsidR="00651ECE" w:rsidRPr="00A83FAC" w:rsidRDefault="00651ECE" w:rsidP="00024C4E">
      <w:pPr>
        <w:pStyle w:val="Heading2"/>
        <w:spacing w:after="0" w:afterAutospacing="0"/>
      </w:pPr>
      <w:bookmarkStart w:id="122" w:name="_Toc531264970"/>
      <w:r w:rsidRPr="00A83FAC">
        <w:t xml:space="preserve">Government and </w:t>
      </w:r>
      <w:r w:rsidR="005644C8">
        <w:t>p</w:t>
      </w:r>
      <w:r w:rsidRPr="00A83FAC">
        <w:t xml:space="preserve">artners </w:t>
      </w:r>
      <w:r w:rsidR="005644C8">
        <w:t>e</w:t>
      </w:r>
      <w:r w:rsidRPr="00A83FAC">
        <w:t>fforts:</w:t>
      </w:r>
      <w:bookmarkEnd w:id="122"/>
    </w:p>
    <w:p w14:paraId="73361921" w14:textId="77777777" w:rsidR="00651ECE" w:rsidRPr="00A83FAC" w:rsidRDefault="00651ECE" w:rsidP="00024C4E">
      <w:pPr>
        <w:spacing w:after="0" w:line="276" w:lineRule="auto"/>
        <w:jc w:val="both"/>
        <w:rPr>
          <w:rFonts w:cs="Times New Roman"/>
          <w:sz w:val="24"/>
          <w:szCs w:val="24"/>
        </w:rPr>
      </w:pPr>
      <w:r w:rsidRPr="00A83FAC">
        <w:rPr>
          <w:rFonts w:cs="Times New Roman"/>
          <w:sz w:val="24"/>
          <w:szCs w:val="24"/>
        </w:rPr>
        <w:t>The Palestinian government has prioritized education as a mean for supporting resilience in the face of the Israeli occupation. In 2014, the Ministry of Education and Higher Education (</w:t>
      </w:r>
      <w:proofErr w:type="spellStart"/>
      <w:r w:rsidRPr="00A83FAC">
        <w:rPr>
          <w:rFonts w:cs="Times New Roman"/>
          <w:sz w:val="24"/>
          <w:szCs w:val="24"/>
        </w:rPr>
        <w:t>MoEHE</w:t>
      </w:r>
      <w:proofErr w:type="spellEnd"/>
      <w:r w:rsidRPr="00A83FAC">
        <w:rPr>
          <w:rFonts w:cs="Times New Roman"/>
          <w:sz w:val="24"/>
          <w:szCs w:val="24"/>
        </w:rPr>
        <w:t xml:space="preserve">) launched </w:t>
      </w:r>
      <w:r w:rsidRPr="00A83FAC">
        <w:rPr>
          <w:rFonts w:cs="Times New Roman"/>
          <w:sz w:val="24"/>
          <w:szCs w:val="24"/>
        </w:rPr>
        <w:lastRenderedPageBreak/>
        <w:t xml:space="preserve">an inclusive education policy in order to integrate all students, regardless of their disabilities. In addition to training the educational staff to attend to persons with disabilities, the Ministry of Education has set up three resource centres, equipped 123 resource rooms for persons with disabilities, provided textbooks in Braille language, and launched the Peer Support and Guidance Initiative through the formation of the Friends of Students with Disabilities Committee. Actions are currently underway to further develop a curriculum for students with disabilities in addition to creating action plans to deliver education to students at home. </w:t>
      </w:r>
    </w:p>
    <w:p w14:paraId="7D6F02EB" w14:textId="77777777" w:rsidR="00024C4E" w:rsidRDefault="00024C4E" w:rsidP="00024C4E">
      <w:pPr>
        <w:spacing w:after="0" w:line="276" w:lineRule="auto"/>
        <w:jc w:val="both"/>
        <w:rPr>
          <w:rStyle w:val="Heading2Char"/>
        </w:rPr>
      </w:pPr>
    </w:p>
    <w:p w14:paraId="26CFDBFF" w14:textId="77777777" w:rsidR="00651ECE" w:rsidRPr="00A83FAC" w:rsidRDefault="00651ECE" w:rsidP="00024C4E">
      <w:pPr>
        <w:spacing w:after="0" w:line="276" w:lineRule="auto"/>
        <w:jc w:val="both"/>
        <w:rPr>
          <w:rFonts w:cs="Times New Roman"/>
          <w:b/>
          <w:sz w:val="24"/>
          <w:szCs w:val="24"/>
        </w:rPr>
      </w:pPr>
      <w:bookmarkStart w:id="123" w:name="_Toc531264971"/>
      <w:r w:rsidRPr="00024C4E">
        <w:rPr>
          <w:rStyle w:val="Heading2Char"/>
        </w:rPr>
        <w:t>Looking forward</w:t>
      </w:r>
      <w:bookmarkEnd w:id="123"/>
      <w:r w:rsidRPr="00A83FAC">
        <w:rPr>
          <w:rFonts w:cs="Times New Roman"/>
          <w:b/>
          <w:sz w:val="24"/>
          <w:szCs w:val="24"/>
        </w:rPr>
        <w:t>:</w:t>
      </w:r>
    </w:p>
    <w:p w14:paraId="0F378B6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To maintain and improve the quality of education, the Government and its partners will continue to develop educational facilities adapted to the needs of persons with disabilities, rehabilitate and develop school curricula, train teachers and support staff, develop e-learning programs and bridge the education gap between marginalized areas, “C” and the rest of Palestine. To facilitate the transition from education to work, the Government will promote the alignment of education and vocational training with labour market needs to reduce the high levels of unemployment, particularly among young people.</w:t>
      </w:r>
    </w:p>
    <w:p w14:paraId="60EB7FA6" w14:textId="77777777" w:rsidR="00651ECE" w:rsidRPr="00A83FAC" w:rsidRDefault="00651ECE" w:rsidP="00A83FAC">
      <w:pPr>
        <w:spacing w:line="276" w:lineRule="auto"/>
        <w:jc w:val="both"/>
        <w:rPr>
          <w:rFonts w:cs="Times New Roman"/>
          <w:sz w:val="24"/>
          <w:szCs w:val="24"/>
        </w:rPr>
      </w:pPr>
      <w:r w:rsidRPr="00A83FAC">
        <w:rPr>
          <w:rFonts w:cs="Times New Roman"/>
          <w:sz w:val="24"/>
          <w:szCs w:val="24"/>
        </w:rPr>
        <w:t>However, inequality in Palestine takes many different dimensions across a range of intersecting factors, suggesting that this number varies widely according to different Israeli occupation restrictions. While women and persons with disabilities experience high levels of unemployment than the rest of the population. Data indicates that existing inequalities in the occupied Palestinian territory are increasing. Currently, the richest 20% of the Palestinian population controls approximately 43% of the wealth, while the poorest 20% hold just 7%.</w:t>
      </w:r>
    </w:p>
    <w:p w14:paraId="458CFAF7" w14:textId="77777777" w:rsidR="00651ECE" w:rsidRPr="00217669" w:rsidRDefault="00651ECE" w:rsidP="00217669">
      <w:pPr>
        <w:spacing w:line="276" w:lineRule="auto"/>
        <w:jc w:val="both"/>
        <w:rPr>
          <w:rFonts w:cs="Times New Roman"/>
          <w:sz w:val="24"/>
          <w:szCs w:val="24"/>
        </w:rPr>
      </w:pPr>
      <w:r w:rsidRPr="00A83FAC">
        <w:rPr>
          <w:rFonts w:cs="Times New Roman"/>
          <w:sz w:val="24"/>
          <w:szCs w:val="24"/>
        </w:rPr>
        <w:t xml:space="preserve">To reduce the impact of disability on equality in the Palestinian society, it is vital to ensure that children who experience development delays and disability have access to early detection and interventions, which can help them reach their full potential. This requires specific support and services to ensure that their rights and needs are met, including their right to education, health and social potential. It remains challenging for the Palestinian government to enact the child and </w:t>
      </w:r>
      <w:r w:rsidRPr="00217669">
        <w:rPr>
          <w:rFonts w:cs="Times New Roman"/>
          <w:sz w:val="24"/>
          <w:szCs w:val="24"/>
        </w:rPr>
        <w:t>disability laws, mainstream programmes and services designed to ensure disability and learning difficulty detection and child development.</w:t>
      </w:r>
    </w:p>
    <w:p w14:paraId="4C84B2A4" w14:textId="77777777" w:rsidR="00651ECE" w:rsidRPr="00217669" w:rsidRDefault="00651ECE" w:rsidP="00217669">
      <w:pPr>
        <w:pStyle w:val="Heading2"/>
        <w:spacing w:after="0" w:afterAutospacing="0"/>
      </w:pPr>
      <w:bookmarkStart w:id="124" w:name="_Toc531264972"/>
      <w:r w:rsidRPr="00217669">
        <w:t>Looking forward:</w:t>
      </w:r>
      <w:bookmarkEnd w:id="124"/>
    </w:p>
    <w:p w14:paraId="19C62069" w14:textId="77777777" w:rsidR="00651ECE" w:rsidRPr="00217669" w:rsidRDefault="00651ECE" w:rsidP="00217669">
      <w:pPr>
        <w:spacing w:after="0" w:line="276" w:lineRule="auto"/>
        <w:jc w:val="both"/>
        <w:rPr>
          <w:rFonts w:cs="Times New Roman"/>
          <w:sz w:val="24"/>
          <w:szCs w:val="24"/>
        </w:rPr>
      </w:pPr>
      <w:r w:rsidRPr="00217669">
        <w:rPr>
          <w:rFonts w:cs="Times New Roman"/>
          <w:sz w:val="24"/>
          <w:szCs w:val="24"/>
        </w:rPr>
        <w:t xml:space="preserve">Parallel to the Government’s commitment to end the inequality created by the Israeli occupation, the Government is committed to reducing inequalities among Palestinians by increasing employment and implementing the policies in the Sixth National Priority “Economic Independence”, which will reduce wealth inequalities (see SDG 8). It will also promote </w:t>
      </w:r>
      <w:r w:rsidR="00851272" w:rsidRPr="00217669">
        <w:rPr>
          <w:rFonts w:cs="Times New Roman"/>
          <w:sz w:val="24"/>
          <w:szCs w:val="24"/>
        </w:rPr>
        <w:t xml:space="preserve">a </w:t>
      </w:r>
      <w:r w:rsidRPr="00217669">
        <w:rPr>
          <w:rFonts w:cs="Times New Roman"/>
          <w:sz w:val="24"/>
          <w:szCs w:val="24"/>
        </w:rPr>
        <w:t xml:space="preserve">social integration of marginalized groups, including disabled people, youth, women and liberated prisoners. </w:t>
      </w:r>
    </w:p>
    <w:p w14:paraId="60D62606" w14:textId="77777777" w:rsidR="00651ECE" w:rsidRPr="00217669" w:rsidRDefault="00651ECE" w:rsidP="00217669">
      <w:pPr>
        <w:spacing w:line="276" w:lineRule="auto"/>
        <w:jc w:val="both"/>
        <w:rPr>
          <w:rFonts w:cs="Times New Roman"/>
          <w:sz w:val="24"/>
          <w:szCs w:val="24"/>
        </w:rPr>
      </w:pPr>
      <w:r w:rsidRPr="00217669">
        <w:rPr>
          <w:rFonts w:cs="Times New Roman"/>
          <w:sz w:val="24"/>
          <w:szCs w:val="24"/>
        </w:rPr>
        <w:t xml:space="preserve">Unemployment amongst disabled persons who take part in the workforce has increased to reach 37.3%. Of those aged 15 and over, labour force participation stood at 45.3%, or 1.4 million Palestinians, 70.9% of males participate in the official workforce while only 19% of females. Informal employment remains very high, with 59.0% of the total workforce work within unregulated </w:t>
      </w:r>
      <w:r w:rsidRPr="00217669">
        <w:rPr>
          <w:rFonts w:cs="Times New Roman"/>
          <w:sz w:val="24"/>
          <w:szCs w:val="24"/>
        </w:rPr>
        <w:lastRenderedPageBreak/>
        <w:t xml:space="preserve">employment, 89% of </w:t>
      </w:r>
      <w:r w:rsidR="00851272" w:rsidRPr="00217669">
        <w:rPr>
          <w:rFonts w:cs="Times New Roman"/>
          <w:sz w:val="24"/>
          <w:szCs w:val="24"/>
        </w:rPr>
        <w:t>which</w:t>
      </w:r>
      <w:r w:rsidRPr="00217669">
        <w:rPr>
          <w:rFonts w:cs="Times New Roman"/>
          <w:sz w:val="24"/>
          <w:szCs w:val="24"/>
        </w:rPr>
        <w:t xml:space="preserve"> work in the agricultural sector, which makes up owing to the small-scale of the majority of Palestinian farms alongside the family-centred model</w:t>
      </w:r>
      <w:r w:rsidR="003F094E" w:rsidRPr="003F094E">
        <w:rPr>
          <w:rFonts w:cs="Times New Roman"/>
          <w:sz w:val="24"/>
          <w:szCs w:val="24"/>
        </w:rPr>
        <w:t>.</w:t>
      </w:r>
      <w:r w:rsidR="003F094E">
        <w:rPr>
          <w:rStyle w:val="FootnoteReference"/>
          <w:rFonts w:cs="Times New Roman"/>
          <w:sz w:val="24"/>
          <w:szCs w:val="24"/>
        </w:rPr>
        <w:footnoteReference w:id="49"/>
      </w:r>
    </w:p>
    <w:p w14:paraId="127D91C5" w14:textId="77777777" w:rsidR="00651ECE" w:rsidRPr="00217669" w:rsidRDefault="00651ECE" w:rsidP="00217669">
      <w:pPr>
        <w:spacing w:line="276" w:lineRule="auto"/>
        <w:jc w:val="both"/>
        <w:rPr>
          <w:rFonts w:cs="Times New Roman"/>
          <w:sz w:val="24"/>
          <w:szCs w:val="24"/>
        </w:rPr>
      </w:pPr>
      <w:r w:rsidRPr="00217669">
        <w:rPr>
          <w:rFonts w:cs="Times New Roman"/>
          <w:b/>
          <w:sz w:val="24"/>
          <w:szCs w:val="24"/>
        </w:rPr>
        <w:t>Government efforts:</w:t>
      </w:r>
      <w:r w:rsidRPr="00217669">
        <w:rPr>
          <w:rFonts w:cs="Times New Roman"/>
          <w:sz w:val="24"/>
          <w:szCs w:val="24"/>
        </w:rPr>
        <w:t xml:space="preserve"> The Palestinian government aims to reduce unemployment and increase its economy’s capacity to generate job opportunities through a series of incentivizing laws that aim at empowering the private sector to expand the Palestinian economy. A micro-loan program was created to support persons with disabilities start their own ventures and join the productive sectors in the Palestinian economy, in addition, the Office of Public Employees also reserves a quota of 5% to employ persons with disabilities in the civil service sector. In 2016, a social security law created the social security institute, which is expected to start operating mid-2018.</w:t>
      </w:r>
    </w:p>
    <w:p w14:paraId="764DE105" w14:textId="77777777" w:rsidR="00651ECE" w:rsidRPr="00CA4325" w:rsidRDefault="00651ECE" w:rsidP="00F721CA">
      <w:pPr>
        <w:pStyle w:val="Heading1"/>
        <w:rPr>
          <w:sz w:val="32"/>
          <w:szCs w:val="32"/>
        </w:rPr>
      </w:pPr>
      <w:bookmarkStart w:id="125" w:name="_Toc531264973"/>
      <w:r w:rsidRPr="00CA4325">
        <w:rPr>
          <w:sz w:val="32"/>
          <w:szCs w:val="32"/>
        </w:rPr>
        <w:t>UAE</w:t>
      </w:r>
      <w:bookmarkEnd w:id="125"/>
    </w:p>
    <w:p w14:paraId="24BE6E56" w14:textId="77777777" w:rsidR="00651ECE" w:rsidRPr="00E76FD0" w:rsidRDefault="003F094E" w:rsidP="00F721CA">
      <w:pPr>
        <w:pStyle w:val="Heading2"/>
        <w:spacing w:after="0" w:afterAutospacing="0"/>
      </w:pPr>
      <w:bookmarkStart w:id="126" w:name="_Toc531264974"/>
      <w:r>
        <w:t>My Community. A City f</w:t>
      </w:r>
      <w:r w:rsidR="00CE0B9D" w:rsidRPr="00E76FD0">
        <w:t xml:space="preserve">or </w:t>
      </w:r>
      <w:r w:rsidR="00397AD6" w:rsidRPr="00E76FD0">
        <w:t>Everyone. Dubai</w:t>
      </w:r>
      <w:r w:rsidR="00CE0B9D" w:rsidRPr="00E76FD0">
        <w:t xml:space="preserve"> Disability Strategy.</w:t>
      </w:r>
      <w:bookmarkEnd w:id="126"/>
    </w:p>
    <w:p w14:paraId="389B93E9" w14:textId="77777777" w:rsidR="00651ECE" w:rsidRPr="000725F5" w:rsidRDefault="00651ECE" w:rsidP="000725F5">
      <w:pPr>
        <w:spacing w:after="0" w:line="276" w:lineRule="auto"/>
        <w:jc w:val="both"/>
        <w:rPr>
          <w:rFonts w:cs="Times New Roman"/>
          <w:sz w:val="24"/>
          <w:szCs w:val="24"/>
        </w:rPr>
      </w:pPr>
      <w:r w:rsidRPr="000725F5">
        <w:rPr>
          <w:rFonts w:cs="Times New Roman"/>
          <w:sz w:val="24"/>
          <w:szCs w:val="24"/>
        </w:rPr>
        <w:t>One cannot have inclusive societies when a segment of the world population remains marginalized, under-represented and underserved, in other words, left behind.</w:t>
      </w:r>
      <w:r w:rsidR="003F094E">
        <w:rPr>
          <w:rStyle w:val="FootnoteReference"/>
          <w:rFonts w:cs="Times New Roman"/>
          <w:sz w:val="24"/>
          <w:szCs w:val="24"/>
        </w:rPr>
        <w:footnoteReference w:id="50"/>
      </w:r>
      <w:r w:rsidRPr="000725F5">
        <w:rPr>
          <w:rFonts w:cs="Times New Roman"/>
          <w:sz w:val="24"/>
          <w:szCs w:val="24"/>
        </w:rPr>
        <w:t xml:space="preserve"> In many countries, the reality is that people with disabilities remain the most excluded and hardest to reach of all groups in their community. They are less likely to have ac</w:t>
      </w:r>
      <w:r w:rsidR="001E5ADB" w:rsidRPr="000725F5">
        <w:rPr>
          <w:rFonts w:cs="Times New Roman"/>
          <w:sz w:val="24"/>
          <w:szCs w:val="24"/>
        </w:rPr>
        <w:t>cess to healthcare and education</w:t>
      </w:r>
      <w:r w:rsidRPr="000725F5">
        <w:rPr>
          <w:rFonts w:cs="Times New Roman"/>
          <w:sz w:val="24"/>
          <w:szCs w:val="24"/>
        </w:rPr>
        <w:t xml:space="preserve"> and in turn find earning a living and lifting themselves out of poverty t</w:t>
      </w:r>
      <w:r w:rsidR="00A12DB9" w:rsidRPr="000725F5">
        <w:rPr>
          <w:rFonts w:cs="Times New Roman"/>
          <w:sz w:val="24"/>
          <w:szCs w:val="24"/>
        </w:rPr>
        <w:t>hat much more difficult, near</w:t>
      </w:r>
      <w:r w:rsidRPr="000725F5">
        <w:rPr>
          <w:rFonts w:cs="Times New Roman"/>
          <w:sz w:val="24"/>
          <w:szCs w:val="24"/>
        </w:rPr>
        <w:t xml:space="preserve"> impossible. Unlike the previous Millennium Development Goals (MDGs), the inclusion of disability in the SDGs is a cause for real hope that people with disabilities will this time be included and feel the impact of development progress. Disability is referenced in various parts of the SDGs related to education, growth and employment, inequality, accessibility of human settlements, as well as data collection and monitoring of the SDGs. Specifically, there are 11 explicit references to persons with disabilities in the 2030 Agenda, and disaggregation of data by disability is a core principle. </w:t>
      </w:r>
    </w:p>
    <w:p w14:paraId="4386341A"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UN Convention on the Rights of People with Disabilities and the Sustainable Development Goals In 2006 the United Nations Convention on the Rights of Persons with Disabilities (UNCRPD) came into force. The UNCRPD is one of nine core international human rights treaties and it includes 33 core articles covering all areas of life. To date, 175 out of 193 United Nations Member States have ratified the UNCRPD, including the UAE ratification in 2008, making the countries legally bound to implement the articles and to report on their progress in writing to the United Nations on a periodic basis. According to the 2011 World Report on Disability by the World Health Organization and World Bank, there are an estimated 1 billion persons with disabilities worldwide. The same report states that 1 in 5 of the world’s poorest people have disabilities. Disability is both a cause and consequence of poverty, yet international policy-makers and stakeholders have not historically recognized or prioritized this issue within international development efforts, until now. The 2030 Agenda and the Sustainable Development Goals (SDGs) will undoubtedly influence the direction of the broader global and national policies on sustainable development plans, in addition to the extent to which the said plans mainstream disability in the implementation and monitoring at policy and practice levels</w:t>
      </w:r>
    </w:p>
    <w:p w14:paraId="0E8996D9" w14:textId="77777777" w:rsidR="00651ECE" w:rsidRPr="000725F5" w:rsidRDefault="00651ECE" w:rsidP="000725F5">
      <w:pPr>
        <w:spacing w:line="276" w:lineRule="auto"/>
        <w:jc w:val="both"/>
        <w:rPr>
          <w:rFonts w:cs="Times New Roman"/>
          <w:sz w:val="24"/>
          <w:szCs w:val="24"/>
        </w:rPr>
      </w:pPr>
      <w:bookmarkStart w:id="127" w:name="_Toc531264975"/>
      <w:r w:rsidRPr="000725F5">
        <w:rPr>
          <w:rStyle w:val="Heading2Char"/>
          <w:sz w:val="24"/>
          <w:szCs w:val="24"/>
        </w:rPr>
        <w:lastRenderedPageBreak/>
        <w:t>Goal 4</w:t>
      </w:r>
      <w:bookmarkEnd w:id="127"/>
      <w:r w:rsidRPr="000725F5">
        <w:rPr>
          <w:rFonts w:cs="Times New Roman"/>
          <w:sz w:val="24"/>
          <w:szCs w:val="24"/>
        </w:rPr>
        <w:t>: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and also provide safe, non-violent, inclusive and effective learning environments for all.</w:t>
      </w:r>
    </w:p>
    <w:p w14:paraId="4F6CCEA9" w14:textId="77777777" w:rsidR="00651ECE" w:rsidRPr="000725F5" w:rsidRDefault="00651ECE" w:rsidP="000725F5">
      <w:pPr>
        <w:spacing w:line="276" w:lineRule="auto"/>
        <w:jc w:val="both"/>
        <w:rPr>
          <w:rFonts w:cs="Times New Roman"/>
          <w:sz w:val="24"/>
          <w:szCs w:val="24"/>
        </w:rPr>
      </w:pPr>
      <w:bookmarkStart w:id="128" w:name="_Toc531264976"/>
      <w:r w:rsidRPr="000725F5">
        <w:rPr>
          <w:rStyle w:val="Heading2Char"/>
          <w:sz w:val="24"/>
          <w:szCs w:val="24"/>
        </w:rPr>
        <w:t>Goal 8</w:t>
      </w:r>
      <w:bookmarkEnd w:id="128"/>
      <w:r w:rsidRPr="000725F5">
        <w:rPr>
          <w:rFonts w:cs="Times New Roman"/>
          <w:sz w:val="24"/>
          <w:szCs w:val="24"/>
        </w:rPr>
        <w:t>: Promote sustained, inclusive and sustainable economic growth, full and productive employment and decent work for all, with the aim to achieve full and productive employment and decent work for all women and men, including for persons with disabilities, and equal pay for work of equal value.</w:t>
      </w:r>
    </w:p>
    <w:p w14:paraId="1C40FC58" w14:textId="77777777" w:rsidR="00651ECE" w:rsidRPr="000725F5" w:rsidRDefault="00651ECE" w:rsidP="000725F5">
      <w:pPr>
        <w:spacing w:line="276" w:lineRule="auto"/>
        <w:jc w:val="both"/>
        <w:rPr>
          <w:rFonts w:cs="Times New Roman"/>
          <w:sz w:val="24"/>
          <w:szCs w:val="24"/>
        </w:rPr>
      </w:pPr>
      <w:bookmarkStart w:id="129" w:name="_Toc531264977"/>
      <w:r w:rsidRPr="000725F5">
        <w:rPr>
          <w:rStyle w:val="Heading2Char"/>
          <w:sz w:val="24"/>
          <w:szCs w:val="24"/>
        </w:rPr>
        <w:t>Goal 10</w:t>
      </w:r>
      <w:bookmarkEnd w:id="129"/>
      <w:r w:rsidRPr="000725F5">
        <w:rPr>
          <w:rFonts w:cs="Times New Roman"/>
          <w:sz w:val="24"/>
          <w:szCs w:val="24"/>
        </w:rPr>
        <w:t>: Reduce inequality within and among countries by empowering and promoting the social, economic and political inclusion of all, including persons with disabilities.</w:t>
      </w:r>
    </w:p>
    <w:p w14:paraId="041D725F" w14:textId="77777777" w:rsidR="00651ECE" w:rsidRPr="000725F5" w:rsidRDefault="00651ECE" w:rsidP="000725F5">
      <w:pPr>
        <w:spacing w:line="276" w:lineRule="auto"/>
        <w:jc w:val="both"/>
        <w:rPr>
          <w:rFonts w:cs="Times New Roman"/>
          <w:sz w:val="24"/>
          <w:szCs w:val="24"/>
        </w:rPr>
      </w:pPr>
      <w:bookmarkStart w:id="130" w:name="_Toc531264978"/>
      <w:r w:rsidRPr="000725F5">
        <w:rPr>
          <w:rStyle w:val="Heading2Char"/>
          <w:sz w:val="24"/>
          <w:szCs w:val="24"/>
        </w:rPr>
        <w:t>Goal 11</w:t>
      </w:r>
      <w:bookmarkEnd w:id="130"/>
      <w:r w:rsidRPr="000725F5">
        <w:rPr>
          <w:rFonts w:cs="Times New Roman"/>
          <w:sz w:val="24"/>
          <w:szCs w:val="24"/>
        </w:rPr>
        <w:t>: Transform cities and human settlements to be inclusive, safe and sustainable by (1) providing access to safe, affordable, accessible and sustainable transport systems for all, (2) improving road safety, notably by expanding public transport, with special attention to the needs of those in vulnerable situations, such as persons with disabilities. In addition, providing universal access to safe, inclusive and accessible, green and public spaces, particularly for persons with disabilities.</w:t>
      </w:r>
    </w:p>
    <w:p w14:paraId="78B9550A" w14:textId="77777777" w:rsidR="00651ECE" w:rsidRPr="000725F5" w:rsidRDefault="00651ECE" w:rsidP="000725F5">
      <w:pPr>
        <w:spacing w:line="276" w:lineRule="auto"/>
        <w:jc w:val="both"/>
        <w:rPr>
          <w:rFonts w:cs="Times New Roman"/>
          <w:sz w:val="24"/>
          <w:szCs w:val="24"/>
        </w:rPr>
      </w:pPr>
      <w:bookmarkStart w:id="131" w:name="_Toc531264979"/>
      <w:r w:rsidRPr="000725F5">
        <w:rPr>
          <w:rStyle w:val="Heading2Char"/>
          <w:sz w:val="24"/>
          <w:szCs w:val="24"/>
        </w:rPr>
        <w:t>Goal 17</w:t>
      </w:r>
      <w:bookmarkEnd w:id="131"/>
      <w:r w:rsidRPr="000725F5">
        <w:rPr>
          <w:rFonts w:cs="Times New Roman"/>
          <w:sz w:val="24"/>
          <w:szCs w:val="24"/>
        </w:rPr>
        <w:t>: Enhance capacity-building support to increase the availability of high-quality, timely and reliable data that is also disaggregated by disability, given the increased emphasis on the collection of data, monitoring and accountability of the SDGs.</w:t>
      </w:r>
    </w:p>
    <w:p w14:paraId="7900591D"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UN Convention on the Rights of People with Disabilities and the Sustainable Development Goals In 2006 the United Nations Convention on the Rights of Persons with Disabilities (UNCRPD) came into force. The UNCRPD is one of nine core international human rights treaties and it includes 33 core articles covering all areas of life. To date, 175 out of 193 United Nations Member States have ratified the UNCRPD, including the UAE ratification in 2008, making the countries legally bound to implement the articles and to report on their progress in writing to the United Nations on a periodic basis. According to the 2011 World Report on Disability by the World Health Organization and World Bank, there are an estimated 1 billion persons with disabilities worldwide. The same report states that 1 in 5 of the world’s poorest people have disabilities. Disability is both a cause and consequence of poverty, yet international policy-makers and stakeholders have not historically recognized or prioritized this issue within international development efforts, until now. The 2030 Agenda and the Sustainable Development Goals (SDGs) will undoubtedly influence the direction of the broader global and national policies on sustainable development plans, in addition to the extent to which the said plans mainstream disability in the implementation and monitoring at policy and practice levels.</w:t>
      </w:r>
    </w:p>
    <w:p w14:paraId="1D67B0BD" w14:textId="463FB432" w:rsidR="00651ECE" w:rsidRPr="000725F5" w:rsidRDefault="007C235C" w:rsidP="000725F5">
      <w:pPr>
        <w:spacing w:line="276" w:lineRule="auto"/>
        <w:jc w:val="both"/>
        <w:rPr>
          <w:rFonts w:cs="Times New Roman"/>
          <w:sz w:val="24"/>
          <w:szCs w:val="24"/>
        </w:rPr>
      </w:pPr>
      <w:bookmarkStart w:id="132" w:name="_Toc531264980"/>
      <w:r>
        <w:rPr>
          <w:rStyle w:val="Heading2Char"/>
          <w:sz w:val="24"/>
          <w:szCs w:val="24"/>
        </w:rPr>
        <w:t>Local context</w:t>
      </w:r>
      <w:bookmarkEnd w:id="132"/>
      <w:r w:rsidR="001334D7" w:rsidRPr="000725F5">
        <w:rPr>
          <w:rFonts w:cs="Times New Roman"/>
          <w:sz w:val="24"/>
          <w:szCs w:val="24"/>
        </w:rPr>
        <w:t>:</w:t>
      </w:r>
      <w:r w:rsidR="00651ECE" w:rsidRPr="000725F5">
        <w:rPr>
          <w:rFonts w:cs="Times New Roman"/>
          <w:sz w:val="24"/>
          <w:szCs w:val="24"/>
        </w:rPr>
        <w:t xml:space="preserve"> Dubai in the United Arab Emirates has made concerted efforts to align its strategic objectives with the global agenda. In fact, the leadership in Dubai has a vision and commitment to ensure that Dubai is transformed into a disability-friendly city by 2020. The inspired vision is to make Dubai an inclusive, barrier-free, rights-based society that promotes, protects, and ensures the self-determination of people with disabilities, or, as aptly coined in October 2017 by H.H. Sheikh Mohammed bin Rashid Al Maktoum, the Vice President and Prime Minister of the UAE and ruler of </w:t>
      </w:r>
      <w:r w:rsidR="00651ECE" w:rsidRPr="000725F5">
        <w:rPr>
          <w:rFonts w:cs="Times New Roman"/>
          <w:sz w:val="24"/>
          <w:szCs w:val="24"/>
        </w:rPr>
        <w:lastRenderedPageBreak/>
        <w:t xml:space="preserve">Dubai, “People of Determination”. In line with Dubai’s commitment to promoting inclusion, H.H. Sheikh Mohammed bin Rashid Al Maktoum, Vice-president and Prime Minister of the UAE and Ruler of Dubai, issued Dubai Law No. 2 of 2014 for the protection of the rights of persons with disabilities in the Emirate of Dubai. The law ensures that persons with disabilities are entitled to all the rights prescribed to them, that they are respected and treated with dignity, and that their potential as empowered and productive members of society is recognized. The law calls on all concerned parties in Dubai to provide essential and basic services to all persons with disabilities, such as: affordable healthcare and rehabilitation services; inclusive quality education at all stages; public services, which include the use of roads and public transportation; facilitated access to public amenities; and ensuring that their surrounding environment is easily accessible. The Dubai law is also aligned and in accordance with the UN Convention of the Rights of Persons with Disabilities (2006), ratified by the UAE in February 2008. </w:t>
      </w:r>
    </w:p>
    <w:p w14:paraId="2DF3F83C"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‘My Community, A City for Everyone’ To establish the Emirate of Dubai as a leading example, H.H. Sheikh </w:t>
      </w:r>
      <w:proofErr w:type="spellStart"/>
      <w:r w:rsidRPr="000725F5">
        <w:rPr>
          <w:rFonts w:cs="Times New Roman"/>
          <w:sz w:val="24"/>
          <w:szCs w:val="24"/>
        </w:rPr>
        <w:t>Hamdan</w:t>
      </w:r>
      <w:proofErr w:type="spellEnd"/>
      <w:r w:rsidRPr="000725F5">
        <w:rPr>
          <w:rFonts w:cs="Times New Roman"/>
          <w:sz w:val="24"/>
          <w:szCs w:val="24"/>
        </w:rPr>
        <w:t xml:space="preserve"> bin Mohammed bin Rashid Al Maktoum, Crown Prince of Dubai and Chairman of The Executive Council, launched the “My Community…A City for Everyone” initiative in November 2013, which aims to transform Dubai into a disability-friendly city by 2020. Several communication campaigns, projects and activities were designed to maximize the participation and integration of persons with disabilities and eliminate the various attitudinal barriers which currently prevent persons with disabilities from achieving their full potential as participating and contributing members of society. The initiative gained support and attention from members of society, which is further proof of the importance of social awareness about the role of persons with disabilities as able members, capable of achieving positive change in society. According to the new law and to the “My Community” initiative, H.H. Sheikh </w:t>
      </w:r>
      <w:proofErr w:type="spellStart"/>
      <w:r w:rsidRPr="000725F5">
        <w:rPr>
          <w:rFonts w:cs="Times New Roman"/>
          <w:sz w:val="24"/>
          <w:szCs w:val="24"/>
        </w:rPr>
        <w:t>Hamdan</w:t>
      </w:r>
      <w:proofErr w:type="spellEnd"/>
      <w:r w:rsidRPr="000725F5">
        <w:rPr>
          <w:rFonts w:cs="Times New Roman"/>
          <w:sz w:val="24"/>
          <w:szCs w:val="24"/>
        </w:rPr>
        <w:t xml:space="preserve"> bin Mohammed bin Rashid Al Maktoum, Crown Prince of Dubai and Chairman of The Executive Council, issued The Executive Council’s decision No.3 of 2014. The decision stipulates the establishment of the Higher Committee for the Protection of the Rights of Persons with Disabilities under </w:t>
      </w:r>
      <w:r w:rsidR="00F32EAB" w:rsidRPr="000725F5">
        <w:rPr>
          <w:rFonts w:cs="Times New Roman"/>
          <w:sz w:val="24"/>
          <w:szCs w:val="24"/>
        </w:rPr>
        <w:t>his supervision and to be led</w:t>
      </w:r>
      <w:r w:rsidRPr="000725F5">
        <w:rPr>
          <w:rFonts w:cs="Times New Roman"/>
          <w:sz w:val="24"/>
          <w:szCs w:val="24"/>
        </w:rPr>
        <w:t xml:space="preserve"> by H.H. Sheikh Mansoor bin Mohammed bin Rashid Al Maktoum. The aim of this committee is to implement the articles of the local law and supervise the implementation of the initiatives and the work plan aimed at protecting the rights of persons with disabilities. All government entities, committees, and offices in Dubai have combined their efforts to help develop successful, tangible, and practical steps to support the related legislations and laws. </w:t>
      </w:r>
    </w:p>
    <w:p w14:paraId="0386EAC5"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Dubai Disability Strategy 2020 In order to provide a clear roadmap for the My Community initiative and the law, persons with disabilities and their allies, along with stakeholders; local and global experts, developed a comprehensive strategy in 2015 defining the pathway to achieving the vision that reinforces the articles of the federal and local laws, in addition to the UNCRPD and development agenda priorities as outlined in the SDGs. H.H. Sheikh Mansoor bin Mohammed bin Rashid Al Maktoum, Chairman of the Higher Committee for the Protection of the Rights of Persons with Disabilities, announced the launch of the “Dubai Disability Strategy (DDS) 2020” that outlines the role of private and public sectors and civil society institutions in supporting and implementing this strategy along with its requisite objectives, goals, and strategic direction in transforming Dubai into a disability-friendly city by 2020. The DDS mission is to implement policy and best-practices that </w:t>
      </w:r>
      <w:r w:rsidRPr="000725F5">
        <w:rPr>
          <w:rFonts w:cs="Times New Roman"/>
          <w:sz w:val="24"/>
          <w:szCs w:val="24"/>
        </w:rPr>
        <w:lastRenderedPageBreak/>
        <w:t xml:space="preserve">empower persons with disabilities to make choices in an environment that is inclusive and ensures access to opportunities on an equal basis with others as guided by the Framework </w:t>
      </w:r>
    </w:p>
    <w:p w14:paraId="69E93A4A" w14:textId="77777777" w:rsidR="00651ECE" w:rsidRPr="00413ABD" w:rsidRDefault="00651ECE" w:rsidP="000725F5">
      <w:pPr>
        <w:pStyle w:val="Heading1"/>
        <w:spacing w:line="276" w:lineRule="auto"/>
        <w:rPr>
          <w:sz w:val="26"/>
          <w:szCs w:val="26"/>
        </w:rPr>
      </w:pPr>
      <w:bookmarkStart w:id="133" w:name="_Toc531264981"/>
      <w:r w:rsidRPr="00413ABD">
        <w:rPr>
          <w:sz w:val="26"/>
          <w:szCs w:val="26"/>
        </w:rPr>
        <w:t>The Dubai Disability Strategy Framework</w:t>
      </w:r>
      <w:bookmarkEnd w:id="133"/>
    </w:p>
    <w:p w14:paraId="336E27F6" w14:textId="77777777" w:rsidR="00651ECE" w:rsidRPr="000725F5" w:rsidRDefault="00CE0B9D" w:rsidP="000725F5">
      <w:pPr>
        <w:spacing w:line="276" w:lineRule="auto"/>
        <w:jc w:val="both"/>
        <w:rPr>
          <w:rFonts w:cs="Times New Roman"/>
          <w:sz w:val="24"/>
          <w:szCs w:val="24"/>
        </w:rPr>
      </w:pPr>
      <w:bookmarkStart w:id="134" w:name="_Toc531264982"/>
      <w:r w:rsidRPr="000725F5">
        <w:rPr>
          <w:rStyle w:val="Heading2Char"/>
          <w:sz w:val="24"/>
          <w:szCs w:val="24"/>
        </w:rPr>
        <w:t>Local Context</w:t>
      </w:r>
      <w:bookmarkEnd w:id="134"/>
      <w:r w:rsidR="00BC58CF" w:rsidRPr="000725F5">
        <w:rPr>
          <w:rFonts w:cs="Times New Roman"/>
          <w:b/>
          <w:sz w:val="24"/>
          <w:szCs w:val="24"/>
        </w:rPr>
        <w:t xml:space="preserve">: </w:t>
      </w:r>
      <w:r w:rsidR="00651ECE" w:rsidRPr="000725F5">
        <w:rPr>
          <w:rFonts w:cs="Times New Roman"/>
          <w:sz w:val="24"/>
          <w:szCs w:val="24"/>
        </w:rPr>
        <w:t>Dubai in the United Arab Emirates has made concerted efforts to align its strategic objectives with the global agenda. In fact, the leadership in Dubai has a vision and commitment to ensure that Dubai is transformed into a disability-friendly city by 2020. The inspired vision is to make Dubai an inclusive, barrier-free, rights-based society that promotes, protects, and ensures the self-determination of people with disabilities, or, as aptly coined in October 2017 by H.H. Sheikh Mohammed bin Rashid Al Maktoum, the Vice President and Prime Minister of the UAE and ruler of Dubai, “People of Determination”. In line with Dubai’s commitment to promoting inclusion, H.H. Sheikh Mohammed bin Rashid Al Maktoum, Vice</w:t>
      </w:r>
      <w:r w:rsidR="00A21E0D">
        <w:rPr>
          <w:rFonts w:cs="Times New Roman"/>
          <w:sz w:val="24"/>
          <w:szCs w:val="24"/>
        </w:rPr>
        <w:t>-</w:t>
      </w:r>
      <w:r w:rsidR="00651ECE" w:rsidRPr="000725F5">
        <w:rPr>
          <w:rFonts w:cs="Times New Roman"/>
          <w:sz w:val="24"/>
          <w:szCs w:val="24"/>
        </w:rPr>
        <w:t xml:space="preserve">President and Prime Minister of the UAE and Ruler of Dubai, issued Dubai Law No. 2 of 2014 for the protection of the rights of persons with disabilities in the Emirate of Dubai. The law ensures that persons with disabilities are entitled to all the rights prescribed to them, that they are respected and treated with dignity, and that their potential as empowered and productive members of society is recognized. The law calls on all concerned parties in Dubai to provide essential and basic services to all persons with disabilities, such as: affordable healthcare and rehabilitation services; inclusive quality education at all stages; public services, which include the use of roads and public transportation; facilitated access to public amenities; and ensuring that their surrounding environment is easily accessible. The Dubai law is also aligned and in accordance with the UN Convention of the Rights of Persons with Disabilities (2006), ratified by the UAE in February 2008. </w:t>
      </w:r>
    </w:p>
    <w:p w14:paraId="23FFE49B" w14:textId="77777777" w:rsidR="00651ECE" w:rsidRPr="000725F5" w:rsidRDefault="00711010" w:rsidP="000725F5">
      <w:pPr>
        <w:spacing w:line="276" w:lineRule="auto"/>
        <w:jc w:val="both"/>
        <w:rPr>
          <w:rFonts w:cs="Times New Roman"/>
          <w:sz w:val="24"/>
          <w:szCs w:val="24"/>
        </w:rPr>
      </w:pPr>
      <w:r w:rsidRPr="000725F5">
        <w:rPr>
          <w:rFonts w:cs="Times New Roman"/>
          <w:sz w:val="24"/>
          <w:szCs w:val="24"/>
        </w:rPr>
        <w:t xml:space="preserve">‘My </w:t>
      </w:r>
      <w:r w:rsidR="00651ECE" w:rsidRPr="000725F5">
        <w:rPr>
          <w:rFonts w:cs="Times New Roman"/>
          <w:sz w:val="24"/>
          <w:szCs w:val="24"/>
        </w:rPr>
        <w:t xml:space="preserve">Community. A City for Everyone’ To establish the Emirate of Dubai as a leading example, H.H. Sheikh </w:t>
      </w:r>
      <w:proofErr w:type="spellStart"/>
      <w:r w:rsidR="00651ECE" w:rsidRPr="000725F5">
        <w:rPr>
          <w:rFonts w:cs="Times New Roman"/>
          <w:sz w:val="24"/>
          <w:szCs w:val="24"/>
        </w:rPr>
        <w:t>Hamdan</w:t>
      </w:r>
      <w:proofErr w:type="spellEnd"/>
      <w:r w:rsidR="00651ECE" w:rsidRPr="000725F5">
        <w:rPr>
          <w:rFonts w:cs="Times New Roman"/>
          <w:sz w:val="24"/>
          <w:szCs w:val="24"/>
        </w:rPr>
        <w:t xml:space="preserve"> bin Mohammed bin Rashid Al Maktoum, Crown Prince of Dubai and Chairman of The Executive Council, launched the “My Community…A City for Everyone” initiative in November 2013, which aims to transform Dubai into a disability-friendly city by 2020. Several communication campaigns, projects and activities were designed to maximize the participation and integration of persons with disabilities and eliminate the various attitudinal barriers which currently prevent persons with disabilities from achieving their full potential as participating and contributing members of society. The initiative gained support and attention from members of society, which is further proof of the importance of social awareness about the role of persons with disabilities as able members, capable of achieving positive change in society. According to the new law and to the “My Community” initiative, H.H. Sheikh </w:t>
      </w:r>
      <w:proofErr w:type="spellStart"/>
      <w:r w:rsidR="00651ECE" w:rsidRPr="000725F5">
        <w:rPr>
          <w:rFonts w:cs="Times New Roman"/>
          <w:sz w:val="24"/>
          <w:szCs w:val="24"/>
        </w:rPr>
        <w:t>Hamdan</w:t>
      </w:r>
      <w:proofErr w:type="spellEnd"/>
      <w:r w:rsidR="00651ECE" w:rsidRPr="000725F5">
        <w:rPr>
          <w:rFonts w:cs="Times New Roman"/>
          <w:sz w:val="24"/>
          <w:szCs w:val="24"/>
        </w:rPr>
        <w:t xml:space="preserve"> bin Mohammed bin Rashid Al Maktoum, Crown Prince of Dubai and Chairman of The Executive Council, issued The Executive Council’s decision No.3 of 2014. The decision stipulates the establishment of the Higher Committee for the Protection of the Rights of Persons with Disabilities under his supervision and to be leaded by H.H. Sheikh Mansoor bin Mohammed bin Rashid Al Maktoum. The aim of this committee is to implement the articles of the local law and supervise the implementation of the initiatives and the work plan aimed at protecting the rights of persons with disabilities. All government entities, committees, and offices in Dubai have combined their efforts to help develop successful, tangible, and practical steps to support the related legislations and laws. </w:t>
      </w:r>
    </w:p>
    <w:p w14:paraId="2AF1D8CA"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lastRenderedPageBreak/>
        <w:t>Dubai Disability Strategy 2020 In order to provide a clear roadmap for the My Community initiative and the law, persons with disabilities and their allies, along with stakeholders; local and global experts, developed a comprehensive strategy in 2015 defining the pathway to achieving the vision that reinforces the articles of the federal and local laws, in addition to the UNCRPD and development agenda priorities as outlined in the SDGs. H.H. Sheikh Mansoor bin Mohammed bin Rashid Al Maktoum, Chairman of the Higher Committee for the Protection of the Rights of Persons with Disabilities, announced the launch of the “Dubai Disability Strategy (DDS) 2020” that outlines the role of private and public sectors and civil society institutions in supporting and implementing this strategy along with its requisite objectives, goals, and strategic direction in transforming Dubai into a disability-friendly city by 2020. The DDS mission is to implement policy and best-practices that empower persons with disabilities to make choices in an environment that is inclusive and ensures access to opportunities on an equal basis with ot</w:t>
      </w:r>
      <w:r w:rsidR="00026266">
        <w:rPr>
          <w:rFonts w:cs="Times New Roman"/>
          <w:sz w:val="24"/>
          <w:szCs w:val="24"/>
        </w:rPr>
        <w:t xml:space="preserve">hers as guided by the Framework. </w:t>
      </w:r>
    </w:p>
    <w:p w14:paraId="1B1685FE"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Mainstreaming &amp; Monitoring Disability The leadership in the Government of Dubai recognizes that mainstreaming disability across government policies and programs is vital in the effort towards planning for an inclusive society. As such, the Dubai Disability Strategy is not a stand-alone strategy; instead, it is fully mainstreamed across the strategic aims and the monitoring framework of the 2021 Dubai Strategic Plan (DP2021). Concerted efforts of late have attempted to align the DDS with the global agenda on the one hand (SDGs and UNCRPD) and the local national agenda on the other (DP2021) by becoming an integrated part of the larger Dubai Plan’s programmatic and policy choices, organizational values and working practices, and monitoring framework. The DDS is based on a rights-based approach that is reflected in its emphasis on universal design, inclusive education for all, and access to health and rehabilitation services. This means that the methodology used to gather baseline information for planning and monitoring must be also rooted in the same principles. For this reason, the WHO’s Model Disability Survey (MDS) was adopted and customized as the data collection strategy for establishing empirically sound baseline information that will enable the monitoring of the DDS and Dubai’s progress on achieving the SDGs, now entitled the Dubai Survey on Community Inclusion. Effective policy-making derived from the DDS requires reliable, detailed data on all aspects of disability - impairments, activity limitations, participation restrictions, related health conditions, environmental factors - information that is currently limited as there is no standardized instrument for data collection on disability that provides comprehensive and systematic documentation of all aspects of functioning in a population. The customized WHO survey will now aid in overcoming one of the challenges in attaining essential baseline information for monitoring progress and providing a basis from which policy decisions can be made and concrete actions planned, all in line with the SDGs. The MDS </w:t>
      </w:r>
      <w:r w:rsidR="00905379" w:rsidRPr="000725F5">
        <w:rPr>
          <w:rFonts w:cs="Times New Roman"/>
          <w:sz w:val="24"/>
          <w:szCs w:val="24"/>
        </w:rPr>
        <w:t>implemented,</w:t>
      </w:r>
      <w:r w:rsidRPr="000725F5">
        <w:rPr>
          <w:rFonts w:cs="Times New Roman"/>
          <w:sz w:val="24"/>
          <w:szCs w:val="24"/>
        </w:rPr>
        <w:t xml:space="preserve"> as a population-based survey with an estimated sample of 2,500</w:t>
      </w:r>
      <w:r w:rsidR="0015582F" w:rsidRPr="000725F5">
        <w:rPr>
          <w:rFonts w:cs="Times New Roman"/>
          <w:sz w:val="24"/>
          <w:szCs w:val="24"/>
        </w:rPr>
        <w:t>,</w:t>
      </w:r>
      <w:r w:rsidRPr="000725F5">
        <w:rPr>
          <w:rFonts w:cs="Times New Roman"/>
          <w:sz w:val="24"/>
          <w:szCs w:val="24"/>
        </w:rPr>
        <w:t xml:space="preserve"> will produce comparable, benchmarked, longitudinal evidence on disability adopted for the monitoring of the DDS/SDG indicators and designed in accordance with the UNCRPD articles. Only with such evidence in hand, we can know whether we are achieving the vision of</w:t>
      </w:r>
      <w:r w:rsidR="00026266">
        <w:rPr>
          <w:rFonts w:cs="Times New Roman"/>
          <w:sz w:val="24"/>
          <w:szCs w:val="24"/>
        </w:rPr>
        <w:t xml:space="preserve"> building an inclusive community.</w:t>
      </w:r>
    </w:p>
    <w:p w14:paraId="4A1F1520" w14:textId="77777777" w:rsidR="00651ECE" w:rsidRPr="00413ABD" w:rsidRDefault="00651ECE" w:rsidP="000725F5">
      <w:pPr>
        <w:pStyle w:val="Heading1"/>
        <w:spacing w:line="276" w:lineRule="auto"/>
        <w:rPr>
          <w:rFonts w:eastAsia="Times New Roman"/>
          <w:sz w:val="32"/>
          <w:szCs w:val="32"/>
          <w:lang w:eastAsia="en-GB"/>
        </w:rPr>
      </w:pPr>
      <w:bookmarkStart w:id="135" w:name="_Toc531264983"/>
      <w:r w:rsidRPr="00413ABD">
        <w:rPr>
          <w:rFonts w:eastAsia="Times New Roman"/>
          <w:sz w:val="32"/>
          <w:szCs w:val="32"/>
          <w:lang w:eastAsia="en-GB"/>
        </w:rPr>
        <w:t>Viet Nam</w:t>
      </w:r>
      <w:bookmarkEnd w:id="135"/>
    </w:p>
    <w:p w14:paraId="257A3AC7"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Seventeen global SDGs have been nationalized into 115 Viet Nam SDG (VSDG) targets in our “National Action Plan for Implementation of the 2030 Agenda for Sustainable Development”, based on Viet </w:t>
      </w:r>
      <w:r w:rsidRPr="000725F5">
        <w:rPr>
          <w:rFonts w:cs="Times New Roman"/>
          <w:sz w:val="24"/>
          <w:szCs w:val="24"/>
        </w:rPr>
        <w:lastRenderedPageBreak/>
        <w:t>Nam’s development context and priorities, and building on the successful implementation of the Millennium Development Goals (MDGs).</w:t>
      </w:r>
      <w:r w:rsidR="009C1BBE">
        <w:rPr>
          <w:rStyle w:val="FootnoteReference"/>
          <w:rFonts w:cs="Times New Roman"/>
          <w:sz w:val="24"/>
          <w:szCs w:val="24"/>
        </w:rPr>
        <w:footnoteReference w:id="51"/>
      </w:r>
      <w:r w:rsidRPr="000725F5">
        <w:rPr>
          <w:rFonts w:cs="Times New Roman"/>
          <w:sz w:val="24"/>
          <w:szCs w:val="24"/>
        </w:rPr>
        <w:t xml:space="preserve"> The National Action Plan emphasizes the importance of partnerships and clearly assigns tasks and responsibilities to respective stakeholders at both central and local levels in SDG implementation. In addition, Viet Nam has paid particular attention to vulnerable groups such as the poor, people with disabilities, women, children and ethnic minorities through a number of policies aimed at promoting social equality to ensure that no one is left behind. Accordingly, the National Council for Sustainable Development and Competitiveness Improvement, established in 2005, plays an advisory and consultative role to the Prime Minister in the implementation of sustainable development initiatives.</w:t>
      </w:r>
    </w:p>
    <w:p w14:paraId="5D2DA913"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The VNR development process was driven by the intensive and extensive involvement of the National Assembly, ministries and related agencies, socio-political organizations such as the Women’s Union and Youth Union, socio-professional organizations, UN system in Viet Nam, development partners, local and international NGOs, representatives from the business community, research institutes and scientists. The process also received comments from vulnerable groups (women, ethnic minority people, people with disabilities) on matters related to sustainable development following the principle that no one is left behind.</w:t>
      </w:r>
    </w:p>
    <w:p w14:paraId="3BBC345D"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The UN SDG Technical Working Group was formed to cooperate with the GOVN in implementing the 2030 Agenda. In addition, the </w:t>
      </w:r>
      <w:r w:rsidR="00445C6C" w:rsidRPr="000725F5">
        <w:rPr>
          <w:rFonts w:cs="Times New Roman"/>
          <w:sz w:val="24"/>
          <w:szCs w:val="24"/>
        </w:rPr>
        <w:t>network of local and international NGOs, socio-political and socio-professional organizations as well as an Association of Persons with Disabilities has</w:t>
      </w:r>
      <w:r w:rsidRPr="000725F5">
        <w:rPr>
          <w:rFonts w:cs="Times New Roman"/>
          <w:sz w:val="24"/>
          <w:szCs w:val="24"/>
        </w:rPr>
        <w:t xml:space="preserve"> conducted activities to implement SDGs and made direct contributions to the VNR.</w:t>
      </w:r>
    </w:p>
    <w:p w14:paraId="3E31B44B"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Monthly social support for beneficiaries of social protection has been provided in nearly 60 provinces/ cities. A grassroots network of social support has been planned and developed nationwide, with 418 social support establishments, including 195 public establishments and 223 non-public establishments (33 elderly care centres, 74 establishments taking care of persons with disabilities, 144 establishments taking care of children, 102 combined establishments, 31 establishments taking care of persons with mental</w:t>
      </w:r>
      <w:r w:rsidR="009C1BBE">
        <w:rPr>
          <w:rFonts w:cs="Times New Roman"/>
          <w:sz w:val="24"/>
          <w:szCs w:val="24"/>
        </w:rPr>
        <w:t xml:space="preserve"> illness, and 34 social centres).</w:t>
      </w:r>
      <w:r w:rsidR="009C1BBE">
        <w:rPr>
          <w:rStyle w:val="FootnoteReference"/>
          <w:rFonts w:cs="Times New Roman"/>
          <w:sz w:val="24"/>
          <w:szCs w:val="24"/>
        </w:rPr>
        <w:footnoteReference w:id="52"/>
      </w:r>
      <w:r w:rsidRPr="000725F5">
        <w:rPr>
          <w:rFonts w:cs="Times New Roman"/>
          <w:sz w:val="24"/>
          <w:szCs w:val="24"/>
        </w:rPr>
        <w:t xml:space="preserve"> There are specific provisions on support, allowances for people with disabilities and other vulnerable groups. Social support is provided monthly for 896,644 persons with serious and very serious disabilities</w:t>
      </w:r>
      <w:r w:rsidR="00445C6C" w:rsidRPr="000725F5">
        <w:rPr>
          <w:rFonts w:cs="Times New Roman"/>
          <w:sz w:val="24"/>
          <w:szCs w:val="24"/>
        </w:rPr>
        <w:t>.</w:t>
      </w:r>
    </w:p>
    <w:p w14:paraId="13DE794A"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Model of early childhood disability detection and intervention (ECDDI) for children from 0 to 6 years old The Sustainable Health Development </w:t>
      </w:r>
      <w:proofErr w:type="spellStart"/>
      <w:r w:rsidRPr="000725F5">
        <w:rPr>
          <w:rFonts w:cs="Times New Roman"/>
          <w:sz w:val="24"/>
          <w:szCs w:val="24"/>
        </w:rPr>
        <w:t>Center</w:t>
      </w:r>
      <w:proofErr w:type="spellEnd"/>
      <w:r w:rsidRPr="000725F5">
        <w:rPr>
          <w:rFonts w:cs="Times New Roman"/>
          <w:sz w:val="24"/>
          <w:szCs w:val="24"/>
        </w:rPr>
        <w:t xml:space="preserve"> (</w:t>
      </w:r>
      <w:proofErr w:type="spellStart"/>
      <w:r w:rsidRPr="000725F5">
        <w:rPr>
          <w:rFonts w:cs="Times New Roman"/>
          <w:sz w:val="24"/>
          <w:szCs w:val="24"/>
        </w:rPr>
        <w:t>VietHealth</w:t>
      </w:r>
      <w:proofErr w:type="spellEnd"/>
      <w:r w:rsidRPr="000725F5">
        <w:rPr>
          <w:rFonts w:cs="Times New Roman"/>
          <w:sz w:val="24"/>
          <w:szCs w:val="24"/>
        </w:rPr>
        <w:t xml:space="preserve">), a Vietnamese NGO, works in medical and public health areas, especially in sexual and reproductive health care, primary health care, mother and child health care, detection and rehabilitation, special education intervention for children with disabilities. In implementing its mission, since 2012, </w:t>
      </w:r>
      <w:proofErr w:type="spellStart"/>
      <w:r w:rsidRPr="000725F5">
        <w:rPr>
          <w:rFonts w:cs="Times New Roman"/>
          <w:sz w:val="24"/>
          <w:szCs w:val="24"/>
        </w:rPr>
        <w:t>VietHealth</w:t>
      </w:r>
      <w:proofErr w:type="spellEnd"/>
      <w:r w:rsidRPr="000725F5">
        <w:rPr>
          <w:rFonts w:cs="Times New Roman"/>
          <w:sz w:val="24"/>
          <w:szCs w:val="24"/>
        </w:rPr>
        <w:t xml:space="preserve"> has been </w:t>
      </w:r>
      <w:r w:rsidR="00397AD6" w:rsidRPr="000725F5">
        <w:rPr>
          <w:rFonts w:cs="Times New Roman"/>
          <w:sz w:val="24"/>
          <w:szCs w:val="24"/>
        </w:rPr>
        <w:t>utilizing</w:t>
      </w:r>
      <w:r w:rsidRPr="000725F5">
        <w:rPr>
          <w:rFonts w:cs="Times New Roman"/>
          <w:sz w:val="24"/>
          <w:szCs w:val="24"/>
        </w:rPr>
        <w:t xml:space="preserve"> the model of Early Childhood Disabilities Detection and Intervention for children under </w:t>
      </w:r>
      <w:r w:rsidR="009C1BBE" w:rsidRPr="000725F5">
        <w:rPr>
          <w:rFonts w:cs="Times New Roman"/>
          <w:sz w:val="24"/>
          <w:szCs w:val="24"/>
        </w:rPr>
        <w:t>six-year-old</w:t>
      </w:r>
      <w:r w:rsidRPr="000725F5">
        <w:rPr>
          <w:rFonts w:cs="Times New Roman"/>
          <w:sz w:val="24"/>
          <w:szCs w:val="24"/>
        </w:rPr>
        <w:t xml:space="preserve"> in 100 per-cent communes of 25 selected districts in some provinces including Vinh Long, </w:t>
      </w:r>
      <w:proofErr w:type="spellStart"/>
      <w:r w:rsidRPr="000725F5">
        <w:rPr>
          <w:rFonts w:cs="Times New Roman"/>
          <w:sz w:val="24"/>
          <w:szCs w:val="24"/>
        </w:rPr>
        <w:t>Thua</w:t>
      </w:r>
      <w:proofErr w:type="spellEnd"/>
      <w:r w:rsidR="00397AD6">
        <w:rPr>
          <w:rFonts w:cs="Times New Roman"/>
          <w:sz w:val="24"/>
          <w:szCs w:val="24"/>
        </w:rPr>
        <w:t xml:space="preserve"> </w:t>
      </w:r>
      <w:proofErr w:type="spellStart"/>
      <w:r w:rsidRPr="000725F5">
        <w:rPr>
          <w:rFonts w:cs="Times New Roman"/>
          <w:sz w:val="24"/>
          <w:szCs w:val="24"/>
        </w:rPr>
        <w:t>Thien</w:t>
      </w:r>
      <w:proofErr w:type="spellEnd"/>
      <w:r w:rsidRPr="000725F5">
        <w:rPr>
          <w:rFonts w:cs="Times New Roman"/>
          <w:sz w:val="24"/>
          <w:szCs w:val="24"/>
        </w:rPr>
        <w:t xml:space="preserve"> Hue, Bac</w:t>
      </w:r>
      <w:r w:rsidR="00397AD6">
        <w:rPr>
          <w:rFonts w:cs="Times New Roman"/>
          <w:sz w:val="24"/>
          <w:szCs w:val="24"/>
        </w:rPr>
        <w:t xml:space="preserve"> </w:t>
      </w:r>
      <w:proofErr w:type="spellStart"/>
      <w:r w:rsidRPr="000725F5">
        <w:rPr>
          <w:rFonts w:cs="Times New Roman"/>
          <w:sz w:val="24"/>
          <w:szCs w:val="24"/>
        </w:rPr>
        <w:t>Giang</w:t>
      </w:r>
      <w:proofErr w:type="spellEnd"/>
      <w:r w:rsidRPr="000725F5">
        <w:rPr>
          <w:rFonts w:cs="Times New Roman"/>
          <w:sz w:val="24"/>
          <w:szCs w:val="24"/>
        </w:rPr>
        <w:t xml:space="preserve">, </w:t>
      </w:r>
      <w:proofErr w:type="spellStart"/>
      <w:r w:rsidRPr="000725F5">
        <w:rPr>
          <w:rFonts w:cs="Times New Roman"/>
          <w:sz w:val="24"/>
          <w:szCs w:val="24"/>
        </w:rPr>
        <w:t>Phu</w:t>
      </w:r>
      <w:proofErr w:type="spellEnd"/>
      <w:r w:rsidR="00397AD6">
        <w:rPr>
          <w:rFonts w:cs="Times New Roman"/>
          <w:sz w:val="24"/>
          <w:szCs w:val="24"/>
        </w:rPr>
        <w:t xml:space="preserve"> </w:t>
      </w:r>
      <w:proofErr w:type="spellStart"/>
      <w:r w:rsidRPr="000725F5">
        <w:rPr>
          <w:rFonts w:cs="Times New Roman"/>
          <w:sz w:val="24"/>
          <w:szCs w:val="24"/>
        </w:rPr>
        <w:t>Tho</w:t>
      </w:r>
      <w:proofErr w:type="spellEnd"/>
      <w:r w:rsidRPr="000725F5">
        <w:rPr>
          <w:rFonts w:cs="Times New Roman"/>
          <w:sz w:val="24"/>
          <w:szCs w:val="24"/>
        </w:rPr>
        <w:t xml:space="preserve">, Yen Bai, Da Nang, Tay </w:t>
      </w:r>
      <w:proofErr w:type="spellStart"/>
      <w:r w:rsidRPr="000725F5">
        <w:rPr>
          <w:rFonts w:cs="Times New Roman"/>
          <w:sz w:val="24"/>
          <w:szCs w:val="24"/>
        </w:rPr>
        <w:t>Ninh</w:t>
      </w:r>
      <w:proofErr w:type="spellEnd"/>
      <w:r w:rsidRPr="000725F5">
        <w:rPr>
          <w:rFonts w:cs="Times New Roman"/>
          <w:sz w:val="24"/>
          <w:szCs w:val="24"/>
        </w:rPr>
        <w:t xml:space="preserve">, Dong </w:t>
      </w:r>
      <w:proofErr w:type="spellStart"/>
      <w:r w:rsidRPr="000725F5">
        <w:rPr>
          <w:rFonts w:cs="Times New Roman"/>
          <w:sz w:val="24"/>
          <w:szCs w:val="24"/>
        </w:rPr>
        <w:t>Nai</w:t>
      </w:r>
      <w:proofErr w:type="spellEnd"/>
      <w:r w:rsidRPr="000725F5">
        <w:rPr>
          <w:rFonts w:cs="Times New Roman"/>
          <w:sz w:val="24"/>
          <w:szCs w:val="24"/>
        </w:rPr>
        <w:t xml:space="preserve"> and </w:t>
      </w:r>
      <w:proofErr w:type="spellStart"/>
      <w:r w:rsidRPr="000725F5">
        <w:rPr>
          <w:rFonts w:cs="Times New Roman"/>
          <w:sz w:val="24"/>
          <w:szCs w:val="24"/>
        </w:rPr>
        <w:t>Binh</w:t>
      </w:r>
      <w:proofErr w:type="spellEnd"/>
      <w:r w:rsidR="00397AD6">
        <w:rPr>
          <w:rFonts w:cs="Times New Roman"/>
          <w:sz w:val="24"/>
          <w:szCs w:val="24"/>
        </w:rPr>
        <w:t xml:space="preserve"> </w:t>
      </w:r>
      <w:r w:rsidRPr="000725F5">
        <w:rPr>
          <w:rFonts w:cs="Times New Roman"/>
          <w:sz w:val="24"/>
          <w:szCs w:val="24"/>
        </w:rPr>
        <w:t xml:space="preserve">Phuoc. Within five years, about 100,000 children under six years old have received physical and development screening at communities. According to local statistics, there are about 1,5 1.7% of children with disabilities in </w:t>
      </w:r>
      <w:r w:rsidRPr="000725F5">
        <w:rPr>
          <w:rFonts w:cs="Times New Roman"/>
          <w:sz w:val="24"/>
          <w:szCs w:val="24"/>
        </w:rPr>
        <w:lastRenderedPageBreak/>
        <w:t xml:space="preserve">every 10,000 children being screened, of which the number of intellectually disabled children Interventions for inclusive education and specialized education account for about 65-70% and the number of children with mobility disabilities requiring interventions for surgery and rehabilitation is about 30-35%. Children with disabilities will be identified and classified according to mobility impairments, intellectual disability or multiple disabilities in four levels from mild to very severe as well as development of fish intervention plans for each case. </w:t>
      </w:r>
      <w:proofErr w:type="spellStart"/>
      <w:r w:rsidRPr="000725F5">
        <w:rPr>
          <w:rFonts w:cs="Times New Roman"/>
          <w:sz w:val="24"/>
          <w:szCs w:val="24"/>
        </w:rPr>
        <w:t>VietHealth</w:t>
      </w:r>
      <w:proofErr w:type="spellEnd"/>
      <w:r w:rsidRPr="000725F5">
        <w:rPr>
          <w:rFonts w:cs="Times New Roman"/>
          <w:sz w:val="24"/>
          <w:szCs w:val="24"/>
        </w:rPr>
        <w:t xml:space="preserve"> conducts trainings for preschool teachers on special education interventions and trainings for parents to implement interventions for children with disabilities identified through screening, evaluation and </w:t>
      </w:r>
      <w:r w:rsidR="009C1BBE">
        <w:rPr>
          <w:rFonts w:cs="Times New Roman"/>
          <w:sz w:val="24"/>
          <w:szCs w:val="24"/>
        </w:rPr>
        <w:t>classification of disabilities.</w:t>
      </w:r>
      <w:r w:rsidRPr="000725F5">
        <w:rPr>
          <w:rFonts w:cs="Times New Roman"/>
          <w:sz w:val="24"/>
          <w:szCs w:val="24"/>
        </w:rPr>
        <w:t xml:space="preserve"> By 2018, the greatest success of </w:t>
      </w:r>
      <w:proofErr w:type="spellStart"/>
      <w:r w:rsidRPr="000725F5">
        <w:rPr>
          <w:rFonts w:cs="Times New Roman"/>
          <w:sz w:val="24"/>
          <w:szCs w:val="24"/>
        </w:rPr>
        <w:t>VietHealth</w:t>
      </w:r>
      <w:proofErr w:type="spellEnd"/>
      <w:r w:rsidRPr="000725F5">
        <w:rPr>
          <w:rFonts w:cs="Times New Roman"/>
          <w:sz w:val="24"/>
          <w:szCs w:val="24"/>
        </w:rPr>
        <w:t xml:space="preserve"> is the Early Detection and Early Intervention model supported by People’s Committees of provinces and </w:t>
      </w:r>
      <w:r w:rsidR="009C1BBE" w:rsidRPr="000725F5">
        <w:rPr>
          <w:rFonts w:cs="Times New Roman"/>
          <w:sz w:val="24"/>
          <w:szCs w:val="24"/>
        </w:rPr>
        <w:t>cities and</w:t>
      </w:r>
      <w:r w:rsidRPr="000725F5">
        <w:rPr>
          <w:rFonts w:cs="Times New Roman"/>
          <w:sz w:val="24"/>
          <w:szCs w:val="24"/>
        </w:rPr>
        <w:t xml:space="preserve"> incorporated in the provincial plan of supporting people with disabilities and allocating resources to implement. The early detection and intervention in the localities implementing the model also brought practical results with 84,774 children being screened for the first time, 5,155 children were screened for the second time and 1,122 children were intervened. With the achievements, early in 2018, the Ministry of Health and </w:t>
      </w:r>
      <w:proofErr w:type="spellStart"/>
      <w:r w:rsidRPr="000725F5">
        <w:rPr>
          <w:rFonts w:cs="Times New Roman"/>
          <w:sz w:val="24"/>
          <w:szCs w:val="24"/>
        </w:rPr>
        <w:t>Viethealth</w:t>
      </w:r>
      <w:proofErr w:type="spellEnd"/>
      <w:r w:rsidRPr="000725F5">
        <w:rPr>
          <w:rFonts w:cs="Times New Roman"/>
          <w:sz w:val="24"/>
          <w:szCs w:val="24"/>
        </w:rPr>
        <w:t xml:space="preserve"> signed a cooperation agreement to support </w:t>
      </w:r>
      <w:proofErr w:type="spellStart"/>
      <w:r w:rsidRPr="000725F5">
        <w:rPr>
          <w:rFonts w:cs="Times New Roman"/>
          <w:sz w:val="24"/>
          <w:szCs w:val="24"/>
        </w:rPr>
        <w:t>VietHealth</w:t>
      </w:r>
      <w:proofErr w:type="spellEnd"/>
      <w:r w:rsidRPr="000725F5">
        <w:rPr>
          <w:rFonts w:cs="Times New Roman"/>
          <w:sz w:val="24"/>
          <w:szCs w:val="24"/>
        </w:rPr>
        <w:t xml:space="preserve"> to implement the model in localities and coordinate in mobilizing resources for replication of the model.</w:t>
      </w:r>
    </w:p>
    <w:p w14:paraId="58DFCFC4" w14:textId="77777777" w:rsidR="00651ECE" w:rsidRPr="00056477" w:rsidRDefault="00651ECE" w:rsidP="00FF73DA">
      <w:pPr>
        <w:pStyle w:val="Heading2"/>
      </w:pPr>
      <w:bookmarkStart w:id="136" w:name="_Toc531264984"/>
      <w:r w:rsidRPr="00056477">
        <w:t>Review of policies related to SDG 4</w:t>
      </w:r>
      <w:bookmarkEnd w:id="136"/>
    </w:p>
    <w:p w14:paraId="1D3281C6"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The Government has agreed to grant an exemption from tuition fees for five-year-old children in socio-economically disadvantaged areas from 2018. In addition, people with disabilities have also received attention via the promulgation of the National Law on Persons with Disabilities 2012 and the Inclusive Education Guidelines for Persons with Disabilities 2006.</w:t>
      </w:r>
    </w:p>
    <w:p w14:paraId="35A94E2A"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For five-year-olds entering the first grade, the enrolment rate increased from 72 per-cent in school year of 2000-2001 to 98 per-cent in 2016-2017. At present, children with disabilities are also provided with access to care and access to education. In particular, the Inclusive Education Support and Development Centres in localities have supported intervention for children with disabilities and professional support for education of children with disabilities in preschools</w:t>
      </w:r>
      <w:r w:rsidR="009C1BBE">
        <w:rPr>
          <w:rFonts w:cs="Times New Roman"/>
          <w:sz w:val="24"/>
          <w:szCs w:val="24"/>
        </w:rPr>
        <w:t>.</w:t>
      </w:r>
      <w:r w:rsidR="009C1BBE">
        <w:rPr>
          <w:rStyle w:val="FootnoteReference"/>
          <w:rFonts w:cs="Times New Roman"/>
          <w:sz w:val="24"/>
          <w:szCs w:val="24"/>
        </w:rPr>
        <w:footnoteReference w:id="53"/>
      </w:r>
    </w:p>
    <w:p w14:paraId="3B2874CE"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However, there remain difficulties and constraints in access to education among children from poor households in remote and mountainous areas. There are still five-year-old children, at primary school age (6-10 years) and especially lower secondary school age (11-14-year-olds) who have never attended school or have dropped out in rural, mountainous, remote and isolated areas, as well as poor children, migrant children, children with disabilities, ethnic minority children, and especially ethnic minority girls.</w:t>
      </w:r>
    </w:p>
    <w:p w14:paraId="1A15CA9F"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With the effort to eradicate illiteracy and to achieve universal education, the literacy rate of the population from 15 years old and over nationwide has increased remarkably over the past decades and by 2016 had reached 95 per-cent, an increase of over 7 per-cent as compared to 1989. This indicates a positive shift in the implementation of literacy programs and the improvement of gender equality in access to education services. In 2016, the literacy rate of men is estimated to be 96.6 per-cent, while the rate for women has risen to 93.5 per-cent and it is expected that by 2030 the gap will </w:t>
      </w:r>
      <w:r w:rsidRPr="000725F5">
        <w:rPr>
          <w:rFonts w:cs="Times New Roman"/>
          <w:sz w:val="24"/>
          <w:szCs w:val="24"/>
        </w:rPr>
        <w:lastRenderedPageBreak/>
        <w:t>be narrowed. According to CEMA (2015) statistics, only 72 per-cent of ethnic minority people can read and write Vietnamese language, which is lower than the national average27. However, at present, due to the lack of regular and adequate statistics, it is not possible to thoroughly assess the progress towards equal access for vulnerable groups including persons with disabilities, ethnic minorities and children in vulnerable situations.</w:t>
      </w:r>
    </w:p>
    <w:p w14:paraId="510AE9B0"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However, the policies related to SDG 5 still have some gaps and discrepancies that need to be improved. Those policies on training, re-training, appointment and nomination of candidates remain general and not synchronized with the Law on Gender Equality. There is a lack of specific policy integration in the Law on Marriage and the Family 2014 to ensure equal rights of people with disabilities, especially women with disabilities’ right to equality in marriage and in decisions to have children, in accordance with the spirit of the Convention on the Rights of Persons with Disabilities (CRPD) as well as the Law on Persons with Disabilities of Viet Nam. </w:t>
      </w:r>
      <w:r w:rsidR="001327C2" w:rsidRPr="000725F5">
        <w:rPr>
          <w:rFonts w:cs="Times New Roman"/>
          <w:sz w:val="24"/>
          <w:szCs w:val="24"/>
        </w:rPr>
        <w:t>The Government has not promulgated some policies stipulated in the Law on Gender Equality</w:t>
      </w:r>
      <w:r w:rsidRPr="000725F5">
        <w:rPr>
          <w:rFonts w:cs="Times New Roman"/>
          <w:sz w:val="24"/>
          <w:szCs w:val="24"/>
        </w:rPr>
        <w:t xml:space="preserve"> in a timely manner.</w:t>
      </w:r>
    </w:p>
    <w:p w14:paraId="2AB3DA0F"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 xml:space="preserve">Viet Nam is focusing on socialization mechanisms and policies for public hygiene services, while it is also studying architectural models and planning orientations for public toilets in big cities and provinces, including norms and architectural models for public toilets supporting persons with disabilities. Pilot projects for such public toilets are being rolled out before being replicated on a wider </w:t>
      </w:r>
      <w:r w:rsidR="00397AD6" w:rsidRPr="000725F5">
        <w:rPr>
          <w:rFonts w:cs="Times New Roman"/>
          <w:sz w:val="24"/>
          <w:szCs w:val="24"/>
        </w:rPr>
        <w:t>scale. By</w:t>
      </w:r>
      <w:r w:rsidRPr="000725F5">
        <w:rPr>
          <w:rFonts w:cs="Times New Roman"/>
          <w:sz w:val="24"/>
          <w:szCs w:val="24"/>
        </w:rPr>
        <w:t xml:space="preserve"> the end of 2016, as many as 17,000 people with disabilities had received vocational training and jobs. There are 15,000 disabled workers working in 400 enterprises, some of which owned by people with disabilities and 16,000 people working in household-based enterprises or being self-employed</w:t>
      </w:r>
    </w:p>
    <w:p w14:paraId="50C1321D"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Viet Nam ratified the United Nations Convention on Persons with Disabilities (CRPD) in February 2015 and promulgated the Plan for the Implementation of the Convention and the Disability Support Program for the period 2012-203071. Viet Nam has paid special attention to and implemented many projects and policies to72 narrow the socio-economic gaps between ethnic groups.</w:t>
      </w:r>
    </w:p>
    <w:p w14:paraId="1EAC5303" w14:textId="77777777" w:rsidR="00651ECE" w:rsidRPr="000725F5" w:rsidRDefault="00651ECE" w:rsidP="000725F5">
      <w:pPr>
        <w:spacing w:line="276" w:lineRule="auto"/>
        <w:jc w:val="both"/>
        <w:rPr>
          <w:rFonts w:cs="Times New Roman"/>
          <w:sz w:val="24"/>
          <w:szCs w:val="24"/>
        </w:rPr>
      </w:pPr>
      <w:r w:rsidRPr="000725F5">
        <w:rPr>
          <w:rFonts w:cs="Times New Roman"/>
          <w:sz w:val="24"/>
          <w:szCs w:val="24"/>
        </w:rPr>
        <w:t>However, policies related to SDG 10 still have some shortcomings that need to be addressed: including lack of policies for addressing inequalities and promoting equitable access to quality basic services for ethnic minorities, people with disabilities, single elderly people and migrants. In particular, there is a lack of comprehensive policies for social security, expansion of social insurance schemes, unemployment insurance and health insurance for informal groups. The GOVN should work to achieve the goal of expanding socia</w:t>
      </w:r>
      <w:r w:rsidR="001327C2" w:rsidRPr="000725F5">
        <w:rPr>
          <w:rFonts w:cs="Times New Roman"/>
          <w:sz w:val="24"/>
          <w:szCs w:val="24"/>
        </w:rPr>
        <w:t xml:space="preserve">l protection coverage to 50 per </w:t>
      </w:r>
      <w:r w:rsidRPr="000725F5">
        <w:rPr>
          <w:rFonts w:cs="Times New Roman"/>
          <w:sz w:val="24"/>
          <w:szCs w:val="24"/>
        </w:rPr>
        <w:t>cent by 2020 and eliminate gender discrimination in retirement age, pension calculation formulas and social protection policies for the elderly.</w:t>
      </w:r>
    </w:p>
    <w:p w14:paraId="53F950B6" w14:textId="77777777" w:rsidR="00651ECE" w:rsidRPr="000725F5" w:rsidRDefault="00651ECE" w:rsidP="000725F5">
      <w:pPr>
        <w:pStyle w:val="Heading2"/>
        <w:spacing w:after="0" w:afterAutospacing="0"/>
      </w:pPr>
      <w:bookmarkStart w:id="137" w:name="_Toc531264985"/>
      <w:r w:rsidRPr="000725F5">
        <w:t xml:space="preserve">Viet Nam’s efforts to support disadvantaged groups </w:t>
      </w:r>
      <w:r w:rsidR="00397AD6" w:rsidRPr="000725F5">
        <w:t>in society</w:t>
      </w:r>
      <w:bookmarkEnd w:id="137"/>
    </w:p>
    <w:p w14:paraId="1E9A3FEB" w14:textId="77777777" w:rsidR="001327C2" w:rsidRPr="000725F5" w:rsidRDefault="001327C2" w:rsidP="000725F5">
      <w:pPr>
        <w:spacing w:after="0" w:line="276" w:lineRule="auto"/>
        <w:jc w:val="both"/>
        <w:rPr>
          <w:rFonts w:cs="Times New Roman"/>
          <w:color w:val="222222"/>
          <w:sz w:val="24"/>
          <w:szCs w:val="24"/>
          <w:lang w:val="en-US"/>
        </w:rPr>
      </w:pPr>
      <w:r w:rsidRPr="000725F5">
        <w:rPr>
          <w:rFonts w:cs="Times New Roman"/>
          <w:color w:val="222222"/>
          <w:sz w:val="24"/>
          <w:szCs w:val="24"/>
        </w:rPr>
        <w:t xml:space="preserve">As one of the </w:t>
      </w:r>
      <w:r w:rsidR="00D24501" w:rsidRPr="000725F5">
        <w:rPr>
          <w:rFonts w:cs="Times New Roman"/>
          <w:color w:val="222222"/>
          <w:sz w:val="24"/>
          <w:szCs w:val="24"/>
        </w:rPr>
        <w:t>nation’s</w:t>
      </w:r>
      <w:r w:rsidRPr="000725F5">
        <w:rPr>
          <w:rFonts w:cs="Times New Roman"/>
          <w:color w:val="222222"/>
          <w:sz w:val="24"/>
          <w:szCs w:val="24"/>
        </w:rPr>
        <w:t xml:space="preserve"> heavily affected by climate change, with a rapid industrialization and urbanization, Viet Nam has a large number of people in need of social assistance across the country over 25 percent of the population.</w:t>
      </w:r>
    </w:p>
    <w:p w14:paraId="1E92E022" w14:textId="77777777" w:rsidR="001327C2" w:rsidRPr="000725F5" w:rsidRDefault="001327C2" w:rsidP="000725F5">
      <w:pPr>
        <w:spacing w:line="276" w:lineRule="auto"/>
        <w:jc w:val="both"/>
        <w:rPr>
          <w:rFonts w:cs="Times New Roman"/>
          <w:color w:val="222222"/>
          <w:sz w:val="24"/>
          <w:szCs w:val="24"/>
          <w:lang w:val="en-US"/>
        </w:rPr>
      </w:pPr>
      <w:r w:rsidRPr="000725F5">
        <w:rPr>
          <w:rFonts w:cs="Times New Roman"/>
          <w:color w:val="222222"/>
          <w:sz w:val="24"/>
          <w:szCs w:val="24"/>
        </w:rPr>
        <w:t xml:space="preserve">Over the years, Viet Nam has made continuous efforts to develop a social security system and social assistance to support vulnerable groups. The national welfare system has developed a lifelong approach to addressing risks that come with aging, disability, childhood and unemployment. A </w:t>
      </w:r>
      <w:r w:rsidRPr="000725F5">
        <w:rPr>
          <w:rFonts w:cs="Times New Roman"/>
          <w:color w:val="222222"/>
          <w:sz w:val="24"/>
          <w:szCs w:val="24"/>
        </w:rPr>
        <w:lastRenderedPageBreak/>
        <w:t>network of social assistance facilities has been established and developed in 63 provinces/cities with 418 public and non-public social support facilities, including 195 public facilities and 223 non-public facilities.</w:t>
      </w:r>
    </w:p>
    <w:p w14:paraId="03AD2FF4" w14:textId="77777777" w:rsidR="001327C2" w:rsidRPr="000725F5" w:rsidRDefault="001327C2" w:rsidP="000725F5">
      <w:pPr>
        <w:spacing w:line="276" w:lineRule="auto"/>
        <w:jc w:val="both"/>
        <w:rPr>
          <w:rFonts w:cs="Times New Roman"/>
          <w:color w:val="222222"/>
          <w:sz w:val="24"/>
          <w:szCs w:val="24"/>
          <w:lang w:val="en-US"/>
        </w:rPr>
      </w:pPr>
      <w:r w:rsidRPr="000725F5">
        <w:rPr>
          <w:rFonts w:cs="Times New Roman"/>
          <w:color w:val="222222"/>
          <w:sz w:val="24"/>
          <w:szCs w:val="24"/>
        </w:rPr>
        <w:t>Relating to social subsidies for social protection beneficiaries, Viet Nam has provided monthly social subsidies and issued health insurance cards to 2,783,474 people, including 30,292 orphans or abandoned children; 1,524,192 elderly people; 1,126,126 people with disabilities entitled to social subsidies; 5,006 people living with HIV/AIDS in poor households; 97,858 single parents raising their children in poor households.</w:t>
      </w:r>
    </w:p>
    <w:p w14:paraId="26154E94" w14:textId="77777777" w:rsidR="001327C2" w:rsidRPr="000725F5" w:rsidRDefault="001327C2" w:rsidP="000725F5">
      <w:pPr>
        <w:spacing w:line="276" w:lineRule="auto"/>
        <w:jc w:val="both"/>
        <w:rPr>
          <w:rFonts w:cs="Times New Roman"/>
          <w:color w:val="222222"/>
          <w:sz w:val="24"/>
          <w:szCs w:val="24"/>
          <w:lang w:val="en-US"/>
        </w:rPr>
      </w:pPr>
      <w:r w:rsidRPr="000725F5">
        <w:rPr>
          <w:rFonts w:cs="Times New Roman"/>
          <w:color w:val="222222"/>
          <w:sz w:val="24"/>
          <w:szCs w:val="24"/>
        </w:rPr>
        <w:t>As many as 1,524,192 elderly people are receiving monthly social allowances and about 10,000 elderly people are being cared for in social protection centres. As of June 2017, the number of people with disabilities receiving monthly social allowances is 913,262. Moreover, people with disabilities have access to health, education and vocational training.</w:t>
      </w:r>
    </w:p>
    <w:p w14:paraId="1A743A51" w14:textId="77777777" w:rsidR="001327C2" w:rsidRPr="000725F5" w:rsidRDefault="001327C2" w:rsidP="000725F5">
      <w:pPr>
        <w:spacing w:line="276" w:lineRule="auto"/>
        <w:jc w:val="both"/>
        <w:rPr>
          <w:rFonts w:cs="Times New Roman"/>
          <w:color w:val="222222"/>
          <w:sz w:val="24"/>
          <w:szCs w:val="24"/>
          <w:lang w:val="en-US"/>
        </w:rPr>
      </w:pPr>
      <w:r w:rsidRPr="000725F5">
        <w:rPr>
          <w:rFonts w:cs="Times New Roman"/>
          <w:color w:val="222222"/>
          <w:sz w:val="24"/>
          <w:szCs w:val="24"/>
        </w:rPr>
        <w:t>Viet Nam has made significant progress in early childhood development and education. There is no gender difference in the enrolment rate at any level. All children under the age of 6 in Viet Nam are entitled to free medical examination and treatment at public health facilities. Viet Nam is implementing a project on community-based care for disadvantaged children, a pilot model of vocational training associated with job creation for children in especially difficult circumstances, and a pilot model of families and individuals adopting children in, especially difficult circumstances.</w:t>
      </w:r>
    </w:p>
    <w:p w14:paraId="77EDF1E4" w14:textId="77777777" w:rsidR="001327C2" w:rsidRPr="000725F5" w:rsidRDefault="001327C2" w:rsidP="000725F5">
      <w:pPr>
        <w:spacing w:line="276" w:lineRule="auto"/>
        <w:jc w:val="both"/>
        <w:rPr>
          <w:rFonts w:cs="Times New Roman"/>
          <w:color w:val="222222"/>
          <w:sz w:val="24"/>
          <w:szCs w:val="24"/>
          <w:lang w:val="en-US"/>
        </w:rPr>
      </w:pPr>
      <w:r w:rsidRPr="000725F5">
        <w:rPr>
          <w:rFonts w:cs="Times New Roman"/>
          <w:color w:val="222222"/>
          <w:sz w:val="24"/>
          <w:szCs w:val="24"/>
        </w:rPr>
        <w:t>Viet Nam has policies to encourage the development and use of public passenger transport in urban areas, instead of private transport, towards sustainable and environmental-friendly transport systems. Given the significantly improved traffic systems recently, people are travelling more easily, thanks to better access to all means of transport. The number of passengers during 2011-2015 increased by 9.6 percent/year, including the aviation industry with the highest growth rate of 14.7 per-cent during the time, 11.2 per-cent in 2015 and 9.3 per-cent in 2016. Transportation infrastructure ensures accessibility for people with disabilities and as much as 65 percent of its capacity is qualified and meets the demands of all customers. Some 30 per-cent of inter-provincial, 70 per-cent of inter-city bus stops and 100 per-cent of buses have priority seats, all railway stations have priority doors and 57.6 per-cent of national railway stations have convenient shuttle services for people with disabilities who use wheelchairs. However, land area for urban transport (especially in big cities) has not met relevant national standards. Traffic in Viet Nam is not yet safe, accessible nor sustainable. The main means of transport for Vietnamese people is still motorbikes. Public transport vehicles are not prevailing and convenient, mainly bus system other than multiple means of transport. Logistics services are limited in terms of deployment and connection.</w:t>
      </w:r>
    </w:p>
    <w:p w14:paraId="7E65A811" w14:textId="4EB208C0" w:rsidR="00CE0B9D" w:rsidRDefault="00983E94" w:rsidP="00DC4336">
      <w:pPr>
        <w:pStyle w:val="Heading1"/>
      </w:pPr>
      <w:bookmarkStart w:id="138" w:name="_Toc531264986"/>
      <w:r>
        <w:t xml:space="preserve">Annex </w:t>
      </w:r>
      <w:r w:rsidR="00DC4336">
        <w:t xml:space="preserve">1 – Tally of references in </w:t>
      </w:r>
      <w:r w:rsidR="00CE3A77">
        <w:t>c</w:t>
      </w:r>
      <w:r w:rsidR="00DC4336">
        <w:t xml:space="preserve">ountry reports &amp; </w:t>
      </w:r>
      <w:r w:rsidR="00CE3A77">
        <w:t>p</w:t>
      </w:r>
      <w:r w:rsidR="00DC4336">
        <w:t>resentations</w:t>
      </w:r>
      <w:bookmarkEnd w:id="138"/>
    </w:p>
    <w:p w14:paraId="1CED9847" w14:textId="77777777" w:rsidR="00DC4336" w:rsidRPr="00DC4336" w:rsidRDefault="00DC4336" w:rsidP="00DC4336">
      <w:pPr>
        <w:rPr>
          <w:lang w:val="en-US"/>
        </w:rPr>
      </w:pPr>
    </w:p>
    <w:tbl>
      <w:tblPr>
        <w:tblStyle w:val="LightGrid-Accent5"/>
        <w:tblW w:w="5000" w:type="pct"/>
        <w:tblLayout w:type="fixed"/>
        <w:tblLook w:val="04A0" w:firstRow="1" w:lastRow="0" w:firstColumn="1" w:lastColumn="0" w:noHBand="0" w:noVBand="1"/>
      </w:tblPr>
      <w:tblGrid>
        <w:gridCol w:w="1620"/>
        <w:gridCol w:w="543"/>
        <w:gridCol w:w="484"/>
        <w:gridCol w:w="531"/>
        <w:gridCol w:w="549"/>
        <w:gridCol w:w="455"/>
        <w:gridCol w:w="770"/>
        <w:gridCol w:w="679"/>
        <w:gridCol w:w="531"/>
        <w:gridCol w:w="549"/>
        <w:gridCol w:w="453"/>
        <w:gridCol w:w="545"/>
        <w:gridCol w:w="486"/>
        <w:gridCol w:w="531"/>
        <w:gridCol w:w="549"/>
        <w:gridCol w:w="451"/>
      </w:tblGrid>
      <w:tr w:rsidR="007974E9" w:rsidRPr="007974E9" w14:paraId="549CDD41" w14:textId="77777777" w:rsidTr="00A21E0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61F79842" w14:textId="77777777" w:rsidR="007974E9" w:rsidRPr="007974E9" w:rsidRDefault="007974E9" w:rsidP="007974E9">
            <w:pPr>
              <w:rPr>
                <w:rFonts w:ascii="Arial" w:eastAsia="Times New Roman" w:hAnsi="Arial" w:cs="Arial"/>
                <w:color w:val="000000"/>
                <w:sz w:val="24"/>
                <w:szCs w:val="24"/>
                <w:lang w:val="en-US"/>
              </w:rPr>
            </w:pPr>
            <w:r w:rsidRPr="007974E9">
              <w:rPr>
                <w:rFonts w:ascii="Arial" w:eastAsia="Times New Roman" w:hAnsi="Arial" w:cs="Arial"/>
                <w:color w:val="000000"/>
                <w:sz w:val="24"/>
                <w:szCs w:val="24"/>
                <w:lang w:val="en-US"/>
              </w:rPr>
              <w:t> </w:t>
            </w:r>
          </w:p>
        </w:tc>
        <w:tc>
          <w:tcPr>
            <w:tcW w:w="1317" w:type="pct"/>
            <w:gridSpan w:val="5"/>
            <w:noWrap/>
            <w:hideMark/>
          </w:tcPr>
          <w:p w14:paraId="72990C37" w14:textId="77777777" w:rsidR="007974E9" w:rsidRPr="007974E9" w:rsidRDefault="007974E9" w:rsidP="00797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4"/>
                <w:szCs w:val="24"/>
                <w:lang w:val="en-US"/>
              </w:rPr>
            </w:pPr>
            <w:r w:rsidRPr="007974E9">
              <w:rPr>
                <w:rFonts w:ascii="Calibri" w:eastAsia="Times New Roman" w:hAnsi="Calibri" w:cs="Times New Roman"/>
                <w:color w:val="000000"/>
                <w:sz w:val="24"/>
                <w:szCs w:val="24"/>
                <w:lang w:val="en-US"/>
              </w:rPr>
              <w:t>Short Report</w:t>
            </w:r>
          </w:p>
        </w:tc>
        <w:tc>
          <w:tcPr>
            <w:tcW w:w="1533" w:type="pct"/>
            <w:gridSpan w:val="5"/>
            <w:noWrap/>
            <w:hideMark/>
          </w:tcPr>
          <w:p w14:paraId="74769DED" w14:textId="77777777" w:rsidR="007974E9" w:rsidRPr="007974E9" w:rsidRDefault="007974E9" w:rsidP="00797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4"/>
                <w:szCs w:val="24"/>
                <w:lang w:val="en-US"/>
              </w:rPr>
            </w:pPr>
            <w:r w:rsidRPr="007974E9">
              <w:rPr>
                <w:rFonts w:ascii="Calibri" w:eastAsia="Times New Roman" w:hAnsi="Calibri" w:cs="Times New Roman"/>
                <w:color w:val="000000"/>
                <w:sz w:val="24"/>
                <w:szCs w:val="24"/>
                <w:lang w:val="en-US"/>
              </w:rPr>
              <w:t>Long Report</w:t>
            </w:r>
          </w:p>
        </w:tc>
        <w:tc>
          <w:tcPr>
            <w:tcW w:w="1318" w:type="pct"/>
            <w:gridSpan w:val="5"/>
            <w:noWrap/>
            <w:hideMark/>
          </w:tcPr>
          <w:p w14:paraId="0595885C" w14:textId="77777777" w:rsidR="007974E9" w:rsidRPr="007974E9" w:rsidRDefault="007974E9" w:rsidP="00797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4"/>
                <w:szCs w:val="24"/>
                <w:lang w:val="en-US"/>
              </w:rPr>
            </w:pPr>
            <w:r w:rsidRPr="007974E9">
              <w:rPr>
                <w:rFonts w:ascii="Calibri" w:eastAsia="Times New Roman" w:hAnsi="Calibri" w:cs="Times New Roman"/>
                <w:color w:val="000000"/>
                <w:sz w:val="24"/>
                <w:szCs w:val="24"/>
                <w:lang w:val="en-US"/>
              </w:rPr>
              <w:t>Oral Presentation</w:t>
            </w:r>
          </w:p>
        </w:tc>
      </w:tr>
      <w:tr w:rsidR="00B73184" w:rsidRPr="007974E9" w14:paraId="290C2D8B"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20E0EA6C"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 xml:space="preserve">Country </w:t>
            </w:r>
          </w:p>
        </w:tc>
        <w:tc>
          <w:tcPr>
            <w:tcW w:w="279" w:type="pct"/>
            <w:noWrap/>
            <w:hideMark/>
          </w:tcPr>
          <w:p w14:paraId="6F8DE29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Disab</w:t>
            </w:r>
            <w:proofErr w:type="spellEnd"/>
          </w:p>
        </w:tc>
        <w:tc>
          <w:tcPr>
            <w:tcW w:w="249" w:type="pct"/>
            <w:noWrap/>
            <w:hideMark/>
          </w:tcPr>
          <w:p w14:paraId="313B6F6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Vuln</w:t>
            </w:r>
            <w:proofErr w:type="spellEnd"/>
          </w:p>
        </w:tc>
        <w:tc>
          <w:tcPr>
            <w:tcW w:w="273" w:type="pct"/>
            <w:noWrap/>
            <w:hideMark/>
          </w:tcPr>
          <w:p w14:paraId="502DE8F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 xml:space="preserve">Marg </w:t>
            </w:r>
          </w:p>
        </w:tc>
        <w:tc>
          <w:tcPr>
            <w:tcW w:w="282" w:type="pct"/>
            <w:noWrap/>
            <w:hideMark/>
          </w:tcPr>
          <w:p w14:paraId="0C4FDD3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LNOB</w:t>
            </w:r>
          </w:p>
        </w:tc>
        <w:tc>
          <w:tcPr>
            <w:tcW w:w="233" w:type="pct"/>
            <w:noWrap/>
            <w:hideMark/>
          </w:tcPr>
          <w:p w14:paraId="6EE686B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Risk</w:t>
            </w:r>
          </w:p>
        </w:tc>
        <w:tc>
          <w:tcPr>
            <w:tcW w:w="396" w:type="pct"/>
            <w:noWrap/>
            <w:hideMark/>
          </w:tcPr>
          <w:p w14:paraId="1CCBA88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Disab</w:t>
            </w:r>
            <w:proofErr w:type="spellEnd"/>
          </w:p>
        </w:tc>
        <w:tc>
          <w:tcPr>
            <w:tcW w:w="349" w:type="pct"/>
            <w:noWrap/>
            <w:hideMark/>
          </w:tcPr>
          <w:p w14:paraId="4C0CE86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Vuln</w:t>
            </w:r>
            <w:proofErr w:type="spellEnd"/>
          </w:p>
        </w:tc>
        <w:tc>
          <w:tcPr>
            <w:tcW w:w="273" w:type="pct"/>
            <w:noWrap/>
            <w:hideMark/>
          </w:tcPr>
          <w:p w14:paraId="263DB64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Marg</w:t>
            </w:r>
          </w:p>
        </w:tc>
        <w:tc>
          <w:tcPr>
            <w:tcW w:w="282" w:type="pct"/>
            <w:noWrap/>
            <w:hideMark/>
          </w:tcPr>
          <w:p w14:paraId="288788D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LNOB</w:t>
            </w:r>
          </w:p>
        </w:tc>
        <w:tc>
          <w:tcPr>
            <w:tcW w:w="233" w:type="pct"/>
            <w:noWrap/>
            <w:hideMark/>
          </w:tcPr>
          <w:p w14:paraId="729A0E1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Risk</w:t>
            </w:r>
          </w:p>
        </w:tc>
        <w:tc>
          <w:tcPr>
            <w:tcW w:w="280" w:type="pct"/>
            <w:noWrap/>
            <w:hideMark/>
          </w:tcPr>
          <w:p w14:paraId="1B1AEAE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Disab</w:t>
            </w:r>
            <w:proofErr w:type="spellEnd"/>
          </w:p>
        </w:tc>
        <w:tc>
          <w:tcPr>
            <w:tcW w:w="250" w:type="pct"/>
            <w:noWrap/>
            <w:hideMark/>
          </w:tcPr>
          <w:p w14:paraId="72B2B7C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proofErr w:type="spellStart"/>
            <w:r w:rsidRPr="007974E9">
              <w:rPr>
                <w:rFonts w:ascii="Calibri" w:eastAsia="Times New Roman" w:hAnsi="Calibri" w:cs="Times New Roman"/>
                <w:color w:val="0070C0"/>
                <w:sz w:val="24"/>
                <w:szCs w:val="24"/>
                <w:lang w:val="en-US"/>
              </w:rPr>
              <w:t>Vuln</w:t>
            </w:r>
            <w:proofErr w:type="spellEnd"/>
          </w:p>
        </w:tc>
        <w:tc>
          <w:tcPr>
            <w:tcW w:w="273" w:type="pct"/>
            <w:noWrap/>
            <w:hideMark/>
          </w:tcPr>
          <w:p w14:paraId="4D41EE1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Marg</w:t>
            </w:r>
          </w:p>
        </w:tc>
        <w:tc>
          <w:tcPr>
            <w:tcW w:w="282" w:type="pct"/>
            <w:noWrap/>
            <w:hideMark/>
          </w:tcPr>
          <w:p w14:paraId="7556DDC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LNOB</w:t>
            </w:r>
          </w:p>
        </w:tc>
        <w:tc>
          <w:tcPr>
            <w:tcW w:w="233" w:type="pct"/>
            <w:noWrap/>
            <w:hideMark/>
          </w:tcPr>
          <w:p w14:paraId="2088540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70C0"/>
                <w:sz w:val="24"/>
                <w:szCs w:val="24"/>
                <w:lang w:val="en-US"/>
              </w:rPr>
            </w:pPr>
            <w:r w:rsidRPr="007974E9">
              <w:rPr>
                <w:rFonts w:ascii="Calibri" w:eastAsia="Times New Roman" w:hAnsi="Calibri" w:cs="Times New Roman"/>
                <w:color w:val="0070C0"/>
                <w:sz w:val="24"/>
                <w:szCs w:val="24"/>
                <w:lang w:val="en-US"/>
              </w:rPr>
              <w:t>Risk</w:t>
            </w:r>
          </w:p>
        </w:tc>
      </w:tr>
      <w:tr w:rsidR="00FB36C7" w:rsidRPr="007974E9" w14:paraId="53B9DD21"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533BEC49"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Albania</w:t>
            </w:r>
          </w:p>
        </w:tc>
        <w:tc>
          <w:tcPr>
            <w:tcW w:w="279" w:type="pct"/>
            <w:noWrap/>
            <w:hideMark/>
          </w:tcPr>
          <w:p w14:paraId="3CE48E9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273F7AD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4959771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083A31B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3B918E6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5A10A7E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43</w:t>
            </w:r>
          </w:p>
        </w:tc>
        <w:tc>
          <w:tcPr>
            <w:tcW w:w="349" w:type="pct"/>
            <w:noWrap/>
            <w:hideMark/>
          </w:tcPr>
          <w:p w14:paraId="4C05783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9</w:t>
            </w:r>
          </w:p>
        </w:tc>
        <w:tc>
          <w:tcPr>
            <w:tcW w:w="273" w:type="pct"/>
            <w:noWrap/>
            <w:hideMark/>
          </w:tcPr>
          <w:p w14:paraId="08E1E47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82" w:type="pct"/>
            <w:noWrap/>
            <w:hideMark/>
          </w:tcPr>
          <w:p w14:paraId="5D07A20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233" w:type="pct"/>
            <w:noWrap/>
            <w:hideMark/>
          </w:tcPr>
          <w:p w14:paraId="08E06BE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23</w:t>
            </w:r>
          </w:p>
        </w:tc>
        <w:tc>
          <w:tcPr>
            <w:tcW w:w="280" w:type="pct"/>
            <w:noWrap/>
            <w:hideMark/>
          </w:tcPr>
          <w:p w14:paraId="2497F94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541C38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6F7ADA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6CD806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4C4248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BE03928"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1C651A86"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Andorra</w:t>
            </w:r>
          </w:p>
        </w:tc>
        <w:tc>
          <w:tcPr>
            <w:tcW w:w="279" w:type="pct"/>
            <w:noWrap/>
            <w:hideMark/>
          </w:tcPr>
          <w:p w14:paraId="6DB750D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2CA5DB0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1D0133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67E6BB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AF6340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6237ACE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0CF07C5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0DE394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848D47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D0C2B2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66E1675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0474AF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A13494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0EE41E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F639F3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15D5444A"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33FD7924"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lastRenderedPageBreak/>
              <w:t>Armenia</w:t>
            </w:r>
          </w:p>
        </w:tc>
        <w:tc>
          <w:tcPr>
            <w:tcW w:w="279" w:type="pct"/>
            <w:noWrap/>
            <w:hideMark/>
          </w:tcPr>
          <w:p w14:paraId="1E1D2A1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5FE500F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6F639FB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BF2CCA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0CA1094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18EE3CB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31</w:t>
            </w:r>
          </w:p>
        </w:tc>
        <w:tc>
          <w:tcPr>
            <w:tcW w:w="349" w:type="pct"/>
            <w:noWrap/>
            <w:hideMark/>
          </w:tcPr>
          <w:p w14:paraId="069B1FD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9</w:t>
            </w:r>
          </w:p>
        </w:tc>
        <w:tc>
          <w:tcPr>
            <w:tcW w:w="273" w:type="pct"/>
            <w:noWrap/>
            <w:hideMark/>
          </w:tcPr>
          <w:p w14:paraId="0821C7F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1300F31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5</w:t>
            </w:r>
          </w:p>
        </w:tc>
        <w:tc>
          <w:tcPr>
            <w:tcW w:w="233" w:type="pct"/>
            <w:noWrap/>
            <w:hideMark/>
          </w:tcPr>
          <w:p w14:paraId="2679D70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26</w:t>
            </w:r>
          </w:p>
        </w:tc>
        <w:tc>
          <w:tcPr>
            <w:tcW w:w="280" w:type="pct"/>
            <w:noWrap/>
            <w:hideMark/>
          </w:tcPr>
          <w:p w14:paraId="2B3BDB9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26365A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A407E6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73F20F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BE0B03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AB5E657"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31A98C99"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 xml:space="preserve">Australia </w:t>
            </w:r>
          </w:p>
        </w:tc>
        <w:tc>
          <w:tcPr>
            <w:tcW w:w="279" w:type="pct"/>
            <w:noWrap/>
            <w:hideMark/>
          </w:tcPr>
          <w:p w14:paraId="5083888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6119465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21AC19ED"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626B53E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4A7F286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0B3DBC9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69</w:t>
            </w:r>
          </w:p>
        </w:tc>
        <w:tc>
          <w:tcPr>
            <w:tcW w:w="349" w:type="pct"/>
            <w:noWrap/>
            <w:hideMark/>
          </w:tcPr>
          <w:p w14:paraId="5A78465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20</w:t>
            </w:r>
          </w:p>
        </w:tc>
        <w:tc>
          <w:tcPr>
            <w:tcW w:w="273" w:type="pct"/>
            <w:noWrap/>
            <w:hideMark/>
          </w:tcPr>
          <w:p w14:paraId="532F69D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CFD69ED"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19</w:t>
            </w:r>
          </w:p>
        </w:tc>
        <w:tc>
          <w:tcPr>
            <w:tcW w:w="233" w:type="pct"/>
            <w:noWrap/>
            <w:hideMark/>
          </w:tcPr>
          <w:p w14:paraId="00D581B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47</w:t>
            </w:r>
          </w:p>
        </w:tc>
        <w:tc>
          <w:tcPr>
            <w:tcW w:w="280" w:type="pct"/>
            <w:noWrap/>
            <w:hideMark/>
          </w:tcPr>
          <w:p w14:paraId="19DF04E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1BCCED1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273" w:type="pct"/>
            <w:noWrap/>
            <w:hideMark/>
          </w:tcPr>
          <w:p w14:paraId="1FAF528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3FE8AE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722BCE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12AC7ED2"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F524F9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Bahamas</w:t>
            </w:r>
          </w:p>
        </w:tc>
        <w:tc>
          <w:tcPr>
            <w:tcW w:w="279" w:type="pct"/>
            <w:noWrap/>
            <w:hideMark/>
          </w:tcPr>
          <w:p w14:paraId="13C3AE8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550BD2F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73" w:type="pct"/>
            <w:noWrap/>
            <w:hideMark/>
          </w:tcPr>
          <w:p w14:paraId="41A8A6E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82" w:type="pct"/>
            <w:noWrap/>
            <w:hideMark/>
          </w:tcPr>
          <w:p w14:paraId="7E185BC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33" w:type="pct"/>
            <w:noWrap/>
            <w:hideMark/>
          </w:tcPr>
          <w:p w14:paraId="0785323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1BE5254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40D4DE5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16210C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A2BBC4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AE3AD6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7B80945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EC8EAB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CE0244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DDB7B9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820857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B6393D3"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E8A0372" w14:textId="77777777" w:rsidR="007974E9" w:rsidRPr="007974E9" w:rsidRDefault="00397AD6"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Bahrain</w:t>
            </w:r>
          </w:p>
        </w:tc>
        <w:tc>
          <w:tcPr>
            <w:tcW w:w="279" w:type="pct"/>
            <w:noWrap/>
            <w:hideMark/>
          </w:tcPr>
          <w:p w14:paraId="0FB31F5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49" w:type="pct"/>
            <w:noWrap/>
            <w:hideMark/>
          </w:tcPr>
          <w:p w14:paraId="65C6B21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12ABC40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628BEA9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2CB305C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6AF1B79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349" w:type="pct"/>
            <w:noWrap/>
            <w:hideMark/>
          </w:tcPr>
          <w:p w14:paraId="561C6E2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1BBA897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E375B2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17</w:t>
            </w:r>
          </w:p>
        </w:tc>
        <w:tc>
          <w:tcPr>
            <w:tcW w:w="233" w:type="pct"/>
            <w:noWrap/>
            <w:hideMark/>
          </w:tcPr>
          <w:p w14:paraId="0CB12D0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10</w:t>
            </w:r>
          </w:p>
        </w:tc>
        <w:tc>
          <w:tcPr>
            <w:tcW w:w="280" w:type="pct"/>
            <w:noWrap/>
            <w:hideMark/>
          </w:tcPr>
          <w:p w14:paraId="041A40E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E3907C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CEC550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186D19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C22BAC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0DE7A034"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062AB62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Benin</w:t>
            </w:r>
          </w:p>
        </w:tc>
        <w:tc>
          <w:tcPr>
            <w:tcW w:w="279" w:type="pct"/>
            <w:noWrap/>
            <w:hideMark/>
          </w:tcPr>
          <w:p w14:paraId="2F99FDD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41ABB92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3EB192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D3012E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851205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3B53C62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49" w:type="pct"/>
            <w:noWrap/>
            <w:hideMark/>
          </w:tcPr>
          <w:p w14:paraId="17E5F11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22</w:t>
            </w:r>
          </w:p>
        </w:tc>
        <w:tc>
          <w:tcPr>
            <w:tcW w:w="273" w:type="pct"/>
            <w:noWrap/>
            <w:hideMark/>
          </w:tcPr>
          <w:p w14:paraId="6B5E727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215A362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CDBE71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22</w:t>
            </w:r>
          </w:p>
        </w:tc>
        <w:tc>
          <w:tcPr>
            <w:tcW w:w="280" w:type="pct"/>
            <w:noWrap/>
            <w:hideMark/>
          </w:tcPr>
          <w:p w14:paraId="3B3DE37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504BC18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54BBFC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608A1B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43199D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F1EEDAF"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09F9AF3B"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Bhutan</w:t>
            </w:r>
          </w:p>
        </w:tc>
        <w:tc>
          <w:tcPr>
            <w:tcW w:w="279" w:type="pct"/>
            <w:noWrap/>
            <w:hideMark/>
          </w:tcPr>
          <w:p w14:paraId="4AC410B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5EC25C1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w:t>
            </w:r>
          </w:p>
        </w:tc>
        <w:tc>
          <w:tcPr>
            <w:tcW w:w="273" w:type="pct"/>
            <w:noWrap/>
            <w:hideMark/>
          </w:tcPr>
          <w:p w14:paraId="6153410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1F3B57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0D8567F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51F2C22D"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349" w:type="pct"/>
            <w:noWrap/>
            <w:hideMark/>
          </w:tcPr>
          <w:p w14:paraId="691028D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35</w:t>
            </w:r>
          </w:p>
        </w:tc>
        <w:tc>
          <w:tcPr>
            <w:tcW w:w="273" w:type="pct"/>
            <w:noWrap/>
            <w:hideMark/>
          </w:tcPr>
          <w:p w14:paraId="2BFAA60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49C12F8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233" w:type="pct"/>
            <w:noWrap/>
            <w:hideMark/>
          </w:tcPr>
          <w:p w14:paraId="1349B3C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22</w:t>
            </w:r>
          </w:p>
        </w:tc>
        <w:tc>
          <w:tcPr>
            <w:tcW w:w="280" w:type="pct"/>
            <w:noWrap/>
            <w:hideMark/>
          </w:tcPr>
          <w:p w14:paraId="0D82895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3DAF92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2967D9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25C7A1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0C5CB8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5753BC36" w14:textId="77777777" w:rsidTr="00A21E0D">
        <w:trPr>
          <w:cnfStyle w:val="000000010000" w:firstRow="0" w:lastRow="0" w:firstColumn="0" w:lastColumn="0" w:oddVBand="0" w:evenVBand="0" w:oddHBand="0" w:evenHBand="1"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833" w:type="pct"/>
            <w:noWrap/>
            <w:hideMark/>
          </w:tcPr>
          <w:p w14:paraId="10915062"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Cabo Verde</w:t>
            </w:r>
          </w:p>
        </w:tc>
        <w:tc>
          <w:tcPr>
            <w:tcW w:w="279" w:type="pct"/>
            <w:noWrap/>
            <w:hideMark/>
          </w:tcPr>
          <w:p w14:paraId="31C5722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7EBA197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73" w:type="pct"/>
            <w:noWrap/>
            <w:hideMark/>
          </w:tcPr>
          <w:p w14:paraId="4470B4E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2D858A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w:t>
            </w:r>
          </w:p>
        </w:tc>
        <w:tc>
          <w:tcPr>
            <w:tcW w:w="233" w:type="pct"/>
            <w:noWrap/>
            <w:hideMark/>
          </w:tcPr>
          <w:p w14:paraId="30CD157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46BD758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13</w:t>
            </w:r>
          </w:p>
        </w:tc>
        <w:tc>
          <w:tcPr>
            <w:tcW w:w="349" w:type="pct"/>
            <w:hideMark/>
          </w:tcPr>
          <w:p w14:paraId="6D52D38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35 (</w:t>
            </w:r>
            <w:r w:rsidR="00397AD6" w:rsidRPr="007974E9">
              <w:rPr>
                <w:rFonts w:ascii="Calibri" w:eastAsia="Times New Roman" w:hAnsi="Calibri" w:cs="Times New Roman"/>
                <w:color w:val="000000"/>
                <w:lang w:val="en-US"/>
              </w:rPr>
              <w:t>vulnerable</w:t>
            </w:r>
            <w:r w:rsidRPr="007974E9">
              <w:rPr>
                <w:rFonts w:ascii="Calibri" w:eastAsia="Times New Roman" w:hAnsi="Calibri" w:cs="Times New Roman"/>
                <w:color w:val="000000"/>
                <w:lang w:val="en-US"/>
              </w:rPr>
              <w:t xml:space="preserve"> to or??</w:t>
            </w:r>
          </w:p>
        </w:tc>
        <w:tc>
          <w:tcPr>
            <w:tcW w:w="273" w:type="pct"/>
            <w:noWrap/>
            <w:hideMark/>
          </w:tcPr>
          <w:p w14:paraId="1D8A865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6650816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25</w:t>
            </w:r>
          </w:p>
        </w:tc>
        <w:tc>
          <w:tcPr>
            <w:tcW w:w="233" w:type="pct"/>
            <w:noWrap/>
            <w:hideMark/>
          </w:tcPr>
          <w:p w14:paraId="39816FC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280" w:type="pct"/>
            <w:noWrap/>
            <w:hideMark/>
          </w:tcPr>
          <w:p w14:paraId="35A964C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E8C176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F6BE1C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8C2659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4BF3B5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575AC0FE"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42685462"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Canada</w:t>
            </w:r>
          </w:p>
        </w:tc>
        <w:tc>
          <w:tcPr>
            <w:tcW w:w="279" w:type="pct"/>
            <w:noWrap/>
            <w:hideMark/>
          </w:tcPr>
          <w:p w14:paraId="377A1B9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6281C14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26E0B4E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1589FD2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33" w:type="pct"/>
            <w:noWrap/>
            <w:hideMark/>
          </w:tcPr>
          <w:p w14:paraId="69C0BFB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2286C7F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27B1057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D2BD12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503384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792F2B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2B75C75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06D60A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F21867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42F512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6481BA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7026EE72"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4FAAC7DC" w14:textId="77777777" w:rsidR="007974E9" w:rsidRPr="007974E9" w:rsidRDefault="00FB36C7"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Columbia</w:t>
            </w:r>
          </w:p>
        </w:tc>
        <w:tc>
          <w:tcPr>
            <w:tcW w:w="279" w:type="pct"/>
            <w:noWrap/>
            <w:hideMark/>
          </w:tcPr>
          <w:p w14:paraId="65C218D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6240BD3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8A896A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6A8D8D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6947FB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79F4326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283E3F4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70D967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F52957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E3C090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60346BB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5614978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F07012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AC3CB1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45446A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258ED86"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209688B2"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Dominican Republic</w:t>
            </w:r>
          </w:p>
        </w:tc>
        <w:tc>
          <w:tcPr>
            <w:tcW w:w="279" w:type="pct"/>
            <w:noWrap/>
            <w:hideMark/>
          </w:tcPr>
          <w:p w14:paraId="4A06E31D"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0543B03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10CB2DC8"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DA80D4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13130CE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5CE3C4A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28FC0B5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84CE0A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8542A4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FE6F96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5AFAB7D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5F6A86D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4C3F5F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CBFFB5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C1A270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629C6462"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289CF251"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Ecuador</w:t>
            </w:r>
          </w:p>
        </w:tc>
        <w:tc>
          <w:tcPr>
            <w:tcW w:w="279" w:type="pct"/>
            <w:noWrap/>
            <w:hideMark/>
          </w:tcPr>
          <w:p w14:paraId="2808CF9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7510AD3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BD3181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C50DC4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51FCED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004FAEC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0BF1E95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A921DB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28A5BD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0F259B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6C69938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294E9E0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81075A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A7DCFE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79E652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BA33DD4"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24C3F92B"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Egypt</w:t>
            </w:r>
          </w:p>
        </w:tc>
        <w:tc>
          <w:tcPr>
            <w:tcW w:w="279" w:type="pct"/>
            <w:noWrap/>
            <w:hideMark/>
          </w:tcPr>
          <w:p w14:paraId="0D3A99E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1C2DE32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276FC1D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056BD57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14E9A60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6292316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28</w:t>
            </w:r>
          </w:p>
        </w:tc>
        <w:tc>
          <w:tcPr>
            <w:tcW w:w="349" w:type="pct"/>
            <w:noWrap/>
            <w:hideMark/>
          </w:tcPr>
          <w:p w14:paraId="1D7F243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15</w:t>
            </w:r>
          </w:p>
        </w:tc>
        <w:tc>
          <w:tcPr>
            <w:tcW w:w="273" w:type="pct"/>
            <w:noWrap/>
            <w:hideMark/>
          </w:tcPr>
          <w:p w14:paraId="319D81B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028514C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33" w:type="pct"/>
            <w:noWrap/>
            <w:hideMark/>
          </w:tcPr>
          <w:p w14:paraId="467A057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11</w:t>
            </w:r>
          </w:p>
        </w:tc>
        <w:tc>
          <w:tcPr>
            <w:tcW w:w="280" w:type="pct"/>
            <w:noWrap/>
            <w:hideMark/>
          </w:tcPr>
          <w:p w14:paraId="52302F1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1D8AC70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001B97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D361D3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00ADBE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75381BB9"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087D33E"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Greece</w:t>
            </w:r>
          </w:p>
        </w:tc>
        <w:tc>
          <w:tcPr>
            <w:tcW w:w="279" w:type="pct"/>
            <w:noWrap/>
            <w:hideMark/>
          </w:tcPr>
          <w:p w14:paraId="25BFDAA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4C33E62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7E11237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728A2FA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3A53B02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379A8E5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349" w:type="pct"/>
            <w:noWrap/>
            <w:hideMark/>
          </w:tcPr>
          <w:p w14:paraId="3F53208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31</w:t>
            </w:r>
          </w:p>
        </w:tc>
        <w:tc>
          <w:tcPr>
            <w:tcW w:w="273" w:type="pct"/>
            <w:noWrap/>
            <w:hideMark/>
          </w:tcPr>
          <w:p w14:paraId="7312D59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499152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w:t>
            </w:r>
          </w:p>
        </w:tc>
        <w:tc>
          <w:tcPr>
            <w:tcW w:w="233" w:type="pct"/>
            <w:noWrap/>
            <w:hideMark/>
          </w:tcPr>
          <w:p w14:paraId="6FCDCA4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28</w:t>
            </w:r>
          </w:p>
        </w:tc>
        <w:tc>
          <w:tcPr>
            <w:tcW w:w="280" w:type="pct"/>
            <w:noWrap/>
            <w:hideMark/>
          </w:tcPr>
          <w:p w14:paraId="44D6778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2B3B58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347ED2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96308B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751B92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FD006DD"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048C884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Guinea</w:t>
            </w:r>
          </w:p>
        </w:tc>
        <w:tc>
          <w:tcPr>
            <w:tcW w:w="279" w:type="pct"/>
            <w:noWrap/>
            <w:hideMark/>
          </w:tcPr>
          <w:p w14:paraId="1E54362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1FAE386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9B6B72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19C8CE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DD5ABE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29312CE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5E94DEF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03B121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53193B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9FD608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286DBF1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154996B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328133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376274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6CDCA2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00CB350E"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1AA432F1"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Hungary</w:t>
            </w:r>
          </w:p>
        </w:tc>
        <w:tc>
          <w:tcPr>
            <w:tcW w:w="279" w:type="pct"/>
            <w:noWrap/>
            <w:hideMark/>
          </w:tcPr>
          <w:p w14:paraId="2842F55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2BCA970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161160A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3B6CB5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06A3205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3B1DA19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ACD303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CBE97D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6D3533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42B5AF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5E4D793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5D310C4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3DAFCD1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C5BBD0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66F8EF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2986CCE6"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0EBEFF7A"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Ireland</w:t>
            </w:r>
          </w:p>
        </w:tc>
        <w:tc>
          <w:tcPr>
            <w:tcW w:w="279" w:type="pct"/>
            <w:noWrap/>
            <w:hideMark/>
          </w:tcPr>
          <w:p w14:paraId="505BB74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6993CAF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65DF557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43DF160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33" w:type="pct"/>
            <w:noWrap/>
            <w:hideMark/>
          </w:tcPr>
          <w:p w14:paraId="605D6CF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7B2A898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27</w:t>
            </w:r>
          </w:p>
        </w:tc>
        <w:tc>
          <w:tcPr>
            <w:tcW w:w="349" w:type="pct"/>
            <w:noWrap/>
            <w:hideMark/>
          </w:tcPr>
          <w:p w14:paraId="29EA468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37</w:t>
            </w:r>
          </w:p>
        </w:tc>
        <w:tc>
          <w:tcPr>
            <w:tcW w:w="273" w:type="pct"/>
            <w:noWrap/>
            <w:hideMark/>
          </w:tcPr>
          <w:p w14:paraId="1B9F632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15</w:t>
            </w:r>
          </w:p>
        </w:tc>
        <w:tc>
          <w:tcPr>
            <w:tcW w:w="282" w:type="pct"/>
            <w:noWrap/>
            <w:hideMark/>
          </w:tcPr>
          <w:p w14:paraId="4CABDA6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233" w:type="pct"/>
            <w:noWrap/>
            <w:hideMark/>
          </w:tcPr>
          <w:p w14:paraId="77E5CE2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73</w:t>
            </w:r>
          </w:p>
        </w:tc>
        <w:tc>
          <w:tcPr>
            <w:tcW w:w="280" w:type="pct"/>
            <w:noWrap/>
            <w:hideMark/>
          </w:tcPr>
          <w:p w14:paraId="46234F6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53A98E4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AC37F8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8FF1F3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E5CCF3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0611C3BF"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336F4B74"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Jamaica</w:t>
            </w:r>
          </w:p>
        </w:tc>
        <w:tc>
          <w:tcPr>
            <w:tcW w:w="279" w:type="pct"/>
            <w:noWrap/>
            <w:hideMark/>
          </w:tcPr>
          <w:p w14:paraId="4FAE67F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70D6A1B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75065AB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0FD3271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328EE2D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2EA10AE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59</w:t>
            </w:r>
          </w:p>
        </w:tc>
        <w:tc>
          <w:tcPr>
            <w:tcW w:w="349" w:type="pct"/>
            <w:noWrap/>
            <w:hideMark/>
          </w:tcPr>
          <w:p w14:paraId="732C0D9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70</w:t>
            </w:r>
          </w:p>
        </w:tc>
        <w:tc>
          <w:tcPr>
            <w:tcW w:w="273" w:type="pct"/>
            <w:noWrap/>
            <w:hideMark/>
          </w:tcPr>
          <w:p w14:paraId="7C134E1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82" w:type="pct"/>
            <w:noWrap/>
            <w:hideMark/>
          </w:tcPr>
          <w:p w14:paraId="0BA7FDE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48</w:t>
            </w:r>
          </w:p>
        </w:tc>
        <w:tc>
          <w:tcPr>
            <w:tcW w:w="233" w:type="pct"/>
            <w:noWrap/>
            <w:hideMark/>
          </w:tcPr>
          <w:p w14:paraId="46C48B9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77</w:t>
            </w:r>
          </w:p>
        </w:tc>
        <w:tc>
          <w:tcPr>
            <w:tcW w:w="280" w:type="pct"/>
            <w:noWrap/>
            <w:hideMark/>
          </w:tcPr>
          <w:p w14:paraId="7D2CFA2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418658A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A03E37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239720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0D7E8F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486AD03"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28F32B4"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Kiribati</w:t>
            </w:r>
          </w:p>
        </w:tc>
        <w:tc>
          <w:tcPr>
            <w:tcW w:w="279" w:type="pct"/>
            <w:noWrap/>
            <w:hideMark/>
          </w:tcPr>
          <w:p w14:paraId="7A9905B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5B7C637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4E01ACE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1538C8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6D43437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487F914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60F45BD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973BF7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884FDD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10AF12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4BD1588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93E0F4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CDD07A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67AC0D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E44128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2BF53B66"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1DA8373D"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Lao PDR</w:t>
            </w:r>
          </w:p>
        </w:tc>
        <w:tc>
          <w:tcPr>
            <w:tcW w:w="279" w:type="pct"/>
            <w:noWrap/>
            <w:hideMark/>
          </w:tcPr>
          <w:p w14:paraId="595BEF4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36F6977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2D1E481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7DC05E3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33" w:type="pct"/>
            <w:noWrap/>
            <w:hideMark/>
          </w:tcPr>
          <w:p w14:paraId="57EC39B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1C6F803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12</w:t>
            </w:r>
          </w:p>
        </w:tc>
        <w:tc>
          <w:tcPr>
            <w:tcW w:w="349" w:type="pct"/>
            <w:noWrap/>
            <w:hideMark/>
          </w:tcPr>
          <w:p w14:paraId="7C97A50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60A3344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7019FBF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11</w:t>
            </w:r>
          </w:p>
        </w:tc>
        <w:tc>
          <w:tcPr>
            <w:tcW w:w="233" w:type="pct"/>
            <w:noWrap/>
            <w:hideMark/>
          </w:tcPr>
          <w:p w14:paraId="2FE4CB1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18</w:t>
            </w:r>
          </w:p>
        </w:tc>
        <w:tc>
          <w:tcPr>
            <w:tcW w:w="280" w:type="pct"/>
            <w:noWrap/>
            <w:hideMark/>
          </w:tcPr>
          <w:p w14:paraId="7750E5F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593D53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367120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42B137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396D1A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BDE77A0"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9F48215"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Latvia</w:t>
            </w:r>
          </w:p>
        </w:tc>
        <w:tc>
          <w:tcPr>
            <w:tcW w:w="279" w:type="pct"/>
            <w:noWrap/>
            <w:hideMark/>
          </w:tcPr>
          <w:p w14:paraId="342F4B2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1562E3D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0DCAC22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68774B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05945CF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27BECE6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349" w:type="pct"/>
            <w:noWrap/>
            <w:hideMark/>
          </w:tcPr>
          <w:p w14:paraId="5E008C5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73" w:type="pct"/>
            <w:noWrap/>
            <w:hideMark/>
          </w:tcPr>
          <w:p w14:paraId="5614164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BA6AE1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33" w:type="pct"/>
            <w:noWrap/>
            <w:hideMark/>
          </w:tcPr>
          <w:p w14:paraId="24720A4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30</w:t>
            </w:r>
          </w:p>
        </w:tc>
        <w:tc>
          <w:tcPr>
            <w:tcW w:w="280" w:type="pct"/>
            <w:noWrap/>
            <w:hideMark/>
          </w:tcPr>
          <w:p w14:paraId="46009EF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20DFD99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6AAC6C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0997D9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B74D36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193BF130"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09FF5DC"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Lebanon</w:t>
            </w:r>
          </w:p>
        </w:tc>
        <w:tc>
          <w:tcPr>
            <w:tcW w:w="279" w:type="pct"/>
            <w:noWrap/>
            <w:hideMark/>
          </w:tcPr>
          <w:p w14:paraId="43A7F6B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1DB1168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2DB96A5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D327CA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54E3F63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486991F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349" w:type="pct"/>
            <w:noWrap/>
            <w:hideMark/>
          </w:tcPr>
          <w:p w14:paraId="15129A5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31</w:t>
            </w:r>
          </w:p>
        </w:tc>
        <w:tc>
          <w:tcPr>
            <w:tcW w:w="273" w:type="pct"/>
            <w:noWrap/>
            <w:hideMark/>
          </w:tcPr>
          <w:p w14:paraId="05B79FA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82" w:type="pct"/>
            <w:noWrap/>
            <w:hideMark/>
          </w:tcPr>
          <w:p w14:paraId="707464F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33" w:type="pct"/>
            <w:noWrap/>
            <w:hideMark/>
          </w:tcPr>
          <w:p w14:paraId="3C514FE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13</w:t>
            </w:r>
          </w:p>
        </w:tc>
        <w:tc>
          <w:tcPr>
            <w:tcW w:w="280" w:type="pct"/>
            <w:noWrap/>
            <w:hideMark/>
          </w:tcPr>
          <w:p w14:paraId="1672855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427143B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E3F0A9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386E1A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88CB65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176AD1D6"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2BA08027"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Lithuania</w:t>
            </w:r>
          </w:p>
        </w:tc>
        <w:tc>
          <w:tcPr>
            <w:tcW w:w="279" w:type="pct"/>
            <w:noWrap/>
            <w:hideMark/>
          </w:tcPr>
          <w:p w14:paraId="4761171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72C056D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57CFCBB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9C64CF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2784AA9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396" w:type="pct"/>
            <w:noWrap/>
            <w:hideMark/>
          </w:tcPr>
          <w:p w14:paraId="2791B93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26</w:t>
            </w:r>
          </w:p>
        </w:tc>
        <w:tc>
          <w:tcPr>
            <w:tcW w:w="349" w:type="pct"/>
            <w:noWrap/>
            <w:hideMark/>
          </w:tcPr>
          <w:p w14:paraId="1C7BB36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w:t>
            </w:r>
          </w:p>
        </w:tc>
        <w:tc>
          <w:tcPr>
            <w:tcW w:w="273" w:type="pct"/>
            <w:noWrap/>
            <w:hideMark/>
          </w:tcPr>
          <w:p w14:paraId="509E14E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5B952C1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04C8B14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38</w:t>
            </w:r>
          </w:p>
        </w:tc>
        <w:tc>
          <w:tcPr>
            <w:tcW w:w="280" w:type="pct"/>
            <w:noWrap/>
            <w:hideMark/>
          </w:tcPr>
          <w:p w14:paraId="22463C4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B84165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559BC3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E96048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C37E57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76E28C44"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800BCC8"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Mali</w:t>
            </w:r>
          </w:p>
        </w:tc>
        <w:tc>
          <w:tcPr>
            <w:tcW w:w="279" w:type="pct"/>
            <w:noWrap/>
            <w:hideMark/>
          </w:tcPr>
          <w:p w14:paraId="4F572DC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5E84258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E9F832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8775F5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6913CD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7CD89CD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1D06951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0916B7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5D3A5B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3894B4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6518B40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FC08D2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8F4B62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EFC3EF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E07A8C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EF0E4F3"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6C2C12D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Malta</w:t>
            </w:r>
          </w:p>
        </w:tc>
        <w:tc>
          <w:tcPr>
            <w:tcW w:w="279" w:type="pct"/>
            <w:noWrap/>
            <w:hideMark/>
          </w:tcPr>
          <w:p w14:paraId="71DB07E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7ACA643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1732FE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B00907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FB4361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1F8C2E8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5FE1DBE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6BD946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1F3977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907E00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1E2AD7F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CAC13F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087DB6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6F7E57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F2BD0A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530A2A6B"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4A8BF3ED"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Mexico</w:t>
            </w:r>
          </w:p>
        </w:tc>
        <w:tc>
          <w:tcPr>
            <w:tcW w:w="279" w:type="pct"/>
            <w:noWrap/>
            <w:hideMark/>
          </w:tcPr>
          <w:p w14:paraId="7619A70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5129D93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D7FD26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BB779B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8C4E8C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0521D8F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E8DD6B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27434C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F18A22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F11D4C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7A1C1CD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238A984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700BC8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24D4DA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AA7D10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4A7E2F9A"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480A2BE7"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Namibia</w:t>
            </w:r>
          </w:p>
        </w:tc>
        <w:tc>
          <w:tcPr>
            <w:tcW w:w="279" w:type="pct"/>
            <w:noWrap/>
            <w:hideMark/>
          </w:tcPr>
          <w:p w14:paraId="49431F6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2F17734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31AE369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82" w:type="pct"/>
            <w:noWrap/>
            <w:hideMark/>
          </w:tcPr>
          <w:p w14:paraId="037244B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51C2B08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34FA8CD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349" w:type="pct"/>
            <w:noWrap/>
            <w:hideMark/>
          </w:tcPr>
          <w:p w14:paraId="0AFA32F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15</w:t>
            </w:r>
          </w:p>
        </w:tc>
        <w:tc>
          <w:tcPr>
            <w:tcW w:w="273" w:type="pct"/>
            <w:noWrap/>
            <w:hideMark/>
          </w:tcPr>
          <w:p w14:paraId="3B81977A"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282" w:type="pct"/>
            <w:noWrap/>
            <w:hideMark/>
          </w:tcPr>
          <w:p w14:paraId="759CFF2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4</w:t>
            </w:r>
          </w:p>
        </w:tc>
        <w:tc>
          <w:tcPr>
            <w:tcW w:w="233" w:type="pct"/>
            <w:noWrap/>
            <w:hideMark/>
          </w:tcPr>
          <w:p w14:paraId="22F67C1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12</w:t>
            </w:r>
          </w:p>
        </w:tc>
        <w:tc>
          <w:tcPr>
            <w:tcW w:w="280" w:type="pct"/>
            <w:noWrap/>
            <w:hideMark/>
          </w:tcPr>
          <w:p w14:paraId="6502C23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5E08AB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2379D0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A8FCEA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9F72CC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3F458F33"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65F5083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Niger</w:t>
            </w:r>
          </w:p>
        </w:tc>
        <w:tc>
          <w:tcPr>
            <w:tcW w:w="279" w:type="pct"/>
            <w:noWrap/>
            <w:hideMark/>
          </w:tcPr>
          <w:p w14:paraId="044883E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6CF882D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4C14B9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67E1B6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EEE0AB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4D1D250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223747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538903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60064D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82A73E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5FAD94C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213155A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CB0E7A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9B4AE2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38A64B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40BB0E1A"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6A937A81"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Paraguay</w:t>
            </w:r>
          </w:p>
        </w:tc>
        <w:tc>
          <w:tcPr>
            <w:tcW w:w="279" w:type="pct"/>
            <w:noWrap/>
            <w:hideMark/>
          </w:tcPr>
          <w:p w14:paraId="36CFA50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56FB6C5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6781B2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8B7517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BBCD39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560F0D4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1A7CE4B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45FE3E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DB5F19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8016F2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2A1190A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EE6D83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902953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32459B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493AF5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55A14BA2"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6318BF54"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Poland</w:t>
            </w:r>
          </w:p>
        </w:tc>
        <w:tc>
          <w:tcPr>
            <w:tcW w:w="279" w:type="pct"/>
            <w:noWrap/>
            <w:hideMark/>
          </w:tcPr>
          <w:p w14:paraId="4770E91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51AAB63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1D1DA29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14F44F2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7B8E71F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22B83F1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17</w:t>
            </w:r>
          </w:p>
        </w:tc>
        <w:tc>
          <w:tcPr>
            <w:tcW w:w="349" w:type="pct"/>
            <w:noWrap/>
            <w:hideMark/>
          </w:tcPr>
          <w:p w14:paraId="115A48E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73" w:type="pct"/>
            <w:noWrap/>
            <w:hideMark/>
          </w:tcPr>
          <w:p w14:paraId="4FAC7C9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82" w:type="pct"/>
            <w:noWrap/>
            <w:hideMark/>
          </w:tcPr>
          <w:p w14:paraId="2733CA0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8</w:t>
            </w:r>
          </w:p>
        </w:tc>
        <w:tc>
          <w:tcPr>
            <w:tcW w:w="233" w:type="pct"/>
            <w:noWrap/>
            <w:hideMark/>
          </w:tcPr>
          <w:p w14:paraId="08DA31FB"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24</w:t>
            </w:r>
          </w:p>
        </w:tc>
        <w:tc>
          <w:tcPr>
            <w:tcW w:w="280" w:type="pct"/>
            <w:noWrap/>
            <w:hideMark/>
          </w:tcPr>
          <w:p w14:paraId="35BC2FF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F880E8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1A188E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D0D496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1C4CAB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7A10BD98"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27DF6370"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Qatar</w:t>
            </w:r>
          </w:p>
        </w:tc>
        <w:tc>
          <w:tcPr>
            <w:tcW w:w="279" w:type="pct"/>
            <w:noWrap/>
            <w:hideMark/>
          </w:tcPr>
          <w:p w14:paraId="3FF6948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71AC0A6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70170C3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F3BB5CD"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70BA590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37F56BE8"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349" w:type="pct"/>
            <w:noWrap/>
            <w:hideMark/>
          </w:tcPr>
          <w:p w14:paraId="5D39768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5</w:t>
            </w:r>
          </w:p>
        </w:tc>
        <w:tc>
          <w:tcPr>
            <w:tcW w:w="273" w:type="pct"/>
            <w:noWrap/>
            <w:hideMark/>
          </w:tcPr>
          <w:p w14:paraId="0084EB5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82" w:type="pct"/>
            <w:noWrap/>
            <w:hideMark/>
          </w:tcPr>
          <w:p w14:paraId="064446D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045E535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80" w:type="pct"/>
            <w:noWrap/>
            <w:hideMark/>
          </w:tcPr>
          <w:p w14:paraId="31B0F10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C1B9D1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A667A4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86E10F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18DDAD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533870E2" w14:textId="77777777" w:rsidTr="00A21E0D">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33" w:type="pct"/>
            <w:hideMark/>
          </w:tcPr>
          <w:p w14:paraId="6F467477"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Republic of Congo</w:t>
            </w:r>
          </w:p>
        </w:tc>
        <w:tc>
          <w:tcPr>
            <w:tcW w:w="279" w:type="pct"/>
            <w:noWrap/>
            <w:hideMark/>
          </w:tcPr>
          <w:p w14:paraId="7CEEE9F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7493C3B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3C8027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B1492D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F51E74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74221F8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5C1F5EB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3A8298EF"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F31D09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51CA49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66E356B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A81F80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716019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246A7F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BA565A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76E06E98"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374F6C10"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Romania</w:t>
            </w:r>
          </w:p>
        </w:tc>
        <w:tc>
          <w:tcPr>
            <w:tcW w:w="279" w:type="pct"/>
            <w:noWrap/>
            <w:hideMark/>
          </w:tcPr>
          <w:p w14:paraId="7CF1731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55D9D61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20F6C67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62866B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46FA8AF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14B2474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166539F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23</w:t>
            </w:r>
          </w:p>
        </w:tc>
        <w:tc>
          <w:tcPr>
            <w:tcW w:w="273" w:type="pct"/>
            <w:noWrap/>
            <w:hideMark/>
          </w:tcPr>
          <w:p w14:paraId="446CD9D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1EEF1B8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5</w:t>
            </w:r>
          </w:p>
        </w:tc>
        <w:tc>
          <w:tcPr>
            <w:tcW w:w="233" w:type="pct"/>
            <w:noWrap/>
            <w:hideMark/>
          </w:tcPr>
          <w:p w14:paraId="55FECF0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36</w:t>
            </w:r>
          </w:p>
        </w:tc>
        <w:tc>
          <w:tcPr>
            <w:tcW w:w="280" w:type="pct"/>
            <w:noWrap/>
            <w:hideMark/>
          </w:tcPr>
          <w:p w14:paraId="2B58E4A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C47F15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3F01A1C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CA8BBC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03831E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505A5577"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1AFFB615"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Saudi Arabia</w:t>
            </w:r>
          </w:p>
        </w:tc>
        <w:tc>
          <w:tcPr>
            <w:tcW w:w="279" w:type="pct"/>
            <w:noWrap/>
            <w:hideMark/>
          </w:tcPr>
          <w:p w14:paraId="5EF8F6A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101B594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43C04B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D8E45E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61CDC8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3C44FB9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3D7398F5"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5</w:t>
            </w:r>
          </w:p>
        </w:tc>
        <w:tc>
          <w:tcPr>
            <w:tcW w:w="273" w:type="pct"/>
            <w:noWrap/>
            <w:hideMark/>
          </w:tcPr>
          <w:p w14:paraId="16BFBA1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5452919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7EA93A0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w:t>
            </w:r>
          </w:p>
        </w:tc>
        <w:tc>
          <w:tcPr>
            <w:tcW w:w="280" w:type="pct"/>
            <w:noWrap/>
            <w:hideMark/>
          </w:tcPr>
          <w:p w14:paraId="3D232FE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9F0736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888E84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743B0C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AE28D7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48D5B94"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348D8F65"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Senegal</w:t>
            </w:r>
          </w:p>
        </w:tc>
        <w:tc>
          <w:tcPr>
            <w:tcW w:w="279" w:type="pct"/>
            <w:noWrap/>
            <w:hideMark/>
          </w:tcPr>
          <w:p w14:paraId="35C2F56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134C3BF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EA64A2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C76991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CDB33A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3059B86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D052C4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A8165B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128962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D15C44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77182E7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5BB4E2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2DB19CD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1DB7F6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CB3B0A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35154348"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3DFEECDF"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lastRenderedPageBreak/>
              <w:t>Singapore</w:t>
            </w:r>
          </w:p>
        </w:tc>
        <w:tc>
          <w:tcPr>
            <w:tcW w:w="279" w:type="pct"/>
            <w:noWrap/>
            <w:hideMark/>
          </w:tcPr>
          <w:p w14:paraId="77D1F20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4C3E567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0E8843B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1C9987B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48F8239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727B175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19</w:t>
            </w:r>
          </w:p>
        </w:tc>
        <w:tc>
          <w:tcPr>
            <w:tcW w:w="349" w:type="pct"/>
            <w:noWrap/>
            <w:hideMark/>
          </w:tcPr>
          <w:p w14:paraId="773B9EF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30</w:t>
            </w:r>
          </w:p>
        </w:tc>
        <w:tc>
          <w:tcPr>
            <w:tcW w:w="273" w:type="pct"/>
            <w:noWrap/>
            <w:hideMark/>
          </w:tcPr>
          <w:p w14:paraId="454DC69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82" w:type="pct"/>
            <w:noWrap/>
            <w:hideMark/>
          </w:tcPr>
          <w:p w14:paraId="53C8618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8</w:t>
            </w:r>
          </w:p>
        </w:tc>
        <w:tc>
          <w:tcPr>
            <w:tcW w:w="233" w:type="pct"/>
            <w:noWrap/>
            <w:hideMark/>
          </w:tcPr>
          <w:p w14:paraId="495152C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23</w:t>
            </w:r>
          </w:p>
        </w:tc>
        <w:tc>
          <w:tcPr>
            <w:tcW w:w="280" w:type="pct"/>
            <w:noWrap/>
            <w:hideMark/>
          </w:tcPr>
          <w:p w14:paraId="4FE0752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0FA439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C00A29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F6A82D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42AB2A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AFC71B7"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0BC2EFFC"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Slovakia</w:t>
            </w:r>
          </w:p>
        </w:tc>
        <w:tc>
          <w:tcPr>
            <w:tcW w:w="279" w:type="pct"/>
            <w:noWrap/>
            <w:hideMark/>
          </w:tcPr>
          <w:p w14:paraId="507D4D5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720C1429"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546E4CC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268426B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36CE0BB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19A3CE5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3C2F79D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461A9E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1BF243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CDCEEA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12BD527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41277F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391813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018160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7127AC4"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6A43210F"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1A36261"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Spain</w:t>
            </w:r>
          </w:p>
        </w:tc>
        <w:tc>
          <w:tcPr>
            <w:tcW w:w="279" w:type="pct"/>
            <w:noWrap/>
            <w:hideMark/>
          </w:tcPr>
          <w:p w14:paraId="2402087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7D0BA65A"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2F9C4D4"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300D5D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218E80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208B557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38</w:t>
            </w:r>
          </w:p>
        </w:tc>
        <w:tc>
          <w:tcPr>
            <w:tcW w:w="349" w:type="pct"/>
            <w:noWrap/>
            <w:hideMark/>
          </w:tcPr>
          <w:p w14:paraId="1C5A10F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31</w:t>
            </w:r>
          </w:p>
        </w:tc>
        <w:tc>
          <w:tcPr>
            <w:tcW w:w="273" w:type="pct"/>
            <w:noWrap/>
            <w:hideMark/>
          </w:tcPr>
          <w:p w14:paraId="464AAF8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3A3D6E7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17</w:t>
            </w:r>
          </w:p>
        </w:tc>
        <w:tc>
          <w:tcPr>
            <w:tcW w:w="233" w:type="pct"/>
            <w:noWrap/>
            <w:hideMark/>
          </w:tcPr>
          <w:p w14:paraId="61C2C40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104</w:t>
            </w:r>
          </w:p>
        </w:tc>
        <w:tc>
          <w:tcPr>
            <w:tcW w:w="280" w:type="pct"/>
            <w:noWrap/>
            <w:hideMark/>
          </w:tcPr>
          <w:p w14:paraId="07E8599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7C14C5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D9AB40B"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2F9EF6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9610680"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F17E110"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2C581E02"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Sri Lanka</w:t>
            </w:r>
          </w:p>
        </w:tc>
        <w:tc>
          <w:tcPr>
            <w:tcW w:w="279" w:type="pct"/>
            <w:noWrap/>
            <w:hideMark/>
          </w:tcPr>
          <w:p w14:paraId="4B83F93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20FD49B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73" w:type="pct"/>
            <w:noWrap/>
            <w:hideMark/>
          </w:tcPr>
          <w:p w14:paraId="3001BFEF"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4E2CEE1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2CB7DAE1"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2454A562"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11</w:t>
            </w:r>
          </w:p>
        </w:tc>
        <w:tc>
          <w:tcPr>
            <w:tcW w:w="349" w:type="pct"/>
            <w:noWrap/>
            <w:hideMark/>
          </w:tcPr>
          <w:p w14:paraId="5E596A8E"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26</w:t>
            </w:r>
          </w:p>
        </w:tc>
        <w:tc>
          <w:tcPr>
            <w:tcW w:w="273" w:type="pct"/>
            <w:noWrap/>
            <w:hideMark/>
          </w:tcPr>
          <w:p w14:paraId="2759AE24"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12</w:t>
            </w:r>
          </w:p>
        </w:tc>
        <w:tc>
          <w:tcPr>
            <w:tcW w:w="282" w:type="pct"/>
            <w:noWrap/>
            <w:hideMark/>
          </w:tcPr>
          <w:p w14:paraId="367A6BC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233" w:type="pct"/>
            <w:noWrap/>
            <w:hideMark/>
          </w:tcPr>
          <w:p w14:paraId="11857CD3"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20</w:t>
            </w:r>
          </w:p>
        </w:tc>
        <w:tc>
          <w:tcPr>
            <w:tcW w:w="280" w:type="pct"/>
            <w:noWrap/>
            <w:hideMark/>
          </w:tcPr>
          <w:p w14:paraId="491261B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13BE37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5191AC8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C94E3F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6FAD05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34308FF0" w14:textId="77777777" w:rsidTr="00A21E0D">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33" w:type="pct"/>
            <w:hideMark/>
          </w:tcPr>
          <w:p w14:paraId="022210E3"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State of Palestine</w:t>
            </w:r>
          </w:p>
        </w:tc>
        <w:tc>
          <w:tcPr>
            <w:tcW w:w="279" w:type="pct"/>
            <w:noWrap/>
            <w:hideMark/>
          </w:tcPr>
          <w:p w14:paraId="6FEE817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2BEAC55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68A1BA9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1F7F920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7C124E0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6548CF9D" w14:textId="77777777" w:rsidR="007974E9" w:rsidRPr="00A21E0D"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color w:val="FF0000"/>
                <w:lang w:val="en-US"/>
              </w:rPr>
            </w:pPr>
            <w:r w:rsidRPr="00A21E0D">
              <w:rPr>
                <w:rFonts w:ascii="Calibri" w:eastAsia="Times New Roman" w:hAnsi="Calibri" w:cs="Times New Roman"/>
                <w:bCs/>
                <w:lang w:val="en-US"/>
              </w:rPr>
              <w:t>83</w:t>
            </w:r>
          </w:p>
        </w:tc>
        <w:tc>
          <w:tcPr>
            <w:tcW w:w="349" w:type="pct"/>
            <w:noWrap/>
            <w:hideMark/>
          </w:tcPr>
          <w:p w14:paraId="3551AF2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39</w:t>
            </w:r>
          </w:p>
        </w:tc>
        <w:tc>
          <w:tcPr>
            <w:tcW w:w="273" w:type="pct"/>
            <w:noWrap/>
            <w:hideMark/>
          </w:tcPr>
          <w:p w14:paraId="19B91AF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16</w:t>
            </w:r>
          </w:p>
        </w:tc>
        <w:tc>
          <w:tcPr>
            <w:tcW w:w="282" w:type="pct"/>
            <w:noWrap/>
            <w:hideMark/>
          </w:tcPr>
          <w:p w14:paraId="6D4C97F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8</w:t>
            </w:r>
          </w:p>
        </w:tc>
        <w:tc>
          <w:tcPr>
            <w:tcW w:w="233" w:type="pct"/>
            <w:noWrap/>
            <w:hideMark/>
          </w:tcPr>
          <w:p w14:paraId="2E6E28C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25</w:t>
            </w:r>
          </w:p>
        </w:tc>
        <w:tc>
          <w:tcPr>
            <w:tcW w:w="280" w:type="pct"/>
            <w:noWrap/>
            <w:hideMark/>
          </w:tcPr>
          <w:p w14:paraId="531F62E3"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76217D5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DD1B15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708D4ED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81762A7"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1A6BE336"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460EB9FC"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Sudan</w:t>
            </w:r>
          </w:p>
        </w:tc>
        <w:tc>
          <w:tcPr>
            <w:tcW w:w="279" w:type="pct"/>
            <w:noWrap/>
            <w:hideMark/>
          </w:tcPr>
          <w:p w14:paraId="3E01E38B"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6983340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696F8C90"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77706DF7"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33" w:type="pct"/>
            <w:noWrap/>
            <w:hideMark/>
          </w:tcPr>
          <w:p w14:paraId="2F378E06"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0150483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FEFE74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3188ABE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338380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EC94BD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0B6F49E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4772F1D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1FB3C30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E4DD72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1B43FDC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0188EBB3"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37F84444"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Switzerland</w:t>
            </w:r>
          </w:p>
        </w:tc>
        <w:tc>
          <w:tcPr>
            <w:tcW w:w="279" w:type="pct"/>
            <w:noWrap/>
            <w:hideMark/>
          </w:tcPr>
          <w:p w14:paraId="4A5FC0A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566E288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5B165BF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03D251F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33" w:type="pct"/>
            <w:noWrap/>
            <w:hideMark/>
          </w:tcPr>
          <w:p w14:paraId="36A05983"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4096C11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7</w:t>
            </w:r>
          </w:p>
        </w:tc>
        <w:tc>
          <w:tcPr>
            <w:tcW w:w="349" w:type="pct"/>
            <w:noWrap/>
            <w:hideMark/>
          </w:tcPr>
          <w:p w14:paraId="72799824"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73" w:type="pct"/>
            <w:noWrap/>
            <w:hideMark/>
          </w:tcPr>
          <w:p w14:paraId="3DCE9DA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3A83042F"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33" w:type="pct"/>
            <w:noWrap/>
            <w:hideMark/>
          </w:tcPr>
          <w:p w14:paraId="4F4443D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11</w:t>
            </w:r>
          </w:p>
        </w:tc>
        <w:tc>
          <w:tcPr>
            <w:tcW w:w="280" w:type="pct"/>
            <w:noWrap/>
            <w:hideMark/>
          </w:tcPr>
          <w:p w14:paraId="08EC1F0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56EE35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A13BF31"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29AA50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1BAACE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07FAAADA"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7CC6DF35"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Togo</w:t>
            </w:r>
          </w:p>
        </w:tc>
        <w:tc>
          <w:tcPr>
            <w:tcW w:w="279" w:type="pct"/>
            <w:noWrap/>
            <w:hideMark/>
          </w:tcPr>
          <w:p w14:paraId="746DE26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369348E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B5FDA3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7447C0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5957DE6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1AFC13E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5394296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605663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82FAB0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67C1951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08819A3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F067B1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6ADCB6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3461B79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3CCEF0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0906913B"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36790F5D"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UAE</w:t>
            </w:r>
          </w:p>
        </w:tc>
        <w:tc>
          <w:tcPr>
            <w:tcW w:w="279" w:type="pct"/>
            <w:noWrap/>
            <w:hideMark/>
          </w:tcPr>
          <w:p w14:paraId="5D4F360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49" w:type="pct"/>
            <w:noWrap/>
            <w:hideMark/>
          </w:tcPr>
          <w:p w14:paraId="42D8A32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73" w:type="pct"/>
            <w:noWrap/>
            <w:hideMark/>
          </w:tcPr>
          <w:p w14:paraId="0BF8E02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65BAD8E1"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33" w:type="pct"/>
            <w:noWrap/>
            <w:hideMark/>
          </w:tcPr>
          <w:p w14:paraId="4C1F24DA"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61D5955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69</w:t>
            </w:r>
          </w:p>
        </w:tc>
        <w:tc>
          <w:tcPr>
            <w:tcW w:w="349" w:type="pct"/>
            <w:noWrap/>
            <w:hideMark/>
          </w:tcPr>
          <w:p w14:paraId="59CFE64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9</w:t>
            </w:r>
          </w:p>
        </w:tc>
        <w:tc>
          <w:tcPr>
            <w:tcW w:w="273" w:type="pct"/>
            <w:noWrap/>
            <w:hideMark/>
          </w:tcPr>
          <w:p w14:paraId="17C2154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82" w:type="pct"/>
            <w:noWrap/>
            <w:hideMark/>
          </w:tcPr>
          <w:p w14:paraId="0BB7E6D8"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3</w:t>
            </w:r>
          </w:p>
        </w:tc>
        <w:tc>
          <w:tcPr>
            <w:tcW w:w="233" w:type="pct"/>
            <w:noWrap/>
            <w:hideMark/>
          </w:tcPr>
          <w:p w14:paraId="291FA4F7"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8</w:t>
            </w:r>
          </w:p>
        </w:tc>
        <w:tc>
          <w:tcPr>
            <w:tcW w:w="280" w:type="pct"/>
            <w:noWrap/>
            <w:hideMark/>
          </w:tcPr>
          <w:p w14:paraId="3E086FEC"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64BA828E"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22F68E9"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FD89EFD"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45842C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64043A91"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5BFE3C1B"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Uruguay</w:t>
            </w:r>
          </w:p>
        </w:tc>
        <w:tc>
          <w:tcPr>
            <w:tcW w:w="279" w:type="pct"/>
            <w:noWrap/>
            <w:hideMark/>
          </w:tcPr>
          <w:p w14:paraId="4354B01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49" w:type="pct"/>
            <w:noWrap/>
            <w:hideMark/>
          </w:tcPr>
          <w:p w14:paraId="22F3A1B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778EE68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02DCF96"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881768C"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59ADB68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49" w:type="pct"/>
            <w:noWrap/>
            <w:hideMark/>
          </w:tcPr>
          <w:p w14:paraId="783FE81A"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6B81AD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1FEA8B7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03F41FA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476F2CF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F1C339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47F4862B"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0ACBF6B1"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DC39A53"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FB36C7" w:rsidRPr="007974E9" w14:paraId="1E513286" w14:textId="77777777" w:rsidTr="00A21E0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hideMark/>
          </w:tcPr>
          <w:p w14:paraId="1147B368" w14:textId="77777777" w:rsidR="007974E9" w:rsidRPr="007974E9" w:rsidRDefault="007974E9" w:rsidP="007974E9">
            <w:pPr>
              <w:rPr>
                <w:rFonts w:ascii="Arial" w:eastAsia="Times New Roman" w:hAnsi="Arial" w:cs="Arial"/>
                <w:b w:val="0"/>
                <w:bCs w:val="0"/>
                <w:color w:val="000000"/>
                <w:sz w:val="24"/>
                <w:szCs w:val="24"/>
                <w:lang w:val="en-US"/>
              </w:rPr>
            </w:pPr>
            <w:r w:rsidRPr="007974E9">
              <w:rPr>
                <w:rFonts w:ascii="Arial" w:eastAsia="Times New Roman" w:hAnsi="Arial" w:cs="Arial"/>
                <w:color w:val="000000"/>
                <w:sz w:val="24"/>
                <w:szCs w:val="24"/>
                <w:lang w:val="en-US"/>
              </w:rPr>
              <w:t>Viet Nam</w:t>
            </w:r>
          </w:p>
        </w:tc>
        <w:tc>
          <w:tcPr>
            <w:tcW w:w="279" w:type="pct"/>
            <w:noWrap/>
            <w:hideMark/>
          </w:tcPr>
          <w:p w14:paraId="06BA5162"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49" w:type="pct"/>
            <w:noWrap/>
            <w:hideMark/>
          </w:tcPr>
          <w:p w14:paraId="34D0E3B6"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73" w:type="pct"/>
            <w:noWrap/>
            <w:hideMark/>
          </w:tcPr>
          <w:p w14:paraId="4CBC7F0E"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282" w:type="pct"/>
            <w:noWrap/>
            <w:hideMark/>
          </w:tcPr>
          <w:p w14:paraId="76630FE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w:t>
            </w:r>
          </w:p>
        </w:tc>
        <w:tc>
          <w:tcPr>
            <w:tcW w:w="233" w:type="pct"/>
            <w:noWrap/>
            <w:hideMark/>
          </w:tcPr>
          <w:p w14:paraId="5167011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0</w:t>
            </w:r>
          </w:p>
        </w:tc>
        <w:tc>
          <w:tcPr>
            <w:tcW w:w="396" w:type="pct"/>
            <w:noWrap/>
            <w:hideMark/>
          </w:tcPr>
          <w:p w14:paraId="77A2A5D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61</w:t>
            </w:r>
          </w:p>
        </w:tc>
        <w:tc>
          <w:tcPr>
            <w:tcW w:w="349" w:type="pct"/>
            <w:noWrap/>
            <w:hideMark/>
          </w:tcPr>
          <w:p w14:paraId="35C180C0"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21</w:t>
            </w:r>
          </w:p>
        </w:tc>
        <w:tc>
          <w:tcPr>
            <w:tcW w:w="273" w:type="pct"/>
            <w:noWrap/>
            <w:hideMark/>
          </w:tcPr>
          <w:p w14:paraId="5B751699"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w:t>
            </w:r>
          </w:p>
        </w:tc>
        <w:tc>
          <w:tcPr>
            <w:tcW w:w="282" w:type="pct"/>
            <w:noWrap/>
            <w:hideMark/>
          </w:tcPr>
          <w:p w14:paraId="35F0C50C"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10</w:t>
            </w:r>
          </w:p>
        </w:tc>
        <w:tc>
          <w:tcPr>
            <w:tcW w:w="233" w:type="pct"/>
            <w:noWrap/>
            <w:hideMark/>
          </w:tcPr>
          <w:p w14:paraId="70C4328D" w14:textId="77777777" w:rsidR="007974E9" w:rsidRPr="007974E9" w:rsidRDefault="007974E9" w:rsidP="007974E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19</w:t>
            </w:r>
          </w:p>
        </w:tc>
        <w:tc>
          <w:tcPr>
            <w:tcW w:w="280" w:type="pct"/>
            <w:noWrap/>
            <w:hideMark/>
          </w:tcPr>
          <w:p w14:paraId="31D4393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35A3E5B2"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BAFBB06"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FA6BB75"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4A724F18" w14:textId="77777777" w:rsidR="007974E9" w:rsidRPr="007974E9" w:rsidRDefault="007974E9" w:rsidP="007974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r w:rsidR="00B73184" w:rsidRPr="007974E9" w14:paraId="43CE61CD" w14:textId="77777777" w:rsidTr="00A21E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3" w:type="pct"/>
            <w:noWrap/>
            <w:hideMark/>
          </w:tcPr>
          <w:p w14:paraId="2C0BFA40" w14:textId="77777777" w:rsidR="007974E9" w:rsidRPr="00A21E0D" w:rsidRDefault="007974E9" w:rsidP="007974E9">
            <w:pPr>
              <w:rPr>
                <w:rFonts w:ascii="Arial" w:eastAsia="Times New Roman" w:hAnsi="Arial" w:cs="Arial"/>
                <w:color w:val="000000"/>
                <w:sz w:val="24"/>
                <w:szCs w:val="24"/>
                <w:lang w:val="en-US"/>
              </w:rPr>
            </w:pPr>
            <w:r w:rsidRPr="007974E9">
              <w:rPr>
                <w:rFonts w:ascii="Arial" w:eastAsia="Times New Roman" w:hAnsi="Arial" w:cs="Arial"/>
                <w:color w:val="000000"/>
                <w:sz w:val="24"/>
                <w:szCs w:val="24"/>
                <w:lang w:val="en-US"/>
              </w:rPr>
              <w:t> </w:t>
            </w:r>
            <w:r w:rsidR="00A21E0D" w:rsidRPr="00A21E0D">
              <w:rPr>
                <w:rFonts w:ascii="Arial" w:eastAsia="Times New Roman" w:hAnsi="Arial" w:cs="Arial"/>
                <w:color w:val="000000"/>
                <w:sz w:val="24"/>
                <w:szCs w:val="24"/>
                <w:lang w:val="en-US"/>
              </w:rPr>
              <w:t xml:space="preserve">Total </w:t>
            </w:r>
          </w:p>
        </w:tc>
        <w:tc>
          <w:tcPr>
            <w:tcW w:w="279" w:type="pct"/>
            <w:noWrap/>
            <w:hideMark/>
          </w:tcPr>
          <w:p w14:paraId="628C2C3C"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8</w:t>
            </w:r>
          </w:p>
        </w:tc>
        <w:tc>
          <w:tcPr>
            <w:tcW w:w="249" w:type="pct"/>
            <w:noWrap/>
            <w:hideMark/>
          </w:tcPr>
          <w:p w14:paraId="3689E27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2C20C47"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495DF53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3494BDEF"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396" w:type="pct"/>
            <w:noWrap/>
            <w:hideMark/>
          </w:tcPr>
          <w:p w14:paraId="49473ED5" w14:textId="77777777" w:rsidR="007974E9" w:rsidRPr="007974E9" w:rsidRDefault="007974E9" w:rsidP="007974E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675</w:t>
            </w:r>
          </w:p>
        </w:tc>
        <w:tc>
          <w:tcPr>
            <w:tcW w:w="349" w:type="pct"/>
            <w:noWrap/>
            <w:hideMark/>
          </w:tcPr>
          <w:p w14:paraId="4D425662"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04F8C1C0"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562D958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2DCF21E8"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0" w:type="pct"/>
            <w:noWrap/>
            <w:hideMark/>
          </w:tcPr>
          <w:p w14:paraId="7E549965"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50" w:type="pct"/>
            <w:noWrap/>
            <w:hideMark/>
          </w:tcPr>
          <w:p w14:paraId="0E8DA8E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73" w:type="pct"/>
            <w:noWrap/>
            <w:hideMark/>
          </w:tcPr>
          <w:p w14:paraId="6B95B7CD"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82" w:type="pct"/>
            <w:noWrap/>
            <w:hideMark/>
          </w:tcPr>
          <w:p w14:paraId="69B92669"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c>
          <w:tcPr>
            <w:tcW w:w="233" w:type="pct"/>
            <w:noWrap/>
            <w:hideMark/>
          </w:tcPr>
          <w:p w14:paraId="7F037C8E" w14:textId="77777777" w:rsidR="007974E9" w:rsidRPr="007974E9" w:rsidRDefault="007974E9" w:rsidP="007974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7974E9">
              <w:rPr>
                <w:rFonts w:ascii="Calibri" w:eastAsia="Times New Roman" w:hAnsi="Calibri" w:cs="Times New Roman"/>
                <w:color w:val="000000"/>
                <w:lang w:val="en-US"/>
              </w:rPr>
              <w:t> </w:t>
            </w:r>
          </w:p>
        </w:tc>
      </w:tr>
    </w:tbl>
    <w:p w14:paraId="5F8AC605" w14:textId="77777777" w:rsidR="000E75DA" w:rsidRDefault="000E75DA" w:rsidP="000725F5">
      <w:pPr>
        <w:spacing w:after="0" w:line="276" w:lineRule="auto"/>
        <w:jc w:val="both"/>
        <w:rPr>
          <w:rFonts w:cs="Times New Roman"/>
          <w:color w:val="FF0000"/>
          <w:sz w:val="24"/>
          <w:szCs w:val="24"/>
        </w:rPr>
      </w:pPr>
    </w:p>
    <w:p w14:paraId="69DB91C5" w14:textId="77777777" w:rsidR="00970A3A" w:rsidRDefault="00970A3A" w:rsidP="000725F5">
      <w:pPr>
        <w:spacing w:after="0" w:line="276" w:lineRule="auto"/>
        <w:jc w:val="both"/>
        <w:rPr>
          <w:rFonts w:cs="Times New Roman"/>
          <w:color w:val="FF0000"/>
          <w:sz w:val="24"/>
          <w:szCs w:val="24"/>
        </w:rPr>
      </w:pPr>
    </w:p>
    <w:p w14:paraId="2774183F" w14:textId="77777777" w:rsidR="00970A3A" w:rsidRDefault="00970A3A" w:rsidP="000725F5">
      <w:pPr>
        <w:spacing w:after="0" w:line="276" w:lineRule="auto"/>
        <w:jc w:val="both"/>
        <w:rPr>
          <w:rFonts w:cs="Times New Roman"/>
          <w:color w:val="FF0000"/>
          <w:sz w:val="24"/>
          <w:szCs w:val="24"/>
        </w:rPr>
      </w:pPr>
    </w:p>
    <w:p w14:paraId="2BD2EF05" w14:textId="77777777" w:rsidR="00970A3A" w:rsidRDefault="00970A3A" w:rsidP="000725F5">
      <w:pPr>
        <w:spacing w:after="0" w:line="276" w:lineRule="auto"/>
        <w:jc w:val="both"/>
        <w:rPr>
          <w:rFonts w:cs="Times New Roman"/>
          <w:color w:val="FF0000"/>
          <w:sz w:val="24"/>
          <w:szCs w:val="24"/>
        </w:rPr>
      </w:pPr>
    </w:p>
    <w:p w14:paraId="56286D41" w14:textId="77777777" w:rsidR="00970A3A" w:rsidRDefault="00970A3A" w:rsidP="000725F5">
      <w:pPr>
        <w:spacing w:after="0" w:line="276" w:lineRule="auto"/>
        <w:jc w:val="both"/>
        <w:rPr>
          <w:rFonts w:cs="Times New Roman"/>
          <w:color w:val="FF0000"/>
          <w:sz w:val="24"/>
          <w:szCs w:val="24"/>
        </w:rPr>
      </w:pPr>
    </w:p>
    <w:p w14:paraId="67F439AB" w14:textId="77777777" w:rsidR="00970A3A" w:rsidRDefault="00970A3A" w:rsidP="000725F5">
      <w:pPr>
        <w:spacing w:after="0" w:line="276" w:lineRule="auto"/>
        <w:jc w:val="both"/>
        <w:rPr>
          <w:rFonts w:cs="Times New Roman"/>
          <w:color w:val="FF0000"/>
          <w:sz w:val="24"/>
          <w:szCs w:val="24"/>
        </w:rPr>
      </w:pPr>
    </w:p>
    <w:p w14:paraId="1F5533E8" w14:textId="77777777" w:rsidR="00970A3A" w:rsidRDefault="00970A3A" w:rsidP="000725F5">
      <w:pPr>
        <w:spacing w:after="0" w:line="276" w:lineRule="auto"/>
        <w:jc w:val="both"/>
        <w:rPr>
          <w:rFonts w:cs="Times New Roman"/>
          <w:color w:val="FF0000"/>
          <w:sz w:val="24"/>
          <w:szCs w:val="24"/>
        </w:rPr>
      </w:pPr>
    </w:p>
    <w:p w14:paraId="22B51C81" w14:textId="77777777" w:rsidR="00970A3A" w:rsidRDefault="00970A3A" w:rsidP="000725F5">
      <w:pPr>
        <w:spacing w:after="0" w:line="276" w:lineRule="auto"/>
        <w:jc w:val="both"/>
        <w:rPr>
          <w:rFonts w:cs="Times New Roman"/>
          <w:color w:val="FF0000"/>
          <w:sz w:val="24"/>
          <w:szCs w:val="24"/>
        </w:rPr>
      </w:pPr>
    </w:p>
    <w:p w14:paraId="191356CF" w14:textId="77777777" w:rsidR="00970A3A" w:rsidRDefault="00970A3A" w:rsidP="000725F5">
      <w:pPr>
        <w:spacing w:after="0" w:line="276" w:lineRule="auto"/>
        <w:jc w:val="both"/>
        <w:rPr>
          <w:rFonts w:cs="Times New Roman"/>
          <w:color w:val="FF0000"/>
          <w:sz w:val="24"/>
          <w:szCs w:val="24"/>
        </w:rPr>
      </w:pPr>
    </w:p>
    <w:p w14:paraId="15F603CA" w14:textId="77777777" w:rsidR="00970A3A" w:rsidRDefault="00970A3A" w:rsidP="000725F5">
      <w:pPr>
        <w:spacing w:after="0" w:line="276" w:lineRule="auto"/>
        <w:jc w:val="both"/>
        <w:rPr>
          <w:rFonts w:cs="Times New Roman"/>
          <w:color w:val="FF0000"/>
          <w:sz w:val="24"/>
          <w:szCs w:val="24"/>
        </w:rPr>
      </w:pPr>
    </w:p>
    <w:p w14:paraId="19FC25E4" w14:textId="77777777" w:rsidR="00970A3A" w:rsidRDefault="00970A3A" w:rsidP="000725F5">
      <w:pPr>
        <w:spacing w:after="0" w:line="276" w:lineRule="auto"/>
        <w:jc w:val="both"/>
        <w:rPr>
          <w:rFonts w:cs="Times New Roman"/>
          <w:color w:val="FF0000"/>
          <w:sz w:val="24"/>
          <w:szCs w:val="24"/>
        </w:rPr>
      </w:pPr>
    </w:p>
    <w:p w14:paraId="79465692" w14:textId="77777777" w:rsidR="00970A3A" w:rsidRDefault="00970A3A" w:rsidP="000725F5">
      <w:pPr>
        <w:spacing w:after="0" w:line="276" w:lineRule="auto"/>
        <w:jc w:val="both"/>
        <w:rPr>
          <w:rFonts w:cs="Times New Roman"/>
          <w:color w:val="FF0000"/>
          <w:sz w:val="24"/>
          <w:szCs w:val="24"/>
        </w:rPr>
      </w:pPr>
    </w:p>
    <w:p w14:paraId="1A740877" w14:textId="77777777" w:rsidR="00970A3A" w:rsidRDefault="00970A3A" w:rsidP="000725F5">
      <w:pPr>
        <w:spacing w:after="0" w:line="276" w:lineRule="auto"/>
        <w:jc w:val="both"/>
        <w:rPr>
          <w:rFonts w:cs="Times New Roman"/>
          <w:color w:val="FF0000"/>
          <w:sz w:val="24"/>
          <w:szCs w:val="24"/>
        </w:rPr>
      </w:pPr>
    </w:p>
    <w:p w14:paraId="70758695" w14:textId="77777777" w:rsidR="00970A3A" w:rsidRDefault="00970A3A" w:rsidP="000725F5">
      <w:pPr>
        <w:spacing w:after="0" w:line="276" w:lineRule="auto"/>
        <w:jc w:val="both"/>
        <w:rPr>
          <w:rFonts w:cs="Times New Roman"/>
          <w:color w:val="FF0000"/>
          <w:sz w:val="24"/>
          <w:szCs w:val="24"/>
        </w:rPr>
      </w:pPr>
    </w:p>
    <w:p w14:paraId="67B8FBA9" w14:textId="77777777" w:rsidR="00970A3A" w:rsidRDefault="00970A3A" w:rsidP="000725F5">
      <w:pPr>
        <w:spacing w:after="0" w:line="276" w:lineRule="auto"/>
        <w:jc w:val="both"/>
        <w:rPr>
          <w:rFonts w:cs="Times New Roman"/>
          <w:color w:val="FF0000"/>
          <w:sz w:val="24"/>
          <w:szCs w:val="24"/>
        </w:rPr>
      </w:pPr>
    </w:p>
    <w:p w14:paraId="3E9B7436" w14:textId="77777777" w:rsidR="00970A3A" w:rsidRDefault="00970A3A" w:rsidP="000725F5">
      <w:pPr>
        <w:spacing w:after="0" w:line="276" w:lineRule="auto"/>
        <w:jc w:val="both"/>
        <w:rPr>
          <w:rFonts w:cs="Times New Roman"/>
          <w:color w:val="FF0000"/>
          <w:sz w:val="24"/>
          <w:szCs w:val="24"/>
        </w:rPr>
      </w:pPr>
    </w:p>
    <w:p w14:paraId="6CC61215" w14:textId="77777777" w:rsidR="00970A3A" w:rsidRDefault="00970A3A" w:rsidP="000725F5">
      <w:pPr>
        <w:spacing w:after="0" w:line="276" w:lineRule="auto"/>
        <w:jc w:val="both"/>
        <w:rPr>
          <w:rFonts w:cs="Times New Roman"/>
          <w:color w:val="FF0000"/>
          <w:sz w:val="24"/>
          <w:szCs w:val="24"/>
        </w:rPr>
      </w:pPr>
    </w:p>
    <w:p w14:paraId="05B0A100" w14:textId="77777777" w:rsidR="00970A3A" w:rsidRDefault="00970A3A" w:rsidP="000725F5">
      <w:pPr>
        <w:spacing w:after="0" w:line="276" w:lineRule="auto"/>
        <w:jc w:val="both"/>
        <w:rPr>
          <w:rFonts w:cs="Times New Roman"/>
          <w:color w:val="FF0000"/>
          <w:sz w:val="24"/>
          <w:szCs w:val="24"/>
        </w:rPr>
      </w:pPr>
    </w:p>
    <w:p w14:paraId="641D29BB" w14:textId="77777777" w:rsidR="00970A3A" w:rsidRDefault="00970A3A" w:rsidP="000725F5">
      <w:pPr>
        <w:spacing w:after="0" w:line="276" w:lineRule="auto"/>
        <w:jc w:val="both"/>
        <w:rPr>
          <w:rFonts w:cs="Times New Roman"/>
          <w:color w:val="FF0000"/>
          <w:sz w:val="24"/>
          <w:szCs w:val="24"/>
        </w:rPr>
      </w:pPr>
    </w:p>
    <w:p w14:paraId="4DD6D5A2" w14:textId="77777777" w:rsidR="00DC4336" w:rsidRDefault="00DC4336" w:rsidP="00DC4336">
      <w:pPr>
        <w:pStyle w:val="Heading1"/>
      </w:pPr>
    </w:p>
    <w:p w14:paraId="45CE7481" w14:textId="77777777" w:rsidR="00DC4336" w:rsidRDefault="00DC4336" w:rsidP="00DC4336">
      <w:pPr>
        <w:pStyle w:val="Heading1"/>
      </w:pPr>
    </w:p>
    <w:p w14:paraId="1C584BBD" w14:textId="77777777" w:rsidR="00DC4336" w:rsidRDefault="00DC4336" w:rsidP="00DC4336">
      <w:pPr>
        <w:pStyle w:val="Heading1"/>
      </w:pPr>
      <w:bookmarkStart w:id="139" w:name="_Toc531264987"/>
      <w:r>
        <w:t>Annex 2 – Infographic illustrating HLPF2018 in Numbers</w:t>
      </w:r>
      <w:bookmarkEnd w:id="139"/>
    </w:p>
    <w:p w14:paraId="025E4118" w14:textId="77777777" w:rsidR="00970A3A" w:rsidRPr="000725F5" w:rsidRDefault="00DC4336" w:rsidP="000725F5">
      <w:pPr>
        <w:spacing w:after="0" w:line="276" w:lineRule="auto"/>
        <w:jc w:val="both"/>
        <w:rPr>
          <w:rFonts w:cs="Times New Roman"/>
          <w:color w:val="FF0000"/>
          <w:sz w:val="24"/>
          <w:szCs w:val="24"/>
        </w:rPr>
      </w:pPr>
      <w:r>
        <w:rPr>
          <w:rFonts w:cs="Times New Roman"/>
          <w:noProof/>
          <w:color w:val="FF0000"/>
          <w:sz w:val="24"/>
          <w:szCs w:val="24"/>
          <w:lang w:val="en-US"/>
        </w:rPr>
        <w:drawing>
          <wp:inline distT="0" distB="0" distL="0" distR="0" wp14:anchorId="75C81956" wp14:editId="4E59C7D3">
            <wp:extent cx="6026150" cy="8461375"/>
            <wp:effectExtent l="0" t="0" r="6350" b="0"/>
            <wp:docPr id="1" name="Picture 0" descr="hlpfsumma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fsummary.jpeg"/>
                    <pic:cNvPicPr/>
                  </pic:nvPicPr>
                  <pic:blipFill>
                    <a:blip r:embed="rId28"/>
                    <a:stretch>
                      <a:fillRect/>
                    </a:stretch>
                  </pic:blipFill>
                  <pic:spPr>
                    <a:xfrm>
                      <a:off x="0" y="0"/>
                      <a:ext cx="6026150" cy="8461375"/>
                    </a:xfrm>
                    <a:prstGeom prst="rect">
                      <a:avLst/>
                    </a:prstGeom>
                  </pic:spPr>
                </pic:pic>
              </a:graphicData>
            </a:graphic>
          </wp:inline>
        </w:drawing>
      </w:r>
    </w:p>
    <w:sectPr w:rsidR="00970A3A" w:rsidRPr="000725F5" w:rsidSect="00876D20">
      <w:footerReference w:type="default" r:id="rId29"/>
      <w:pgSz w:w="11906" w:h="16838"/>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1F79" w14:textId="77777777" w:rsidR="000B75B9" w:rsidRDefault="000B75B9" w:rsidP="007D084E">
      <w:pPr>
        <w:spacing w:after="0" w:line="240" w:lineRule="auto"/>
      </w:pPr>
      <w:r>
        <w:separator/>
      </w:r>
    </w:p>
  </w:endnote>
  <w:endnote w:type="continuationSeparator" w:id="0">
    <w:p w14:paraId="63A607C8" w14:textId="77777777" w:rsidR="000B75B9" w:rsidRDefault="000B75B9" w:rsidP="007D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752B" w14:textId="77777777" w:rsidR="00C4148C" w:rsidRDefault="00C4148C" w:rsidP="00B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FF19F" w14:textId="77777777" w:rsidR="00C4148C" w:rsidRDefault="00C4148C" w:rsidP="004A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3D3C" w14:textId="77777777" w:rsidR="00C4148C" w:rsidRDefault="00C4148C">
    <w:pPr>
      <w:pStyle w:val="Footer"/>
      <w:jc w:val="right"/>
    </w:pPr>
  </w:p>
  <w:p w14:paraId="767F183C" w14:textId="77777777" w:rsidR="00C4148C" w:rsidRDefault="00C4148C" w:rsidP="004A5D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66494"/>
      <w:docPartObj>
        <w:docPartGallery w:val="Page Numbers (Bottom of Page)"/>
        <w:docPartUnique/>
      </w:docPartObj>
    </w:sdtPr>
    <w:sdtContent>
      <w:p w14:paraId="7C45AF7C" w14:textId="77777777" w:rsidR="00C4148C" w:rsidRDefault="00C4148C">
        <w:pPr>
          <w:pStyle w:val="Footer"/>
          <w:jc w:val="right"/>
        </w:pPr>
        <w:r>
          <w:rPr>
            <w:noProof/>
          </w:rPr>
          <w:fldChar w:fldCharType="begin"/>
        </w:r>
        <w:r>
          <w:rPr>
            <w:noProof/>
          </w:rPr>
          <w:instrText xml:space="preserve"> PAGE   \* MERGEFORMAT </w:instrText>
        </w:r>
        <w:r>
          <w:rPr>
            <w:noProof/>
          </w:rPr>
          <w:fldChar w:fldCharType="separate"/>
        </w:r>
        <w:r>
          <w:rPr>
            <w:noProof/>
          </w:rPr>
          <w:t>71</w:t>
        </w:r>
        <w:r>
          <w:rPr>
            <w:noProof/>
          </w:rPr>
          <w:fldChar w:fldCharType="end"/>
        </w:r>
      </w:p>
    </w:sdtContent>
  </w:sdt>
  <w:p w14:paraId="186A2687" w14:textId="77777777" w:rsidR="00C4148C" w:rsidRDefault="00C4148C" w:rsidP="004A5D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CDF2" w14:textId="77777777" w:rsidR="000B75B9" w:rsidRDefault="000B75B9" w:rsidP="007D084E">
      <w:pPr>
        <w:spacing w:after="0" w:line="240" w:lineRule="auto"/>
      </w:pPr>
      <w:r>
        <w:separator/>
      </w:r>
    </w:p>
  </w:footnote>
  <w:footnote w:type="continuationSeparator" w:id="0">
    <w:p w14:paraId="693CC9C0" w14:textId="77777777" w:rsidR="000B75B9" w:rsidRDefault="000B75B9" w:rsidP="007D084E">
      <w:pPr>
        <w:spacing w:after="0" w:line="240" w:lineRule="auto"/>
      </w:pPr>
      <w:r>
        <w:continuationSeparator/>
      </w:r>
    </w:p>
  </w:footnote>
  <w:footnote w:id="1">
    <w:p w14:paraId="2096D030" w14:textId="1F069CB9" w:rsidR="00C4148C" w:rsidRPr="00DC0132" w:rsidRDefault="00C4148C" w:rsidP="00DC0132">
      <w:pPr>
        <w:pStyle w:val="FootnoteText"/>
        <w:rPr>
          <w:sz w:val="18"/>
          <w:szCs w:val="18"/>
        </w:rPr>
      </w:pPr>
      <w:r w:rsidRPr="00DC0132">
        <w:rPr>
          <w:rStyle w:val="FootnoteReference"/>
          <w:sz w:val="18"/>
          <w:szCs w:val="18"/>
          <w:vertAlign w:val="baseline"/>
        </w:rPr>
        <w:footnoteRef/>
      </w:r>
      <w:r>
        <w:rPr>
          <w:sz w:val="18"/>
          <w:szCs w:val="18"/>
        </w:rPr>
        <w:t xml:space="preserve">.Mr. Liu Zhenmin Under Secretary-General for Economic and Social Affairs. </w:t>
      </w:r>
      <w:r w:rsidRPr="00DC0132">
        <w:rPr>
          <w:sz w:val="18"/>
          <w:szCs w:val="18"/>
        </w:rPr>
        <w:t>Implementing the 2030 Agenda for resilient societies: Introduction of Secretary-General progress report on the SDGs High-Level Political Forum</w:t>
      </w:r>
      <w:r>
        <w:rPr>
          <w:sz w:val="18"/>
          <w:szCs w:val="18"/>
        </w:rPr>
        <w:t xml:space="preserve">. </w:t>
      </w:r>
      <w:hyperlink r:id="rId1" w:history="1">
        <w:r w:rsidRPr="00933D6B">
          <w:rPr>
            <w:rStyle w:val="Hyperlink"/>
            <w:sz w:val="18"/>
            <w:szCs w:val="18"/>
          </w:rPr>
          <w:t>https://sustainabledevelopment.un.org/content/documents/27325mrliuusg.pdf</w:t>
        </w:r>
      </w:hyperlink>
    </w:p>
  </w:footnote>
  <w:footnote w:id="2">
    <w:p w14:paraId="54BD9176"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Albania Voluntary National Review on Sustainable Development Goals. </w:t>
      </w:r>
      <w:hyperlink r:id="rId2" w:history="1">
        <w:r w:rsidRPr="00EC3877">
          <w:rPr>
            <w:rStyle w:val="Hyperlink"/>
            <w:sz w:val="18"/>
            <w:szCs w:val="18"/>
          </w:rPr>
          <w:t>https://sustainabledevelopment.un.org/content/documents/20257ALBANIA_VNR_2018_FINAL2.pdf</w:t>
        </w:r>
      </w:hyperlink>
    </w:p>
  </w:footnote>
  <w:footnote w:id="3">
    <w:p w14:paraId="07823569"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INSTAT 2012. Living Standard Measurement Survey, LSMS.</w:t>
      </w:r>
    </w:p>
  </w:footnote>
  <w:footnote w:id="4">
    <w:p w14:paraId="2947B2F2" w14:textId="77777777" w:rsidR="00C4148C" w:rsidRDefault="00C4148C">
      <w:pPr>
        <w:pStyle w:val="FootnoteText"/>
      </w:pPr>
      <w:r w:rsidRPr="00EC3877">
        <w:rPr>
          <w:rStyle w:val="FootnoteReference"/>
          <w:sz w:val="18"/>
          <w:szCs w:val="18"/>
          <w:vertAlign w:val="baseline"/>
        </w:rPr>
        <w:footnoteRef/>
      </w:r>
      <w:r w:rsidRPr="00EC3877">
        <w:rPr>
          <w:sz w:val="18"/>
          <w:szCs w:val="18"/>
        </w:rPr>
        <w:t>. Ministry of Education and Sports 2012. School Drop-Out Action Plan, as quoted in the report Implementation of the Action Plan for Children 2012–2015 (MSWY).</w:t>
      </w:r>
    </w:p>
  </w:footnote>
  <w:footnote w:id="5">
    <w:p w14:paraId="3EA8B16D"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ISOP 2016. Facing the challenges of inclusive education. UNICEF Albania.</w:t>
      </w:r>
    </w:p>
  </w:footnote>
  <w:footnote w:id="6">
    <w:p w14:paraId="68AB6F52"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Albanian Demographic Health Survey 2008–2009, p. 117: </w:t>
      </w:r>
      <w:hyperlink r:id="rId3" w:history="1">
        <w:r w:rsidRPr="00EC3877">
          <w:rPr>
            <w:rStyle w:val="Hyperlink"/>
            <w:sz w:val="18"/>
            <w:szCs w:val="18"/>
          </w:rPr>
          <w:t>https://dhsprogram.com/pubs/pdf/FR230/FR230.pdf</w:t>
        </w:r>
      </w:hyperlink>
    </w:p>
  </w:footnote>
  <w:footnote w:id="7">
    <w:p w14:paraId="13DA9CFF"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Order of Minister of Health, No. 529, date 1.12.2016, Strategic Document and Action Plan on Sexual and Reproductive Health 2017–2021.</w:t>
      </w:r>
    </w:p>
  </w:footnote>
  <w:footnote w:id="8">
    <w:p w14:paraId="44C58DF2" w14:textId="77777777" w:rsidR="00C4148C" w:rsidRDefault="00C4148C">
      <w:pPr>
        <w:pStyle w:val="FootnoteText"/>
      </w:pPr>
      <w:r w:rsidRPr="00EC3877">
        <w:rPr>
          <w:rStyle w:val="FootnoteReference"/>
          <w:sz w:val="18"/>
          <w:szCs w:val="18"/>
          <w:vertAlign w:val="baseline"/>
        </w:rPr>
        <w:footnoteRef/>
      </w:r>
      <w:r w:rsidRPr="00EC3877">
        <w:rPr>
          <w:sz w:val="18"/>
          <w:szCs w:val="18"/>
        </w:rPr>
        <w:t xml:space="preserve">. State Social Services Annual Report 2016, </w:t>
      </w:r>
      <w:hyperlink r:id="rId4" w:history="1">
        <w:r w:rsidRPr="00EC3877">
          <w:rPr>
            <w:rStyle w:val="Hyperlink"/>
            <w:sz w:val="18"/>
            <w:szCs w:val="18"/>
          </w:rPr>
          <w:t>http://www.sherbimisocial.gov.al/raporte/</w:t>
        </w:r>
      </w:hyperlink>
    </w:p>
  </w:footnote>
  <w:footnote w:id="9">
    <w:p w14:paraId="69E3564D"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Social Housing Strategy 2016–2025, approved by government in June 2016.</w:t>
      </w:r>
    </w:p>
  </w:footnote>
  <w:footnote w:id="10">
    <w:p w14:paraId="5172BC8F"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Albanian Demographic Health Survey 2008–2009, p. 117: </w:t>
      </w:r>
      <w:hyperlink r:id="rId5" w:history="1">
        <w:r w:rsidRPr="00EC3877">
          <w:rPr>
            <w:rStyle w:val="Hyperlink"/>
            <w:sz w:val="18"/>
            <w:szCs w:val="18"/>
          </w:rPr>
          <w:t>https://dhsprogram.com/pubs/pdf/FR230/FR230.pdf</w:t>
        </w:r>
      </w:hyperlink>
    </w:p>
  </w:footnote>
  <w:footnote w:id="11">
    <w:p w14:paraId="39B8AC11"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Institute of Public Health, 2014. National Health Report: Health Status of the Albanian Population. p. 68 (Data refer to Global Burden of Disease 2010.): </w:t>
      </w:r>
      <w:hyperlink r:id="rId6" w:history="1">
        <w:r w:rsidRPr="00EC3877">
          <w:rPr>
            <w:rStyle w:val="Hyperlink"/>
            <w:sz w:val="18"/>
            <w:szCs w:val="18"/>
          </w:rPr>
          <w:t>http://ishp.gov.al/wp-content/uploads/2015/04/Health-report-English-version.pdf</w:t>
        </w:r>
      </w:hyperlink>
    </w:p>
  </w:footnote>
  <w:footnote w:id="12">
    <w:p w14:paraId="7CADD426" w14:textId="77777777" w:rsidR="00C4148C" w:rsidRDefault="00C4148C">
      <w:pPr>
        <w:pStyle w:val="FootnoteText"/>
      </w:pPr>
      <w:r w:rsidRPr="00EC3877">
        <w:rPr>
          <w:rStyle w:val="FootnoteReference"/>
          <w:sz w:val="18"/>
          <w:szCs w:val="18"/>
          <w:vertAlign w:val="baseline"/>
        </w:rPr>
        <w:footnoteRef/>
      </w:r>
      <w:r w:rsidRPr="00EC3877">
        <w:rPr>
          <w:sz w:val="18"/>
          <w:szCs w:val="18"/>
        </w:rPr>
        <w:t xml:space="preserve"> . According to World Bank analysis: </w:t>
      </w:r>
      <w:hyperlink r:id="rId7" w:history="1">
        <w:r w:rsidRPr="00EC3877">
          <w:rPr>
            <w:rStyle w:val="Hyperlink"/>
            <w:sz w:val="18"/>
            <w:szCs w:val="18"/>
          </w:rPr>
          <w:t>http://pubdocs.worldbank.org/pubdocs/public doc/2015/10/628841445980891015/Albania-Snapshot.pdf</w:t>
        </w:r>
      </w:hyperlink>
    </w:p>
  </w:footnote>
  <w:footnote w:id="13">
    <w:p w14:paraId="33B0BD0D" w14:textId="77777777" w:rsidR="00C4148C" w:rsidRPr="00EC3877" w:rsidRDefault="00C4148C" w:rsidP="00D6302A">
      <w:pPr>
        <w:pStyle w:val="Heading1"/>
        <w:rPr>
          <w:sz w:val="18"/>
          <w:szCs w:val="18"/>
        </w:rPr>
      </w:pPr>
      <w:r w:rsidRPr="00EC3877">
        <w:rPr>
          <w:b w:val="0"/>
          <w:color w:val="auto"/>
          <w:sz w:val="18"/>
          <w:szCs w:val="18"/>
        </w:rPr>
        <w:footnoteRef/>
      </w:r>
      <w:r w:rsidRPr="00EC3877">
        <w:rPr>
          <w:b w:val="0"/>
          <w:color w:val="auto"/>
          <w:sz w:val="18"/>
          <w:szCs w:val="18"/>
        </w:rPr>
        <w:t xml:space="preserve">. Australia’s Report on the Implementation of the Sustainable Development Goals 2018. </w:t>
      </w:r>
      <w:hyperlink r:id="rId8" w:history="1">
        <w:r w:rsidRPr="00EC3877">
          <w:rPr>
            <w:rStyle w:val="Hyperlink"/>
            <w:b w:val="0"/>
            <w:sz w:val="18"/>
            <w:szCs w:val="18"/>
          </w:rPr>
          <w:t>https://sustainabledevelopment.un.org/content/documents/20470VNR_final_approved_version.pdf</w:t>
        </w:r>
      </w:hyperlink>
    </w:p>
  </w:footnote>
  <w:footnote w:id="14">
    <w:p w14:paraId="1E517052" w14:textId="77777777" w:rsidR="00C4148C" w:rsidRPr="00EC3877" w:rsidRDefault="00C4148C">
      <w:pPr>
        <w:pStyle w:val="FootnoteText"/>
        <w:rPr>
          <w:sz w:val="18"/>
          <w:szCs w:val="18"/>
        </w:rPr>
      </w:pPr>
      <w:r w:rsidRPr="00EC3877">
        <w:rPr>
          <w:rStyle w:val="FootnoteReference"/>
          <w:sz w:val="18"/>
          <w:szCs w:val="18"/>
          <w:vertAlign w:val="baseline"/>
        </w:rPr>
        <w:footnoteRef/>
      </w:r>
      <w:r>
        <w:rPr>
          <w:sz w:val="18"/>
          <w:szCs w:val="18"/>
        </w:rPr>
        <w:t>.</w:t>
      </w:r>
      <w:r w:rsidRPr="00EC3877">
        <w:rPr>
          <w:sz w:val="18"/>
          <w:szCs w:val="18"/>
        </w:rPr>
        <w:t xml:space="preserve"> Australian Volunteers for International Development (AVID) program concluded on 31 December 2017 and was replaced by the new Australian Volunteers program.</w:t>
      </w:r>
    </w:p>
  </w:footnote>
  <w:footnote w:id="15">
    <w:p w14:paraId="354EB00A"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Australian Bureau of Statistics 4906.0, Personal Safety, Australia, 2016.</w:t>
      </w:r>
    </w:p>
  </w:footnote>
  <w:footnote w:id="16">
    <w:p w14:paraId="26C43697"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Bahrain 2030. </w:t>
      </w:r>
      <w:hyperlink r:id="rId9" w:history="1">
        <w:r w:rsidRPr="00EC3877">
          <w:rPr>
            <w:rStyle w:val="Hyperlink"/>
            <w:sz w:val="18"/>
            <w:szCs w:val="18"/>
          </w:rPr>
          <w:t>https://sustainabledevelopment.un.org/content/documents/19354Bahrain_Key_Messages_Final_arabic_and_english.pdf</w:t>
        </w:r>
      </w:hyperlink>
    </w:p>
  </w:footnote>
  <w:footnote w:id="17">
    <w:p w14:paraId="506F1938"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Bhutan’s Main Message for Voluntary National Review 2018 </w:t>
      </w:r>
      <w:hyperlink r:id="rId10" w:history="1">
        <w:r w:rsidRPr="00EC3877">
          <w:rPr>
            <w:rStyle w:val="Hyperlink"/>
            <w:sz w:val="18"/>
            <w:szCs w:val="18"/>
          </w:rPr>
          <w:t>https://sustainabledevelopment.un.org/content/documents/19025BHUTANVNR_highlights_Final.pdf</w:t>
        </w:r>
      </w:hyperlink>
    </w:p>
  </w:footnote>
  <w:footnote w:id="18">
    <w:p w14:paraId="5127556E" w14:textId="77777777" w:rsidR="00C4148C" w:rsidRDefault="00C4148C" w:rsidP="00F77C4C">
      <w:pPr>
        <w:pStyle w:val="FootnoteText"/>
      </w:pPr>
      <w:r w:rsidRPr="00EC3877">
        <w:rPr>
          <w:rStyle w:val="FootnoteReference"/>
          <w:sz w:val="18"/>
          <w:szCs w:val="18"/>
          <w:vertAlign w:val="baseline"/>
        </w:rPr>
        <w:footnoteRef/>
      </w:r>
      <w:r w:rsidRPr="00EC3877">
        <w:rPr>
          <w:sz w:val="18"/>
          <w:szCs w:val="18"/>
        </w:rPr>
        <w:t xml:space="preserve">. Bhutan’s Voluntary National Review Report on the Implementation of the 2030 Agenda for Sustainable Development </w:t>
      </w:r>
      <w:hyperlink r:id="rId11" w:history="1">
        <w:r w:rsidRPr="00EC3877">
          <w:rPr>
            <w:rStyle w:val="Hyperlink"/>
            <w:sz w:val="18"/>
            <w:szCs w:val="18"/>
          </w:rPr>
          <w:t>https://sustainabledevelopment.un.org/content/documents/19369Bhutan_NSDGR_Bhutan_2018.pdf</w:t>
        </w:r>
      </w:hyperlink>
    </w:p>
  </w:footnote>
  <w:footnote w:id="19">
    <w:p w14:paraId="6D053FDD" w14:textId="77777777" w:rsidR="00C4148C" w:rsidRPr="00EC3877" w:rsidRDefault="00C4148C" w:rsidP="00F77C4C">
      <w:pPr>
        <w:pStyle w:val="FootnoteText"/>
        <w:rPr>
          <w:sz w:val="18"/>
          <w:szCs w:val="18"/>
        </w:rPr>
      </w:pPr>
      <w:r w:rsidRPr="00EC3877">
        <w:rPr>
          <w:rStyle w:val="FootnoteReference"/>
          <w:sz w:val="18"/>
          <w:szCs w:val="18"/>
          <w:vertAlign w:val="baseline"/>
        </w:rPr>
        <w:footnoteRef/>
      </w:r>
      <w:r w:rsidRPr="00EC3877">
        <w:rPr>
          <w:sz w:val="18"/>
          <w:szCs w:val="18"/>
        </w:rPr>
        <w:t xml:space="preserve">. </w:t>
      </w:r>
      <w:r w:rsidRPr="00EC3877">
        <w:rPr>
          <w:rFonts w:cs="Times New Roman"/>
          <w:color w:val="222222"/>
          <w:sz w:val="18"/>
          <w:szCs w:val="18"/>
        </w:rPr>
        <w:t>Cabo Verde</w:t>
      </w:r>
      <w:r w:rsidRPr="00EC3877">
        <w:rPr>
          <w:sz w:val="18"/>
          <w:szCs w:val="18"/>
        </w:rPr>
        <w:t xml:space="preserve"> Voluntary National Report on the Implementation of the 2030 Agenda for Sustainable Development. </w:t>
      </w:r>
      <w:hyperlink r:id="rId12" w:history="1">
        <w:r w:rsidRPr="00EC3877">
          <w:rPr>
            <w:rStyle w:val="Hyperlink"/>
            <w:sz w:val="18"/>
            <w:szCs w:val="18"/>
          </w:rPr>
          <w:t>https://sustainabledevelopment.un.org/content/documents/19580Cabo_Verde_VNR_SDG_Cabo_Verde_2018_ING_final_NU_280618.pdf</w:t>
        </w:r>
      </w:hyperlink>
    </w:p>
  </w:footnote>
  <w:footnote w:id="20">
    <w:p w14:paraId="7D6FF87E" w14:textId="77777777" w:rsidR="00C4148C" w:rsidRPr="00EC3877" w:rsidRDefault="00C4148C">
      <w:pPr>
        <w:pStyle w:val="FootnoteText"/>
        <w:rPr>
          <w:sz w:val="18"/>
          <w:szCs w:val="18"/>
        </w:rPr>
      </w:pPr>
      <w:r w:rsidRPr="00EC3877">
        <w:rPr>
          <w:rStyle w:val="FootnoteReference"/>
          <w:sz w:val="18"/>
          <w:szCs w:val="18"/>
          <w:vertAlign w:val="baseline"/>
        </w:rPr>
        <w:footnoteRef/>
      </w:r>
      <w:r w:rsidRPr="00EC3877">
        <w:rPr>
          <w:sz w:val="18"/>
          <w:szCs w:val="18"/>
        </w:rPr>
        <w:t xml:space="preserve">. Egypt’s Voluntary National Review 2018 </w:t>
      </w:r>
      <w:hyperlink r:id="rId13" w:history="1">
        <w:r w:rsidRPr="00EC3877">
          <w:rPr>
            <w:rStyle w:val="Hyperlink"/>
            <w:sz w:val="18"/>
            <w:szCs w:val="18"/>
          </w:rPr>
          <w:t>https://sustainabledevelopment.un.org/content/documents/20269EGY_VNR_2018_final_with_Hyperlink_9720185b45d.pdf</w:t>
        </w:r>
      </w:hyperlink>
    </w:p>
  </w:footnote>
  <w:footnote w:id="21">
    <w:p w14:paraId="4B9CF9AD" w14:textId="77777777" w:rsidR="00C4148C" w:rsidRPr="00D24501" w:rsidRDefault="00C4148C" w:rsidP="003D31E8">
      <w:pPr>
        <w:pStyle w:val="FootnoteText"/>
        <w:rPr>
          <w:sz w:val="18"/>
          <w:szCs w:val="18"/>
        </w:rPr>
      </w:pPr>
      <w:r w:rsidRPr="00D24501">
        <w:rPr>
          <w:rStyle w:val="FootnoteReference"/>
          <w:sz w:val="18"/>
          <w:szCs w:val="18"/>
          <w:vertAlign w:val="baseline"/>
        </w:rPr>
        <w:footnoteRef/>
      </w:r>
      <w:r w:rsidRPr="00D24501">
        <w:rPr>
          <w:sz w:val="18"/>
          <w:szCs w:val="18"/>
        </w:rPr>
        <w:t xml:space="preserve">. Hellenic Republic Voluntary National Review on the Implementation of the 2030 Agenda for Sustainable Development GREECE  JULY 2018 </w:t>
      </w:r>
      <w:hyperlink r:id="rId14" w:history="1">
        <w:r w:rsidRPr="00D24501">
          <w:rPr>
            <w:rStyle w:val="Hyperlink"/>
            <w:sz w:val="18"/>
            <w:szCs w:val="18"/>
          </w:rPr>
          <w:t>https://sustainabledevelopment.un.org/content/documents/19378Greece_VNR_Greece_2018_pdf_FINAL_140618.pdf</w:t>
        </w:r>
      </w:hyperlink>
    </w:p>
  </w:footnote>
  <w:footnote w:id="22">
    <w:p w14:paraId="60233E15"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Ireland: Voluntary National Review 2018 Report on the Implementation of the 2030 Agenda to the UN High-level Political Forum on Sustainable Development. </w:t>
      </w:r>
      <w:hyperlink r:id="rId15" w:history="1">
        <w:r w:rsidRPr="00D24501">
          <w:rPr>
            <w:rStyle w:val="Hyperlink"/>
            <w:sz w:val="18"/>
            <w:szCs w:val="18"/>
          </w:rPr>
          <w:t>https://sustainabledevelopment.un.org/content/documents/19382Ireland_Voluntary_National_Review_2018.pdf</w:t>
        </w:r>
      </w:hyperlink>
    </w:p>
  </w:footnote>
  <w:footnote w:id="23">
    <w:p w14:paraId="43119C79"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Jamaica voluntary national review on the implementation of the 2030 Agenda for Sustainable Development June 2018. </w:t>
      </w:r>
      <w:hyperlink r:id="rId16" w:history="1">
        <w:r w:rsidRPr="00D24501">
          <w:rPr>
            <w:rStyle w:val="Hyperlink"/>
            <w:sz w:val="18"/>
            <w:szCs w:val="18"/>
          </w:rPr>
          <w:t>https://sustainabledevelopment.un.org/content/documents/19499JamaicaMain_VNR_Report.pdf</w:t>
        </w:r>
      </w:hyperlink>
    </w:p>
  </w:footnote>
  <w:footnote w:id="24">
    <w:p w14:paraId="15AC9691"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Lao People’s Democratic Republic: Voluntary National Review on the Implementation of the 2030 Agenda for Sustainable Development. </w:t>
      </w:r>
      <w:hyperlink r:id="rId17" w:history="1">
        <w:r w:rsidRPr="00D24501">
          <w:rPr>
            <w:rStyle w:val="Hyperlink"/>
            <w:sz w:val="18"/>
            <w:szCs w:val="18"/>
          </w:rPr>
          <w:t>https://sustainabledevelopment.un.org/content/documents/19385Lao_Final_VNR_19_June_2018_web.pdf</w:t>
        </w:r>
      </w:hyperlink>
    </w:p>
  </w:footnote>
  <w:footnote w:id="25">
    <w:p w14:paraId="1918EC87"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Latvia Implementation of the Sustainable Development Goals. </w:t>
      </w:r>
      <w:hyperlink r:id="rId18" w:history="1">
        <w:r w:rsidRPr="00D24501">
          <w:rPr>
            <w:rStyle w:val="Hyperlink"/>
            <w:sz w:val="18"/>
            <w:szCs w:val="18"/>
          </w:rPr>
          <w:t>https://sustainabledevelopment.un.org/content/documents/19388Latvia_Implementation_of_the_SDGs.pdf</w:t>
        </w:r>
      </w:hyperlink>
    </w:p>
  </w:footnote>
  <w:footnote w:id="26">
    <w:p w14:paraId="6C36C531"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Lebanon Voluntary National Review of Sustainable Development Goals, 2018. </w:t>
      </w:r>
      <w:hyperlink r:id="rId19" w:history="1">
        <w:r w:rsidRPr="00D24501">
          <w:rPr>
            <w:rStyle w:val="Hyperlink"/>
            <w:sz w:val="18"/>
            <w:szCs w:val="18"/>
          </w:rPr>
          <w:t>https://sustainabledevelopment.un.org/content/documents/19624LebanonVNR2018.pdf</w:t>
        </w:r>
      </w:hyperlink>
    </w:p>
  </w:footnote>
  <w:footnote w:id="27">
    <w:p w14:paraId="0C37D3F4" w14:textId="77777777" w:rsidR="00C4148C" w:rsidRDefault="00C4148C">
      <w:pPr>
        <w:pStyle w:val="FootnoteText"/>
      </w:pPr>
      <w:r w:rsidRPr="00D24501">
        <w:rPr>
          <w:rStyle w:val="FootnoteReference"/>
          <w:sz w:val="18"/>
          <w:szCs w:val="18"/>
          <w:vertAlign w:val="baseline"/>
        </w:rPr>
        <w:footnoteRef/>
      </w:r>
      <w:r w:rsidRPr="00D24501">
        <w:rPr>
          <w:sz w:val="18"/>
          <w:szCs w:val="18"/>
        </w:rPr>
        <w:t xml:space="preserve">. Voluntary National Review on the Implementation of the UN 2030 Agenda for Sustainable Development in Lithuania. </w:t>
      </w:r>
      <w:hyperlink r:id="rId20" w:history="1">
        <w:r w:rsidRPr="00D24501">
          <w:rPr>
            <w:rStyle w:val="Hyperlink"/>
            <w:sz w:val="18"/>
            <w:szCs w:val="18"/>
          </w:rPr>
          <w:t>https://sustainabledevelopment.un.org/content/documents/19673VNR_Lithuania_EN_updated.pdf</w:t>
        </w:r>
      </w:hyperlink>
    </w:p>
  </w:footnote>
  <w:footnote w:id="28">
    <w:p w14:paraId="54CAE186"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Key Messages from Namibia’s Voluntary National Review. </w:t>
      </w:r>
      <w:hyperlink r:id="rId21" w:history="1">
        <w:r w:rsidRPr="00D24501">
          <w:rPr>
            <w:rStyle w:val="Hyperlink"/>
            <w:sz w:val="18"/>
            <w:szCs w:val="18"/>
          </w:rPr>
          <w:t>https://sustainabledevelopment.un.org/content/documents/19334Namibia_Key_Messages_for_VNR_final_may_17th_2018.pdf</w:t>
        </w:r>
      </w:hyperlink>
    </w:p>
  </w:footnote>
  <w:footnote w:id="29">
    <w:p w14:paraId="063AC021" w14:textId="77777777" w:rsidR="00C4148C" w:rsidRDefault="00C4148C" w:rsidP="00C420CB">
      <w:pPr>
        <w:pStyle w:val="FootnoteText"/>
      </w:pPr>
      <w:r w:rsidRPr="00D24501">
        <w:rPr>
          <w:rStyle w:val="FootnoteReference"/>
          <w:sz w:val="18"/>
          <w:szCs w:val="18"/>
          <w:vertAlign w:val="baseline"/>
        </w:rPr>
        <w:footnoteRef/>
      </w:r>
      <w:r w:rsidRPr="00D24501">
        <w:rPr>
          <w:sz w:val="18"/>
          <w:szCs w:val="18"/>
        </w:rPr>
        <w:t xml:space="preserve">. Namibia’s Implementation of Sustainable Development Goals voluntary national review </w:t>
      </w:r>
      <w:hyperlink r:id="rId22" w:history="1">
        <w:r w:rsidRPr="00D24501">
          <w:rPr>
            <w:rStyle w:val="Hyperlink"/>
            <w:sz w:val="18"/>
            <w:szCs w:val="18"/>
          </w:rPr>
          <w:t>https://sustainabledevelopment.un.org/content/documents/19880New_Version_Full_Voluntary_National_Review_2018_single_1_Report.pdf</w:t>
        </w:r>
      </w:hyperlink>
    </w:p>
  </w:footnote>
  <w:footnote w:id="30">
    <w:p w14:paraId="16E95B6D" w14:textId="77777777" w:rsidR="00C4148C" w:rsidRPr="00D24501" w:rsidRDefault="00C4148C" w:rsidP="00C420CB">
      <w:pPr>
        <w:pStyle w:val="FootnoteText"/>
        <w:rPr>
          <w:sz w:val="18"/>
          <w:szCs w:val="18"/>
        </w:rPr>
      </w:pPr>
      <w:r w:rsidRPr="00D24501">
        <w:rPr>
          <w:rStyle w:val="FootnoteReference"/>
          <w:sz w:val="18"/>
          <w:szCs w:val="18"/>
          <w:vertAlign w:val="baseline"/>
        </w:rPr>
        <w:footnoteRef/>
      </w:r>
      <w:r w:rsidRPr="00D24501">
        <w:rPr>
          <w:sz w:val="18"/>
          <w:szCs w:val="18"/>
        </w:rPr>
        <w:t xml:space="preserve">. Implementation of the Sustainable Development Goals in Poland 2018 National Report. </w:t>
      </w:r>
      <w:hyperlink r:id="rId23" w:history="1">
        <w:r w:rsidRPr="00D24501">
          <w:rPr>
            <w:rStyle w:val="Hyperlink"/>
            <w:sz w:val="18"/>
            <w:szCs w:val="18"/>
          </w:rPr>
          <w:t>https://sustainabledevelopment.un.org/content/documents/19409Poland_VNR_20180615.pdf</w:t>
        </w:r>
      </w:hyperlink>
    </w:p>
  </w:footnote>
  <w:footnote w:id="31">
    <w:p w14:paraId="1165293C"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Qatar 2nd National Voluntary Review on the Implementation of the Sustainable Development Agenda, 2030 Six Development Messages from the State of Qatar 2018 </w:t>
      </w:r>
      <w:hyperlink r:id="rId24" w:history="1">
        <w:r w:rsidRPr="00D24501">
          <w:rPr>
            <w:rStyle w:val="Hyperlink"/>
            <w:sz w:val="18"/>
            <w:szCs w:val="18"/>
          </w:rPr>
          <w:t>https://sustainabledevelopment.un.org/content/documents/191742nd_National_Voluntary_Review_EN_Draft_11_landscape.pdf</w:t>
        </w:r>
      </w:hyperlink>
    </w:p>
  </w:footnote>
  <w:footnote w:id="32">
    <w:p w14:paraId="70EBA4F5"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The State of Qatar Second Voluntary National Review, 2018 Submitted to the High Level Political Forum on Sustainable Development New York, 8-19 July 2018. </w:t>
      </w:r>
      <w:hyperlink r:id="rId25" w:history="1">
        <w:r w:rsidRPr="00D24501">
          <w:rPr>
            <w:rStyle w:val="Hyperlink"/>
            <w:sz w:val="18"/>
            <w:szCs w:val="18"/>
          </w:rPr>
          <w:t>https://sustainabledevelopment.un.org/content/documents/20443SDG_Qatar_En_Draft7_Landscape_3.pdf</w:t>
        </w:r>
      </w:hyperlink>
    </w:p>
  </w:footnote>
  <w:footnote w:id="33">
    <w:p w14:paraId="1B2433C2"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Second National Development Strategy 2018-2022 </w:t>
      </w:r>
    </w:p>
  </w:footnote>
  <w:footnote w:id="34">
    <w:p w14:paraId="56E24A8E" w14:textId="77777777" w:rsidR="00C4148C" w:rsidRDefault="00C4148C">
      <w:pPr>
        <w:pStyle w:val="FootnoteText"/>
      </w:pPr>
      <w:r w:rsidRPr="00D24501">
        <w:rPr>
          <w:rStyle w:val="FootnoteReference"/>
          <w:sz w:val="18"/>
          <w:szCs w:val="18"/>
          <w:vertAlign w:val="baseline"/>
        </w:rPr>
        <w:footnoteRef/>
      </w:r>
      <w:r w:rsidRPr="00D24501">
        <w:rPr>
          <w:sz w:val="18"/>
          <w:szCs w:val="18"/>
        </w:rPr>
        <w:t>. Qatar’s Fourth Human Development Report, Ministry of Development Planning and Statistics, 2015</w:t>
      </w:r>
    </w:p>
  </w:footnote>
  <w:footnote w:id="35">
    <w:p w14:paraId="42530273" w14:textId="77777777" w:rsidR="00C4148C" w:rsidRPr="00D24501" w:rsidRDefault="00C4148C">
      <w:pPr>
        <w:pStyle w:val="FootnoteText"/>
        <w:rPr>
          <w:sz w:val="18"/>
          <w:szCs w:val="18"/>
        </w:rPr>
      </w:pPr>
      <w:r w:rsidRPr="00D24501">
        <w:rPr>
          <w:rStyle w:val="FootnoteReference"/>
          <w:sz w:val="18"/>
          <w:szCs w:val="18"/>
        </w:rPr>
        <w:footnoteRef/>
      </w:r>
      <w:r w:rsidRPr="00D24501">
        <w:rPr>
          <w:sz w:val="18"/>
          <w:szCs w:val="18"/>
        </w:rPr>
        <w:t xml:space="preserve">. Qatar Master Urban Plan, The National Framework for Developing the State of Qatar, 2032 </w:t>
      </w:r>
    </w:p>
  </w:footnote>
  <w:footnote w:id="36">
    <w:p w14:paraId="0591DFF4" w14:textId="77777777" w:rsidR="00C4148C" w:rsidRDefault="00C4148C">
      <w:pPr>
        <w:pStyle w:val="FootnoteText"/>
      </w:pPr>
      <w:r w:rsidRPr="00D24501">
        <w:rPr>
          <w:rStyle w:val="FootnoteReference"/>
          <w:sz w:val="18"/>
          <w:szCs w:val="18"/>
        </w:rPr>
        <w:footnoteRef/>
      </w:r>
      <w:r w:rsidRPr="00D24501">
        <w:rPr>
          <w:sz w:val="18"/>
          <w:szCs w:val="18"/>
        </w:rPr>
        <w:t xml:space="preserve">. Romania’s Voluntary National Review 2018. </w:t>
      </w:r>
      <w:hyperlink r:id="rId26" w:history="1">
        <w:r w:rsidRPr="00D24501">
          <w:rPr>
            <w:rStyle w:val="Hyperlink"/>
            <w:sz w:val="18"/>
            <w:szCs w:val="18"/>
          </w:rPr>
          <w:t>https://sustainabledevelopment.un.org/content/documents/19952Voluntary_National_Review_ROMANIA_with_Cover.pdf</w:t>
        </w:r>
      </w:hyperlink>
    </w:p>
  </w:footnote>
  <w:footnote w:id="37">
    <w:p w14:paraId="484955E1"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Towards Saudi Arabia’s Sustainable Tomorrow First Voluntary National Review 2018. </w:t>
      </w:r>
      <w:hyperlink r:id="rId27" w:history="1">
        <w:r w:rsidRPr="00D24501">
          <w:rPr>
            <w:rStyle w:val="Hyperlink"/>
            <w:sz w:val="18"/>
            <w:szCs w:val="18"/>
          </w:rPr>
          <w:t>https://sustainabledevelopment.un.org/content/documents/20230SDGs_English_Report972018_FINAL.pdf</w:t>
        </w:r>
      </w:hyperlink>
    </w:p>
  </w:footnote>
  <w:footnote w:id="38">
    <w:p w14:paraId="40706218" w14:textId="77777777" w:rsidR="00C4148C" w:rsidRDefault="00C4148C" w:rsidP="00B9680A">
      <w:pPr>
        <w:pStyle w:val="FootnoteText"/>
      </w:pPr>
      <w:r w:rsidRPr="00D24501">
        <w:rPr>
          <w:rStyle w:val="FootnoteReference"/>
          <w:sz w:val="18"/>
          <w:szCs w:val="18"/>
          <w:vertAlign w:val="baseline"/>
        </w:rPr>
        <w:footnoteRef/>
      </w:r>
      <w:r w:rsidRPr="00D24501">
        <w:rPr>
          <w:sz w:val="18"/>
          <w:szCs w:val="18"/>
        </w:rPr>
        <w:t xml:space="preserve">. Towards a Sustainable and Resilient Singapore, Singapore’s Voluntary National Review Report to the 2018 UN High Level Political Forum on Sustainable Development. </w:t>
      </w:r>
      <w:hyperlink r:id="rId28" w:history="1">
        <w:r w:rsidRPr="00D24501">
          <w:rPr>
            <w:rStyle w:val="Hyperlink"/>
            <w:sz w:val="18"/>
            <w:szCs w:val="18"/>
          </w:rPr>
          <w:t>https://sustainabledevelopment.un.org/content/documents/19439Singapores_Voluntary_National_Review_Report_v2.pdf</w:t>
        </w:r>
      </w:hyperlink>
      <w:r w:rsidRPr="00D24501">
        <w:rPr>
          <w:sz w:val="18"/>
          <w:szCs w:val="18"/>
        </w:rPr>
        <w:t>.</w:t>
      </w:r>
    </w:p>
  </w:footnote>
  <w:footnote w:id="39">
    <w:p w14:paraId="327005E4"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Spain’s Report for the 2018 Voluntary National Review. </w:t>
      </w:r>
      <w:hyperlink r:id="rId29" w:history="1">
        <w:r w:rsidRPr="00D24501">
          <w:rPr>
            <w:rStyle w:val="Hyperlink"/>
            <w:sz w:val="18"/>
            <w:szCs w:val="18"/>
          </w:rPr>
          <w:t>https://sustainabledevelopment.un.org/content/documents/203295182018_VNR_Report_Spain_EN_ddghpbrgsp.pdf</w:t>
        </w:r>
      </w:hyperlink>
    </w:p>
  </w:footnote>
  <w:footnote w:id="40">
    <w:p w14:paraId="0E9EC722"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Sri Lanka Voluntary National Review on the Status of Implementing Sustainable Development Goals </w:t>
      </w:r>
      <w:hyperlink r:id="rId30" w:history="1">
        <w:r w:rsidRPr="00D24501">
          <w:rPr>
            <w:rStyle w:val="Hyperlink"/>
            <w:sz w:val="18"/>
            <w:szCs w:val="18"/>
          </w:rPr>
          <w:t>https://sustainabledevelopment.un.org/content/documents/19677FINAL_SriLankaVNR_Report_30Jun2018.pdf</w:t>
        </w:r>
      </w:hyperlink>
    </w:p>
  </w:footnote>
  <w:footnote w:id="41">
    <w:p w14:paraId="7C4A2BE1" w14:textId="77777777" w:rsidR="00C4148C" w:rsidRPr="00D24501" w:rsidRDefault="00C4148C" w:rsidP="003F37C1">
      <w:pPr>
        <w:pStyle w:val="FootnoteText"/>
        <w:rPr>
          <w:sz w:val="18"/>
          <w:szCs w:val="18"/>
        </w:rPr>
      </w:pPr>
      <w:r w:rsidRPr="00D24501">
        <w:rPr>
          <w:rStyle w:val="FootnoteReference"/>
          <w:sz w:val="18"/>
          <w:szCs w:val="18"/>
          <w:vertAlign w:val="baseline"/>
        </w:rPr>
        <w:footnoteRef/>
      </w:r>
      <w:r w:rsidRPr="00D24501">
        <w:rPr>
          <w:sz w:val="18"/>
          <w:szCs w:val="18"/>
        </w:rPr>
        <w:t xml:space="preserve">. Palestinian National Voluntary Review on the Implementation of the 2030 Agenda. June 2018. </w:t>
      </w:r>
      <w:hyperlink r:id="rId31" w:history="1">
        <w:r w:rsidRPr="00D24501">
          <w:rPr>
            <w:rStyle w:val="Hyperlink"/>
            <w:sz w:val="18"/>
            <w:szCs w:val="18"/>
          </w:rPr>
          <w:t>https://sustainabledevelopment.un.org/content/documents/20024VNR2018PalestineNEWYORK.pdf</w:t>
        </w:r>
      </w:hyperlink>
    </w:p>
  </w:footnote>
  <w:footnote w:id="42">
    <w:p w14:paraId="44825059" w14:textId="77777777" w:rsidR="00C4148C" w:rsidRDefault="00C4148C">
      <w:pPr>
        <w:pStyle w:val="FootnoteText"/>
      </w:pPr>
      <w:r w:rsidRPr="00D24501">
        <w:rPr>
          <w:rStyle w:val="FootnoteReference"/>
          <w:sz w:val="18"/>
          <w:szCs w:val="18"/>
          <w:vertAlign w:val="baseline"/>
        </w:rPr>
        <w:footnoteRef/>
      </w:r>
      <w:r w:rsidRPr="00D24501">
        <w:rPr>
          <w:sz w:val="18"/>
          <w:szCs w:val="18"/>
        </w:rPr>
        <w:t>. Preliminary Report of the State of Palestine on the Convention on Persons with Disabilities, 2018</w:t>
      </w:r>
    </w:p>
  </w:footnote>
  <w:footnote w:id="43">
    <w:p w14:paraId="565138AD"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Ministry of Education and Higher Education, 2017, educational databases for schools and kindergartens for the academic year 2015/2016. Ramallah – Palestine </w:t>
      </w:r>
    </w:p>
  </w:footnote>
  <w:footnote w:id="44">
    <w:p w14:paraId="04F83698"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UNESCO, UNICEF, Ministry of Education and Higher Education, 2017. National Report on the situation of children outside school 2017 </w:t>
      </w:r>
    </w:p>
  </w:footnote>
  <w:footnote w:id="45">
    <w:p w14:paraId="41530E5B"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Palestinian Central Bureau of Statistics 2018. Census of Population and Housing Census 2017 </w:t>
      </w:r>
    </w:p>
  </w:footnote>
  <w:footnote w:id="46">
    <w:p w14:paraId="2A5A882F"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Ministry of Education and Higher Education, 2016. Annual report for follow up and evaluation 2015</w:t>
      </w:r>
    </w:p>
  </w:footnote>
  <w:footnote w:id="47">
    <w:p w14:paraId="6E2745B8"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UNDP/PAPP Research Paper: Poverty (2015)</w:t>
      </w:r>
    </w:p>
  </w:footnote>
  <w:footnote w:id="48">
    <w:p w14:paraId="73AA8B18" w14:textId="77777777" w:rsidR="00C4148C" w:rsidRDefault="00C4148C">
      <w:pPr>
        <w:pStyle w:val="FootnoteText"/>
      </w:pPr>
      <w:r w:rsidRPr="00D24501">
        <w:rPr>
          <w:rStyle w:val="FootnoteReference"/>
          <w:sz w:val="18"/>
          <w:szCs w:val="18"/>
          <w:vertAlign w:val="baseline"/>
        </w:rPr>
        <w:footnoteRef/>
      </w:r>
      <w:r w:rsidRPr="00D24501">
        <w:rPr>
          <w:sz w:val="18"/>
          <w:szCs w:val="18"/>
        </w:rPr>
        <w:t>. Ministry of Education and Higher Education, 2018. Bayat School for Girls, 2016/2017.</w:t>
      </w:r>
    </w:p>
  </w:footnote>
  <w:footnote w:id="49">
    <w:p w14:paraId="70A6FD3E"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Palestinian Central Bureau of Statistics, 2018. Labor Force Survey: Annual Report, 2017. Ramallah – Palestine </w:t>
      </w:r>
    </w:p>
  </w:footnote>
  <w:footnote w:id="50">
    <w:p w14:paraId="514E3885" w14:textId="77777777" w:rsidR="00C4148C" w:rsidRDefault="00C4148C">
      <w:pPr>
        <w:pStyle w:val="FootnoteText"/>
      </w:pPr>
      <w:r w:rsidRPr="00D24501">
        <w:rPr>
          <w:rStyle w:val="FootnoteReference"/>
          <w:sz w:val="18"/>
          <w:szCs w:val="18"/>
          <w:vertAlign w:val="baseline"/>
        </w:rPr>
        <w:footnoteRef/>
      </w:r>
      <w:r w:rsidRPr="00D24501">
        <w:rPr>
          <w:sz w:val="18"/>
          <w:szCs w:val="18"/>
        </w:rPr>
        <w:t xml:space="preserve">. UAE and the 2030 Agenda for Sustainable Development Excellence in Implementation </w:t>
      </w:r>
      <w:hyperlink r:id="rId32" w:history="1">
        <w:r w:rsidRPr="00D24501">
          <w:rPr>
            <w:rStyle w:val="Hyperlink"/>
            <w:sz w:val="18"/>
            <w:szCs w:val="18"/>
          </w:rPr>
          <w:t>https://sustainabledevelopment.un.org/content/documents/20161UAE_SDGs_Report_Full_English.pdf</w:t>
        </w:r>
      </w:hyperlink>
    </w:p>
  </w:footnote>
  <w:footnote w:id="51">
    <w:p w14:paraId="40DB300A"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xml:space="preserve">. Viet Nam’s Voluntary National Review on the Implementation of the Sustainable Development Goals. </w:t>
      </w:r>
      <w:hyperlink r:id="rId33" w:history="1">
        <w:r w:rsidRPr="00D24501">
          <w:rPr>
            <w:rStyle w:val="Hyperlink"/>
            <w:sz w:val="18"/>
            <w:szCs w:val="18"/>
          </w:rPr>
          <w:t>https://sustainabledevelopment.un.org/content/documents/19967VNR_of_Viet_Nam.pdf</w:t>
        </w:r>
      </w:hyperlink>
    </w:p>
  </w:footnote>
  <w:footnote w:id="52">
    <w:p w14:paraId="33CED4C9"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Ministry of Labour, Invalids, and Social Affairs (MOLISA), Unicef, 2017, draft report on situation analysis of children in Viet Nam.</w:t>
      </w:r>
    </w:p>
  </w:footnote>
  <w:footnote w:id="53">
    <w:p w14:paraId="20C6051A" w14:textId="77777777" w:rsidR="00C4148C" w:rsidRPr="00D24501" w:rsidRDefault="00C4148C">
      <w:pPr>
        <w:pStyle w:val="FootnoteText"/>
        <w:rPr>
          <w:sz w:val="18"/>
          <w:szCs w:val="18"/>
        </w:rPr>
      </w:pPr>
      <w:r w:rsidRPr="00D24501">
        <w:rPr>
          <w:rStyle w:val="FootnoteReference"/>
          <w:sz w:val="18"/>
          <w:szCs w:val="18"/>
          <w:vertAlign w:val="baseline"/>
        </w:rPr>
        <w:footnoteRef/>
      </w:r>
      <w:r w:rsidRPr="00D24501">
        <w:rPr>
          <w:sz w:val="18"/>
          <w:szCs w:val="18"/>
        </w:rPr>
        <w:t>. Ministry of Education and Training (MOET), 2014, Education for All 2015 National Review Report: Viet 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668"/>
    <w:multiLevelType w:val="multilevel"/>
    <w:tmpl w:val="8D7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1355"/>
    <w:multiLevelType w:val="hybridMultilevel"/>
    <w:tmpl w:val="B738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14E5"/>
    <w:multiLevelType w:val="multilevel"/>
    <w:tmpl w:val="7A3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A4992"/>
    <w:multiLevelType w:val="multilevel"/>
    <w:tmpl w:val="335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250B7"/>
    <w:multiLevelType w:val="multilevel"/>
    <w:tmpl w:val="A17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B24F8"/>
    <w:multiLevelType w:val="hybridMultilevel"/>
    <w:tmpl w:val="FDF0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16942"/>
    <w:multiLevelType w:val="multilevel"/>
    <w:tmpl w:val="BD2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801EE"/>
    <w:multiLevelType w:val="multilevel"/>
    <w:tmpl w:val="832C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09CC"/>
    <w:multiLevelType w:val="multilevel"/>
    <w:tmpl w:val="F01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B5B56"/>
    <w:multiLevelType w:val="hybridMultilevel"/>
    <w:tmpl w:val="8CF6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B0F5D"/>
    <w:multiLevelType w:val="multilevel"/>
    <w:tmpl w:val="2C2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20276"/>
    <w:multiLevelType w:val="multilevel"/>
    <w:tmpl w:val="4FE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83360"/>
    <w:multiLevelType w:val="multilevel"/>
    <w:tmpl w:val="5AE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26F0F"/>
    <w:multiLevelType w:val="hybridMultilevel"/>
    <w:tmpl w:val="DF9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9017F"/>
    <w:multiLevelType w:val="multilevel"/>
    <w:tmpl w:val="246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26980"/>
    <w:multiLevelType w:val="hybridMultilevel"/>
    <w:tmpl w:val="6B7264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5EDC5F6A"/>
    <w:multiLevelType w:val="hybridMultilevel"/>
    <w:tmpl w:val="14A436AE"/>
    <w:lvl w:ilvl="0" w:tplc="2E003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A087A"/>
    <w:multiLevelType w:val="multilevel"/>
    <w:tmpl w:val="F010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43596"/>
    <w:multiLevelType w:val="hybridMultilevel"/>
    <w:tmpl w:val="8B3E4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27228"/>
    <w:multiLevelType w:val="multilevel"/>
    <w:tmpl w:val="569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717BA"/>
    <w:multiLevelType w:val="hybridMultilevel"/>
    <w:tmpl w:val="DBC4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A4535"/>
    <w:multiLevelType w:val="multilevel"/>
    <w:tmpl w:val="960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43608"/>
    <w:multiLevelType w:val="multilevel"/>
    <w:tmpl w:val="2E5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56F2B"/>
    <w:multiLevelType w:val="multilevel"/>
    <w:tmpl w:val="352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17C64"/>
    <w:multiLevelType w:val="multilevel"/>
    <w:tmpl w:val="A63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7"/>
  </w:num>
  <w:num w:numId="5">
    <w:abstractNumId w:val="16"/>
  </w:num>
  <w:num w:numId="6">
    <w:abstractNumId w:val="6"/>
  </w:num>
  <w:num w:numId="7">
    <w:abstractNumId w:val="3"/>
  </w:num>
  <w:num w:numId="8">
    <w:abstractNumId w:val="11"/>
  </w:num>
  <w:num w:numId="9">
    <w:abstractNumId w:val="14"/>
  </w:num>
  <w:num w:numId="10">
    <w:abstractNumId w:val="2"/>
  </w:num>
  <w:num w:numId="11">
    <w:abstractNumId w:val="23"/>
  </w:num>
  <w:num w:numId="12">
    <w:abstractNumId w:val="21"/>
  </w:num>
  <w:num w:numId="13">
    <w:abstractNumId w:val="10"/>
  </w:num>
  <w:num w:numId="14">
    <w:abstractNumId w:val="22"/>
  </w:num>
  <w:num w:numId="15">
    <w:abstractNumId w:val="4"/>
  </w:num>
  <w:num w:numId="16">
    <w:abstractNumId w:val="19"/>
  </w:num>
  <w:num w:numId="17">
    <w:abstractNumId w:val="8"/>
  </w:num>
  <w:num w:numId="18">
    <w:abstractNumId w:val="5"/>
  </w:num>
  <w:num w:numId="19">
    <w:abstractNumId w:val="9"/>
  </w:num>
  <w:num w:numId="20">
    <w:abstractNumId w:val="20"/>
  </w:num>
  <w:num w:numId="21">
    <w:abstractNumId w:val="17"/>
  </w:num>
  <w:num w:numId="22">
    <w:abstractNumId w:val="1"/>
  </w:num>
  <w:num w:numId="23">
    <w:abstractNumId w:val="1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2NjCyNDA2srQwNTRV0lEKTi0uzszPAykwqgUAN72jRywAAAA="/>
  </w:docVars>
  <w:rsids>
    <w:rsidRoot w:val="00E25D1A"/>
    <w:rsid w:val="00001986"/>
    <w:rsid w:val="0000274A"/>
    <w:rsid w:val="00002ABB"/>
    <w:rsid w:val="00003327"/>
    <w:rsid w:val="000034FC"/>
    <w:rsid w:val="00004505"/>
    <w:rsid w:val="0000539D"/>
    <w:rsid w:val="000054DE"/>
    <w:rsid w:val="0000629D"/>
    <w:rsid w:val="00006F9F"/>
    <w:rsid w:val="000109A0"/>
    <w:rsid w:val="00011380"/>
    <w:rsid w:val="0001161E"/>
    <w:rsid w:val="00011EF9"/>
    <w:rsid w:val="000124B2"/>
    <w:rsid w:val="000124EA"/>
    <w:rsid w:val="00012F07"/>
    <w:rsid w:val="00012F13"/>
    <w:rsid w:val="00013CEA"/>
    <w:rsid w:val="00016FC3"/>
    <w:rsid w:val="0002031F"/>
    <w:rsid w:val="00020BEB"/>
    <w:rsid w:val="00024C4E"/>
    <w:rsid w:val="00026266"/>
    <w:rsid w:val="0003169F"/>
    <w:rsid w:val="00031E1D"/>
    <w:rsid w:val="000320A9"/>
    <w:rsid w:val="00032242"/>
    <w:rsid w:val="00033458"/>
    <w:rsid w:val="0003427B"/>
    <w:rsid w:val="0003519D"/>
    <w:rsid w:val="00035266"/>
    <w:rsid w:val="00036415"/>
    <w:rsid w:val="00036456"/>
    <w:rsid w:val="00037CE5"/>
    <w:rsid w:val="000405CE"/>
    <w:rsid w:val="00041C3E"/>
    <w:rsid w:val="0004272B"/>
    <w:rsid w:val="00042E1B"/>
    <w:rsid w:val="00043977"/>
    <w:rsid w:val="00043B04"/>
    <w:rsid w:val="00044977"/>
    <w:rsid w:val="00044BE4"/>
    <w:rsid w:val="00046816"/>
    <w:rsid w:val="00047A5A"/>
    <w:rsid w:val="00051116"/>
    <w:rsid w:val="0005114F"/>
    <w:rsid w:val="000514DE"/>
    <w:rsid w:val="00052389"/>
    <w:rsid w:val="00053067"/>
    <w:rsid w:val="00054016"/>
    <w:rsid w:val="00056477"/>
    <w:rsid w:val="00056921"/>
    <w:rsid w:val="000570DE"/>
    <w:rsid w:val="000577C6"/>
    <w:rsid w:val="00061269"/>
    <w:rsid w:val="00061F43"/>
    <w:rsid w:val="00064035"/>
    <w:rsid w:val="0006653F"/>
    <w:rsid w:val="00067FF5"/>
    <w:rsid w:val="0007145F"/>
    <w:rsid w:val="00071899"/>
    <w:rsid w:val="000725F5"/>
    <w:rsid w:val="000733F3"/>
    <w:rsid w:val="000734B8"/>
    <w:rsid w:val="000734F7"/>
    <w:rsid w:val="00075548"/>
    <w:rsid w:val="00075C51"/>
    <w:rsid w:val="000817E7"/>
    <w:rsid w:val="00082E53"/>
    <w:rsid w:val="00082E69"/>
    <w:rsid w:val="00084340"/>
    <w:rsid w:val="00084569"/>
    <w:rsid w:val="00084930"/>
    <w:rsid w:val="000849EB"/>
    <w:rsid w:val="00084BA6"/>
    <w:rsid w:val="0008564D"/>
    <w:rsid w:val="000877FA"/>
    <w:rsid w:val="00091A54"/>
    <w:rsid w:val="00091E73"/>
    <w:rsid w:val="0009271B"/>
    <w:rsid w:val="0009301E"/>
    <w:rsid w:val="00093CC2"/>
    <w:rsid w:val="00096A7A"/>
    <w:rsid w:val="000A16D1"/>
    <w:rsid w:val="000A2174"/>
    <w:rsid w:val="000A29A2"/>
    <w:rsid w:val="000A3310"/>
    <w:rsid w:val="000A35C0"/>
    <w:rsid w:val="000A36A0"/>
    <w:rsid w:val="000A506F"/>
    <w:rsid w:val="000A59A3"/>
    <w:rsid w:val="000A6E51"/>
    <w:rsid w:val="000B036D"/>
    <w:rsid w:val="000B1DF4"/>
    <w:rsid w:val="000B5A94"/>
    <w:rsid w:val="000B75B9"/>
    <w:rsid w:val="000C0550"/>
    <w:rsid w:val="000C06E3"/>
    <w:rsid w:val="000C1807"/>
    <w:rsid w:val="000C18AA"/>
    <w:rsid w:val="000C190D"/>
    <w:rsid w:val="000C23CE"/>
    <w:rsid w:val="000C34C4"/>
    <w:rsid w:val="000C4958"/>
    <w:rsid w:val="000C78C0"/>
    <w:rsid w:val="000D0809"/>
    <w:rsid w:val="000D15CE"/>
    <w:rsid w:val="000D4E9E"/>
    <w:rsid w:val="000D4F45"/>
    <w:rsid w:val="000D5885"/>
    <w:rsid w:val="000D6777"/>
    <w:rsid w:val="000E1A05"/>
    <w:rsid w:val="000E1BC1"/>
    <w:rsid w:val="000E1CF7"/>
    <w:rsid w:val="000E21CC"/>
    <w:rsid w:val="000E4757"/>
    <w:rsid w:val="000E6353"/>
    <w:rsid w:val="000E66FE"/>
    <w:rsid w:val="000E75DA"/>
    <w:rsid w:val="000F0190"/>
    <w:rsid w:val="000F050E"/>
    <w:rsid w:val="000F0B41"/>
    <w:rsid w:val="000F1FD8"/>
    <w:rsid w:val="000F2BE0"/>
    <w:rsid w:val="000F2DF6"/>
    <w:rsid w:val="000F3C4C"/>
    <w:rsid w:val="000F3D7C"/>
    <w:rsid w:val="000F3F8F"/>
    <w:rsid w:val="000F4DF8"/>
    <w:rsid w:val="000F63D1"/>
    <w:rsid w:val="000F7766"/>
    <w:rsid w:val="000F785D"/>
    <w:rsid w:val="0010100F"/>
    <w:rsid w:val="0010154B"/>
    <w:rsid w:val="00101E26"/>
    <w:rsid w:val="0010236C"/>
    <w:rsid w:val="00102471"/>
    <w:rsid w:val="0010642F"/>
    <w:rsid w:val="00107622"/>
    <w:rsid w:val="0011279D"/>
    <w:rsid w:val="00112A41"/>
    <w:rsid w:val="00112BD8"/>
    <w:rsid w:val="00115672"/>
    <w:rsid w:val="0011567D"/>
    <w:rsid w:val="00117C26"/>
    <w:rsid w:val="00117CC3"/>
    <w:rsid w:val="00117DDD"/>
    <w:rsid w:val="001203C0"/>
    <w:rsid w:val="0012092E"/>
    <w:rsid w:val="001216EB"/>
    <w:rsid w:val="00123849"/>
    <w:rsid w:val="00123BD4"/>
    <w:rsid w:val="00123F57"/>
    <w:rsid w:val="0012511F"/>
    <w:rsid w:val="00126D09"/>
    <w:rsid w:val="00127457"/>
    <w:rsid w:val="0013048E"/>
    <w:rsid w:val="00130BAD"/>
    <w:rsid w:val="0013150F"/>
    <w:rsid w:val="001327C2"/>
    <w:rsid w:val="001334D7"/>
    <w:rsid w:val="0013493F"/>
    <w:rsid w:val="00137094"/>
    <w:rsid w:val="00137387"/>
    <w:rsid w:val="00140B8E"/>
    <w:rsid w:val="00140E2F"/>
    <w:rsid w:val="00141242"/>
    <w:rsid w:val="0014261A"/>
    <w:rsid w:val="0014315D"/>
    <w:rsid w:val="00143D58"/>
    <w:rsid w:val="001446B9"/>
    <w:rsid w:val="0014539B"/>
    <w:rsid w:val="00151BC6"/>
    <w:rsid w:val="0015297F"/>
    <w:rsid w:val="001535A8"/>
    <w:rsid w:val="001537EA"/>
    <w:rsid w:val="0015582F"/>
    <w:rsid w:val="00156A7B"/>
    <w:rsid w:val="00156A81"/>
    <w:rsid w:val="00156F03"/>
    <w:rsid w:val="001609C3"/>
    <w:rsid w:val="001634F8"/>
    <w:rsid w:val="00163E7A"/>
    <w:rsid w:val="00165ABF"/>
    <w:rsid w:val="0016789E"/>
    <w:rsid w:val="00167F0D"/>
    <w:rsid w:val="00172BA7"/>
    <w:rsid w:val="00173917"/>
    <w:rsid w:val="00174ABA"/>
    <w:rsid w:val="00174DC8"/>
    <w:rsid w:val="00175817"/>
    <w:rsid w:val="00176297"/>
    <w:rsid w:val="00177BE1"/>
    <w:rsid w:val="00182797"/>
    <w:rsid w:val="00182CC8"/>
    <w:rsid w:val="00182FC2"/>
    <w:rsid w:val="00183EA2"/>
    <w:rsid w:val="0018684D"/>
    <w:rsid w:val="00186D3D"/>
    <w:rsid w:val="00190C0A"/>
    <w:rsid w:val="00191319"/>
    <w:rsid w:val="00192331"/>
    <w:rsid w:val="00195124"/>
    <w:rsid w:val="00195852"/>
    <w:rsid w:val="001961E9"/>
    <w:rsid w:val="0019641B"/>
    <w:rsid w:val="00197BA9"/>
    <w:rsid w:val="001A0430"/>
    <w:rsid w:val="001A057D"/>
    <w:rsid w:val="001A09BD"/>
    <w:rsid w:val="001A4729"/>
    <w:rsid w:val="001B0490"/>
    <w:rsid w:val="001B0D77"/>
    <w:rsid w:val="001B2716"/>
    <w:rsid w:val="001B6002"/>
    <w:rsid w:val="001B6E06"/>
    <w:rsid w:val="001B713B"/>
    <w:rsid w:val="001C3106"/>
    <w:rsid w:val="001C325B"/>
    <w:rsid w:val="001C36C3"/>
    <w:rsid w:val="001C3D10"/>
    <w:rsid w:val="001C3F46"/>
    <w:rsid w:val="001C4278"/>
    <w:rsid w:val="001C5E27"/>
    <w:rsid w:val="001D0358"/>
    <w:rsid w:val="001D2466"/>
    <w:rsid w:val="001D3AF4"/>
    <w:rsid w:val="001D4231"/>
    <w:rsid w:val="001D4EDE"/>
    <w:rsid w:val="001D549B"/>
    <w:rsid w:val="001D55E5"/>
    <w:rsid w:val="001E012F"/>
    <w:rsid w:val="001E05FB"/>
    <w:rsid w:val="001E0BC7"/>
    <w:rsid w:val="001E12D6"/>
    <w:rsid w:val="001E165E"/>
    <w:rsid w:val="001E4017"/>
    <w:rsid w:val="001E4E62"/>
    <w:rsid w:val="001E5ADB"/>
    <w:rsid w:val="001E798A"/>
    <w:rsid w:val="001F3399"/>
    <w:rsid w:val="001F61F8"/>
    <w:rsid w:val="001F68BE"/>
    <w:rsid w:val="001F6C70"/>
    <w:rsid w:val="00200CBB"/>
    <w:rsid w:val="00201320"/>
    <w:rsid w:val="00201758"/>
    <w:rsid w:val="002020FB"/>
    <w:rsid w:val="002021CC"/>
    <w:rsid w:val="00202728"/>
    <w:rsid w:val="00203A9F"/>
    <w:rsid w:val="00206EB7"/>
    <w:rsid w:val="00207171"/>
    <w:rsid w:val="002100F3"/>
    <w:rsid w:val="002109BC"/>
    <w:rsid w:val="002111F2"/>
    <w:rsid w:val="002118A1"/>
    <w:rsid w:val="00211E88"/>
    <w:rsid w:val="00211EF3"/>
    <w:rsid w:val="00212D42"/>
    <w:rsid w:val="00214155"/>
    <w:rsid w:val="00215574"/>
    <w:rsid w:val="002159E0"/>
    <w:rsid w:val="00216D0C"/>
    <w:rsid w:val="00217669"/>
    <w:rsid w:val="00217F1E"/>
    <w:rsid w:val="00221DA6"/>
    <w:rsid w:val="00222BCF"/>
    <w:rsid w:val="0022342D"/>
    <w:rsid w:val="00223877"/>
    <w:rsid w:val="00224217"/>
    <w:rsid w:val="00231C7E"/>
    <w:rsid w:val="00232479"/>
    <w:rsid w:val="00233DAA"/>
    <w:rsid w:val="00234111"/>
    <w:rsid w:val="00234191"/>
    <w:rsid w:val="00235BEA"/>
    <w:rsid w:val="002378C5"/>
    <w:rsid w:val="00237EE3"/>
    <w:rsid w:val="002402E8"/>
    <w:rsid w:val="002403DA"/>
    <w:rsid w:val="002438A6"/>
    <w:rsid w:val="00245316"/>
    <w:rsid w:val="00245BFC"/>
    <w:rsid w:val="00253735"/>
    <w:rsid w:val="00254C8B"/>
    <w:rsid w:val="00257E86"/>
    <w:rsid w:val="002608BB"/>
    <w:rsid w:val="00263893"/>
    <w:rsid w:val="00263AE5"/>
    <w:rsid w:val="002656E9"/>
    <w:rsid w:val="002661A8"/>
    <w:rsid w:val="00266A91"/>
    <w:rsid w:val="002670E3"/>
    <w:rsid w:val="0027041B"/>
    <w:rsid w:val="002705A5"/>
    <w:rsid w:val="00270ADB"/>
    <w:rsid w:val="00270B08"/>
    <w:rsid w:val="00272D31"/>
    <w:rsid w:val="00273932"/>
    <w:rsid w:val="00276E85"/>
    <w:rsid w:val="00277182"/>
    <w:rsid w:val="002773D5"/>
    <w:rsid w:val="00281D6C"/>
    <w:rsid w:val="002825D2"/>
    <w:rsid w:val="00283286"/>
    <w:rsid w:val="002835B2"/>
    <w:rsid w:val="0028459C"/>
    <w:rsid w:val="00292887"/>
    <w:rsid w:val="002950E9"/>
    <w:rsid w:val="0029577A"/>
    <w:rsid w:val="002959BA"/>
    <w:rsid w:val="00295B5C"/>
    <w:rsid w:val="00295D7C"/>
    <w:rsid w:val="00295FC8"/>
    <w:rsid w:val="002962E6"/>
    <w:rsid w:val="00296AB6"/>
    <w:rsid w:val="00297354"/>
    <w:rsid w:val="002A036E"/>
    <w:rsid w:val="002A0911"/>
    <w:rsid w:val="002A23EC"/>
    <w:rsid w:val="002A3E5D"/>
    <w:rsid w:val="002A4026"/>
    <w:rsid w:val="002A4712"/>
    <w:rsid w:val="002A477A"/>
    <w:rsid w:val="002A502A"/>
    <w:rsid w:val="002A5988"/>
    <w:rsid w:val="002A611A"/>
    <w:rsid w:val="002A6B49"/>
    <w:rsid w:val="002A787B"/>
    <w:rsid w:val="002B0540"/>
    <w:rsid w:val="002B05B2"/>
    <w:rsid w:val="002B05F0"/>
    <w:rsid w:val="002B0A51"/>
    <w:rsid w:val="002B0C5F"/>
    <w:rsid w:val="002B1598"/>
    <w:rsid w:val="002B1724"/>
    <w:rsid w:val="002B4134"/>
    <w:rsid w:val="002B54D9"/>
    <w:rsid w:val="002B5CC6"/>
    <w:rsid w:val="002B6CE3"/>
    <w:rsid w:val="002B7C50"/>
    <w:rsid w:val="002C1BF0"/>
    <w:rsid w:val="002C2DEE"/>
    <w:rsid w:val="002C316E"/>
    <w:rsid w:val="002C34A1"/>
    <w:rsid w:val="002C7632"/>
    <w:rsid w:val="002D0950"/>
    <w:rsid w:val="002D37AB"/>
    <w:rsid w:val="002D3CF1"/>
    <w:rsid w:val="002D52C4"/>
    <w:rsid w:val="002D534E"/>
    <w:rsid w:val="002D5BD9"/>
    <w:rsid w:val="002D7EB6"/>
    <w:rsid w:val="002E0A9A"/>
    <w:rsid w:val="002E13D3"/>
    <w:rsid w:val="002E157B"/>
    <w:rsid w:val="002E35F4"/>
    <w:rsid w:val="002E41B4"/>
    <w:rsid w:val="002E48D8"/>
    <w:rsid w:val="002E61C9"/>
    <w:rsid w:val="002E62D7"/>
    <w:rsid w:val="002E65B4"/>
    <w:rsid w:val="002E6AA7"/>
    <w:rsid w:val="002E73C7"/>
    <w:rsid w:val="002E73F9"/>
    <w:rsid w:val="002F025A"/>
    <w:rsid w:val="002F0A68"/>
    <w:rsid w:val="002F16D9"/>
    <w:rsid w:val="002F5099"/>
    <w:rsid w:val="002F542B"/>
    <w:rsid w:val="002F5D2C"/>
    <w:rsid w:val="002F5FD1"/>
    <w:rsid w:val="002F6296"/>
    <w:rsid w:val="003008F0"/>
    <w:rsid w:val="00301C20"/>
    <w:rsid w:val="00301C8C"/>
    <w:rsid w:val="0030235C"/>
    <w:rsid w:val="00302388"/>
    <w:rsid w:val="00302C56"/>
    <w:rsid w:val="0030381F"/>
    <w:rsid w:val="00305A00"/>
    <w:rsid w:val="00310D50"/>
    <w:rsid w:val="00311238"/>
    <w:rsid w:val="00312AF1"/>
    <w:rsid w:val="00314158"/>
    <w:rsid w:val="00314BD2"/>
    <w:rsid w:val="003152B7"/>
    <w:rsid w:val="00317DA4"/>
    <w:rsid w:val="00317E67"/>
    <w:rsid w:val="00321583"/>
    <w:rsid w:val="00322DFE"/>
    <w:rsid w:val="00323BFA"/>
    <w:rsid w:val="00324251"/>
    <w:rsid w:val="00324C4D"/>
    <w:rsid w:val="00324DBE"/>
    <w:rsid w:val="003253C2"/>
    <w:rsid w:val="0032556B"/>
    <w:rsid w:val="00327CFF"/>
    <w:rsid w:val="00331557"/>
    <w:rsid w:val="00333608"/>
    <w:rsid w:val="003343AF"/>
    <w:rsid w:val="00335009"/>
    <w:rsid w:val="0033591A"/>
    <w:rsid w:val="003369A7"/>
    <w:rsid w:val="003405C0"/>
    <w:rsid w:val="00341612"/>
    <w:rsid w:val="003417E2"/>
    <w:rsid w:val="0034274B"/>
    <w:rsid w:val="003427CC"/>
    <w:rsid w:val="00342EA8"/>
    <w:rsid w:val="003439D7"/>
    <w:rsid w:val="00346377"/>
    <w:rsid w:val="003509CD"/>
    <w:rsid w:val="003514F5"/>
    <w:rsid w:val="0035178A"/>
    <w:rsid w:val="003522F9"/>
    <w:rsid w:val="00352A86"/>
    <w:rsid w:val="0035347A"/>
    <w:rsid w:val="0035376D"/>
    <w:rsid w:val="003542CF"/>
    <w:rsid w:val="0035748B"/>
    <w:rsid w:val="00357EBB"/>
    <w:rsid w:val="003606BE"/>
    <w:rsid w:val="003607B9"/>
    <w:rsid w:val="0036461A"/>
    <w:rsid w:val="00365F23"/>
    <w:rsid w:val="0036632A"/>
    <w:rsid w:val="003707EB"/>
    <w:rsid w:val="003717DA"/>
    <w:rsid w:val="00371DE8"/>
    <w:rsid w:val="003732D9"/>
    <w:rsid w:val="00373F49"/>
    <w:rsid w:val="00376487"/>
    <w:rsid w:val="00377E00"/>
    <w:rsid w:val="00382125"/>
    <w:rsid w:val="00385AE8"/>
    <w:rsid w:val="00386E60"/>
    <w:rsid w:val="00387347"/>
    <w:rsid w:val="0038763E"/>
    <w:rsid w:val="003905A8"/>
    <w:rsid w:val="00393E3C"/>
    <w:rsid w:val="00395E6C"/>
    <w:rsid w:val="00396BD4"/>
    <w:rsid w:val="00397AD6"/>
    <w:rsid w:val="003A127F"/>
    <w:rsid w:val="003A299E"/>
    <w:rsid w:val="003A33FC"/>
    <w:rsid w:val="003A43E2"/>
    <w:rsid w:val="003A4A72"/>
    <w:rsid w:val="003A4CA3"/>
    <w:rsid w:val="003A5E1B"/>
    <w:rsid w:val="003A7784"/>
    <w:rsid w:val="003A7EE9"/>
    <w:rsid w:val="003B06DD"/>
    <w:rsid w:val="003B44F6"/>
    <w:rsid w:val="003B525A"/>
    <w:rsid w:val="003B71AA"/>
    <w:rsid w:val="003C044B"/>
    <w:rsid w:val="003C053E"/>
    <w:rsid w:val="003C3A96"/>
    <w:rsid w:val="003C5E13"/>
    <w:rsid w:val="003C5FD6"/>
    <w:rsid w:val="003D1551"/>
    <w:rsid w:val="003D2DFB"/>
    <w:rsid w:val="003D31E8"/>
    <w:rsid w:val="003D3D2A"/>
    <w:rsid w:val="003D3F00"/>
    <w:rsid w:val="003D4A89"/>
    <w:rsid w:val="003D546E"/>
    <w:rsid w:val="003D6D1B"/>
    <w:rsid w:val="003E19DD"/>
    <w:rsid w:val="003E3600"/>
    <w:rsid w:val="003E36BF"/>
    <w:rsid w:val="003E5751"/>
    <w:rsid w:val="003E59CE"/>
    <w:rsid w:val="003E6846"/>
    <w:rsid w:val="003E741F"/>
    <w:rsid w:val="003E7772"/>
    <w:rsid w:val="003E7940"/>
    <w:rsid w:val="003F094E"/>
    <w:rsid w:val="003F0FEE"/>
    <w:rsid w:val="003F37C1"/>
    <w:rsid w:val="003F39F9"/>
    <w:rsid w:val="003F4F3B"/>
    <w:rsid w:val="003F5D9D"/>
    <w:rsid w:val="003F5F3D"/>
    <w:rsid w:val="003F6318"/>
    <w:rsid w:val="003F6706"/>
    <w:rsid w:val="003F6D00"/>
    <w:rsid w:val="003F79FD"/>
    <w:rsid w:val="00402AD4"/>
    <w:rsid w:val="0040450F"/>
    <w:rsid w:val="00406DF3"/>
    <w:rsid w:val="004074F1"/>
    <w:rsid w:val="00407F12"/>
    <w:rsid w:val="00410266"/>
    <w:rsid w:val="00411FBB"/>
    <w:rsid w:val="00413627"/>
    <w:rsid w:val="00413ABD"/>
    <w:rsid w:val="00413C66"/>
    <w:rsid w:val="0041416D"/>
    <w:rsid w:val="00415126"/>
    <w:rsid w:val="00415F47"/>
    <w:rsid w:val="00416109"/>
    <w:rsid w:val="004214B8"/>
    <w:rsid w:val="00422B48"/>
    <w:rsid w:val="004232C5"/>
    <w:rsid w:val="004239D9"/>
    <w:rsid w:val="004243D5"/>
    <w:rsid w:val="004263C4"/>
    <w:rsid w:val="00427631"/>
    <w:rsid w:val="004278EC"/>
    <w:rsid w:val="00431085"/>
    <w:rsid w:val="00432A19"/>
    <w:rsid w:val="004337B1"/>
    <w:rsid w:val="00433CF5"/>
    <w:rsid w:val="0043471C"/>
    <w:rsid w:val="0043520C"/>
    <w:rsid w:val="0043627D"/>
    <w:rsid w:val="00437A3D"/>
    <w:rsid w:val="00437FB4"/>
    <w:rsid w:val="00441861"/>
    <w:rsid w:val="00443FA0"/>
    <w:rsid w:val="00445AE7"/>
    <w:rsid w:val="00445C6C"/>
    <w:rsid w:val="00450EDD"/>
    <w:rsid w:val="00451E89"/>
    <w:rsid w:val="00452E8F"/>
    <w:rsid w:val="00453014"/>
    <w:rsid w:val="00453274"/>
    <w:rsid w:val="00453F29"/>
    <w:rsid w:val="00454B20"/>
    <w:rsid w:val="0045510A"/>
    <w:rsid w:val="00455134"/>
    <w:rsid w:val="00457384"/>
    <w:rsid w:val="00457E44"/>
    <w:rsid w:val="00457F52"/>
    <w:rsid w:val="00460D84"/>
    <w:rsid w:val="0046570E"/>
    <w:rsid w:val="00465BCC"/>
    <w:rsid w:val="00471088"/>
    <w:rsid w:val="00472AC8"/>
    <w:rsid w:val="00473AF5"/>
    <w:rsid w:val="0047413C"/>
    <w:rsid w:val="00475540"/>
    <w:rsid w:val="004758CB"/>
    <w:rsid w:val="004764C4"/>
    <w:rsid w:val="00476EE6"/>
    <w:rsid w:val="004801A6"/>
    <w:rsid w:val="00481AAD"/>
    <w:rsid w:val="00483778"/>
    <w:rsid w:val="00484037"/>
    <w:rsid w:val="00484344"/>
    <w:rsid w:val="00484944"/>
    <w:rsid w:val="00485C8B"/>
    <w:rsid w:val="00485C99"/>
    <w:rsid w:val="00485ED7"/>
    <w:rsid w:val="004867EA"/>
    <w:rsid w:val="00487F65"/>
    <w:rsid w:val="00490706"/>
    <w:rsid w:val="00491A2E"/>
    <w:rsid w:val="00492125"/>
    <w:rsid w:val="00492706"/>
    <w:rsid w:val="00492DFF"/>
    <w:rsid w:val="004934C7"/>
    <w:rsid w:val="00493B6F"/>
    <w:rsid w:val="004948F9"/>
    <w:rsid w:val="00494932"/>
    <w:rsid w:val="004A002F"/>
    <w:rsid w:val="004A5D08"/>
    <w:rsid w:val="004A602D"/>
    <w:rsid w:val="004A672A"/>
    <w:rsid w:val="004A6D08"/>
    <w:rsid w:val="004B0FC6"/>
    <w:rsid w:val="004B2373"/>
    <w:rsid w:val="004B457E"/>
    <w:rsid w:val="004B490B"/>
    <w:rsid w:val="004B6839"/>
    <w:rsid w:val="004B7F09"/>
    <w:rsid w:val="004C1685"/>
    <w:rsid w:val="004C26CA"/>
    <w:rsid w:val="004C3EC3"/>
    <w:rsid w:val="004C498C"/>
    <w:rsid w:val="004C59CA"/>
    <w:rsid w:val="004D3C42"/>
    <w:rsid w:val="004D473F"/>
    <w:rsid w:val="004D4D76"/>
    <w:rsid w:val="004D55A5"/>
    <w:rsid w:val="004E0100"/>
    <w:rsid w:val="004E19EA"/>
    <w:rsid w:val="004E3A2B"/>
    <w:rsid w:val="004E59FE"/>
    <w:rsid w:val="004E7D5A"/>
    <w:rsid w:val="004F1AB0"/>
    <w:rsid w:val="004F2D3A"/>
    <w:rsid w:val="004F34C9"/>
    <w:rsid w:val="004F5FEF"/>
    <w:rsid w:val="005004D6"/>
    <w:rsid w:val="00501829"/>
    <w:rsid w:val="00503835"/>
    <w:rsid w:val="00503C0D"/>
    <w:rsid w:val="00505127"/>
    <w:rsid w:val="0050673B"/>
    <w:rsid w:val="00510743"/>
    <w:rsid w:val="0051107B"/>
    <w:rsid w:val="005114FE"/>
    <w:rsid w:val="00511550"/>
    <w:rsid w:val="00511860"/>
    <w:rsid w:val="00512F90"/>
    <w:rsid w:val="0051320F"/>
    <w:rsid w:val="00514DAF"/>
    <w:rsid w:val="005171EE"/>
    <w:rsid w:val="00520897"/>
    <w:rsid w:val="0052089D"/>
    <w:rsid w:val="00520929"/>
    <w:rsid w:val="00520F25"/>
    <w:rsid w:val="00522B6E"/>
    <w:rsid w:val="00523AC1"/>
    <w:rsid w:val="00525F22"/>
    <w:rsid w:val="00527586"/>
    <w:rsid w:val="00527806"/>
    <w:rsid w:val="00527900"/>
    <w:rsid w:val="00530E4E"/>
    <w:rsid w:val="00530E92"/>
    <w:rsid w:val="005314B9"/>
    <w:rsid w:val="0053182A"/>
    <w:rsid w:val="0053230B"/>
    <w:rsid w:val="00532F09"/>
    <w:rsid w:val="005348C4"/>
    <w:rsid w:val="00534D1D"/>
    <w:rsid w:val="005360FE"/>
    <w:rsid w:val="00536614"/>
    <w:rsid w:val="00540CB2"/>
    <w:rsid w:val="00541DF9"/>
    <w:rsid w:val="005421A3"/>
    <w:rsid w:val="005433D6"/>
    <w:rsid w:val="0054469B"/>
    <w:rsid w:val="005453B2"/>
    <w:rsid w:val="0054544A"/>
    <w:rsid w:val="005463DD"/>
    <w:rsid w:val="0054682B"/>
    <w:rsid w:val="00551964"/>
    <w:rsid w:val="0055324F"/>
    <w:rsid w:val="0055557A"/>
    <w:rsid w:val="00556CBB"/>
    <w:rsid w:val="00557C1A"/>
    <w:rsid w:val="0056011E"/>
    <w:rsid w:val="00561CA5"/>
    <w:rsid w:val="00562C58"/>
    <w:rsid w:val="0056368B"/>
    <w:rsid w:val="005644C8"/>
    <w:rsid w:val="00565162"/>
    <w:rsid w:val="005664C4"/>
    <w:rsid w:val="0056669B"/>
    <w:rsid w:val="00566818"/>
    <w:rsid w:val="00570290"/>
    <w:rsid w:val="005704A0"/>
    <w:rsid w:val="00570C0F"/>
    <w:rsid w:val="00571713"/>
    <w:rsid w:val="00571EF8"/>
    <w:rsid w:val="005736C7"/>
    <w:rsid w:val="0057616E"/>
    <w:rsid w:val="00580885"/>
    <w:rsid w:val="005816D8"/>
    <w:rsid w:val="005822C5"/>
    <w:rsid w:val="005834F0"/>
    <w:rsid w:val="0058503B"/>
    <w:rsid w:val="005857A3"/>
    <w:rsid w:val="00587572"/>
    <w:rsid w:val="00592EB9"/>
    <w:rsid w:val="00593499"/>
    <w:rsid w:val="00594481"/>
    <w:rsid w:val="005955BF"/>
    <w:rsid w:val="00595CDE"/>
    <w:rsid w:val="00595FF2"/>
    <w:rsid w:val="0059682A"/>
    <w:rsid w:val="005979B7"/>
    <w:rsid w:val="00597A8A"/>
    <w:rsid w:val="005A03A8"/>
    <w:rsid w:val="005A0B31"/>
    <w:rsid w:val="005A3F8F"/>
    <w:rsid w:val="005B151C"/>
    <w:rsid w:val="005B228F"/>
    <w:rsid w:val="005B31E4"/>
    <w:rsid w:val="005B347B"/>
    <w:rsid w:val="005B4C40"/>
    <w:rsid w:val="005B52B6"/>
    <w:rsid w:val="005B5506"/>
    <w:rsid w:val="005B5D9D"/>
    <w:rsid w:val="005B6E21"/>
    <w:rsid w:val="005B733A"/>
    <w:rsid w:val="005C264E"/>
    <w:rsid w:val="005C4910"/>
    <w:rsid w:val="005C4939"/>
    <w:rsid w:val="005C57FF"/>
    <w:rsid w:val="005C71E0"/>
    <w:rsid w:val="005C733A"/>
    <w:rsid w:val="005D0BCA"/>
    <w:rsid w:val="005D35BE"/>
    <w:rsid w:val="005D520E"/>
    <w:rsid w:val="005D5422"/>
    <w:rsid w:val="005D5941"/>
    <w:rsid w:val="005D5AED"/>
    <w:rsid w:val="005D6978"/>
    <w:rsid w:val="005D790F"/>
    <w:rsid w:val="005D7C87"/>
    <w:rsid w:val="005E01F0"/>
    <w:rsid w:val="005E1441"/>
    <w:rsid w:val="005E1EB4"/>
    <w:rsid w:val="005E3368"/>
    <w:rsid w:val="005E4F8D"/>
    <w:rsid w:val="005E545B"/>
    <w:rsid w:val="005E5469"/>
    <w:rsid w:val="005E61A3"/>
    <w:rsid w:val="005E7A17"/>
    <w:rsid w:val="005E7F44"/>
    <w:rsid w:val="005F03E4"/>
    <w:rsid w:val="005F1353"/>
    <w:rsid w:val="005F1C4E"/>
    <w:rsid w:val="005F42BA"/>
    <w:rsid w:val="005F458C"/>
    <w:rsid w:val="005F4977"/>
    <w:rsid w:val="005F51CD"/>
    <w:rsid w:val="005F7730"/>
    <w:rsid w:val="005F7E9D"/>
    <w:rsid w:val="0060317A"/>
    <w:rsid w:val="00605831"/>
    <w:rsid w:val="00607121"/>
    <w:rsid w:val="00610493"/>
    <w:rsid w:val="00611AD1"/>
    <w:rsid w:val="0061347E"/>
    <w:rsid w:val="00613C54"/>
    <w:rsid w:val="006146AA"/>
    <w:rsid w:val="0061589B"/>
    <w:rsid w:val="006161D9"/>
    <w:rsid w:val="00616B72"/>
    <w:rsid w:val="00617FA0"/>
    <w:rsid w:val="00621092"/>
    <w:rsid w:val="006219FE"/>
    <w:rsid w:val="0062630F"/>
    <w:rsid w:val="0063135D"/>
    <w:rsid w:val="006338C9"/>
    <w:rsid w:val="00634BF4"/>
    <w:rsid w:val="006359BD"/>
    <w:rsid w:val="006367C0"/>
    <w:rsid w:val="00637053"/>
    <w:rsid w:val="00637E7B"/>
    <w:rsid w:val="00637EDC"/>
    <w:rsid w:val="006403AF"/>
    <w:rsid w:val="00640B43"/>
    <w:rsid w:val="00641716"/>
    <w:rsid w:val="00641CD7"/>
    <w:rsid w:val="00643C84"/>
    <w:rsid w:val="00644A5D"/>
    <w:rsid w:val="00646008"/>
    <w:rsid w:val="00646C74"/>
    <w:rsid w:val="0064717C"/>
    <w:rsid w:val="006473C2"/>
    <w:rsid w:val="006478AC"/>
    <w:rsid w:val="00651ECE"/>
    <w:rsid w:val="006522C8"/>
    <w:rsid w:val="006529C7"/>
    <w:rsid w:val="00652D84"/>
    <w:rsid w:val="00654D16"/>
    <w:rsid w:val="006550DE"/>
    <w:rsid w:val="00655290"/>
    <w:rsid w:val="00655C76"/>
    <w:rsid w:val="00656853"/>
    <w:rsid w:val="00656940"/>
    <w:rsid w:val="00657A50"/>
    <w:rsid w:val="006600D1"/>
    <w:rsid w:val="00660B93"/>
    <w:rsid w:val="00662DB1"/>
    <w:rsid w:val="00663EBD"/>
    <w:rsid w:val="006656B2"/>
    <w:rsid w:val="00666CA5"/>
    <w:rsid w:val="00667201"/>
    <w:rsid w:val="00670204"/>
    <w:rsid w:val="0067106B"/>
    <w:rsid w:val="0067231E"/>
    <w:rsid w:val="006732D5"/>
    <w:rsid w:val="0067369C"/>
    <w:rsid w:val="0067500C"/>
    <w:rsid w:val="00676392"/>
    <w:rsid w:val="00676861"/>
    <w:rsid w:val="00676CF0"/>
    <w:rsid w:val="0067754A"/>
    <w:rsid w:val="00677EB3"/>
    <w:rsid w:val="00682019"/>
    <w:rsid w:val="00682A66"/>
    <w:rsid w:val="00682B12"/>
    <w:rsid w:val="006847E7"/>
    <w:rsid w:val="00685A2A"/>
    <w:rsid w:val="006861C6"/>
    <w:rsid w:val="0068646C"/>
    <w:rsid w:val="0069114D"/>
    <w:rsid w:val="00692E98"/>
    <w:rsid w:val="0069365F"/>
    <w:rsid w:val="00696718"/>
    <w:rsid w:val="00697204"/>
    <w:rsid w:val="0069744B"/>
    <w:rsid w:val="006A01F1"/>
    <w:rsid w:val="006A1627"/>
    <w:rsid w:val="006A19D4"/>
    <w:rsid w:val="006A271D"/>
    <w:rsid w:val="006B01E2"/>
    <w:rsid w:val="006B08BB"/>
    <w:rsid w:val="006B09BA"/>
    <w:rsid w:val="006B0DE4"/>
    <w:rsid w:val="006B1C06"/>
    <w:rsid w:val="006B1F5C"/>
    <w:rsid w:val="006B300E"/>
    <w:rsid w:val="006B3606"/>
    <w:rsid w:val="006B6B33"/>
    <w:rsid w:val="006B7D66"/>
    <w:rsid w:val="006C0A36"/>
    <w:rsid w:val="006C14BD"/>
    <w:rsid w:val="006C1607"/>
    <w:rsid w:val="006C2092"/>
    <w:rsid w:val="006C2E91"/>
    <w:rsid w:val="006C353B"/>
    <w:rsid w:val="006C4FE4"/>
    <w:rsid w:val="006C6CB7"/>
    <w:rsid w:val="006D0F99"/>
    <w:rsid w:val="006D1178"/>
    <w:rsid w:val="006D1FB5"/>
    <w:rsid w:val="006D2DA2"/>
    <w:rsid w:val="006D3E0F"/>
    <w:rsid w:val="006D4903"/>
    <w:rsid w:val="006D55BE"/>
    <w:rsid w:val="006D59E6"/>
    <w:rsid w:val="006D61CE"/>
    <w:rsid w:val="006D63BD"/>
    <w:rsid w:val="006E1907"/>
    <w:rsid w:val="006E33CE"/>
    <w:rsid w:val="006E3D34"/>
    <w:rsid w:val="006E401A"/>
    <w:rsid w:val="006E5E59"/>
    <w:rsid w:val="006F0B51"/>
    <w:rsid w:val="006F211C"/>
    <w:rsid w:val="006F3A80"/>
    <w:rsid w:val="006F5154"/>
    <w:rsid w:val="006F5AF9"/>
    <w:rsid w:val="006F5FDB"/>
    <w:rsid w:val="00701DB3"/>
    <w:rsid w:val="00702C8F"/>
    <w:rsid w:val="007034CE"/>
    <w:rsid w:val="007039C7"/>
    <w:rsid w:val="0070504C"/>
    <w:rsid w:val="007052E1"/>
    <w:rsid w:val="00705E56"/>
    <w:rsid w:val="00707DD6"/>
    <w:rsid w:val="00710815"/>
    <w:rsid w:val="00711010"/>
    <w:rsid w:val="0071182F"/>
    <w:rsid w:val="00711A5D"/>
    <w:rsid w:val="007135EC"/>
    <w:rsid w:val="0071497D"/>
    <w:rsid w:val="00714987"/>
    <w:rsid w:val="00715CDA"/>
    <w:rsid w:val="00716DE8"/>
    <w:rsid w:val="007170D1"/>
    <w:rsid w:val="007179E2"/>
    <w:rsid w:val="00721B92"/>
    <w:rsid w:val="0072276C"/>
    <w:rsid w:val="00722A22"/>
    <w:rsid w:val="007245FD"/>
    <w:rsid w:val="00724A20"/>
    <w:rsid w:val="00725455"/>
    <w:rsid w:val="00725BB8"/>
    <w:rsid w:val="007269B3"/>
    <w:rsid w:val="00727B8D"/>
    <w:rsid w:val="00731E04"/>
    <w:rsid w:val="00732570"/>
    <w:rsid w:val="00732726"/>
    <w:rsid w:val="00732850"/>
    <w:rsid w:val="00732F31"/>
    <w:rsid w:val="00733E81"/>
    <w:rsid w:val="00734A14"/>
    <w:rsid w:val="00734A44"/>
    <w:rsid w:val="00735BD9"/>
    <w:rsid w:val="00737640"/>
    <w:rsid w:val="0074151D"/>
    <w:rsid w:val="007415DA"/>
    <w:rsid w:val="007415FD"/>
    <w:rsid w:val="00741759"/>
    <w:rsid w:val="0074237D"/>
    <w:rsid w:val="00742CB4"/>
    <w:rsid w:val="00744B6B"/>
    <w:rsid w:val="00750C35"/>
    <w:rsid w:val="00750D17"/>
    <w:rsid w:val="00750F8A"/>
    <w:rsid w:val="0075107C"/>
    <w:rsid w:val="007521EB"/>
    <w:rsid w:val="00752FC1"/>
    <w:rsid w:val="00753F7B"/>
    <w:rsid w:val="0075521A"/>
    <w:rsid w:val="00755F69"/>
    <w:rsid w:val="00760449"/>
    <w:rsid w:val="007605A2"/>
    <w:rsid w:val="00760AF6"/>
    <w:rsid w:val="00761E48"/>
    <w:rsid w:val="0076366A"/>
    <w:rsid w:val="00764403"/>
    <w:rsid w:val="00766A00"/>
    <w:rsid w:val="00767234"/>
    <w:rsid w:val="007712E4"/>
    <w:rsid w:val="00771C7D"/>
    <w:rsid w:val="00771CA9"/>
    <w:rsid w:val="007753EF"/>
    <w:rsid w:val="007754DF"/>
    <w:rsid w:val="0077790F"/>
    <w:rsid w:val="00780BC0"/>
    <w:rsid w:val="0078118A"/>
    <w:rsid w:val="0078279A"/>
    <w:rsid w:val="00782A69"/>
    <w:rsid w:val="007830B8"/>
    <w:rsid w:val="00790F58"/>
    <w:rsid w:val="00792BB8"/>
    <w:rsid w:val="00793D60"/>
    <w:rsid w:val="007945EB"/>
    <w:rsid w:val="00794A9C"/>
    <w:rsid w:val="00796300"/>
    <w:rsid w:val="00796801"/>
    <w:rsid w:val="007969E3"/>
    <w:rsid w:val="00796AEC"/>
    <w:rsid w:val="00796F6E"/>
    <w:rsid w:val="007974E9"/>
    <w:rsid w:val="00797AE7"/>
    <w:rsid w:val="007A1DAD"/>
    <w:rsid w:val="007A2EA8"/>
    <w:rsid w:val="007A61C7"/>
    <w:rsid w:val="007B0CBD"/>
    <w:rsid w:val="007B2F86"/>
    <w:rsid w:val="007B46E8"/>
    <w:rsid w:val="007B4865"/>
    <w:rsid w:val="007B4C17"/>
    <w:rsid w:val="007B6AA1"/>
    <w:rsid w:val="007C0228"/>
    <w:rsid w:val="007C072B"/>
    <w:rsid w:val="007C1245"/>
    <w:rsid w:val="007C235C"/>
    <w:rsid w:val="007C2E00"/>
    <w:rsid w:val="007C3C14"/>
    <w:rsid w:val="007C55F5"/>
    <w:rsid w:val="007C6BBE"/>
    <w:rsid w:val="007C6EFB"/>
    <w:rsid w:val="007C715F"/>
    <w:rsid w:val="007D0662"/>
    <w:rsid w:val="007D084E"/>
    <w:rsid w:val="007D1232"/>
    <w:rsid w:val="007D438C"/>
    <w:rsid w:val="007D46E7"/>
    <w:rsid w:val="007E00BC"/>
    <w:rsid w:val="007E0763"/>
    <w:rsid w:val="007E0EFE"/>
    <w:rsid w:val="007E1362"/>
    <w:rsid w:val="007E289C"/>
    <w:rsid w:val="007E4C22"/>
    <w:rsid w:val="007E69BB"/>
    <w:rsid w:val="007F16C3"/>
    <w:rsid w:val="007F23DA"/>
    <w:rsid w:val="007F4B5F"/>
    <w:rsid w:val="007F5695"/>
    <w:rsid w:val="007F729B"/>
    <w:rsid w:val="008000D8"/>
    <w:rsid w:val="00800DB8"/>
    <w:rsid w:val="00802524"/>
    <w:rsid w:val="00803B10"/>
    <w:rsid w:val="00804CE8"/>
    <w:rsid w:val="0080636D"/>
    <w:rsid w:val="00806674"/>
    <w:rsid w:val="0081038A"/>
    <w:rsid w:val="00810CFF"/>
    <w:rsid w:val="008120CD"/>
    <w:rsid w:val="00812196"/>
    <w:rsid w:val="00813909"/>
    <w:rsid w:val="00813A0D"/>
    <w:rsid w:val="00813FF5"/>
    <w:rsid w:val="00815B49"/>
    <w:rsid w:val="00820358"/>
    <w:rsid w:val="008208F2"/>
    <w:rsid w:val="00820D79"/>
    <w:rsid w:val="00821699"/>
    <w:rsid w:val="00822826"/>
    <w:rsid w:val="008242B8"/>
    <w:rsid w:val="0082503B"/>
    <w:rsid w:val="00825F5C"/>
    <w:rsid w:val="008266AC"/>
    <w:rsid w:val="00826C29"/>
    <w:rsid w:val="00830D69"/>
    <w:rsid w:val="008321D1"/>
    <w:rsid w:val="00832F09"/>
    <w:rsid w:val="00832F78"/>
    <w:rsid w:val="008345D8"/>
    <w:rsid w:val="0083621E"/>
    <w:rsid w:val="0084073D"/>
    <w:rsid w:val="008407A5"/>
    <w:rsid w:val="00842A11"/>
    <w:rsid w:val="0084306D"/>
    <w:rsid w:val="008444F7"/>
    <w:rsid w:val="008446CE"/>
    <w:rsid w:val="00845AA4"/>
    <w:rsid w:val="008462DA"/>
    <w:rsid w:val="00847275"/>
    <w:rsid w:val="00850F2C"/>
    <w:rsid w:val="00851049"/>
    <w:rsid w:val="00851272"/>
    <w:rsid w:val="0085179F"/>
    <w:rsid w:val="008520F1"/>
    <w:rsid w:val="008524E9"/>
    <w:rsid w:val="0085277F"/>
    <w:rsid w:val="008545F9"/>
    <w:rsid w:val="008549F6"/>
    <w:rsid w:val="00856105"/>
    <w:rsid w:val="008567A7"/>
    <w:rsid w:val="00857344"/>
    <w:rsid w:val="00857798"/>
    <w:rsid w:val="00857FEC"/>
    <w:rsid w:val="00860131"/>
    <w:rsid w:val="00861283"/>
    <w:rsid w:val="0086165E"/>
    <w:rsid w:val="00861D0D"/>
    <w:rsid w:val="00861E59"/>
    <w:rsid w:val="00862828"/>
    <w:rsid w:val="00862B0C"/>
    <w:rsid w:val="0086377B"/>
    <w:rsid w:val="00871081"/>
    <w:rsid w:val="008729EA"/>
    <w:rsid w:val="00872D62"/>
    <w:rsid w:val="00873450"/>
    <w:rsid w:val="008737BB"/>
    <w:rsid w:val="00873CB8"/>
    <w:rsid w:val="00875C2C"/>
    <w:rsid w:val="00876126"/>
    <w:rsid w:val="00876D20"/>
    <w:rsid w:val="00880269"/>
    <w:rsid w:val="00881254"/>
    <w:rsid w:val="00881F88"/>
    <w:rsid w:val="00882961"/>
    <w:rsid w:val="0088335F"/>
    <w:rsid w:val="008838E3"/>
    <w:rsid w:val="008848F8"/>
    <w:rsid w:val="00886BEA"/>
    <w:rsid w:val="00887309"/>
    <w:rsid w:val="008903E1"/>
    <w:rsid w:val="00891D4D"/>
    <w:rsid w:val="00894F88"/>
    <w:rsid w:val="008952A5"/>
    <w:rsid w:val="00897FD6"/>
    <w:rsid w:val="008A0762"/>
    <w:rsid w:val="008A0C9D"/>
    <w:rsid w:val="008A23A7"/>
    <w:rsid w:val="008A2790"/>
    <w:rsid w:val="008A29E3"/>
    <w:rsid w:val="008A368D"/>
    <w:rsid w:val="008A3B72"/>
    <w:rsid w:val="008A547A"/>
    <w:rsid w:val="008A5C3D"/>
    <w:rsid w:val="008A7047"/>
    <w:rsid w:val="008A7CA4"/>
    <w:rsid w:val="008B2931"/>
    <w:rsid w:val="008B2A01"/>
    <w:rsid w:val="008B45FE"/>
    <w:rsid w:val="008B4759"/>
    <w:rsid w:val="008B4D0D"/>
    <w:rsid w:val="008B5EBB"/>
    <w:rsid w:val="008B6576"/>
    <w:rsid w:val="008B7541"/>
    <w:rsid w:val="008B7764"/>
    <w:rsid w:val="008B7B9F"/>
    <w:rsid w:val="008C060C"/>
    <w:rsid w:val="008C100C"/>
    <w:rsid w:val="008C1854"/>
    <w:rsid w:val="008C3533"/>
    <w:rsid w:val="008C3AB5"/>
    <w:rsid w:val="008C5AB6"/>
    <w:rsid w:val="008C5CEE"/>
    <w:rsid w:val="008C6E74"/>
    <w:rsid w:val="008C702D"/>
    <w:rsid w:val="008C721E"/>
    <w:rsid w:val="008D16BF"/>
    <w:rsid w:val="008D2D74"/>
    <w:rsid w:val="008D31E6"/>
    <w:rsid w:val="008D33B3"/>
    <w:rsid w:val="008E0D7B"/>
    <w:rsid w:val="008E177A"/>
    <w:rsid w:val="008E1857"/>
    <w:rsid w:val="008E2151"/>
    <w:rsid w:val="008E29B6"/>
    <w:rsid w:val="008E4248"/>
    <w:rsid w:val="008F27EC"/>
    <w:rsid w:val="008F4CB3"/>
    <w:rsid w:val="008F52E1"/>
    <w:rsid w:val="008F69C6"/>
    <w:rsid w:val="008F7CBA"/>
    <w:rsid w:val="00900086"/>
    <w:rsid w:val="009013F1"/>
    <w:rsid w:val="0090212D"/>
    <w:rsid w:val="00905379"/>
    <w:rsid w:val="009073D9"/>
    <w:rsid w:val="00911079"/>
    <w:rsid w:val="00912009"/>
    <w:rsid w:val="00912804"/>
    <w:rsid w:val="00914688"/>
    <w:rsid w:val="00914AA4"/>
    <w:rsid w:val="00916518"/>
    <w:rsid w:val="00921636"/>
    <w:rsid w:val="009220DC"/>
    <w:rsid w:val="009239A4"/>
    <w:rsid w:val="00923C72"/>
    <w:rsid w:val="00924444"/>
    <w:rsid w:val="0092445F"/>
    <w:rsid w:val="00924CAF"/>
    <w:rsid w:val="00924E6C"/>
    <w:rsid w:val="009255E9"/>
    <w:rsid w:val="00925C1D"/>
    <w:rsid w:val="00926316"/>
    <w:rsid w:val="009319EF"/>
    <w:rsid w:val="009335E7"/>
    <w:rsid w:val="009357A0"/>
    <w:rsid w:val="00935D88"/>
    <w:rsid w:val="00936FF7"/>
    <w:rsid w:val="009376DA"/>
    <w:rsid w:val="00941323"/>
    <w:rsid w:val="0094155E"/>
    <w:rsid w:val="00941625"/>
    <w:rsid w:val="00941891"/>
    <w:rsid w:val="009427E1"/>
    <w:rsid w:val="009432E1"/>
    <w:rsid w:val="00943305"/>
    <w:rsid w:val="00946CA1"/>
    <w:rsid w:val="009472E6"/>
    <w:rsid w:val="00947AD4"/>
    <w:rsid w:val="009510E8"/>
    <w:rsid w:val="00951136"/>
    <w:rsid w:val="0095313F"/>
    <w:rsid w:val="00953711"/>
    <w:rsid w:val="00953CBA"/>
    <w:rsid w:val="009541A0"/>
    <w:rsid w:val="00960B87"/>
    <w:rsid w:val="0096169E"/>
    <w:rsid w:val="00963513"/>
    <w:rsid w:val="0096582E"/>
    <w:rsid w:val="0096774D"/>
    <w:rsid w:val="00970973"/>
    <w:rsid w:val="00970A3A"/>
    <w:rsid w:val="00970CCB"/>
    <w:rsid w:val="00973B0E"/>
    <w:rsid w:val="009745EF"/>
    <w:rsid w:val="00974D5A"/>
    <w:rsid w:val="00975627"/>
    <w:rsid w:val="009765A6"/>
    <w:rsid w:val="00977693"/>
    <w:rsid w:val="00982D3E"/>
    <w:rsid w:val="00982F41"/>
    <w:rsid w:val="00983C3B"/>
    <w:rsid w:val="00983E94"/>
    <w:rsid w:val="00985777"/>
    <w:rsid w:val="00985D64"/>
    <w:rsid w:val="00986125"/>
    <w:rsid w:val="0099194E"/>
    <w:rsid w:val="0099224D"/>
    <w:rsid w:val="00992F64"/>
    <w:rsid w:val="0099441F"/>
    <w:rsid w:val="00994E9A"/>
    <w:rsid w:val="00995E85"/>
    <w:rsid w:val="00997C1A"/>
    <w:rsid w:val="009A0A4C"/>
    <w:rsid w:val="009A2D0F"/>
    <w:rsid w:val="009A3F18"/>
    <w:rsid w:val="009A40EC"/>
    <w:rsid w:val="009A6B27"/>
    <w:rsid w:val="009A77B9"/>
    <w:rsid w:val="009A7B9A"/>
    <w:rsid w:val="009B081E"/>
    <w:rsid w:val="009B0DD3"/>
    <w:rsid w:val="009B2EEC"/>
    <w:rsid w:val="009B3898"/>
    <w:rsid w:val="009B3CD1"/>
    <w:rsid w:val="009B4195"/>
    <w:rsid w:val="009B4974"/>
    <w:rsid w:val="009B6258"/>
    <w:rsid w:val="009B6972"/>
    <w:rsid w:val="009B6D1A"/>
    <w:rsid w:val="009C033A"/>
    <w:rsid w:val="009C07F8"/>
    <w:rsid w:val="009C178C"/>
    <w:rsid w:val="009C1BBE"/>
    <w:rsid w:val="009C66F7"/>
    <w:rsid w:val="009D09A6"/>
    <w:rsid w:val="009D193D"/>
    <w:rsid w:val="009D2A11"/>
    <w:rsid w:val="009D4F1C"/>
    <w:rsid w:val="009D70C9"/>
    <w:rsid w:val="009E0D09"/>
    <w:rsid w:val="009E2801"/>
    <w:rsid w:val="009E2EFC"/>
    <w:rsid w:val="009E39CA"/>
    <w:rsid w:val="009E46B2"/>
    <w:rsid w:val="009E484F"/>
    <w:rsid w:val="009E4B39"/>
    <w:rsid w:val="009E618D"/>
    <w:rsid w:val="009E649B"/>
    <w:rsid w:val="009E67A3"/>
    <w:rsid w:val="009E68CE"/>
    <w:rsid w:val="009E74C3"/>
    <w:rsid w:val="009F1177"/>
    <w:rsid w:val="009F4D57"/>
    <w:rsid w:val="009F4F69"/>
    <w:rsid w:val="009F6479"/>
    <w:rsid w:val="009F78CD"/>
    <w:rsid w:val="009F79B0"/>
    <w:rsid w:val="00A01440"/>
    <w:rsid w:val="00A01CC5"/>
    <w:rsid w:val="00A028E6"/>
    <w:rsid w:val="00A04095"/>
    <w:rsid w:val="00A04F55"/>
    <w:rsid w:val="00A05270"/>
    <w:rsid w:val="00A068AC"/>
    <w:rsid w:val="00A0706A"/>
    <w:rsid w:val="00A105F7"/>
    <w:rsid w:val="00A10C98"/>
    <w:rsid w:val="00A11F8D"/>
    <w:rsid w:val="00A121FB"/>
    <w:rsid w:val="00A12DB9"/>
    <w:rsid w:val="00A13D81"/>
    <w:rsid w:val="00A21CA6"/>
    <w:rsid w:val="00A21E0D"/>
    <w:rsid w:val="00A21F27"/>
    <w:rsid w:val="00A232CB"/>
    <w:rsid w:val="00A26AAA"/>
    <w:rsid w:val="00A26DF1"/>
    <w:rsid w:val="00A306B9"/>
    <w:rsid w:val="00A3072F"/>
    <w:rsid w:val="00A3172E"/>
    <w:rsid w:val="00A32D30"/>
    <w:rsid w:val="00A34B88"/>
    <w:rsid w:val="00A3638E"/>
    <w:rsid w:val="00A36CD6"/>
    <w:rsid w:val="00A3781A"/>
    <w:rsid w:val="00A40564"/>
    <w:rsid w:val="00A405B4"/>
    <w:rsid w:val="00A423AD"/>
    <w:rsid w:val="00A42B13"/>
    <w:rsid w:val="00A43684"/>
    <w:rsid w:val="00A44362"/>
    <w:rsid w:val="00A45129"/>
    <w:rsid w:val="00A47F9B"/>
    <w:rsid w:val="00A51168"/>
    <w:rsid w:val="00A52F96"/>
    <w:rsid w:val="00A536EE"/>
    <w:rsid w:val="00A53CE9"/>
    <w:rsid w:val="00A5471C"/>
    <w:rsid w:val="00A5493C"/>
    <w:rsid w:val="00A54A07"/>
    <w:rsid w:val="00A55399"/>
    <w:rsid w:val="00A56962"/>
    <w:rsid w:val="00A57E3B"/>
    <w:rsid w:val="00A60ED5"/>
    <w:rsid w:val="00A6402D"/>
    <w:rsid w:val="00A64154"/>
    <w:rsid w:val="00A64A65"/>
    <w:rsid w:val="00A66159"/>
    <w:rsid w:val="00A674F5"/>
    <w:rsid w:val="00A71005"/>
    <w:rsid w:val="00A712E5"/>
    <w:rsid w:val="00A72A23"/>
    <w:rsid w:val="00A736AD"/>
    <w:rsid w:val="00A74046"/>
    <w:rsid w:val="00A74508"/>
    <w:rsid w:val="00A7524A"/>
    <w:rsid w:val="00A75FCC"/>
    <w:rsid w:val="00A766C5"/>
    <w:rsid w:val="00A80100"/>
    <w:rsid w:val="00A82943"/>
    <w:rsid w:val="00A838F9"/>
    <w:rsid w:val="00A83FAC"/>
    <w:rsid w:val="00A9069D"/>
    <w:rsid w:val="00A920D8"/>
    <w:rsid w:val="00A92F9A"/>
    <w:rsid w:val="00A93E6E"/>
    <w:rsid w:val="00A93F6A"/>
    <w:rsid w:val="00A94948"/>
    <w:rsid w:val="00A966BA"/>
    <w:rsid w:val="00A96CA5"/>
    <w:rsid w:val="00AA0EEB"/>
    <w:rsid w:val="00AA14EE"/>
    <w:rsid w:val="00AA2CFD"/>
    <w:rsid w:val="00AA6748"/>
    <w:rsid w:val="00AA7151"/>
    <w:rsid w:val="00AB3AE2"/>
    <w:rsid w:val="00AB3D98"/>
    <w:rsid w:val="00AB4718"/>
    <w:rsid w:val="00AB600B"/>
    <w:rsid w:val="00AB6DC0"/>
    <w:rsid w:val="00AB70B2"/>
    <w:rsid w:val="00AB7350"/>
    <w:rsid w:val="00AC009E"/>
    <w:rsid w:val="00AC0AB2"/>
    <w:rsid w:val="00AC12F9"/>
    <w:rsid w:val="00AC1BC7"/>
    <w:rsid w:val="00AC262F"/>
    <w:rsid w:val="00AC2705"/>
    <w:rsid w:val="00AC4204"/>
    <w:rsid w:val="00AC592E"/>
    <w:rsid w:val="00AC5972"/>
    <w:rsid w:val="00AC6BD6"/>
    <w:rsid w:val="00AD17BA"/>
    <w:rsid w:val="00AD2453"/>
    <w:rsid w:val="00AD2869"/>
    <w:rsid w:val="00AD323A"/>
    <w:rsid w:val="00AD3B6A"/>
    <w:rsid w:val="00AD3B75"/>
    <w:rsid w:val="00AD5843"/>
    <w:rsid w:val="00AD6149"/>
    <w:rsid w:val="00AD657A"/>
    <w:rsid w:val="00AE4146"/>
    <w:rsid w:val="00AE4CEA"/>
    <w:rsid w:val="00AE5745"/>
    <w:rsid w:val="00AE7FFA"/>
    <w:rsid w:val="00AF23E2"/>
    <w:rsid w:val="00AF405C"/>
    <w:rsid w:val="00B00499"/>
    <w:rsid w:val="00B00C61"/>
    <w:rsid w:val="00B026DB"/>
    <w:rsid w:val="00B03560"/>
    <w:rsid w:val="00B044E8"/>
    <w:rsid w:val="00B04DC0"/>
    <w:rsid w:val="00B05076"/>
    <w:rsid w:val="00B06CBA"/>
    <w:rsid w:val="00B10BBF"/>
    <w:rsid w:val="00B129F9"/>
    <w:rsid w:val="00B13710"/>
    <w:rsid w:val="00B1635D"/>
    <w:rsid w:val="00B16B9E"/>
    <w:rsid w:val="00B21D9E"/>
    <w:rsid w:val="00B21F4D"/>
    <w:rsid w:val="00B22164"/>
    <w:rsid w:val="00B23445"/>
    <w:rsid w:val="00B24468"/>
    <w:rsid w:val="00B252C0"/>
    <w:rsid w:val="00B2594C"/>
    <w:rsid w:val="00B30D70"/>
    <w:rsid w:val="00B3119A"/>
    <w:rsid w:val="00B34594"/>
    <w:rsid w:val="00B34668"/>
    <w:rsid w:val="00B35A50"/>
    <w:rsid w:val="00B36031"/>
    <w:rsid w:val="00B37276"/>
    <w:rsid w:val="00B4092A"/>
    <w:rsid w:val="00B40F6E"/>
    <w:rsid w:val="00B41284"/>
    <w:rsid w:val="00B42A09"/>
    <w:rsid w:val="00B45973"/>
    <w:rsid w:val="00B460E9"/>
    <w:rsid w:val="00B461BE"/>
    <w:rsid w:val="00B46E46"/>
    <w:rsid w:val="00B54A29"/>
    <w:rsid w:val="00B56389"/>
    <w:rsid w:val="00B575A8"/>
    <w:rsid w:val="00B61F43"/>
    <w:rsid w:val="00B62649"/>
    <w:rsid w:val="00B62BAF"/>
    <w:rsid w:val="00B63399"/>
    <w:rsid w:val="00B65E1D"/>
    <w:rsid w:val="00B73184"/>
    <w:rsid w:val="00B74645"/>
    <w:rsid w:val="00B748DE"/>
    <w:rsid w:val="00B75291"/>
    <w:rsid w:val="00B75A21"/>
    <w:rsid w:val="00B76950"/>
    <w:rsid w:val="00B77B4C"/>
    <w:rsid w:val="00B807FA"/>
    <w:rsid w:val="00B80C48"/>
    <w:rsid w:val="00B8131E"/>
    <w:rsid w:val="00B826F9"/>
    <w:rsid w:val="00B827AF"/>
    <w:rsid w:val="00B82CA2"/>
    <w:rsid w:val="00B83E53"/>
    <w:rsid w:val="00B840C9"/>
    <w:rsid w:val="00B85D70"/>
    <w:rsid w:val="00B85DF2"/>
    <w:rsid w:val="00B8636A"/>
    <w:rsid w:val="00B874B7"/>
    <w:rsid w:val="00B91947"/>
    <w:rsid w:val="00B92829"/>
    <w:rsid w:val="00B92B76"/>
    <w:rsid w:val="00B93549"/>
    <w:rsid w:val="00B93782"/>
    <w:rsid w:val="00B93B77"/>
    <w:rsid w:val="00B9472F"/>
    <w:rsid w:val="00B9680A"/>
    <w:rsid w:val="00B96FDD"/>
    <w:rsid w:val="00BA0CB7"/>
    <w:rsid w:val="00BA193D"/>
    <w:rsid w:val="00BA1BA9"/>
    <w:rsid w:val="00BA37B6"/>
    <w:rsid w:val="00BA387F"/>
    <w:rsid w:val="00BA459E"/>
    <w:rsid w:val="00BA652B"/>
    <w:rsid w:val="00BA762B"/>
    <w:rsid w:val="00BA770D"/>
    <w:rsid w:val="00BB066B"/>
    <w:rsid w:val="00BB07D8"/>
    <w:rsid w:val="00BB0CB0"/>
    <w:rsid w:val="00BB25C9"/>
    <w:rsid w:val="00BB318C"/>
    <w:rsid w:val="00BB383C"/>
    <w:rsid w:val="00BB4163"/>
    <w:rsid w:val="00BB4A1C"/>
    <w:rsid w:val="00BB57FF"/>
    <w:rsid w:val="00BB7020"/>
    <w:rsid w:val="00BB7959"/>
    <w:rsid w:val="00BC1744"/>
    <w:rsid w:val="00BC2E23"/>
    <w:rsid w:val="00BC4A05"/>
    <w:rsid w:val="00BC4A93"/>
    <w:rsid w:val="00BC4E07"/>
    <w:rsid w:val="00BC50AD"/>
    <w:rsid w:val="00BC58CF"/>
    <w:rsid w:val="00BC5DEA"/>
    <w:rsid w:val="00BC6919"/>
    <w:rsid w:val="00BC7774"/>
    <w:rsid w:val="00BD0388"/>
    <w:rsid w:val="00BD08F0"/>
    <w:rsid w:val="00BD18AE"/>
    <w:rsid w:val="00BD1CEA"/>
    <w:rsid w:val="00BD2CC5"/>
    <w:rsid w:val="00BD2F6B"/>
    <w:rsid w:val="00BD3C28"/>
    <w:rsid w:val="00BD3CA9"/>
    <w:rsid w:val="00BD604A"/>
    <w:rsid w:val="00BD6ADE"/>
    <w:rsid w:val="00BD75F4"/>
    <w:rsid w:val="00BE1554"/>
    <w:rsid w:val="00BE2C4C"/>
    <w:rsid w:val="00BE3058"/>
    <w:rsid w:val="00BE4B56"/>
    <w:rsid w:val="00BE64BF"/>
    <w:rsid w:val="00BE67D4"/>
    <w:rsid w:val="00BE6A49"/>
    <w:rsid w:val="00BE749D"/>
    <w:rsid w:val="00BE75F2"/>
    <w:rsid w:val="00BE76E1"/>
    <w:rsid w:val="00BF00EF"/>
    <w:rsid w:val="00BF021A"/>
    <w:rsid w:val="00BF048C"/>
    <w:rsid w:val="00BF0C81"/>
    <w:rsid w:val="00BF2276"/>
    <w:rsid w:val="00BF35FE"/>
    <w:rsid w:val="00BF4B7C"/>
    <w:rsid w:val="00BF5FFB"/>
    <w:rsid w:val="00BF6946"/>
    <w:rsid w:val="00BF735A"/>
    <w:rsid w:val="00C0173F"/>
    <w:rsid w:val="00C032B7"/>
    <w:rsid w:val="00C073FE"/>
    <w:rsid w:val="00C105E7"/>
    <w:rsid w:val="00C108FC"/>
    <w:rsid w:val="00C134FB"/>
    <w:rsid w:val="00C14A0C"/>
    <w:rsid w:val="00C14CE4"/>
    <w:rsid w:val="00C15899"/>
    <w:rsid w:val="00C164D1"/>
    <w:rsid w:val="00C17C2E"/>
    <w:rsid w:val="00C2091A"/>
    <w:rsid w:val="00C23EE5"/>
    <w:rsid w:val="00C258E3"/>
    <w:rsid w:val="00C26A31"/>
    <w:rsid w:val="00C271E3"/>
    <w:rsid w:val="00C3058F"/>
    <w:rsid w:val="00C30E31"/>
    <w:rsid w:val="00C31025"/>
    <w:rsid w:val="00C312B4"/>
    <w:rsid w:val="00C3171C"/>
    <w:rsid w:val="00C32267"/>
    <w:rsid w:val="00C32A89"/>
    <w:rsid w:val="00C34B4D"/>
    <w:rsid w:val="00C357E6"/>
    <w:rsid w:val="00C36308"/>
    <w:rsid w:val="00C37025"/>
    <w:rsid w:val="00C37E84"/>
    <w:rsid w:val="00C406B4"/>
    <w:rsid w:val="00C406D5"/>
    <w:rsid w:val="00C4148C"/>
    <w:rsid w:val="00C420CB"/>
    <w:rsid w:val="00C43D96"/>
    <w:rsid w:val="00C440C6"/>
    <w:rsid w:val="00C455B8"/>
    <w:rsid w:val="00C5423F"/>
    <w:rsid w:val="00C5538E"/>
    <w:rsid w:val="00C55A89"/>
    <w:rsid w:val="00C5625B"/>
    <w:rsid w:val="00C60298"/>
    <w:rsid w:val="00C6064D"/>
    <w:rsid w:val="00C67373"/>
    <w:rsid w:val="00C71744"/>
    <w:rsid w:val="00C71DC0"/>
    <w:rsid w:val="00C728F9"/>
    <w:rsid w:val="00C73A1E"/>
    <w:rsid w:val="00C73FAD"/>
    <w:rsid w:val="00C74174"/>
    <w:rsid w:val="00C74545"/>
    <w:rsid w:val="00C75D39"/>
    <w:rsid w:val="00C76248"/>
    <w:rsid w:val="00C76AF9"/>
    <w:rsid w:val="00C76FFA"/>
    <w:rsid w:val="00C77CF0"/>
    <w:rsid w:val="00C80144"/>
    <w:rsid w:val="00C80F05"/>
    <w:rsid w:val="00C82FB6"/>
    <w:rsid w:val="00C83EF1"/>
    <w:rsid w:val="00C85D8B"/>
    <w:rsid w:val="00C86D1E"/>
    <w:rsid w:val="00C86F31"/>
    <w:rsid w:val="00C91AC7"/>
    <w:rsid w:val="00C91BAC"/>
    <w:rsid w:val="00C91C44"/>
    <w:rsid w:val="00C92805"/>
    <w:rsid w:val="00C93226"/>
    <w:rsid w:val="00C94ECC"/>
    <w:rsid w:val="00C961C2"/>
    <w:rsid w:val="00C9640A"/>
    <w:rsid w:val="00C96E29"/>
    <w:rsid w:val="00CA2F61"/>
    <w:rsid w:val="00CA4325"/>
    <w:rsid w:val="00CB0655"/>
    <w:rsid w:val="00CB075D"/>
    <w:rsid w:val="00CB0813"/>
    <w:rsid w:val="00CB106C"/>
    <w:rsid w:val="00CB1BDF"/>
    <w:rsid w:val="00CB2332"/>
    <w:rsid w:val="00CB49DB"/>
    <w:rsid w:val="00CB604C"/>
    <w:rsid w:val="00CB7798"/>
    <w:rsid w:val="00CB7D91"/>
    <w:rsid w:val="00CC41BB"/>
    <w:rsid w:val="00CC420C"/>
    <w:rsid w:val="00CC4D57"/>
    <w:rsid w:val="00CC536B"/>
    <w:rsid w:val="00CC6479"/>
    <w:rsid w:val="00CC6691"/>
    <w:rsid w:val="00CC71C7"/>
    <w:rsid w:val="00CD067D"/>
    <w:rsid w:val="00CD16E6"/>
    <w:rsid w:val="00CD1CBB"/>
    <w:rsid w:val="00CD57EE"/>
    <w:rsid w:val="00CD6364"/>
    <w:rsid w:val="00CE0B9D"/>
    <w:rsid w:val="00CE1ACB"/>
    <w:rsid w:val="00CE1FDA"/>
    <w:rsid w:val="00CE2450"/>
    <w:rsid w:val="00CE3A77"/>
    <w:rsid w:val="00CE66C6"/>
    <w:rsid w:val="00CE6C48"/>
    <w:rsid w:val="00CE7B02"/>
    <w:rsid w:val="00CE7D43"/>
    <w:rsid w:val="00CF1423"/>
    <w:rsid w:val="00CF309B"/>
    <w:rsid w:val="00CF3691"/>
    <w:rsid w:val="00CF4909"/>
    <w:rsid w:val="00CF73E5"/>
    <w:rsid w:val="00D000E4"/>
    <w:rsid w:val="00D01203"/>
    <w:rsid w:val="00D01410"/>
    <w:rsid w:val="00D01EC2"/>
    <w:rsid w:val="00D02992"/>
    <w:rsid w:val="00D03407"/>
    <w:rsid w:val="00D04B0E"/>
    <w:rsid w:val="00D051CF"/>
    <w:rsid w:val="00D06A80"/>
    <w:rsid w:val="00D104E1"/>
    <w:rsid w:val="00D11937"/>
    <w:rsid w:val="00D11C15"/>
    <w:rsid w:val="00D1278A"/>
    <w:rsid w:val="00D156CC"/>
    <w:rsid w:val="00D165C1"/>
    <w:rsid w:val="00D165E6"/>
    <w:rsid w:val="00D21445"/>
    <w:rsid w:val="00D232A8"/>
    <w:rsid w:val="00D24501"/>
    <w:rsid w:val="00D276CC"/>
    <w:rsid w:val="00D30B2D"/>
    <w:rsid w:val="00D30B78"/>
    <w:rsid w:val="00D31930"/>
    <w:rsid w:val="00D330F3"/>
    <w:rsid w:val="00D333B6"/>
    <w:rsid w:val="00D337F3"/>
    <w:rsid w:val="00D3451E"/>
    <w:rsid w:val="00D34E41"/>
    <w:rsid w:val="00D351D1"/>
    <w:rsid w:val="00D35D4D"/>
    <w:rsid w:val="00D418D6"/>
    <w:rsid w:val="00D41B4E"/>
    <w:rsid w:val="00D421A1"/>
    <w:rsid w:val="00D43616"/>
    <w:rsid w:val="00D43E21"/>
    <w:rsid w:val="00D4500B"/>
    <w:rsid w:val="00D45853"/>
    <w:rsid w:val="00D468AB"/>
    <w:rsid w:val="00D46C3B"/>
    <w:rsid w:val="00D46E89"/>
    <w:rsid w:val="00D47A7A"/>
    <w:rsid w:val="00D507A6"/>
    <w:rsid w:val="00D5090B"/>
    <w:rsid w:val="00D50ACB"/>
    <w:rsid w:val="00D50B3A"/>
    <w:rsid w:val="00D51226"/>
    <w:rsid w:val="00D51936"/>
    <w:rsid w:val="00D5352F"/>
    <w:rsid w:val="00D5489D"/>
    <w:rsid w:val="00D549AB"/>
    <w:rsid w:val="00D55B71"/>
    <w:rsid w:val="00D57441"/>
    <w:rsid w:val="00D62780"/>
    <w:rsid w:val="00D6302A"/>
    <w:rsid w:val="00D64EC8"/>
    <w:rsid w:val="00D65B92"/>
    <w:rsid w:val="00D67553"/>
    <w:rsid w:val="00D705B3"/>
    <w:rsid w:val="00D73046"/>
    <w:rsid w:val="00D73B6C"/>
    <w:rsid w:val="00D755E5"/>
    <w:rsid w:val="00D803D0"/>
    <w:rsid w:val="00D805C2"/>
    <w:rsid w:val="00D820B4"/>
    <w:rsid w:val="00D824DF"/>
    <w:rsid w:val="00D8255C"/>
    <w:rsid w:val="00D82A73"/>
    <w:rsid w:val="00D83DF9"/>
    <w:rsid w:val="00D846BF"/>
    <w:rsid w:val="00D85108"/>
    <w:rsid w:val="00D862CF"/>
    <w:rsid w:val="00D874BA"/>
    <w:rsid w:val="00D91161"/>
    <w:rsid w:val="00D9667A"/>
    <w:rsid w:val="00D97583"/>
    <w:rsid w:val="00D97B5E"/>
    <w:rsid w:val="00D97D32"/>
    <w:rsid w:val="00DA21C5"/>
    <w:rsid w:val="00DA2781"/>
    <w:rsid w:val="00DA2BDC"/>
    <w:rsid w:val="00DA2D99"/>
    <w:rsid w:val="00DA33B4"/>
    <w:rsid w:val="00DA3FAF"/>
    <w:rsid w:val="00DA4359"/>
    <w:rsid w:val="00DA45BB"/>
    <w:rsid w:val="00DA6248"/>
    <w:rsid w:val="00DA6CBF"/>
    <w:rsid w:val="00DB097F"/>
    <w:rsid w:val="00DB1EC0"/>
    <w:rsid w:val="00DB208E"/>
    <w:rsid w:val="00DB3B9D"/>
    <w:rsid w:val="00DB41CE"/>
    <w:rsid w:val="00DB42C4"/>
    <w:rsid w:val="00DB43A7"/>
    <w:rsid w:val="00DB58DF"/>
    <w:rsid w:val="00DB59E8"/>
    <w:rsid w:val="00DB6FF6"/>
    <w:rsid w:val="00DB7587"/>
    <w:rsid w:val="00DC0132"/>
    <w:rsid w:val="00DC1C94"/>
    <w:rsid w:val="00DC1FAD"/>
    <w:rsid w:val="00DC3942"/>
    <w:rsid w:val="00DC4336"/>
    <w:rsid w:val="00DC4DF7"/>
    <w:rsid w:val="00DC5942"/>
    <w:rsid w:val="00DC5E19"/>
    <w:rsid w:val="00DC62B6"/>
    <w:rsid w:val="00DC6960"/>
    <w:rsid w:val="00DC7489"/>
    <w:rsid w:val="00DC78A3"/>
    <w:rsid w:val="00DC7EAD"/>
    <w:rsid w:val="00DD0B59"/>
    <w:rsid w:val="00DD0B7E"/>
    <w:rsid w:val="00DD194F"/>
    <w:rsid w:val="00DD2EE0"/>
    <w:rsid w:val="00DD57A0"/>
    <w:rsid w:val="00DD5888"/>
    <w:rsid w:val="00DD59E0"/>
    <w:rsid w:val="00DD63BD"/>
    <w:rsid w:val="00DE0335"/>
    <w:rsid w:val="00DE0B70"/>
    <w:rsid w:val="00DE2291"/>
    <w:rsid w:val="00DE3B20"/>
    <w:rsid w:val="00DE4100"/>
    <w:rsid w:val="00DE42C6"/>
    <w:rsid w:val="00DE6556"/>
    <w:rsid w:val="00DE7151"/>
    <w:rsid w:val="00DF0079"/>
    <w:rsid w:val="00DF0509"/>
    <w:rsid w:val="00DF517D"/>
    <w:rsid w:val="00DF6F93"/>
    <w:rsid w:val="00DF7DDE"/>
    <w:rsid w:val="00E01B2E"/>
    <w:rsid w:val="00E0206E"/>
    <w:rsid w:val="00E02B19"/>
    <w:rsid w:val="00E03EC6"/>
    <w:rsid w:val="00E04261"/>
    <w:rsid w:val="00E05F30"/>
    <w:rsid w:val="00E06E98"/>
    <w:rsid w:val="00E102F1"/>
    <w:rsid w:val="00E10756"/>
    <w:rsid w:val="00E11E8E"/>
    <w:rsid w:val="00E13002"/>
    <w:rsid w:val="00E13010"/>
    <w:rsid w:val="00E13537"/>
    <w:rsid w:val="00E13631"/>
    <w:rsid w:val="00E17BD7"/>
    <w:rsid w:val="00E20450"/>
    <w:rsid w:val="00E2283A"/>
    <w:rsid w:val="00E25D1A"/>
    <w:rsid w:val="00E27405"/>
    <w:rsid w:val="00E30948"/>
    <w:rsid w:val="00E32471"/>
    <w:rsid w:val="00E33A0D"/>
    <w:rsid w:val="00E33FB6"/>
    <w:rsid w:val="00E345B0"/>
    <w:rsid w:val="00E347D2"/>
    <w:rsid w:val="00E34CF6"/>
    <w:rsid w:val="00E35B78"/>
    <w:rsid w:val="00E36605"/>
    <w:rsid w:val="00E4018A"/>
    <w:rsid w:val="00E40BA3"/>
    <w:rsid w:val="00E41236"/>
    <w:rsid w:val="00E45CA3"/>
    <w:rsid w:val="00E45CEC"/>
    <w:rsid w:val="00E473DF"/>
    <w:rsid w:val="00E5052D"/>
    <w:rsid w:val="00E516F5"/>
    <w:rsid w:val="00E535C0"/>
    <w:rsid w:val="00E55439"/>
    <w:rsid w:val="00E600CF"/>
    <w:rsid w:val="00E602FB"/>
    <w:rsid w:val="00E60734"/>
    <w:rsid w:val="00E6121E"/>
    <w:rsid w:val="00E619D4"/>
    <w:rsid w:val="00E627A0"/>
    <w:rsid w:val="00E66260"/>
    <w:rsid w:val="00E67889"/>
    <w:rsid w:val="00E70483"/>
    <w:rsid w:val="00E731CE"/>
    <w:rsid w:val="00E75964"/>
    <w:rsid w:val="00E7597B"/>
    <w:rsid w:val="00E75B32"/>
    <w:rsid w:val="00E82701"/>
    <w:rsid w:val="00E833BB"/>
    <w:rsid w:val="00E8349A"/>
    <w:rsid w:val="00E83A0C"/>
    <w:rsid w:val="00E83AFC"/>
    <w:rsid w:val="00E84006"/>
    <w:rsid w:val="00E840D4"/>
    <w:rsid w:val="00E8491F"/>
    <w:rsid w:val="00E8579F"/>
    <w:rsid w:val="00E8599A"/>
    <w:rsid w:val="00E863F4"/>
    <w:rsid w:val="00E86875"/>
    <w:rsid w:val="00E910F9"/>
    <w:rsid w:val="00E925B9"/>
    <w:rsid w:val="00E93B37"/>
    <w:rsid w:val="00E94881"/>
    <w:rsid w:val="00E94E11"/>
    <w:rsid w:val="00E977A6"/>
    <w:rsid w:val="00E979BF"/>
    <w:rsid w:val="00EA05E1"/>
    <w:rsid w:val="00EA0797"/>
    <w:rsid w:val="00EA1E90"/>
    <w:rsid w:val="00EA29C3"/>
    <w:rsid w:val="00EA44DE"/>
    <w:rsid w:val="00EA649D"/>
    <w:rsid w:val="00EA6BA7"/>
    <w:rsid w:val="00EB002E"/>
    <w:rsid w:val="00EB014A"/>
    <w:rsid w:val="00EB14A9"/>
    <w:rsid w:val="00EB1BCB"/>
    <w:rsid w:val="00EB1DA9"/>
    <w:rsid w:val="00EB31ED"/>
    <w:rsid w:val="00EB3794"/>
    <w:rsid w:val="00EB403B"/>
    <w:rsid w:val="00EB5BD7"/>
    <w:rsid w:val="00EB61A9"/>
    <w:rsid w:val="00EB6261"/>
    <w:rsid w:val="00EB79BE"/>
    <w:rsid w:val="00EC3877"/>
    <w:rsid w:val="00EC5B1B"/>
    <w:rsid w:val="00EC6047"/>
    <w:rsid w:val="00EC60CF"/>
    <w:rsid w:val="00EC6E35"/>
    <w:rsid w:val="00ED0641"/>
    <w:rsid w:val="00ED2246"/>
    <w:rsid w:val="00ED25CA"/>
    <w:rsid w:val="00ED5A21"/>
    <w:rsid w:val="00ED62DF"/>
    <w:rsid w:val="00EE00DF"/>
    <w:rsid w:val="00EE2278"/>
    <w:rsid w:val="00EE3149"/>
    <w:rsid w:val="00EE3CC5"/>
    <w:rsid w:val="00EE4CC5"/>
    <w:rsid w:val="00EE5B98"/>
    <w:rsid w:val="00EE6E47"/>
    <w:rsid w:val="00EE7073"/>
    <w:rsid w:val="00EF010B"/>
    <w:rsid w:val="00EF050D"/>
    <w:rsid w:val="00EF1A60"/>
    <w:rsid w:val="00EF1DDF"/>
    <w:rsid w:val="00EF211A"/>
    <w:rsid w:val="00EF244D"/>
    <w:rsid w:val="00EF28C3"/>
    <w:rsid w:val="00EF3106"/>
    <w:rsid w:val="00EF5360"/>
    <w:rsid w:val="00EF6393"/>
    <w:rsid w:val="00EF69F6"/>
    <w:rsid w:val="00EF7725"/>
    <w:rsid w:val="00EF7B35"/>
    <w:rsid w:val="00F00240"/>
    <w:rsid w:val="00F0159C"/>
    <w:rsid w:val="00F026D1"/>
    <w:rsid w:val="00F02F1A"/>
    <w:rsid w:val="00F03870"/>
    <w:rsid w:val="00F0481B"/>
    <w:rsid w:val="00F0672B"/>
    <w:rsid w:val="00F104BF"/>
    <w:rsid w:val="00F11734"/>
    <w:rsid w:val="00F12A98"/>
    <w:rsid w:val="00F12D53"/>
    <w:rsid w:val="00F139B8"/>
    <w:rsid w:val="00F17C45"/>
    <w:rsid w:val="00F2037E"/>
    <w:rsid w:val="00F20A8F"/>
    <w:rsid w:val="00F21371"/>
    <w:rsid w:val="00F239BD"/>
    <w:rsid w:val="00F24933"/>
    <w:rsid w:val="00F24DCE"/>
    <w:rsid w:val="00F25D83"/>
    <w:rsid w:val="00F26717"/>
    <w:rsid w:val="00F271B2"/>
    <w:rsid w:val="00F30080"/>
    <w:rsid w:val="00F32EAB"/>
    <w:rsid w:val="00F3385E"/>
    <w:rsid w:val="00F34D80"/>
    <w:rsid w:val="00F34E2F"/>
    <w:rsid w:val="00F36A83"/>
    <w:rsid w:val="00F43411"/>
    <w:rsid w:val="00F43DB3"/>
    <w:rsid w:val="00F45506"/>
    <w:rsid w:val="00F45918"/>
    <w:rsid w:val="00F46A32"/>
    <w:rsid w:val="00F50377"/>
    <w:rsid w:val="00F5152E"/>
    <w:rsid w:val="00F52340"/>
    <w:rsid w:val="00F54C40"/>
    <w:rsid w:val="00F56C4E"/>
    <w:rsid w:val="00F573FD"/>
    <w:rsid w:val="00F57A5F"/>
    <w:rsid w:val="00F6189E"/>
    <w:rsid w:val="00F6313F"/>
    <w:rsid w:val="00F6578A"/>
    <w:rsid w:val="00F6656C"/>
    <w:rsid w:val="00F66B27"/>
    <w:rsid w:val="00F675D1"/>
    <w:rsid w:val="00F707A6"/>
    <w:rsid w:val="00F721CA"/>
    <w:rsid w:val="00F7454C"/>
    <w:rsid w:val="00F75B8F"/>
    <w:rsid w:val="00F77C4C"/>
    <w:rsid w:val="00F80690"/>
    <w:rsid w:val="00F8155E"/>
    <w:rsid w:val="00F82F7C"/>
    <w:rsid w:val="00F8392F"/>
    <w:rsid w:val="00F84274"/>
    <w:rsid w:val="00F8458B"/>
    <w:rsid w:val="00F86F9D"/>
    <w:rsid w:val="00F879A5"/>
    <w:rsid w:val="00F91152"/>
    <w:rsid w:val="00F911A7"/>
    <w:rsid w:val="00F94318"/>
    <w:rsid w:val="00F945F5"/>
    <w:rsid w:val="00F9714B"/>
    <w:rsid w:val="00F97FD8"/>
    <w:rsid w:val="00FA06BC"/>
    <w:rsid w:val="00FA0A6A"/>
    <w:rsid w:val="00FA13AD"/>
    <w:rsid w:val="00FA1CF9"/>
    <w:rsid w:val="00FA25EE"/>
    <w:rsid w:val="00FA2A24"/>
    <w:rsid w:val="00FA429B"/>
    <w:rsid w:val="00FA6A45"/>
    <w:rsid w:val="00FA77A9"/>
    <w:rsid w:val="00FB0B75"/>
    <w:rsid w:val="00FB200A"/>
    <w:rsid w:val="00FB36C7"/>
    <w:rsid w:val="00FB38A6"/>
    <w:rsid w:val="00FB515B"/>
    <w:rsid w:val="00FB5D62"/>
    <w:rsid w:val="00FB6833"/>
    <w:rsid w:val="00FB6ECC"/>
    <w:rsid w:val="00FB6F05"/>
    <w:rsid w:val="00FC2745"/>
    <w:rsid w:val="00FC2F11"/>
    <w:rsid w:val="00FC2F74"/>
    <w:rsid w:val="00FC4BA8"/>
    <w:rsid w:val="00FC5964"/>
    <w:rsid w:val="00FC5E7D"/>
    <w:rsid w:val="00FD025C"/>
    <w:rsid w:val="00FD1065"/>
    <w:rsid w:val="00FD2BDC"/>
    <w:rsid w:val="00FD3ADE"/>
    <w:rsid w:val="00FD3E58"/>
    <w:rsid w:val="00FD7AFB"/>
    <w:rsid w:val="00FE2A6F"/>
    <w:rsid w:val="00FE45E8"/>
    <w:rsid w:val="00FE4B74"/>
    <w:rsid w:val="00FE4F10"/>
    <w:rsid w:val="00FE5AF0"/>
    <w:rsid w:val="00FE5FD3"/>
    <w:rsid w:val="00FE6941"/>
    <w:rsid w:val="00FE6AB3"/>
    <w:rsid w:val="00FE6F99"/>
    <w:rsid w:val="00FF014E"/>
    <w:rsid w:val="00FF19F5"/>
    <w:rsid w:val="00FF1DBD"/>
    <w:rsid w:val="00FF3B38"/>
    <w:rsid w:val="00FF4DF6"/>
    <w:rsid w:val="00FF7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963F2"/>
  <w15:docId w15:val="{2140F162-DB11-E141-B715-CDD0E959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64"/>
  </w:style>
  <w:style w:type="paragraph" w:styleId="Heading1">
    <w:name w:val="heading 1"/>
    <w:basedOn w:val="Normal"/>
    <w:next w:val="Normal"/>
    <w:link w:val="Heading1Char"/>
    <w:uiPriority w:val="9"/>
    <w:qFormat/>
    <w:rsid w:val="005D6978"/>
    <w:pPr>
      <w:keepNext/>
      <w:keepLines/>
      <w:spacing w:after="0" w:line="240" w:lineRule="auto"/>
      <w:outlineLvl w:val="0"/>
    </w:pPr>
    <w:rPr>
      <w:rFonts w:eastAsiaTheme="majorEastAsia" w:cstheme="majorBidi"/>
      <w:b/>
      <w:color w:val="2E74B5" w:themeColor="accent5" w:themeShade="BF"/>
      <w:sz w:val="28"/>
      <w:szCs w:val="28"/>
      <w:lang w:val="en-US"/>
    </w:rPr>
  </w:style>
  <w:style w:type="paragraph" w:styleId="Heading2">
    <w:name w:val="heading 2"/>
    <w:basedOn w:val="Normal"/>
    <w:next w:val="Normal"/>
    <w:link w:val="Heading2Char"/>
    <w:uiPriority w:val="9"/>
    <w:unhideWhenUsed/>
    <w:qFormat/>
    <w:rsid w:val="002F5D2C"/>
    <w:pPr>
      <w:spacing w:before="100" w:beforeAutospacing="1" w:after="100" w:afterAutospacing="1" w:line="276" w:lineRule="auto"/>
      <w:jc w:val="both"/>
      <w:outlineLvl w:val="1"/>
    </w:pPr>
    <w:rPr>
      <w:b/>
      <w:color w:val="00B0F0"/>
      <w:sz w:val="26"/>
      <w:szCs w:val="26"/>
    </w:rPr>
  </w:style>
  <w:style w:type="paragraph" w:styleId="Heading3">
    <w:name w:val="heading 3"/>
    <w:basedOn w:val="Normal"/>
    <w:link w:val="Heading3Char"/>
    <w:uiPriority w:val="9"/>
    <w:qFormat/>
    <w:rsid w:val="00431085"/>
    <w:pPr>
      <w:spacing w:before="100" w:beforeAutospacing="1" w:after="0" w:line="240" w:lineRule="auto"/>
      <w:outlineLvl w:val="2"/>
    </w:pPr>
    <w:rPr>
      <w:rFonts w:eastAsia="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084E"/>
    <w:pPr>
      <w:spacing w:after="0" w:line="240" w:lineRule="auto"/>
    </w:pPr>
    <w:rPr>
      <w:sz w:val="20"/>
      <w:szCs w:val="20"/>
    </w:rPr>
  </w:style>
  <w:style w:type="character" w:customStyle="1" w:styleId="FootnoteTextChar">
    <w:name w:val="Footnote Text Char"/>
    <w:basedOn w:val="DefaultParagraphFont"/>
    <w:link w:val="FootnoteText"/>
    <w:uiPriority w:val="99"/>
    <w:rsid w:val="007D084E"/>
    <w:rPr>
      <w:sz w:val="20"/>
      <w:szCs w:val="20"/>
    </w:rPr>
  </w:style>
  <w:style w:type="character" w:styleId="FootnoteReference">
    <w:name w:val="footnote reference"/>
    <w:basedOn w:val="DefaultParagraphFont"/>
    <w:uiPriority w:val="99"/>
    <w:semiHidden/>
    <w:unhideWhenUsed/>
    <w:rsid w:val="007D084E"/>
    <w:rPr>
      <w:vertAlign w:val="superscript"/>
    </w:rPr>
  </w:style>
  <w:style w:type="character" w:customStyle="1" w:styleId="Heading3Char">
    <w:name w:val="Heading 3 Char"/>
    <w:basedOn w:val="DefaultParagraphFont"/>
    <w:link w:val="Heading3"/>
    <w:uiPriority w:val="9"/>
    <w:rsid w:val="00431085"/>
    <w:rPr>
      <w:rFonts w:eastAsia="Times New Roman" w:cs="Times New Roman"/>
      <w:b/>
      <w:bCs/>
      <w:sz w:val="24"/>
      <w:szCs w:val="24"/>
      <w:lang w:eastAsia="en-GB"/>
    </w:rPr>
  </w:style>
  <w:style w:type="paragraph" w:customStyle="1" w:styleId="ContinCol">
    <w:name w:val="Contin Col"/>
    <w:basedOn w:val="Normal"/>
    <w:next w:val="Normal"/>
    <w:uiPriority w:val="99"/>
    <w:rsid w:val="001C3106"/>
    <w:pPr>
      <w:widowControl w:val="0"/>
      <w:autoSpaceDE w:val="0"/>
      <w:autoSpaceDN w:val="0"/>
      <w:adjustRightInd w:val="0"/>
      <w:spacing w:after="0" w:line="520" w:lineRule="atLeast"/>
      <w:ind w:left="144" w:right="720" w:firstLine="576"/>
    </w:pPr>
    <w:rPr>
      <w:rFonts w:ascii="Courier New" w:eastAsiaTheme="minorEastAsia" w:hAnsi="Courier New" w:cs="Courier New"/>
      <w:sz w:val="24"/>
      <w:szCs w:val="24"/>
      <w:lang w:eastAsia="en-GB"/>
    </w:rPr>
  </w:style>
  <w:style w:type="character" w:styleId="Hyperlink">
    <w:name w:val="Hyperlink"/>
    <w:basedOn w:val="DefaultParagraphFont"/>
    <w:uiPriority w:val="99"/>
    <w:unhideWhenUsed/>
    <w:rsid w:val="001C3106"/>
    <w:rPr>
      <w:color w:val="0000FF"/>
      <w:u w:val="single"/>
    </w:rPr>
  </w:style>
  <w:style w:type="paragraph" w:styleId="ListParagraph">
    <w:name w:val="List Paragraph"/>
    <w:basedOn w:val="Normal"/>
    <w:uiPriority w:val="34"/>
    <w:qFormat/>
    <w:rsid w:val="0056368B"/>
    <w:pPr>
      <w:ind w:left="720"/>
      <w:contextualSpacing/>
    </w:pPr>
  </w:style>
  <w:style w:type="paragraph" w:styleId="NormalWeb">
    <w:name w:val="Normal (Web)"/>
    <w:basedOn w:val="Normal"/>
    <w:uiPriority w:val="99"/>
    <w:unhideWhenUsed/>
    <w:rsid w:val="00485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F5D2C"/>
    <w:rPr>
      <w:b/>
      <w:color w:val="00B0F0"/>
      <w:sz w:val="26"/>
      <w:szCs w:val="26"/>
    </w:rPr>
  </w:style>
  <w:style w:type="paragraph" w:styleId="Header">
    <w:name w:val="header"/>
    <w:basedOn w:val="Normal"/>
    <w:link w:val="HeaderChar"/>
    <w:uiPriority w:val="99"/>
    <w:unhideWhenUsed/>
    <w:rsid w:val="00570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4A0"/>
  </w:style>
  <w:style w:type="paragraph" w:styleId="Footer">
    <w:name w:val="footer"/>
    <w:basedOn w:val="Normal"/>
    <w:link w:val="FooterChar"/>
    <w:uiPriority w:val="99"/>
    <w:unhideWhenUsed/>
    <w:rsid w:val="00570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A0"/>
  </w:style>
  <w:style w:type="table" w:styleId="TableGrid">
    <w:name w:val="Table Grid"/>
    <w:basedOn w:val="TableNormal"/>
    <w:uiPriority w:val="39"/>
    <w:rsid w:val="0065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457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B457E"/>
    <w:rPr>
      <w:rFonts w:ascii="Consolas" w:hAnsi="Consolas"/>
      <w:sz w:val="21"/>
      <w:szCs w:val="21"/>
      <w:lang w:val="en-US"/>
    </w:rPr>
  </w:style>
  <w:style w:type="paragraph" w:customStyle="1" w:styleId="Normal0">
    <w:name w:val="Normal 0"/>
    <w:rsid w:val="004B457E"/>
    <w:pPr>
      <w:autoSpaceDE w:val="0"/>
      <w:autoSpaceDN w:val="0"/>
      <w:adjustRightInd w:val="0"/>
      <w:spacing w:after="0" w:line="240" w:lineRule="auto"/>
      <w:ind w:hanging="720"/>
    </w:pPr>
    <w:rPr>
      <w:rFonts w:ascii="Courier New" w:hAnsi="Courier New" w:cs="Courier New"/>
      <w:sz w:val="24"/>
      <w:szCs w:val="24"/>
      <w:lang w:val="en-US"/>
    </w:rPr>
  </w:style>
  <w:style w:type="character" w:customStyle="1" w:styleId="Heading1Char">
    <w:name w:val="Heading 1 Char"/>
    <w:basedOn w:val="DefaultParagraphFont"/>
    <w:link w:val="Heading1"/>
    <w:uiPriority w:val="9"/>
    <w:rsid w:val="005D6978"/>
    <w:rPr>
      <w:rFonts w:eastAsiaTheme="majorEastAsia" w:cstheme="majorBidi"/>
      <w:b/>
      <w:color w:val="2E74B5" w:themeColor="accent5" w:themeShade="BF"/>
      <w:sz w:val="28"/>
      <w:szCs w:val="28"/>
      <w:lang w:val="en-US"/>
    </w:rPr>
  </w:style>
  <w:style w:type="character" w:styleId="PageNumber">
    <w:name w:val="page number"/>
    <w:basedOn w:val="DefaultParagraphFont"/>
    <w:uiPriority w:val="99"/>
    <w:semiHidden/>
    <w:unhideWhenUsed/>
    <w:rsid w:val="004A5D08"/>
  </w:style>
  <w:style w:type="table" w:styleId="MediumShading1-Accent5">
    <w:name w:val="Medium Shading 1 Accent 5"/>
    <w:basedOn w:val="TableNormal"/>
    <w:uiPriority w:val="63"/>
    <w:rsid w:val="000E75D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E75DA"/>
    <w:rPr>
      <w:color w:val="954F72"/>
      <w:u w:val="single"/>
    </w:rPr>
  </w:style>
  <w:style w:type="paragraph" w:customStyle="1" w:styleId="xl63">
    <w:name w:val="xl63"/>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0E75DA"/>
    <w:pPr>
      <w:pBdr>
        <w:top w:val="single" w:sz="12" w:space="0" w:color="000000"/>
        <w:left w:val="single" w:sz="12" w:space="0" w:color="000000"/>
        <w:bottom w:val="single" w:sz="12" w:space="0" w:color="000000"/>
        <w:right w:val="single" w:sz="12" w:space="0" w:color="000000"/>
      </w:pBdr>
      <w:shd w:val="clear" w:color="000000" w:fill="70AD47"/>
      <w:spacing w:before="100" w:beforeAutospacing="1" w:after="100" w:afterAutospacing="1" w:line="240" w:lineRule="auto"/>
    </w:pPr>
    <w:rPr>
      <w:rFonts w:ascii="Times New Roman" w:eastAsia="Times New Roman" w:hAnsi="Times New Roman" w:cs="Times New Roman"/>
      <w:color w:val="0070C0"/>
      <w:sz w:val="24"/>
      <w:szCs w:val="24"/>
      <w:lang w:val="en-US"/>
    </w:rPr>
  </w:style>
  <w:style w:type="paragraph" w:customStyle="1" w:styleId="xl65">
    <w:name w:val="xl65"/>
    <w:basedOn w:val="Normal"/>
    <w:rsid w:val="000E75D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6">
    <w:name w:val="xl66"/>
    <w:basedOn w:val="Normal"/>
    <w:rsid w:val="000E75DA"/>
    <w:pPr>
      <w:pBdr>
        <w:top w:val="single" w:sz="12" w:space="0" w:color="000000"/>
        <w:left w:val="single" w:sz="12" w:space="0" w:color="000000"/>
        <w:bottom w:val="single" w:sz="12" w:space="0" w:color="000000"/>
        <w:right w:val="single" w:sz="12" w:space="0" w:color="000000"/>
      </w:pBdr>
      <w:shd w:val="clear" w:color="000000" w:fill="70AD47"/>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ormal"/>
    <w:rsid w:val="000E75DA"/>
    <w:pPr>
      <w:pBdr>
        <w:top w:val="single" w:sz="12" w:space="0" w:color="000000"/>
        <w:left w:val="single" w:sz="12" w:space="0" w:color="000000"/>
        <w:bottom w:val="single" w:sz="12" w:space="0" w:color="000000"/>
        <w:right w:val="single" w:sz="12" w:space="0" w:color="000000"/>
      </w:pBdr>
      <w:shd w:val="clear" w:color="000000" w:fill="70AD47"/>
      <w:spacing w:before="100" w:beforeAutospacing="1" w:after="100" w:afterAutospacing="1" w:line="240" w:lineRule="auto"/>
    </w:pPr>
    <w:rPr>
      <w:rFonts w:ascii="Arial" w:eastAsia="Times New Roman" w:hAnsi="Arial" w:cs="Arial"/>
      <w:b/>
      <w:bCs/>
      <w:sz w:val="24"/>
      <w:szCs w:val="24"/>
      <w:lang w:val="en-US"/>
    </w:rPr>
  </w:style>
  <w:style w:type="paragraph" w:customStyle="1" w:styleId="xl68">
    <w:name w:val="xl68"/>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70">
    <w:name w:val="xl70"/>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xl71">
    <w:name w:val="xl71"/>
    <w:basedOn w:val="Normal"/>
    <w:rsid w:val="000E75DA"/>
    <w:pPr>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val="en-US"/>
    </w:rPr>
  </w:style>
  <w:style w:type="paragraph" w:customStyle="1" w:styleId="xl73">
    <w:name w:val="xl73"/>
    <w:basedOn w:val="Normal"/>
    <w:rsid w:val="000E75DA"/>
    <w:pPr>
      <w:pBdr>
        <w:top w:val="single" w:sz="12" w:space="0" w:color="000000"/>
        <w:left w:val="single" w:sz="12" w:space="0" w:color="000000"/>
        <w:bottom w:val="single" w:sz="12" w:space="0" w:color="000000"/>
        <w:right w:val="single" w:sz="12" w:space="0" w:color="000000"/>
      </w:pBdr>
      <w:shd w:val="clear" w:color="000000" w:fill="70AD47"/>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0E75D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333608"/>
    <w:pPr>
      <w:spacing w:before="480" w:line="276" w:lineRule="auto"/>
      <w:outlineLvl w:val="9"/>
    </w:pPr>
    <w:rPr>
      <w:bCs/>
    </w:rPr>
  </w:style>
  <w:style w:type="paragraph" w:styleId="TOC2">
    <w:name w:val="toc 2"/>
    <w:basedOn w:val="Normal"/>
    <w:next w:val="Normal"/>
    <w:autoRedefine/>
    <w:uiPriority w:val="39"/>
    <w:unhideWhenUsed/>
    <w:rsid w:val="00333608"/>
    <w:pPr>
      <w:spacing w:after="100"/>
      <w:ind w:left="220"/>
    </w:pPr>
  </w:style>
  <w:style w:type="paragraph" w:styleId="TOC1">
    <w:name w:val="toc 1"/>
    <w:basedOn w:val="Normal"/>
    <w:next w:val="Normal"/>
    <w:autoRedefine/>
    <w:uiPriority w:val="39"/>
    <w:unhideWhenUsed/>
    <w:rsid w:val="00445AE7"/>
    <w:pPr>
      <w:tabs>
        <w:tab w:val="right" w:leader="dot" w:pos="9736"/>
      </w:tabs>
      <w:spacing w:after="100"/>
    </w:pPr>
  </w:style>
  <w:style w:type="paragraph" w:styleId="TOC3">
    <w:name w:val="toc 3"/>
    <w:basedOn w:val="Normal"/>
    <w:next w:val="Normal"/>
    <w:autoRedefine/>
    <w:uiPriority w:val="39"/>
    <w:unhideWhenUsed/>
    <w:rsid w:val="00333608"/>
    <w:pPr>
      <w:spacing w:after="100"/>
      <w:ind w:left="440"/>
    </w:pPr>
  </w:style>
  <w:style w:type="paragraph" w:styleId="BalloonText">
    <w:name w:val="Balloon Text"/>
    <w:basedOn w:val="Normal"/>
    <w:link w:val="BalloonTextChar"/>
    <w:uiPriority w:val="99"/>
    <w:semiHidden/>
    <w:unhideWhenUsed/>
    <w:rsid w:val="0033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608"/>
    <w:rPr>
      <w:rFonts w:ascii="Tahoma" w:hAnsi="Tahoma" w:cs="Tahoma"/>
      <w:sz w:val="16"/>
      <w:szCs w:val="16"/>
    </w:rPr>
  </w:style>
  <w:style w:type="paragraph" w:styleId="TOC4">
    <w:name w:val="toc 4"/>
    <w:basedOn w:val="Normal"/>
    <w:next w:val="Normal"/>
    <w:autoRedefine/>
    <w:uiPriority w:val="39"/>
    <w:unhideWhenUsed/>
    <w:rsid w:val="00637053"/>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637053"/>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637053"/>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637053"/>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637053"/>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637053"/>
    <w:pPr>
      <w:spacing w:after="100" w:line="276" w:lineRule="auto"/>
      <w:ind w:left="1760"/>
    </w:pPr>
    <w:rPr>
      <w:rFonts w:eastAsiaTheme="minorEastAsia"/>
      <w:lang w:val="en-US"/>
    </w:rPr>
  </w:style>
  <w:style w:type="paragraph" w:customStyle="1" w:styleId="xl75">
    <w:name w:val="xl75"/>
    <w:basedOn w:val="Normal"/>
    <w:rsid w:val="007974E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1">
    <w:name w:val="Light List Accent 1"/>
    <w:basedOn w:val="TableNormal"/>
    <w:uiPriority w:val="61"/>
    <w:rsid w:val="00B731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B731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Shading2-Accent5">
    <w:name w:val="Medium Shading 2 Accent 5"/>
    <w:basedOn w:val="TableNormal"/>
    <w:uiPriority w:val="64"/>
    <w:rsid w:val="00B731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B731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2-Accent5">
    <w:name w:val="Medium List 2 Accent 5"/>
    <w:basedOn w:val="TableNormal"/>
    <w:uiPriority w:val="66"/>
    <w:rsid w:val="00B73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B731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B731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UnresolvedMention1">
    <w:name w:val="Unresolved Mention1"/>
    <w:basedOn w:val="DefaultParagraphFont"/>
    <w:uiPriority w:val="99"/>
    <w:semiHidden/>
    <w:unhideWhenUsed/>
    <w:rsid w:val="00130BAD"/>
    <w:rPr>
      <w:color w:val="808080"/>
      <w:shd w:val="clear" w:color="auto" w:fill="E6E6E6"/>
    </w:rPr>
  </w:style>
  <w:style w:type="character" w:styleId="UnresolvedMention">
    <w:name w:val="Unresolved Mention"/>
    <w:basedOn w:val="DefaultParagraphFont"/>
    <w:uiPriority w:val="99"/>
    <w:semiHidden/>
    <w:unhideWhenUsed/>
    <w:rsid w:val="00DC4336"/>
    <w:rPr>
      <w:color w:val="605E5C"/>
      <w:shd w:val="clear" w:color="auto" w:fill="E1DFDD"/>
    </w:rPr>
  </w:style>
  <w:style w:type="character" w:styleId="CommentReference">
    <w:name w:val="annotation reference"/>
    <w:basedOn w:val="DefaultParagraphFont"/>
    <w:uiPriority w:val="99"/>
    <w:semiHidden/>
    <w:unhideWhenUsed/>
    <w:rsid w:val="00276E85"/>
    <w:rPr>
      <w:sz w:val="16"/>
      <w:szCs w:val="16"/>
    </w:rPr>
  </w:style>
  <w:style w:type="paragraph" w:styleId="CommentText">
    <w:name w:val="annotation text"/>
    <w:basedOn w:val="Normal"/>
    <w:link w:val="CommentTextChar"/>
    <w:uiPriority w:val="99"/>
    <w:semiHidden/>
    <w:unhideWhenUsed/>
    <w:rsid w:val="00276E85"/>
    <w:pPr>
      <w:spacing w:line="240" w:lineRule="auto"/>
    </w:pPr>
    <w:rPr>
      <w:sz w:val="20"/>
      <w:szCs w:val="20"/>
    </w:rPr>
  </w:style>
  <w:style w:type="character" w:customStyle="1" w:styleId="CommentTextChar">
    <w:name w:val="Comment Text Char"/>
    <w:basedOn w:val="DefaultParagraphFont"/>
    <w:link w:val="CommentText"/>
    <w:uiPriority w:val="99"/>
    <w:semiHidden/>
    <w:rsid w:val="00276E85"/>
    <w:rPr>
      <w:sz w:val="20"/>
      <w:szCs w:val="20"/>
    </w:rPr>
  </w:style>
  <w:style w:type="paragraph" w:styleId="CommentSubject">
    <w:name w:val="annotation subject"/>
    <w:basedOn w:val="CommentText"/>
    <w:next w:val="CommentText"/>
    <w:link w:val="CommentSubjectChar"/>
    <w:uiPriority w:val="99"/>
    <w:semiHidden/>
    <w:unhideWhenUsed/>
    <w:rsid w:val="00276E85"/>
    <w:rPr>
      <w:b/>
      <w:bCs/>
    </w:rPr>
  </w:style>
  <w:style w:type="character" w:customStyle="1" w:styleId="CommentSubjectChar">
    <w:name w:val="Comment Subject Char"/>
    <w:basedOn w:val="CommentTextChar"/>
    <w:link w:val="CommentSubject"/>
    <w:uiPriority w:val="99"/>
    <w:semiHidden/>
    <w:rsid w:val="00276E85"/>
    <w:rPr>
      <w:b/>
      <w:bCs/>
      <w:sz w:val="20"/>
      <w:szCs w:val="20"/>
    </w:rPr>
  </w:style>
  <w:style w:type="paragraph" w:customStyle="1" w:styleId="m5727378452039590002m-1176198812676571954gmail-msolistparagraph">
    <w:name w:val="m_5727378452039590002m_-1176198812676571954gmail-msolistparagraph"/>
    <w:basedOn w:val="Normal"/>
    <w:rsid w:val="006820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wrro">
    <w:name w:val="rwrro"/>
    <w:basedOn w:val="DefaultParagraphFont"/>
    <w:rsid w:val="00301C8C"/>
  </w:style>
  <w:style w:type="paragraph" w:styleId="Revision">
    <w:name w:val="Revision"/>
    <w:hidden/>
    <w:uiPriority w:val="99"/>
    <w:semiHidden/>
    <w:rsid w:val="000E6353"/>
    <w:pPr>
      <w:spacing w:after="0" w:line="240" w:lineRule="auto"/>
    </w:pPr>
  </w:style>
  <w:style w:type="character" w:customStyle="1" w:styleId="m-8822136426915918121m-1384558231976834637m-1176198812676571954gmail-msohyperlink">
    <w:name w:val="m_-8822136426915918121m_-1384558231976834637m_-1176198812676571954gmail-msohyperlink"/>
    <w:basedOn w:val="DefaultParagraphFont"/>
    <w:rsid w:val="0010100F"/>
  </w:style>
  <w:style w:type="character" w:styleId="Emphasis">
    <w:name w:val="Emphasis"/>
    <w:basedOn w:val="DefaultParagraphFont"/>
    <w:uiPriority w:val="20"/>
    <w:qFormat/>
    <w:rsid w:val="00084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922">
      <w:bodyDiv w:val="1"/>
      <w:marLeft w:val="0"/>
      <w:marRight w:val="0"/>
      <w:marTop w:val="0"/>
      <w:marBottom w:val="0"/>
      <w:divBdr>
        <w:top w:val="none" w:sz="0" w:space="0" w:color="auto"/>
        <w:left w:val="none" w:sz="0" w:space="0" w:color="auto"/>
        <w:bottom w:val="none" w:sz="0" w:space="0" w:color="auto"/>
        <w:right w:val="none" w:sz="0" w:space="0" w:color="auto"/>
      </w:divBdr>
    </w:div>
    <w:div w:id="49423385">
      <w:bodyDiv w:val="1"/>
      <w:marLeft w:val="0"/>
      <w:marRight w:val="0"/>
      <w:marTop w:val="0"/>
      <w:marBottom w:val="0"/>
      <w:divBdr>
        <w:top w:val="none" w:sz="0" w:space="0" w:color="auto"/>
        <w:left w:val="none" w:sz="0" w:space="0" w:color="auto"/>
        <w:bottom w:val="none" w:sz="0" w:space="0" w:color="auto"/>
        <w:right w:val="none" w:sz="0" w:space="0" w:color="auto"/>
      </w:divBdr>
    </w:div>
    <w:div w:id="52042049">
      <w:bodyDiv w:val="1"/>
      <w:marLeft w:val="0"/>
      <w:marRight w:val="0"/>
      <w:marTop w:val="0"/>
      <w:marBottom w:val="0"/>
      <w:divBdr>
        <w:top w:val="none" w:sz="0" w:space="0" w:color="auto"/>
        <w:left w:val="none" w:sz="0" w:space="0" w:color="auto"/>
        <w:bottom w:val="none" w:sz="0" w:space="0" w:color="auto"/>
        <w:right w:val="none" w:sz="0" w:space="0" w:color="auto"/>
      </w:divBdr>
    </w:div>
    <w:div w:id="76364960">
      <w:bodyDiv w:val="1"/>
      <w:marLeft w:val="0"/>
      <w:marRight w:val="0"/>
      <w:marTop w:val="0"/>
      <w:marBottom w:val="0"/>
      <w:divBdr>
        <w:top w:val="none" w:sz="0" w:space="0" w:color="auto"/>
        <w:left w:val="none" w:sz="0" w:space="0" w:color="auto"/>
        <w:bottom w:val="none" w:sz="0" w:space="0" w:color="auto"/>
        <w:right w:val="none" w:sz="0" w:space="0" w:color="auto"/>
      </w:divBdr>
    </w:div>
    <w:div w:id="157382079">
      <w:bodyDiv w:val="1"/>
      <w:marLeft w:val="0"/>
      <w:marRight w:val="0"/>
      <w:marTop w:val="0"/>
      <w:marBottom w:val="0"/>
      <w:divBdr>
        <w:top w:val="none" w:sz="0" w:space="0" w:color="auto"/>
        <w:left w:val="none" w:sz="0" w:space="0" w:color="auto"/>
        <w:bottom w:val="none" w:sz="0" w:space="0" w:color="auto"/>
        <w:right w:val="none" w:sz="0" w:space="0" w:color="auto"/>
      </w:divBdr>
    </w:div>
    <w:div w:id="301038030">
      <w:bodyDiv w:val="1"/>
      <w:marLeft w:val="0"/>
      <w:marRight w:val="0"/>
      <w:marTop w:val="0"/>
      <w:marBottom w:val="0"/>
      <w:divBdr>
        <w:top w:val="none" w:sz="0" w:space="0" w:color="auto"/>
        <w:left w:val="none" w:sz="0" w:space="0" w:color="auto"/>
        <w:bottom w:val="none" w:sz="0" w:space="0" w:color="auto"/>
        <w:right w:val="none" w:sz="0" w:space="0" w:color="auto"/>
      </w:divBdr>
      <w:divsChild>
        <w:div w:id="1684436223">
          <w:marLeft w:val="0"/>
          <w:marRight w:val="0"/>
          <w:marTop w:val="0"/>
          <w:marBottom w:val="0"/>
          <w:divBdr>
            <w:top w:val="none" w:sz="0" w:space="0" w:color="auto"/>
            <w:left w:val="none" w:sz="0" w:space="0" w:color="auto"/>
            <w:bottom w:val="none" w:sz="0" w:space="0" w:color="auto"/>
            <w:right w:val="none" w:sz="0" w:space="0" w:color="auto"/>
          </w:divBdr>
        </w:div>
      </w:divsChild>
    </w:div>
    <w:div w:id="314378953">
      <w:bodyDiv w:val="1"/>
      <w:marLeft w:val="0"/>
      <w:marRight w:val="0"/>
      <w:marTop w:val="0"/>
      <w:marBottom w:val="0"/>
      <w:divBdr>
        <w:top w:val="none" w:sz="0" w:space="0" w:color="auto"/>
        <w:left w:val="none" w:sz="0" w:space="0" w:color="auto"/>
        <w:bottom w:val="none" w:sz="0" w:space="0" w:color="auto"/>
        <w:right w:val="none" w:sz="0" w:space="0" w:color="auto"/>
      </w:divBdr>
    </w:div>
    <w:div w:id="379061241">
      <w:bodyDiv w:val="1"/>
      <w:marLeft w:val="0"/>
      <w:marRight w:val="0"/>
      <w:marTop w:val="0"/>
      <w:marBottom w:val="0"/>
      <w:divBdr>
        <w:top w:val="none" w:sz="0" w:space="0" w:color="auto"/>
        <w:left w:val="none" w:sz="0" w:space="0" w:color="auto"/>
        <w:bottom w:val="none" w:sz="0" w:space="0" w:color="auto"/>
        <w:right w:val="none" w:sz="0" w:space="0" w:color="auto"/>
      </w:divBdr>
    </w:div>
    <w:div w:id="399210608">
      <w:bodyDiv w:val="1"/>
      <w:marLeft w:val="0"/>
      <w:marRight w:val="0"/>
      <w:marTop w:val="0"/>
      <w:marBottom w:val="0"/>
      <w:divBdr>
        <w:top w:val="none" w:sz="0" w:space="0" w:color="auto"/>
        <w:left w:val="none" w:sz="0" w:space="0" w:color="auto"/>
        <w:bottom w:val="none" w:sz="0" w:space="0" w:color="auto"/>
        <w:right w:val="none" w:sz="0" w:space="0" w:color="auto"/>
      </w:divBdr>
    </w:div>
    <w:div w:id="458188527">
      <w:bodyDiv w:val="1"/>
      <w:marLeft w:val="0"/>
      <w:marRight w:val="0"/>
      <w:marTop w:val="0"/>
      <w:marBottom w:val="0"/>
      <w:divBdr>
        <w:top w:val="none" w:sz="0" w:space="0" w:color="auto"/>
        <w:left w:val="none" w:sz="0" w:space="0" w:color="auto"/>
        <w:bottom w:val="none" w:sz="0" w:space="0" w:color="auto"/>
        <w:right w:val="none" w:sz="0" w:space="0" w:color="auto"/>
      </w:divBdr>
    </w:div>
    <w:div w:id="539516528">
      <w:bodyDiv w:val="1"/>
      <w:marLeft w:val="0"/>
      <w:marRight w:val="0"/>
      <w:marTop w:val="0"/>
      <w:marBottom w:val="0"/>
      <w:divBdr>
        <w:top w:val="none" w:sz="0" w:space="0" w:color="auto"/>
        <w:left w:val="none" w:sz="0" w:space="0" w:color="auto"/>
        <w:bottom w:val="none" w:sz="0" w:space="0" w:color="auto"/>
        <w:right w:val="none" w:sz="0" w:space="0" w:color="auto"/>
      </w:divBdr>
    </w:div>
    <w:div w:id="558980487">
      <w:bodyDiv w:val="1"/>
      <w:marLeft w:val="0"/>
      <w:marRight w:val="0"/>
      <w:marTop w:val="0"/>
      <w:marBottom w:val="0"/>
      <w:divBdr>
        <w:top w:val="none" w:sz="0" w:space="0" w:color="auto"/>
        <w:left w:val="none" w:sz="0" w:space="0" w:color="auto"/>
        <w:bottom w:val="none" w:sz="0" w:space="0" w:color="auto"/>
        <w:right w:val="none" w:sz="0" w:space="0" w:color="auto"/>
      </w:divBdr>
    </w:div>
    <w:div w:id="589505638">
      <w:bodyDiv w:val="1"/>
      <w:marLeft w:val="0"/>
      <w:marRight w:val="0"/>
      <w:marTop w:val="0"/>
      <w:marBottom w:val="0"/>
      <w:divBdr>
        <w:top w:val="none" w:sz="0" w:space="0" w:color="auto"/>
        <w:left w:val="none" w:sz="0" w:space="0" w:color="auto"/>
        <w:bottom w:val="none" w:sz="0" w:space="0" w:color="auto"/>
        <w:right w:val="none" w:sz="0" w:space="0" w:color="auto"/>
      </w:divBdr>
    </w:div>
    <w:div w:id="597830012">
      <w:bodyDiv w:val="1"/>
      <w:marLeft w:val="0"/>
      <w:marRight w:val="0"/>
      <w:marTop w:val="0"/>
      <w:marBottom w:val="0"/>
      <w:divBdr>
        <w:top w:val="none" w:sz="0" w:space="0" w:color="auto"/>
        <w:left w:val="none" w:sz="0" w:space="0" w:color="auto"/>
        <w:bottom w:val="none" w:sz="0" w:space="0" w:color="auto"/>
        <w:right w:val="none" w:sz="0" w:space="0" w:color="auto"/>
      </w:divBdr>
    </w:div>
    <w:div w:id="626354089">
      <w:bodyDiv w:val="1"/>
      <w:marLeft w:val="0"/>
      <w:marRight w:val="0"/>
      <w:marTop w:val="0"/>
      <w:marBottom w:val="0"/>
      <w:divBdr>
        <w:top w:val="none" w:sz="0" w:space="0" w:color="auto"/>
        <w:left w:val="none" w:sz="0" w:space="0" w:color="auto"/>
        <w:bottom w:val="none" w:sz="0" w:space="0" w:color="auto"/>
        <w:right w:val="none" w:sz="0" w:space="0" w:color="auto"/>
      </w:divBdr>
    </w:div>
    <w:div w:id="659388141">
      <w:bodyDiv w:val="1"/>
      <w:marLeft w:val="0"/>
      <w:marRight w:val="0"/>
      <w:marTop w:val="0"/>
      <w:marBottom w:val="0"/>
      <w:divBdr>
        <w:top w:val="none" w:sz="0" w:space="0" w:color="auto"/>
        <w:left w:val="none" w:sz="0" w:space="0" w:color="auto"/>
        <w:bottom w:val="none" w:sz="0" w:space="0" w:color="auto"/>
        <w:right w:val="none" w:sz="0" w:space="0" w:color="auto"/>
      </w:divBdr>
    </w:div>
    <w:div w:id="668286526">
      <w:bodyDiv w:val="1"/>
      <w:marLeft w:val="0"/>
      <w:marRight w:val="0"/>
      <w:marTop w:val="0"/>
      <w:marBottom w:val="0"/>
      <w:divBdr>
        <w:top w:val="none" w:sz="0" w:space="0" w:color="auto"/>
        <w:left w:val="none" w:sz="0" w:space="0" w:color="auto"/>
        <w:bottom w:val="none" w:sz="0" w:space="0" w:color="auto"/>
        <w:right w:val="none" w:sz="0" w:space="0" w:color="auto"/>
      </w:divBdr>
    </w:div>
    <w:div w:id="722797359">
      <w:bodyDiv w:val="1"/>
      <w:marLeft w:val="0"/>
      <w:marRight w:val="0"/>
      <w:marTop w:val="0"/>
      <w:marBottom w:val="0"/>
      <w:divBdr>
        <w:top w:val="none" w:sz="0" w:space="0" w:color="auto"/>
        <w:left w:val="none" w:sz="0" w:space="0" w:color="auto"/>
        <w:bottom w:val="none" w:sz="0" w:space="0" w:color="auto"/>
        <w:right w:val="none" w:sz="0" w:space="0" w:color="auto"/>
      </w:divBdr>
    </w:div>
    <w:div w:id="761340631">
      <w:bodyDiv w:val="1"/>
      <w:marLeft w:val="0"/>
      <w:marRight w:val="0"/>
      <w:marTop w:val="0"/>
      <w:marBottom w:val="0"/>
      <w:divBdr>
        <w:top w:val="none" w:sz="0" w:space="0" w:color="auto"/>
        <w:left w:val="none" w:sz="0" w:space="0" w:color="auto"/>
        <w:bottom w:val="none" w:sz="0" w:space="0" w:color="auto"/>
        <w:right w:val="none" w:sz="0" w:space="0" w:color="auto"/>
      </w:divBdr>
    </w:div>
    <w:div w:id="833497524">
      <w:bodyDiv w:val="1"/>
      <w:marLeft w:val="0"/>
      <w:marRight w:val="0"/>
      <w:marTop w:val="0"/>
      <w:marBottom w:val="0"/>
      <w:divBdr>
        <w:top w:val="none" w:sz="0" w:space="0" w:color="auto"/>
        <w:left w:val="none" w:sz="0" w:space="0" w:color="auto"/>
        <w:bottom w:val="none" w:sz="0" w:space="0" w:color="auto"/>
        <w:right w:val="none" w:sz="0" w:space="0" w:color="auto"/>
      </w:divBdr>
    </w:div>
    <w:div w:id="868028022">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82465501">
      <w:bodyDiv w:val="1"/>
      <w:marLeft w:val="0"/>
      <w:marRight w:val="0"/>
      <w:marTop w:val="0"/>
      <w:marBottom w:val="0"/>
      <w:divBdr>
        <w:top w:val="none" w:sz="0" w:space="0" w:color="auto"/>
        <w:left w:val="none" w:sz="0" w:space="0" w:color="auto"/>
        <w:bottom w:val="none" w:sz="0" w:space="0" w:color="auto"/>
        <w:right w:val="none" w:sz="0" w:space="0" w:color="auto"/>
      </w:divBdr>
    </w:div>
    <w:div w:id="993872071">
      <w:bodyDiv w:val="1"/>
      <w:marLeft w:val="0"/>
      <w:marRight w:val="0"/>
      <w:marTop w:val="0"/>
      <w:marBottom w:val="0"/>
      <w:divBdr>
        <w:top w:val="none" w:sz="0" w:space="0" w:color="auto"/>
        <w:left w:val="none" w:sz="0" w:space="0" w:color="auto"/>
        <w:bottom w:val="none" w:sz="0" w:space="0" w:color="auto"/>
        <w:right w:val="none" w:sz="0" w:space="0" w:color="auto"/>
      </w:divBdr>
    </w:div>
    <w:div w:id="1109084117">
      <w:bodyDiv w:val="1"/>
      <w:marLeft w:val="0"/>
      <w:marRight w:val="0"/>
      <w:marTop w:val="0"/>
      <w:marBottom w:val="0"/>
      <w:divBdr>
        <w:top w:val="none" w:sz="0" w:space="0" w:color="auto"/>
        <w:left w:val="none" w:sz="0" w:space="0" w:color="auto"/>
        <w:bottom w:val="none" w:sz="0" w:space="0" w:color="auto"/>
        <w:right w:val="none" w:sz="0" w:space="0" w:color="auto"/>
      </w:divBdr>
    </w:div>
    <w:div w:id="1181239211">
      <w:bodyDiv w:val="1"/>
      <w:marLeft w:val="0"/>
      <w:marRight w:val="0"/>
      <w:marTop w:val="0"/>
      <w:marBottom w:val="0"/>
      <w:divBdr>
        <w:top w:val="none" w:sz="0" w:space="0" w:color="auto"/>
        <w:left w:val="none" w:sz="0" w:space="0" w:color="auto"/>
        <w:bottom w:val="none" w:sz="0" w:space="0" w:color="auto"/>
        <w:right w:val="none" w:sz="0" w:space="0" w:color="auto"/>
      </w:divBdr>
    </w:div>
    <w:div w:id="1228958100">
      <w:bodyDiv w:val="1"/>
      <w:marLeft w:val="0"/>
      <w:marRight w:val="0"/>
      <w:marTop w:val="0"/>
      <w:marBottom w:val="0"/>
      <w:divBdr>
        <w:top w:val="none" w:sz="0" w:space="0" w:color="auto"/>
        <w:left w:val="none" w:sz="0" w:space="0" w:color="auto"/>
        <w:bottom w:val="none" w:sz="0" w:space="0" w:color="auto"/>
        <w:right w:val="none" w:sz="0" w:space="0" w:color="auto"/>
      </w:divBdr>
    </w:div>
    <w:div w:id="1240210122">
      <w:bodyDiv w:val="1"/>
      <w:marLeft w:val="0"/>
      <w:marRight w:val="0"/>
      <w:marTop w:val="0"/>
      <w:marBottom w:val="0"/>
      <w:divBdr>
        <w:top w:val="none" w:sz="0" w:space="0" w:color="auto"/>
        <w:left w:val="none" w:sz="0" w:space="0" w:color="auto"/>
        <w:bottom w:val="none" w:sz="0" w:space="0" w:color="auto"/>
        <w:right w:val="none" w:sz="0" w:space="0" w:color="auto"/>
      </w:divBdr>
    </w:div>
    <w:div w:id="1301499400">
      <w:bodyDiv w:val="1"/>
      <w:marLeft w:val="0"/>
      <w:marRight w:val="0"/>
      <w:marTop w:val="0"/>
      <w:marBottom w:val="0"/>
      <w:divBdr>
        <w:top w:val="none" w:sz="0" w:space="0" w:color="auto"/>
        <w:left w:val="none" w:sz="0" w:space="0" w:color="auto"/>
        <w:bottom w:val="none" w:sz="0" w:space="0" w:color="auto"/>
        <w:right w:val="none" w:sz="0" w:space="0" w:color="auto"/>
      </w:divBdr>
    </w:div>
    <w:div w:id="1431505782">
      <w:bodyDiv w:val="1"/>
      <w:marLeft w:val="0"/>
      <w:marRight w:val="0"/>
      <w:marTop w:val="0"/>
      <w:marBottom w:val="0"/>
      <w:divBdr>
        <w:top w:val="none" w:sz="0" w:space="0" w:color="auto"/>
        <w:left w:val="none" w:sz="0" w:space="0" w:color="auto"/>
        <w:bottom w:val="none" w:sz="0" w:space="0" w:color="auto"/>
        <w:right w:val="none" w:sz="0" w:space="0" w:color="auto"/>
      </w:divBdr>
    </w:div>
    <w:div w:id="1437286932">
      <w:bodyDiv w:val="1"/>
      <w:marLeft w:val="0"/>
      <w:marRight w:val="0"/>
      <w:marTop w:val="0"/>
      <w:marBottom w:val="0"/>
      <w:divBdr>
        <w:top w:val="none" w:sz="0" w:space="0" w:color="auto"/>
        <w:left w:val="none" w:sz="0" w:space="0" w:color="auto"/>
        <w:bottom w:val="none" w:sz="0" w:space="0" w:color="auto"/>
        <w:right w:val="none" w:sz="0" w:space="0" w:color="auto"/>
      </w:divBdr>
    </w:div>
    <w:div w:id="1497838875">
      <w:bodyDiv w:val="1"/>
      <w:marLeft w:val="0"/>
      <w:marRight w:val="0"/>
      <w:marTop w:val="0"/>
      <w:marBottom w:val="0"/>
      <w:divBdr>
        <w:top w:val="none" w:sz="0" w:space="0" w:color="auto"/>
        <w:left w:val="none" w:sz="0" w:space="0" w:color="auto"/>
        <w:bottom w:val="none" w:sz="0" w:space="0" w:color="auto"/>
        <w:right w:val="none" w:sz="0" w:space="0" w:color="auto"/>
      </w:divBdr>
    </w:div>
    <w:div w:id="1548838446">
      <w:bodyDiv w:val="1"/>
      <w:marLeft w:val="0"/>
      <w:marRight w:val="0"/>
      <w:marTop w:val="0"/>
      <w:marBottom w:val="0"/>
      <w:divBdr>
        <w:top w:val="none" w:sz="0" w:space="0" w:color="auto"/>
        <w:left w:val="none" w:sz="0" w:space="0" w:color="auto"/>
        <w:bottom w:val="none" w:sz="0" w:space="0" w:color="auto"/>
        <w:right w:val="none" w:sz="0" w:space="0" w:color="auto"/>
      </w:divBdr>
    </w:div>
    <w:div w:id="1621105338">
      <w:bodyDiv w:val="1"/>
      <w:marLeft w:val="0"/>
      <w:marRight w:val="0"/>
      <w:marTop w:val="0"/>
      <w:marBottom w:val="0"/>
      <w:divBdr>
        <w:top w:val="none" w:sz="0" w:space="0" w:color="auto"/>
        <w:left w:val="none" w:sz="0" w:space="0" w:color="auto"/>
        <w:bottom w:val="none" w:sz="0" w:space="0" w:color="auto"/>
        <w:right w:val="none" w:sz="0" w:space="0" w:color="auto"/>
      </w:divBdr>
    </w:div>
    <w:div w:id="1656452517">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92498248">
      <w:bodyDiv w:val="1"/>
      <w:marLeft w:val="0"/>
      <w:marRight w:val="0"/>
      <w:marTop w:val="0"/>
      <w:marBottom w:val="0"/>
      <w:divBdr>
        <w:top w:val="none" w:sz="0" w:space="0" w:color="auto"/>
        <w:left w:val="none" w:sz="0" w:space="0" w:color="auto"/>
        <w:bottom w:val="none" w:sz="0" w:space="0" w:color="auto"/>
        <w:right w:val="none" w:sz="0" w:space="0" w:color="auto"/>
      </w:divBdr>
    </w:div>
    <w:div w:id="1896160671">
      <w:bodyDiv w:val="1"/>
      <w:marLeft w:val="0"/>
      <w:marRight w:val="0"/>
      <w:marTop w:val="0"/>
      <w:marBottom w:val="0"/>
      <w:divBdr>
        <w:top w:val="none" w:sz="0" w:space="0" w:color="auto"/>
        <w:left w:val="none" w:sz="0" w:space="0" w:color="auto"/>
        <w:bottom w:val="none" w:sz="0" w:space="0" w:color="auto"/>
        <w:right w:val="none" w:sz="0" w:space="0" w:color="auto"/>
      </w:divBdr>
    </w:div>
    <w:div w:id="1930187086">
      <w:bodyDiv w:val="1"/>
      <w:marLeft w:val="0"/>
      <w:marRight w:val="0"/>
      <w:marTop w:val="0"/>
      <w:marBottom w:val="0"/>
      <w:divBdr>
        <w:top w:val="none" w:sz="0" w:space="0" w:color="auto"/>
        <w:left w:val="none" w:sz="0" w:space="0" w:color="auto"/>
        <w:bottom w:val="none" w:sz="0" w:space="0" w:color="auto"/>
        <w:right w:val="none" w:sz="0" w:space="0" w:color="auto"/>
      </w:divBdr>
    </w:div>
    <w:div w:id="1954170733">
      <w:bodyDiv w:val="1"/>
      <w:marLeft w:val="0"/>
      <w:marRight w:val="0"/>
      <w:marTop w:val="0"/>
      <w:marBottom w:val="0"/>
      <w:divBdr>
        <w:top w:val="none" w:sz="0" w:space="0" w:color="auto"/>
        <w:left w:val="none" w:sz="0" w:space="0" w:color="auto"/>
        <w:bottom w:val="none" w:sz="0" w:space="0" w:color="auto"/>
        <w:right w:val="none" w:sz="0" w:space="0" w:color="auto"/>
      </w:divBdr>
    </w:div>
    <w:div w:id="1964385650">
      <w:bodyDiv w:val="1"/>
      <w:marLeft w:val="0"/>
      <w:marRight w:val="0"/>
      <w:marTop w:val="0"/>
      <w:marBottom w:val="0"/>
      <w:divBdr>
        <w:top w:val="none" w:sz="0" w:space="0" w:color="auto"/>
        <w:left w:val="none" w:sz="0" w:space="0" w:color="auto"/>
        <w:bottom w:val="none" w:sz="0" w:space="0" w:color="auto"/>
        <w:right w:val="none" w:sz="0" w:space="0" w:color="auto"/>
      </w:divBdr>
    </w:div>
    <w:div w:id="1995327669">
      <w:bodyDiv w:val="1"/>
      <w:marLeft w:val="0"/>
      <w:marRight w:val="0"/>
      <w:marTop w:val="0"/>
      <w:marBottom w:val="0"/>
      <w:divBdr>
        <w:top w:val="none" w:sz="0" w:space="0" w:color="auto"/>
        <w:left w:val="none" w:sz="0" w:space="0" w:color="auto"/>
        <w:bottom w:val="none" w:sz="0" w:space="0" w:color="auto"/>
        <w:right w:val="none" w:sz="0" w:space="0" w:color="auto"/>
      </w:divBdr>
    </w:div>
    <w:div w:id="1997099871">
      <w:bodyDiv w:val="1"/>
      <w:marLeft w:val="0"/>
      <w:marRight w:val="0"/>
      <w:marTop w:val="0"/>
      <w:marBottom w:val="0"/>
      <w:divBdr>
        <w:top w:val="none" w:sz="0" w:space="0" w:color="auto"/>
        <w:left w:val="none" w:sz="0" w:space="0" w:color="auto"/>
        <w:bottom w:val="none" w:sz="0" w:space="0" w:color="auto"/>
        <w:right w:val="none" w:sz="0" w:space="0" w:color="auto"/>
      </w:divBdr>
    </w:div>
    <w:div w:id="2048599825">
      <w:bodyDiv w:val="1"/>
      <w:marLeft w:val="0"/>
      <w:marRight w:val="0"/>
      <w:marTop w:val="0"/>
      <w:marBottom w:val="0"/>
      <w:divBdr>
        <w:top w:val="none" w:sz="0" w:space="0" w:color="auto"/>
        <w:left w:val="none" w:sz="0" w:space="0" w:color="auto"/>
        <w:bottom w:val="none" w:sz="0" w:space="0" w:color="auto"/>
        <w:right w:val="none" w:sz="0" w:space="0" w:color="auto"/>
      </w:divBdr>
    </w:div>
    <w:div w:id="2052460132">
      <w:bodyDiv w:val="1"/>
      <w:marLeft w:val="0"/>
      <w:marRight w:val="0"/>
      <w:marTop w:val="0"/>
      <w:marBottom w:val="0"/>
      <w:divBdr>
        <w:top w:val="none" w:sz="0" w:space="0" w:color="auto"/>
        <w:left w:val="none" w:sz="0" w:space="0" w:color="auto"/>
        <w:bottom w:val="none" w:sz="0" w:space="0" w:color="auto"/>
        <w:right w:val="none" w:sz="0" w:space="0" w:color="auto"/>
      </w:divBdr>
    </w:div>
    <w:div w:id="2080789274">
      <w:bodyDiv w:val="1"/>
      <w:marLeft w:val="0"/>
      <w:marRight w:val="0"/>
      <w:marTop w:val="0"/>
      <w:marBottom w:val="0"/>
      <w:divBdr>
        <w:top w:val="none" w:sz="0" w:space="0" w:color="auto"/>
        <w:left w:val="none" w:sz="0" w:space="0" w:color="auto"/>
        <w:bottom w:val="none" w:sz="0" w:space="0" w:color="auto"/>
        <w:right w:val="none" w:sz="0" w:space="0" w:color="auto"/>
      </w:divBdr>
    </w:div>
    <w:div w:id="21429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disabilityalliance.org/sites/default/files/alzouma_maiga_idriss_9_july_oz_and_po_3.docx" TargetMode="External"/><Relationship Id="rId18" Type="http://schemas.openxmlformats.org/officeDocument/2006/relationships/hyperlink" Target="http://www.internationaldisabilityalliance.org/sites/default/files/ana_12_july_final.docx" TargetMode="External"/><Relationship Id="rId26" Type="http://schemas.openxmlformats.org/officeDocument/2006/relationships/hyperlink" Target="http://www.internationaldisabilityalliance.org/sites/default/files/lebanon_vnr_2018_hlpf.docx" TargetMode="External"/><Relationship Id="rId3" Type="http://schemas.openxmlformats.org/officeDocument/2006/relationships/styles" Target="styles.xml"/><Relationship Id="rId21" Type="http://schemas.openxmlformats.org/officeDocument/2006/relationships/hyperlink" Target="http://www.internationaldisabilityalliance.org/sites/default/files/collective_statement_link_latvia_link_niger_link_sudan_link_albania_link_cross-cutting_link.docx" TargetMode="External"/><Relationship Id="rId7" Type="http://schemas.openxmlformats.org/officeDocument/2006/relationships/endnotes" Target="endnotes.xml"/><Relationship Id="rId12" Type="http://schemas.openxmlformats.org/officeDocument/2006/relationships/hyperlink" Target="https://sustainabledevelopment.un.org/content/documents/27319Discurso_HLPF_MSCR_9julio.pdf" TargetMode="External"/><Relationship Id="rId17" Type="http://schemas.openxmlformats.org/officeDocument/2006/relationships/hyperlink" Target="http://www.internationaldisabilityalliance.org/sites/default/files/ana_11_july_final.docx" TargetMode="External"/><Relationship Id="rId25" Type="http://schemas.openxmlformats.org/officeDocument/2006/relationships/hyperlink" Target="http://www.internationaldisabilityalliance.org/sites/default/files/malta_speech.docx" TargetMode="External"/><Relationship Id="rId2" Type="http://schemas.openxmlformats.org/officeDocument/2006/relationships/numbering" Target="numbering.xml"/><Relationship Id="rId16" Type="http://schemas.openxmlformats.org/officeDocument/2006/relationships/hyperlink" Target="http://www.internationaldisabilityalliance.org/sites/default/files/hlpf-idriss-speech_11jul_keynote_en_fr_3.docx" TargetMode="External"/><Relationship Id="rId20" Type="http://schemas.openxmlformats.org/officeDocument/2006/relationships/hyperlink" Target="http://www.internationaldisabilityalliance.org/sites/default/files/vnr_greece.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HLPF/2018/3" TargetMode="External"/><Relationship Id="rId24" Type="http://schemas.openxmlformats.org/officeDocument/2006/relationships/hyperlink" Target="http://www.internationaldisabilityalliance.org/sites/default/files/switzerland_ana_2.docx" TargetMode="External"/><Relationship Id="rId5" Type="http://schemas.openxmlformats.org/officeDocument/2006/relationships/webSettings" Target="webSettings.xml"/><Relationship Id="rId15" Type="http://schemas.openxmlformats.org/officeDocument/2006/relationships/hyperlink" Target="http://www.internationaldisabilityalliance.org/sites/default/files/savina11_july_final_3.docx" TargetMode="External"/><Relationship Id="rId23" Type="http://schemas.openxmlformats.org/officeDocument/2006/relationships/hyperlink" Target="http://www.internationaldisabilityalliance.org/sites/default/files/vnr_namibia.docx" TargetMode="External"/><Relationship Id="rId28"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hyperlink" Target="http://www.internationaldisabilityalliance.org/sites/default/files/deguye_13_july_final.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nationaldisabilityalliance.org/sites/default/files/lan_ahn_10_julyfinal.docx" TargetMode="External"/><Relationship Id="rId22" Type="http://schemas.openxmlformats.org/officeDocument/2006/relationships/hyperlink" Target="http://www.internationaldisabilityalliance.org/sites/default/files/collective_statement_link_latvia_link_niger_link_sudan_link_albania_link_cross-cutting_link.docx" TargetMode="External"/><Relationship Id="rId27" Type="http://schemas.openxmlformats.org/officeDocument/2006/relationships/hyperlink" Target="http://www.un.org/ga/search/view_doc.asp?symbol=E/HLS/2018/1&amp;Lang=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sustainabledevelopment.un.org/content/documents/20269EGY_VNR_2018_final_with_Hyperlink_9720185b45d.pdf" TargetMode="External"/><Relationship Id="rId18" Type="http://schemas.openxmlformats.org/officeDocument/2006/relationships/hyperlink" Target="https://sustainabledevelopment.un.org/content/documents/19388Latvia_Implementation_of_the_SDGs.pdf" TargetMode="External"/><Relationship Id="rId26" Type="http://schemas.openxmlformats.org/officeDocument/2006/relationships/hyperlink" Target="https://sustainabledevelopment.un.org/content/documents/19952Voluntary_National_Review_ROMANIA_with_Cover.pdf" TargetMode="External"/><Relationship Id="rId3" Type="http://schemas.openxmlformats.org/officeDocument/2006/relationships/hyperlink" Target="https://dhsprogram.com/pubs/pdf/FR230/FR230.pdf" TargetMode="External"/><Relationship Id="rId21" Type="http://schemas.openxmlformats.org/officeDocument/2006/relationships/hyperlink" Target="https://sustainabledevelopment.un.org/content/documents/19334Namibia_Key_Messages_for_VNR_final_may_17th_2018.pdf" TargetMode="External"/><Relationship Id="rId7" Type="http://schemas.openxmlformats.org/officeDocument/2006/relationships/hyperlink" Target="http://pubdocs.worldbank.org/pubdocs/public%20doc/2015/10/628841445980891015/Albania-Snapshot.pdf" TargetMode="External"/><Relationship Id="rId12" Type="http://schemas.openxmlformats.org/officeDocument/2006/relationships/hyperlink" Target="https://sustainabledevelopment.un.org/content/documents/19580Cabo_Verde_VNR_SDG_Cabo_Verde_2018_ING_final_NU_280618.pdf" TargetMode="External"/><Relationship Id="rId17" Type="http://schemas.openxmlformats.org/officeDocument/2006/relationships/hyperlink" Target="https://sustainabledevelopment.un.org/content/documents/19385Lao_Final_VNR_19_June_2018_web.pdf" TargetMode="External"/><Relationship Id="rId25" Type="http://schemas.openxmlformats.org/officeDocument/2006/relationships/hyperlink" Target="https://sustainabledevelopment.un.org/content/documents/20443SDG_Qatar_En_Draft7_Landscape_3.pdf" TargetMode="External"/><Relationship Id="rId33" Type="http://schemas.openxmlformats.org/officeDocument/2006/relationships/hyperlink" Target="https://sustainabledevelopment.un.org/content/documents/19967VNR_of_Viet_Nam.pdf" TargetMode="External"/><Relationship Id="rId2" Type="http://schemas.openxmlformats.org/officeDocument/2006/relationships/hyperlink" Target="https://sustainabledevelopment.un.org/content/documents/20257ALBANIA_VNR_2018_FINAL2.pdf" TargetMode="External"/><Relationship Id="rId16" Type="http://schemas.openxmlformats.org/officeDocument/2006/relationships/hyperlink" Target="https://sustainabledevelopment.un.org/content/documents/19499JamaicaMain_VNR_Report.pdf" TargetMode="External"/><Relationship Id="rId20" Type="http://schemas.openxmlformats.org/officeDocument/2006/relationships/hyperlink" Target="https://sustainabledevelopment.un.org/content/documents/19673VNR_Lithuania_EN_updated.pdf" TargetMode="External"/><Relationship Id="rId29" Type="http://schemas.openxmlformats.org/officeDocument/2006/relationships/hyperlink" Target="https://sustainabledevelopment.un.org/content/documents/203295182018_VNR_Report_Spain_EN_ddghpbrgsp.pdf" TargetMode="External"/><Relationship Id="rId1" Type="http://schemas.openxmlformats.org/officeDocument/2006/relationships/hyperlink" Target="https://sustainabledevelopment.un.org/content/documents/27325mrliuusg.pdf" TargetMode="External"/><Relationship Id="rId6" Type="http://schemas.openxmlformats.org/officeDocument/2006/relationships/hyperlink" Target="http://ishp.gov.al/wp-content/uploads/2015/04/Health-report-English-version.pdf" TargetMode="External"/><Relationship Id="rId11" Type="http://schemas.openxmlformats.org/officeDocument/2006/relationships/hyperlink" Target="https://sustainabledevelopment.un.org/content/documents/19369Bhutan_NSDGR_Bhutan_2018.pdf" TargetMode="External"/><Relationship Id="rId24" Type="http://schemas.openxmlformats.org/officeDocument/2006/relationships/hyperlink" Target="https://sustainabledevelopment.un.org/content/documents/191742nd_National_Voluntary_Review_EN_Draft_11_landscape.pdf" TargetMode="External"/><Relationship Id="rId32" Type="http://schemas.openxmlformats.org/officeDocument/2006/relationships/hyperlink" Target="https://sustainabledevelopment.un.org/content/documents/20161UAE_SDGs_Report_Full_English.pdf" TargetMode="External"/><Relationship Id="rId5" Type="http://schemas.openxmlformats.org/officeDocument/2006/relationships/hyperlink" Target="https://dhsprogram.com/pubs/pdf/FR230/FR230.pdf" TargetMode="External"/><Relationship Id="rId15" Type="http://schemas.openxmlformats.org/officeDocument/2006/relationships/hyperlink" Target="https://sustainabledevelopment.un.org/content/documents/19382Ireland_Voluntary_National_Review_2018.pdf" TargetMode="External"/><Relationship Id="rId23" Type="http://schemas.openxmlformats.org/officeDocument/2006/relationships/hyperlink" Target="https://sustainabledevelopment.un.org/content/documents/19409Poland_VNR_20180615.pdf" TargetMode="External"/><Relationship Id="rId28" Type="http://schemas.openxmlformats.org/officeDocument/2006/relationships/hyperlink" Target="https://sustainabledevelopment.un.org/content/documents/19439Singapores_Voluntary_National_Review_Report_v2.pdf" TargetMode="External"/><Relationship Id="rId10" Type="http://schemas.openxmlformats.org/officeDocument/2006/relationships/hyperlink" Target="https://sustainabledevelopment.un.org/content/documents/19025BHUTANVNR_highlights_Final.pdf" TargetMode="External"/><Relationship Id="rId19" Type="http://schemas.openxmlformats.org/officeDocument/2006/relationships/hyperlink" Target="https://sustainabledevelopment.un.org/content/documents/19624LebanonVNR2018.pdf" TargetMode="External"/><Relationship Id="rId31" Type="http://schemas.openxmlformats.org/officeDocument/2006/relationships/hyperlink" Target="https://sustainabledevelopment.un.org/content/documents/20024VNR2018PalestineNEWYORK.pdf" TargetMode="External"/><Relationship Id="rId4" Type="http://schemas.openxmlformats.org/officeDocument/2006/relationships/hyperlink" Target="http://www.sherbimisocial.gov.al/raporte/" TargetMode="External"/><Relationship Id="rId9" Type="http://schemas.openxmlformats.org/officeDocument/2006/relationships/hyperlink" Target="https://sustainabledevelopment.un.org/content/documents/19354Bahrain_Key_Messages_Final_arabic_and_english.pdf" TargetMode="External"/><Relationship Id="rId14" Type="http://schemas.openxmlformats.org/officeDocument/2006/relationships/hyperlink" Target="https://sustainabledevelopment.un.org/content/documents/19378Greece_VNR_Greece_2018_pdf_FINAL_140618.pdf" TargetMode="External"/><Relationship Id="rId22" Type="http://schemas.openxmlformats.org/officeDocument/2006/relationships/hyperlink" Target="https://sustainabledevelopment.un.org/content/documents/19880New_Version_Full_Voluntary_National_Review_2018_single_1_Report.pdf" TargetMode="External"/><Relationship Id="rId27" Type="http://schemas.openxmlformats.org/officeDocument/2006/relationships/hyperlink" Target="https://sustainabledevelopment.un.org/content/documents/20230SDGs_English_Report972018_FINAL.pdf" TargetMode="External"/><Relationship Id="rId30" Type="http://schemas.openxmlformats.org/officeDocument/2006/relationships/hyperlink" Target="https://sustainabledevelopment.un.org/content/documents/19677FINAL_SriLankaVNR_Report_30Jun2018.pdf" TargetMode="External"/><Relationship Id="rId8" Type="http://schemas.openxmlformats.org/officeDocument/2006/relationships/hyperlink" Target="https://sustainabledevelopment.un.org/content/documents/20470VNR_final_approved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372A-F63E-7744-BD52-BE5425C8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82</Pages>
  <Words>39283</Words>
  <Characters>223914</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manpetel@gmail.com</dc:creator>
  <cp:keywords/>
  <dc:description/>
  <cp:lastModifiedBy>Chiara  Jordan</cp:lastModifiedBy>
  <cp:revision>42</cp:revision>
  <dcterms:created xsi:type="dcterms:W3CDTF">2018-12-06T19:54:00Z</dcterms:created>
  <dcterms:modified xsi:type="dcterms:W3CDTF">2018-12-11T18:20:00Z</dcterms:modified>
</cp:coreProperties>
</file>