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35FC" w14:textId="77777777" w:rsidR="00FA398F" w:rsidRPr="00A50904" w:rsidRDefault="00FA398F" w:rsidP="00FA398F">
      <w:pPr>
        <w:spacing w:after="0" w:line="276" w:lineRule="auto"/>
        <w:jc w:val="both"/>
        <w:rPr>
          <w:rFonts w:ascii="Arial" w:hAnsi="Arial" w:cs="Arial"/>
          <w:sz w:val="28"/>
          <w:szCs w:val="28"/>
        </w:rPr>
      </w:pPr>
      <w:r w:rsidRPr="00A50904">
        <w:rPr>
          <w:rFonts w:ascii="Arial" w:hAnsi="Arial" w:cs="Arial"/>
          <w:sz w:val="28"/>
          <w:szCs w:val="28"/>
        </w:rPr>
        <w:t>Case summary:</w:t>
      </w:r>
      <w:r w:rsidRPr="00A50904">
        <w:rPr>
          <w:rFonts w:ascii="Arial" w:hAnsi="Arial" w:cs="Arial"/>
          <w:sz w:val="28"/>
          <w:szCs w:val="28"/>
          <w:vertAlign w:val="superscript"/>
        </w:rPr>
        <w:footnoteReference w:id="1"/>
      </w:r>
      <w:r w:rsidRPr="00A50904">
        <w:rPr>
          <w:rFonts w:ascii="Arial" w:hAnsi="Arial" w:cs="Arial"/>
          <w:sz w:val="28"/>
          <w:szCs w:val="28"/>
        </w:rPr>
        <w:t xml:space="preserve">  </w:t>
      </w:r>
      <w:r w:rsidRPr="00A50904">
        <w:rPr>
          <w:rFonts w:ascii="Arial" w:hAnsi="Arial" w:cs="Arial"/>
          <w:i/>
          <w:sz w:val="28"/>
          <w:szCs w:val="28"/>
        </w:rPr>
        <w:t>O.O.J. v Sweden</w:t>
      </w:r>
    </w:p>
    <w:p w14:paraId="580CCD00" w14:textId="77777777" w:rsidR="00FA398F" w:rsidRPr="00A50904" w:rsidRDefault="00FA398F" w:rsidP="00FA398F">
      <w:pPr>
        <w:spacing w:after="0" w:line="276" w:lineRule="auto"/>
        <w:jc w:val="both"/>
        <w:rPr>
          <w:rFonts w:ascii="Arial" w:hAnsi="Arial" w:cs="Arial"/>
        </w:rPr>
      </w:pPr>
    </w:p>
    <w:p w14:paraId="7E216BA3" w14:textId="77777777" w:rsidR="00FA398F" w:rsidRPr="00A50904" w:rsidRDefault="00E37A2B" w:rsidP="00FA398F">
      <w:pPr>
        <w:spacing w:after="0" w:line="276" w:lineRule="auto"/>
        <w:jc w:val="both"/>
        <w:rPr>
          <w:rFonts w:ascii="Arial" w:hAnsi="Arial" w:cs="Arial"/>
        </w:rPr>
      </w:pPr>
      <w:r w:rsidRPr="00A50904">
        <w:rPr>
          <w:rFonts w:ascii="Arial" w:hAnsi="Arial" w:cs="Arial"/>
        </w:rPr>
        <w:t xml:space="preserve">Case code: </w:t>
      </w:r>
      <w:r w:rsidR="00FA398F" w:rsidRPr="00A50904">
        <w:rPr>
          <w:rFonts w:ascii="Arial" w:hAnsi="Arial" w:cs="Arial"/>
        </w:rPr>
        <w:t>CRPD/C/18/D/28/2015</w:t>
      </w:r>
    </w:p>
    <w:p w14:paraId="632B48F8" w14:textId="77777777" w:rsidR="00423C0A" w:rsidRPr="00A50904" w:rsidRDefault="00FA398F" w:rsidP="00FA398F">
      <w:pPr>
        <w:spacing w:after="0" w:line="276" w:lineRule="auto"/>
        <w:jc w:val="both"/>
        <w:rPr>
          <w:rFonts w:ascii="Arial" w:hAnsi="Arial" w:cs="Arial"/>
        </w:rPr>
      </w:pPr>
      <w:r w:rsidRPr="00A50904">
        <w:rPr>
          <w:rFonts w:ascii="Arial" w:hAnsi="Arial" w:cs="Arial"/>
        </w:rPr>
        <w:t>Communication No. 28/2015</w:t>
      </w:r>
    </w:p>
    <w:p w14:paraId="0E9B3C92" w14:textId="77777777" w:rsidR="00423C0A" w:rsidRPr="00A50904" w:rsidRDefault="00FA398F" w:rsidP="00FA398F">
      <w:pPr>
        <w:spacing w:after="0" w:line="276" w:lineRule="auto"/>
        <w:jc w:val="both"/>
        <w:rPr>
          <w:rFonts w:ascii="Arial" w:hAnsi="Arial" w:cs="Arial"/>
        </w:rPr>
      </w:pPr>
      <w:r w:rsidRPr="00A50904">
        <w:rPr>
          <w:rFonts w:ascii="Arial" w:hAnsi="Arial" w:cs="Arial"/>
        </w:rPr>
        <w:t>Date of communication (initial submission):</w:t>
      </w:r>
      <w:r w:rsidRPr="00A50904">
        <w:rPr>
          <w:rFonts w:ascii="Arial" w:hAnsi="Arial" w:cs="Arial"/>
        </w:rPr>
        <w:tab/>
      </w:r>
      <w:r w:rsidRPr="00A50904">
        <w:rPr>
          <w:rFonts w:ascii="Arial" w:hAnsi="Arial" w:cs="Arial"/>
        </w:rPr>
        <w:tab/>
        <w:t>18 March 2015</w:t>
      </w:r>
    </w:p>
    <w:p w14:paraId="746F64C8" w14:textId="77777777" w:rsidR="00423C0A" w:rsidRPr="00A50904" w:rsidRDefault="00FA398F" w:rsidP="00FA398F">
      <w:pPr>
        <w:spacing w:after="0" w:line="276" w:lineRule="auto"/>
        <w:jc w:val="both"/>
        <w:rPr>
          <w:rFonts w:ascii="Arial" w:hAnsi="Arial" w:cs="Arial"/>
        </w:rPr>
      </w:pPr>
      <w:r w:rsidRPr="00A50904">
        <w:rPr>
          <w:rFonts w:ascii="Arial" w:hAnsi="Arial" w:cs="Arial"/>
        </w:rPr>
        <w:t>Date of adoption of Views:</w:t>
      </w:r>
      <w:r w:rsidRPr="00A50904">
        <w:rPr>
          <w:rFonts w:ascii="Arial" w:hAnsi="Arial" w:cs="Arial"/>
        </w:rPr>
        <w:tab/>
      </w:r>
      <w:r w:rsidRPr="00A50904">
        <w:rPr>
          <w:rFonts w:ascii="Arial" w:hAnsi="Arial" w:cs="Arial"/>
        </w:rPr>
        <w:tab/>
      </w:r>
      <w:r w:rsidRPr="00A50904">
        <w:rPr>
          <w:rFonts w:ascii="Arial" w:hAnsi="Arial" w:cs="Arial"/>
        </w:rPr>
        <w:tab/>
      </w:r>
      <w:r w:rsidRPr="00A50904">
        <w:rPr>
          <w:rFonts w:ascii="Arial" w:hAnsi="Arial" w:cs="Arial"/>
        </w:rPr>
        <w:tab/>
        <w:t>18 August 2017</w:t>
      </w:r>
    </w:p>
    <w:p w14:paraId="707A5240" w14:textId="77777777" w:rsidR="00FA398F" w:rsidRPr="00A50904" w:rsidRDefault="00FA398F" w:rsidP="00FA398F">
      <w:pPr>
        <w:spacing w:after="0" w:line="276" w:lineRule="auto"/>
        <w:jc w:val="both"/>
        <w:rPr>
          <w:rFonts w:ascii="Arial" w:hAnsi="Arial" w:cs="Arial"/>
        </w:rPr>
      </w:pPr>
      <w:r w:rsidRPr="00A50904">
        <w:rPr>
          <w:rFonts w:ascii="Arial" w:hAnsi="Arial" w:cs="Arial"/>
        </w:rPr>
        <w:t>Invoked provisions of the Convention:</w:t>
      </w:r>
      <w:r w:rsidRPr="00A50904">
        <w:rPr>
          <w:rFonts w:ascii="Arial" w:hAnsi="Arial" w:cs="Arial"/>
        </w:rPr>
        <w:tab/>
      </w:r>
      <w:r w:rsidR="00E51F4D" w:rsidRPr="00A50904">
        <w:rPr>
          <w:rFonts w:ascii="Arial" w:hAnsi="Arial" w:cs="Arial"/>
        </w:rPr>
        <w:tab/>
      </w:r>
      <w:hyperlink r:id="rId8" w:anchor="3" w:history="1">
        <w:r w:rsidRPr="00A50904">
          <w:rPr>
            <w:rStyle w:val="Hyperlink"/>
            <w:rFonts w:ascii="Arial" w:hAnsi="Arial" w:cs="Arial"/>
          </w:rPr>
          <w:t>3</w:t>
        </w:r>
      </w:hyperlink>
      <w:r w:rsidRPr="00A50904">
        <w:rPr>
          <w:rFonts w:ascii="Arial" w:hAnsi="Arial" w:cs="Arial"/>
        </w:rPr>
        <w:t xml:space="preserve">, </w:t>
      </w:r>
      <w:hyperlink r:id="rId9" w:anchor="4" w:history="1">
        <w:r w:rsidRPr="00A50904">
          <w:rPr>
            <w:rStyle w:val="Hyperlink"/>
            <w:rFonts w:ascii="Arial" w:hAnsi="Arial" w:cs="Arial"/>
          </w:rPr>
          <w:t>4</w:t>
        </w:r>
      </w:hyperlink>
      <w:r w:rsidRPr="00A50904">
        <w:rPr>
          <w:rFonts w:ascii="Arial" w:hAnsi="Arial" w:cs="Arial"/>
        </w:rPr>
        <w:t xml:space="preserve">, </w:t>
      </w:r>
      <w:hyperlink r:id="rId10" w:anchor="5" w:history="1">
        <w:r w:rsidRPr="00A50904">
          <w:rPr>
            <w:rStyle w:val="Hyperlink"/>
            <w:rFonts w:ascii="Arial" w:hAnsi="Arial" w:cs="Arial"/>
          </w:rPr>
          <w:t>5</w:t>
        </w:r>
      </w:hyperlink>
      <w:r w:rsidRPr="00A50904">
        <w:rPr>
          <w:rFonts w:ascii="Arial" w:hAnsi="Arial" w:cs="Arial"/>
        </w:rPr>
        <w:t xml:space="preserve">, </w:t>
      </w:r>
      <w:hyperlink r:id="rId11" w:anchor="7" w:history="1">
        <w:r w:rsidRPr="00A50904">
          <w:rPr>
            <w:rStyle w:val="Hyperlink"/>
            <w:rFonts w:ascii="Arial" w:hAnsi="Arial" w:cs="Arial"/>
          </w:rPr>
          <w:t>7</w:t>
        </w:r>
      </w:hyperlink>
      <w:r w:rsidRPr="00A50904">
        <w:rPr>
          <w:rFonts w:ascii="Arial" w:hAnsi="Arial" w:cs="Arial"/>
        </w:rPr>
        <w:t xml:space="preserve">, </w:t>
      </w:r>
      <w:hyperlink r:id="rId12" w:anchor="12" w:history="1">
        <w:r w:rsidRPr="00A50904">
          <w:rPr>
            <w:rStyle w:val="Hyperlink"/>
            <w:rFonts w:ascii="Arial" w:hAnsi="Arial" w:cs="Arial"/>
          </w:rPr>
          <w:t>12</w:t>
        </w:r>
      </w:hyperlink>
      <w:r w:rsidRPr="00A50904">
        <w:rPr>
          <w:rFonts w:ascii="Arial" w:hAnsi="Arial" w:cs="Arial"/>
        </w:rPr>
        <w:t xml:space="preserve">, </w:t>
      </w:r>
      <w:hyperlink r:id="rId13" w:anchor="13" w:history="1">
        <w:r w:rsidRPr="00A50904">
          <w:rPr>
            <w:rStyle w:val="Hyperlink"/>
            <w:rFonts w:ascii="Arial" w:hAnsi="Arial" w:cs="Arial"/>
          </w:rPr>
          <w:t>13</w:t>
        </w:r>
      </w:hyperlink>
      <w:r w:rsidRPr="00A50904">
        <w:rPr>
          <w:rFonts w:ascii="Arial" w:hAnsi="Arial" w:cs="Arial"/>
        </w:rPr>
        <w:t xml:space="preserve">, </w:t>
      </w:r>
      <w:hyperlink r:id="rId14" w:anchor="15" w:history="1">
        <w:r w:rsidRPr="00A50904">
          <w:rPr>
            <w:rStyle w:val="Hyperlink"/>
            <w:rFonts w:ascii="Arial" w:hAnsi="Arial" w:cs="Arial"/>
          </w:rPr>
          <w:t>15</w:t>
        </w:r>
      </w:hyperlink>
      <w:r w:rsidRPr="00A50904">
        <w:rPr>
          <w:rFonts w:ascii="Arial" w:hAnsi="Arial" w:cs="Arial"/>
        </w:rPr>
        <w:t xml:space="preserve">, </w:t>
      </w:r>
      <w:hyperlink r:id="rId15" w:anchor="24" w:history="1">
        <w:r w:rsidRPr="00A50904">
          <w:rPr>
            <w:rStyle w:val="Hyperlink"/>
            <w:rFonts w:ascii="Arial" w:hAnsi="Arial" w:cs="Arial"/>
          </w:rPr>
          <w:t>24</w:t>
        </w:r>
      </w:hyperlink>
      <w:r w:rsidRPr="00A50904">
        <w:rPr>
          <w:rFonts w:ascii="Arial" w:hAnsi="Arial" w:cs="Arial"/>
        </w:rPr>
        <w:t xml:space="preserve">, </w:t>
      </w:r>
      <w:hyperlink r:id="rId16" w:anchor="25" w:history="1">
        <w:r w:rsidRPr="00A50904">
          <w:rPr>
            <w:rStyle w:val="Hyperlink"/>
            <w:rFonts w:ascii="Arial" w:hAnsi="Arial" w:cs="Arial"/>
          </w:rPr>
          <w:t>25</w:t>
        </w:r>
      </w:hyperlink>
      <w:r w:rsidRPr="00A50904">
        <w:rPr>
          <w:rFonts w:ascii="Arial" w:hAnsi="Arial" w:cs="Arial"/>
        </w:rPr>
        <w:t xml:space="preserve">, </w:t>
      </w:r>
      <w:hyperlink r:id="rId17" w:anchor="26" w:history="1">
        <w:r w:rsidRPr="00A50904">
          <w:rPr>
            <w:rStyle w:val="Hyperlink"/>
            <w:rFonts w:ascii="Arial" w:hAnsi="Arial" w:cs="Arial"/>
          </w:rPr>
          <w:t>26</w:t>
        </w:r>
      </w:hyperlink>
      <w:r w:rsidRPr="00A50904">
        <w:rPr>
          <w:rFonts w:ascii="Arial" w:hAnsi="Arial" w:cs="Arial"/>
        </w:rPr>
        <w:t xml:space="preserve"> and </w:t>
      </w:r>
      <w:hyperlink r:id="rId18" w:anchor="28" w:history="1">
        <w:r w:rsidRPr="00A50904">
          <w:rPr>
            <w:rStyle w:val="Hyperlink"/>
            <w:rFonts w:ascii="Arial" w:hAnsi="Arial" w:cs="Arial"/>
          </w:rPr>
          <w:t>28</w:t>
        </w:r>
      </w:hyperlink>
    </w:p>
    <w:p w14:paraId="1FB25C5C" w14:textId="77777777" w:rsidR="00FA398F" w:rsidRPr="00A50904" w:rsidRDefault="00FA398F" w:rsidP="00FA398F">
      <w:pPr>
        <w:spacing w:after="0" w:line="276" w:lineRule="auto"/>
        <w:jc w:val="both"/>
        <w:rPr>
          <w:rFonts w:ascii="Arial" w:hAnsi="Arial" w:cs="Arial"/>
        </w:rPr>
      </w:pPr>
      <w:r w:rsidRPr="00A50904">
        <w:rPr>
          <w:rFonts w:ascii="Arial" w:hAnsi="Arial" w:cs="Arial"/>
        </w:rPr>
        <w:t>Provisions of the Optional Protocol:</w:t>
      </w:r>
      <w:r w:rsidRPr="00A50904">
        <w:rPr>
          <w:rFonts w:ascii="Arial" w:hAnsi="Arial" w:cs="Arial"/>
        </w:rPr>
        <w:tab/>
      </w:r>
      <w:r w:rsidRPr="00A50904">
        <w:rPr>
          <w:rFonts w:ascii="Arial" w:hAnsi="Arial" w:cs="Arial"/>
        </w:rPr>
        <w:tab/>
      </w:r>
      <w:r w:rsidRPr="00A50904">
        <w:rPr>
          <w:rFonts w:ascii="Arial" w:hAnsi="Arial" w:cs="Arial"/>
        </w:rPr>
        <w:tab/>
        <w:t xml:space="preserve">Articles </w:t>
      </w:r>
      <w:hyperlink r:id="rId19" w:anchor="1" w:history="1">
        <w:r w:rsidRPr="00A50904">
          <w:rPr>
            <w:rStyle w:val="Hyperlink"/>
            <w:rFonts w:ascii="Arial" w:hAnsi="Arial" w:cs="Arial"/>
          </w:rPr>
          <w:t>1</w:t>
        </w:r>
      </w:hyperlink>
      <w:r w:rsidRPr="00A50904">
        <w:rPr>
          <w:rFonts w:ascii="Arial" w:hAnsi="Arial" w:cs="Arial"/>
        </w:rPr>
        <w:t xml:space="preserve">, </w:t>
      </w:r>
      <w:hyperlink r:id="rId20" w:anchor="2" w:history="1">
        <w:r w:rsidRPr="00A50904">
          <w:rPr>
            <w:rStyle w:val="Hyperlink"/>
            <w:rFonts w:ascii="Arial" w:hAnsi="Arial" w:cs="Arial"/>
          </w:rPr>
          <w:t>2 (b)</w:t>
        </w:r>
      </w:hyperlink>
      <w:r w:rsidRPr="00A50904">
        <w:rPr>
          <w:rFonts w:ascii="Arial" w:hAnsi="Arial" w:cs="Arial"/>
        </w:rPr>
        <w:t xml:space="preserve">, </w:t>
      </w:r>
      <w:hyperlink r:id="rId21" w:anchor="2" w:history="1">
        <w:r w:rsidRPr="00A50904">
          <w:rPr>
            <w:rStyle w:val="Hyperlink"/>
            <w:rFonts w:ascii="Arial" w:hAnsi="Arial" w:cs="Arial"/>
          </w:rPr>
          <w:t>(d)</w:t>
        </w:r>
      </w:hyperlink>
      <w:r w:rsidRPr="00A50904">
        <w:rPr>
          <w:rFonts w:ascii="Arial" w:hAnsi="Arial" w:cs="Arial"/>
        </w:rPr>
        <w:t xml:space="preserve"> and </w:t>
      </w:r>
      <w:hyperlink r:id="rId22" w:anchor="2" w:history="1">
        <w:r w:rsidRPr="00A50904">
          <w:rPr>
            <w:rStyle w:val="Hyperlink"/>
            <w:rFonts w:ascii="Arial" w:hAnsi="Arial" w:cs="Arial"/>
          </w:rPr>
          <w:t>(e)</w:t>
        </w:r>
      </w:hyperlink>
    </w:p>
    <w:p w14:paraId="188DF9AF" w14:textId="77777777" w:rsidR="00423C0A" w:rsidRPr="00A50904" w:rsidRDefault="00FA398F" w:rsidP="00E51F4D">
      <w:pPr>
        <w:spacing w:after="0" w:line="276" w:lineRule="auto"/>
        <w:ind w:left="2124" w:hanging="2124"/>
        <w:jc w:val="both"/>
        <w:rPr>
          <w:rFonts w:ascii="Arial" w:hAnsi="Arial" w:cs="Arial"/>
        </w:rPr>
      </w:pPr>
      <w:r w:rsidRPr="00A50904">
        <w:rPr>
          <w:rFonts w:ascii="Arial" w:hAnsi="Arial" w:cs="Arial"/>
        </w:rPr>
        <w:t xml:space="preserve">Keywords: </w:t>
      </w:r>
      <w:r w:rsidRPr="00A50904">
        <w:rPr>
          <w:rFonts w:ascii="Arial" w:hAnsi="Arial" w:cs="Arial"/>
        </w:rPr>
        <w:tab/>
      </w:r>
      <w:r w:rsidR="00D873E2" w:rsidRPr="00A50904">
        <w:rPr>
          <w:rFonts w:ascii="Arial" w:hAnsi="Arial" w:cs="Arial"/>
        </w:rPr>
        <w:t xml:space="preserve">non-discrimination, </w:t>
      </w:r>
      <w:r w:rsidR="00423C0A" w:rsidRPr="00A50904">
        <w:rPr>
          <w:rFonts w:ascii="Arial" w:hAnsi="Arial" w:cs="Arial"/>
        </w:rPr>
        <w:t xml:space="preserve">Equal recognition before the law; access to justice; freedom from cruel, inhuman or degrading treatment; right to education; right to health services; right to habilitation and rehabilitation services; </w:t>
      </w:r>
    </w:p>
    <w:p w14:paraId="19B07443" w14:textId="77777777" w:rsidR="00FA398F" w:rsidRPr="00A50904" w:rsidRDefault="00FA398F" w:rsidP="00FA398F">
      <w:pPr>
        <w:spacing w:after="0" w:line="276" w:lineRule="auto"/>
        <w:ind w:left="2124" w:hanging="2124"/>
        <w:jc w:val="both"/>
        <w:rPr>
          <w:rFonts w:ascii="Arial" w:hAnsi="Arial" w:cs="Arial"/>
        </w:rPr>
      </w:pPr>
      <w:r w:rsidRPr="00A50904">
        <w:rPr>
          <w:rFonts w:ascii="Arial" w:hAnsi="Arial" w:cs="Arial"/>
        </w:rPr>
        <w:t xml:space="preserve">Decision: </w:t>
      </w:r>
      <w:r w:rsidRPr="00A50904">
        <w:rPr>
          <w:rFonts w:ascii="Arial" w:hAnsi="Arial" w:cs="Arial"/>
        </w:rPr>
        <w:tab/>
        <w:t>The communication is inadmissible under article 2</w:t>
      </w:r>
      <w:r w:rsidR="00005D9C" w:rsidRPr="00A50904">
        <w:rPr>
          <w:rFonts w:ascii="Arial" w:hAnsi="Arial" w:cs="Arial"/>
        </w:rPr>
        <w:t xml:space="preserve"> </w:t>
      </w:r>
      <w:r w:rsidRPr="00A50904">
        <w:rPr>
          <w:rFonts w:ascii="Arial" w:hAnsi="Arial" w:cs="Arial"/>
        </w:rPr>
        <w:t>(d) of the Optional Protocol; the decision may be reviewed under rule 71 (2) of its rules of procedure</w:t>
      </w:r>
      <w:r w:rsidR="00E51F4D" w:rsidRPr="00A50904">
        <w:rPr>
          <w:rFonts w:ascii="Arial" w:hAnsi="Arial" w:cs="Arial"/>
        </w:rPr>
        <w:t>.</w:t>
      </w:r>
      <w:r w:rsidRPr="00A50904">
        <w:rPr>
          <w:rFonts w:ascii="Arial" w:hAnsi="Arial" w:cs="Arial"/>
        </w:rPr>
        <w:t xml:space="preserve"> </w:t>
      </w:r>
    </w:p>
    <w:p w14:paraId="2168DEF8" w14:textId="77777777" w:rsidR="008A351B" w:rsidRPr="00A50904" w:rsidRDefault="008A351B" w:rsidP="00FA398F">
      <w:pPr>
        <w:spacing w:after="0" w:line="276" w:lineRule="auto"/>
        <w:ind w:left="2124" w:hanging="2124"/>
        <w:jc w:val="both"/>
        <w:rPr>
          <w:rFonts w:ascii="Arial" w:hAnsi="Arial" w:cs="Arial"/>
        </w:rPr>
      </w:pPr>
    </w:p>
    <w:p w14:paraId="4F3EA583" w14:textId="77777777" w:rsidR="00FA398F" w:rsidRPr="00A50904" w:rsidRDefault="00E37A2B" w:rsidP="00FA398F">
      <w:pPr>
        <w:spacing w:after="0" w:line="276" w:lineRule="auto"/>
        <w:jc w:val="both"/>
        <w:rPr>
          <w:rFonts w:ascii="Arial" w:hAnsi="Arial" w:cs="Arial"/>
        </w:rPr>
      </w:pPr>
      <w:r w:rsidRPr="00A50904">
        <w:rPr>
          <w:rFonts w:ascii="Arial" w:hAnsi="Arial" w:cs="Arial"/>
          <w:szCs w:val="20"/>
        </w:rPr>
        <w:t xml:space="preserve">Full decision in HTML format (webpage): </w:t>
      </w:r>
      <w:hyperlink r:id="rId23" w:history="1">
        <w:r w:rsidR="008A351B" w:rsidRPr="00A50904">
          <w:rPr>
            <w:rStyle w:val="Hyperlink"/>
            <w:rFonts w:ascii="Arial" w:hAnsi="Arial" w:cs="Arial"/>
          </w:rPr>
          <w:t>Arabic</w:t>
        </w:r>
      </w:hyperlink>
      <w:r w:rsidR="008A351B" w:rsidRPr="00A50904">
        <w:rPr>
          <w:rFonts w:ascii="Arial" w:hAnsi="Arial" w:cs="Arial"/>
        </w:rPr>
        <w:t xml:space="preserve">, </w:t>
      </w:r>
      <w:hyperlink r:id="rId24" w:history="1">
        <w:r w:rsidR="008A351B" w:rsidRPr="00A50904">
          <w:rPr>
            <w:rStyle w:val="Hyperlink"/>
            <w:rFonts w:ascii="Arial" w:hAnsi="Arial" w:cs="Arial"/>
          </w:rPr>
          <w:t>Chinese</w:t>
        </w:r>
      </w:hyperlink>
      <w:r w:rsidR="008A351B" w:rsidRPr="00A50904">
        <w:rPr>
          <w:rFonts w:ascii="Arial" w:hAnsi="Arial" w:cs="Arial"/>
        </w:rPr>
        <w:t xml:space="preserve">, </w:t>
      </w:r>
      <w:hyperlink r:id="rId25" w:history="1">
        <w:r w:rsidR="008A351B" w:rsidRPr="00A50904">
          <w:rPr>
            <w:rStyle w:val="Hyperlink"/>
            <w:rFonts w:ascii="Arial" w:hAnsi="Arial" w:cs="Arial"/>
          </w:rPr>
          <w:t>English</w:t>
        </w:r>
      </w:hyperlink>
      <w:r w:rsidR="008A351B" w:rsidRPr="00A50904">
        <w:rPr>
          <w:rFonts w:ascii="Arial" w:hAnsi="Arial" w:cs="Arial"/>
        </w:rPr>
        <w:t>,</w:t>
      </w:r>
      <w:r w:rsidRPr="00A50904">
        <w:rPr>
          <w:rFonts w:ascii="Arial" w:hAnsi="Arial" w:cs="Arial"/>
        </w:rPr>
        <w:t xml:space="preserve"> </w:t>
      </w:r>
      <w:hyperlink r:id="rId26" w:history="1">
        <w:r w:rsidRPr="00A50904">
          <w:rPr>
            <w:rStyle w:val="Hyperlink"/>
            <w:rFonts w:ascii="Arial" w:hAnsi="Arial" w:cs="Arial"/>
          </w:rPr>
          <w:t>Russian</w:t>
        </w:r>
      </w:hyperlink>
      <w:r w:rsidR="008A351B" w:rsidRPr="00A50904">
        <w:rPr>
          <w:rFonts w:ascii="Arial" w:hAnsi="Arial" w:cs="Arial"/>
        </w:rPr>
        <w:t xml:space="preserve"> </w:t>
      </w:r>
      <w:r w:rsidRPr="00A50904">
        <w:rPr>
          <w:rFonts w:ascii="Arial" w:hAnsi="Arial" w:cs="Arial"/>
        </w:rPr>
        <w:t xml:space="preserve">and </w:t>
      </w:r>
      <w:hyperlink r:id="rId27" w:history="1">
        <w:r w:rsidR="008A351B" w:rsidRPr="00A50904">
          <w:rPr>
            <w:rStyle w:val="Hyperlink"/>
            <w:rFonts w:ascii="Arial" w:hAnsi="Arial" w:cs="Arial"/>
          </w:rPr>
          <w:t>Spanish</w:t>
        </w:r>
      </w:hyperlink>
      <w:r w:rsidR="008A351B" w:rsidRPr="00A50904">
        <w:rPr>
          <w:rFonts w:ascii="Arial" w:hAnsi="Arial" w:cs="Arial"/>
        </w:rPr>
        <w:t xml:space="preserve"> </w:t>
      </w:r>
    </w:p>
    <w:p w14:paraId="31606F21" w14:textId="77777777" w:rsidR="008A351B" w:rsidRPr="00A50904" w:rsidRDefault="008A351B" w:rsidP="00FA398F">
      <w:pPr>
        <w:spacing w:after="0" w:line="276" w:lineRule="auto"/>
        <w:jc w:val="both"/>
        <w:rPr>
          <w:rFonts w:ascii="Arial" w:hAnsi="Arial" w:cs="Arial"/>
        </w:rPr>
      </w:pPr>
    </w:p>
    <w:p w14:paraId="5B9404FA" w14:textId="77777777" w:rsidR="00A50904" w:rsidRDefault="00A50904" w:rsidP="00A50904">
      <w:pPr>
        <w:spacing w:after="0"/>
        <w:jc w:val="both"/>
        <w:rPr>
          <w:rFonts w:ascii="Arial" w:hAnsi="Arial" w:cs="Arial"/>
          <w:szCs w:val="20"/>
        </w:rPr>
      </w:pPr>
      <w:r w:rsidRPr="00725785">
        <w:rPr>
          <w:rFonts w:ascii="Arial" w:hAnsi="Arial" w:cs="Arial"/>
          <w:szCs w:val="20"/>
        </w:rPr>
        <w:t xml:space="preserve">For full decision in PDF and/or Word format in UN official languages </w:t>
      </w:r>
      <w:r>
        <w:rPr>
          <w:rFonts w:ascii="Arial" w:hAnsi="Arial" w:cs="Arial"/>
          <w:szCs w:val="20"/>
        </w:rPr>
        <w:t xml:space="preserve">search in </w:t>
      </w:r>
      <w:hyperlink r:id="rId28" w:history="1">
        <w:r w:rsidRPr="00FA7F4E">
          <w:rPr>
            <w:rStyle w:val="Hyperlink"/>
            <w:rFonts w:ascii="Arial" w:hAnsi="Arial" w:cs="Arial"/>
            <w:szCs w:val="20"/>
          </w:rPr>
          <w:t>https://documents.un.org</w:t>
        </w:r>
      </w:hyperlink>
      <w:r>
        <w:rPr>
          <w:rFonts w:ascii="Arial" w:hAnsi="Arial" w:cs="Arial"/>
          <w:szCs w:val="20"/>
        </w:rPr>
        <w:t>, fill the blank space after ‘Symbol’ with the CRPD case code mentioned above and then click on ‘Details’.</w:t>
      </w:r>
    </w:p>
    <w:p w14:paraId="588FC94E" w14:textId="77777777" w:rsidR="00E37A2B" w:rsidRPr="00A50904" w:rsidRDefault="00E37A2B" w:rsidP="00FA398F">
      <w:pPr>
        <w:spacing w:after="0" w:line="276" w:lineRule="auto"/>
        <w:jc w:val="both"/>
        <w:rPr>
          <w:rFonts w:ascii="Arial" w:hAnsi="Arial" w:cs="Arial"/>
        </w:rPr>
      </w:pPr>
    </w:p>
    <w:p w14:paraId="1F2A910D" w14:textId="77777777" w:rsidR="00FA398F" w:rsidRPr="00A50904" w:rsidRDefault="00FA398F" w:rsidP="00FA398F">
      <w:pPr>
        <w:spacing w:after="120" w:line="276" w:lineRule="auto"/>
        <w:jc w:val="both"/>
        <w:rPr>
          <w:rFonts w:ascii="Arial" w:hAnsi="Arial" w:cs="Arial"/>
          <w:sz w:val="28"/>
          <w:szCs w:val="28"/>
        </w:rPr>
      </w:pPr>
      <w:r w:rsidRPr="00A50904">
        <w:rPr>
          <w:rFonts w:ascii="Arial" w:hAnsi="Arial" w:cs="Arial"/>
          <w:sz w:val="28"/>
          <w:szCs w:val="28"/>
        </w:rPr>
        <w:t>Facts</w:t>
      </w:r>
    </w:p>
    <w:p w14:paraId="3F0B5FC9" w14:textId="3AE22CA8" w:rsidR="00D873E2" w:rsidRPr="00A50904" w:rsidRDefault="00F33FFE" w:rsidP="00D873E2">
      <w:pPr>
        <w:jc w:val="both"/>
        <w:rPr>
          <w:rFonts w:ascii="Arial" w:hAnsi="Arial" w:cs="Arial"/>
        </w:rPr>
      </w:pPr>
      <w:r w:rsidRPr="00A50904">
        <w:rPr>
          <w:rFonts w:ascii="Arial" w:hAnsi="Arial" w:cs="Arial"/>
        </w:rPr>
        <w:t>The author</w:t>
      </w:r>
      <w:r w:rsidR="00D873E2" w:rsidRPr="00A50904">
        <w:rPr>
          <w:rFonts w:ascii="Arial" w:hAnsi="Arial" w:cs="Arial"/>
        </w:rPr>
        <w:t xml:space="preserve">, a Nigerian national, </w:t>
      </w:r>
      <w:r w:rsidRPr="00A50904">
        <w:rPr>
          <w:rFonts w:ascii="Arial" w:hAnsi="Arial" w:cs="Arial"/>
        </w:rPr>
        <w:t>held a temporary residence permit in the State party. On 25 January 2012, the author’s and his wife’s application for residence permits was rejected by the Swedish Migration</w:t>
      </w:r>
      <w:r w:rsidR="006A105C" w:rsidRPr="00A50904">
        <w:rPr>
          <w:rFonts w:ascii="Arial" w:hAnsi="Arial" w:cs="Arial"/>
        </w:rPr>
        <w:t xml:space="preserve"> </w:t>
      </w:r>
      <w:r w:rsidRPr="00A50904">
        <w:rPr>
          <w:rFonts w:ascii="Arial" w:hAnsi="Arial" w:cs="Arial"/>
        </w:rPr>
        <w:t>Agency and a deportation order was issued. Subsequent appeals to the Migration Court and the Migration Court of Appeal were rejected.</w:t>
      </w:r>
      <w:r w:rsidR="000A4E07" w:rsidRPr="00A50904">
        <w:rPr>
          <w:rFonts w:ascii="Arial" w:hAnsi="Arial" w:cs="Arial"/>
        </w:rPr>
        <w:t xml:space="preserve"> </w:t>
      </w:r>
      <w:r w:rsidR="00D873E2" w:rsidRPr="00A50904">
        <w:rPr>
          <w:rFonts w:ascii="Arial" w:hAnsi="Arial" w:cs="Arial"/>
        </w:rPr>
        <w:t xml:space="preserve">Owing to the insecurity in Nigeria, the family filed an application for asylum in the State party on January 2013. In autumn 2013, their son E.O.J. was diagnosed with autism, and other </w:t>
      </w:r>
      <w:r w:rsidR="004F3237">
        <w:rPr>
          <w:rFonts w:ascii="Arial" w:hAnsi="Arial" w:cs="Arial"/>
        </w:rPr>
        <w:t>“</w:t>
      </w:r>
      <w:r w:rsidR="00D873E2" w:rsidRPr="00A50904">
        <w:rPr>
          <w:rFonts w:ascii="Arial" w:hAnsi="Arial" w:cs="Arial"/>
        </w:rPr>
        <w:t>unspecified psychosocial disabilities.</w:t>
      </w:r>
      <w:r w:rsidR="004F3237">
        <w:rPr>
          <w:rFonts w:ascii="Arial" w:hAnsi="Arial" w:cs="Arial"/>
        </w:rPr>
        <w:t>”</w:t>
      </w:r>
      <w:bookmarkStart w:id="0" w:name="_GoBack"/>
      <w:bookmarkEnd w:id="0"/>
      <w:r w:rsidR="00D873E2" w:rsidRPr="00A50904">
        <w:rPr>
          <w:rFonts w:ascii="Arial" w:hAnsi="Arial" w:cs="Arial"/>
        </w:rPr>
        <w:t xml:space="preserve"> The author submitted this information to the Migration Agency together with a medical report from a psychologist and a report from a welfare officer in support of the family’s asylum application. The author was informed that his son’s health case would be handled separately, independent of the asylum application.</w:t>
      </w:r>
    </w:p>
    <w:p w14:paraId="32668779" w14:textId="77777777" w:rsidR="00F33FFE" w:rsidRPr="00A50904" w:rsidRDefault="00F33FFE" w:rsidP="00D31CE4">
      <w:pPr>
        <w:jc w:val="both"/>
        <w:rPr>
          <w:rFonts w:ascii="Arial" w:hAnsi="Arial" w:cs="Arial"/>
        </w:rPr>
      </w:pPr>
      <w:r w:rsidRPr="00A50904">
        <w:rPr>
          <w:rFonts w:ascii="Arial" w:hAnsi="Arial" w:cs="Arial"/>
        </w:rPr>
        <w:t xml:space="preserve">On </w:t>
      </w:r>
      <w:r w:rsidR="00D873E2" w:rsidRPr="00A50904">
        <w:rPr>
          <w:rFonts w:ascii="Arial" w:hAnsi="Arial" w:cs="Arial"/>
        </w:rPr>
        <w:t xml:space="preserve">April </w:t>
      </w:r>
      <w:r w:rsidRPr="00A50904">
        <w:rPr>
          <w:rFonts w:ascii="Arial" w:hAnsi="Arial" w:cs="Arial"/>
        </w:rPr>
        <w:t xml:space="preserve">2014, the family’s </w:t>
      </w:r>
      <w:r w:rsidR="004554ED" w:rsidRPr="00A50904">
        <w:rPr>
          <w:rFonts w:ascii="Arial" w:hAnsi="Arial" w:cs="Arial"/>
        </w:rPr>
        <w:t xml:space="preserve">two </w:t>
      </w:r>
      <w:r w:rsidRPr="00A50904">
        <w:rPr>
          <w:rFonts w:ascii="Arial" w:hAnsi="Arial" w:cs="Arial"/>
        </w:rPr>
        <w:t>application</w:t>
      </w:r>
      <w:r w:rsidR="004554ED" w:rsidRPr="00A50904">
        <w:rPr>
          <w:rFonts w:ascii="Arial" w:hAnsi="Arial" w:cs="Arial"/>
        </w:rPr>
        <w:t>s</w:t>
      </w:r>
      <w:r w:rsidRPr="00A50904">
        <w:rPr>
          <w:rFonts w:ascii="Arial" w:hAnsi="Arial" w:cs="Arial"/>
        </w:rPr>
        <w:t xml:space="preserve"> for asylum </w:t>
      </w:r>
      <w:r w:rsidR="004554ED" w:rsidRPr="00A50904">
        <w:rPr>
          <w:rFonts w:ascii="Arial" w:hAnsi="Arial" w:cs="Arial"/>
        </w:rPr>
        <w:t xml:space="preserve">and for residence permits </w:t>
      </w:r>
      <w:r w:rsidR="003F6AEB" w:rsidRPr="00A50904">
        <w:rPr>
          <w:rFonts w:ascii="Arial" w:hAnsi="Arial" w:cs="Arial"/>
        </w:rPr>
        <w:t>based on</w:t>
      </w:r>
      <w:r w:rsidR="004554ED" w:rsidRPr="00A50904">
        <w:rPr>
          <w:rFonts w:ascii="Arial" w:hAnsi="Arial" w:cs="Arial"/>
        </w:rPr>
        <w:t xml:space="preserve"> E.O.J.’s medical needs were</w:t>
      </w:r>
      <w:r w:rsidR="00D24C3D" w:rsidRPr="00A50904">
        <w:rPr>
          <w:rFonts w:ascii="Arial" w:hAnsi="Arial" w:cs="Arial"/>
        </w:rPr>
        <w:t xml:space="preserve"> rejected, based on the consideration that it</w:t>
      </w:r>
      <w:r w:rsidRPr="00A50904">
        <w:rPr>
          <w:rFonts w:ascii="Arial" w:hAnsi="Arial" w:cs="Arial"/>
        </w:rPr>
        <w:t xml:space="preserve"> had not </w:t>
      </w:r>
      <w:r w:rsidR="00D24C3D" w:rsidRPr="00A50904">
        <w:rPr>
          <w:rFonts w:ascii="Arial" w:hAnsi="Arial" w:cs="Arial"/>
        </w:rPr>
        <w:t xml:space="preserve">been </w:t>
      </w:r>
      <w:r w:rsidRPr="00A50904">
        <w:rPr>
          <w:rFonts w:ascii="Arial" w:hAnsi="Arial" w:cs="Arial"/>
        </w:rPr>
        <w:t>demonstrated that they would personally be at risk of harm if returned to Nigeria.</w:t>
      </w:r>
      <w:r w:rsidR="003F6AEB" w:rsidRPr="00A50904">
        <w:rPr>
          <w:rFonts w:ascii="Arial" w:hAnsi="Arial" w:cs="Arial"/>
        </w:rPr>
        <w:t xml:space="preserve"> For the health case, </w:t>
      </w:r>
      <w:r w:rsidR="00AD7227" w:rsidRPr="00A50904">
        <w:rPr>
          <w:rFonts w:ascii="Arial" w:hAnsi="Arial" w:cs="Arial"/>
        </w:rPr>
        <w:t>the Agency</w:t>
      </w:r>
      <w:r w:rsidRPr="00A50904">
        <w:rPr>
          <w:rFonts w:ascii="Arial" w:hAnsi="Arial" w:cs="Arial"/>
        </w:rPr>
        <w:t xml:space="preserve"> stated that information obtained through the Medical Country of Origin Information (MedCOI) site showed that two hospitals offering treatment and services for autistic children </w:t>
      </w:r>
      <w:r w:rsidR="00AD7227" w:rsidRPr="00A50904">
        <w:rPr>
          <w:rFonts w:ascii="Arial" w:hAnsi="Arial" w:cs="Arial"/>
        </w:rPr>
        <w:t>there</w:t>
      </w:r>
      <w:r w:rsidR="003F6AEB" w:rsidRPr="00A50904">
        <w:rPr>
          <w:rFonts w:ascii="Arial" w:hAnsi="Arial" w:cs="Arial"/>
        </w:rPr>
        <w:t xml:space="preserve">, together with </w:t>
      </w:r>
      <w:r w:rsidRPr="00A50904">
        <w:rPr>
          <w:rFonts w:ascii="Arial" w:hAnsi="Arial" w:cs="Arial"/>
        </w:rPr>
        <w:t xml:space="preserve">preschools that accepted autistic children. </w:t>
      </w:r>
      <w:r w:rsidR="008630B9" w:rsidRPr="00A50904">
        <w:rPr>
          <w:rFonts w:ascii="Arial" w:hAnsi="Arial" w:cs="Arial"/>
        </w:rPr>
        <w:t>T</w:t>
      </w:r>
      <w:r w:rsidR="0097122D" w:rsidRPr="00A50904">
        <w:rPr>
          <w:rFonts w:ascii="Arial" w:hAnsi="Arial" w:cs="Arial"/>
        </w:rPr>
        <w:t xml:space="preserve">he author </w:t>
      </w:r>
      <w:r w:rsidR="00AD7227" w:rsidRPr="00A50904">
        <w:rPr>
          <w:rFonts w:ascii="Arial" w:hAnsi="Arial" w:cs="Arial"/>
        </w:rPr>
        <w:t>contact</w:t>
      </w:r>
      <w:r w:rsidR="000A4E07" w:rsidRPr="00A50904">
        <w:rPr>
          <w:rFonts w:ascii="Arial" w:hAnsi="Arial" w:cs="Arial"/>
        </w:rPr>
        <w:t>ed</w:t>
      </w:r>
      <w:r w:rsidR="00AD7227" w:rsidRPr="00A50904">
        <w:rPr>
          <w:rFonts w:ascii="Arial" w:hAnsi="Arial" w:cs="Arial"/>
        </w:rPr>
        <w:t xml:space="preserve"> the hospitals referred </w:t>
      </w:r>
      <w:r w:rsidR="000A4E07" w:rsidRPr="00A50904">
        <w:rPr>
          <w:rFonts w:ascii="Arial" w:hAnsi="Arial" w:cs="Arial"/>
        </w:rPr>
        <w:t xml:space="preserve">and was informed that they </w:t>
      </w:r>
      <w:r w:rsidR="00AD7227" w:rsidRPr="00A50904">
        <w:rPr>
          <w:rFonts w:ascii="Arial" w:hAnsi="Arial" w:cs="Arial"/>
        </w:rPr>
        <w:t xml:space="preserve">did not offer services for children with autism and that the government had no health </w:t>
      </w:r>
      <w:r w:rsidR="0097122D" w:rsidRPr="00A50904">
        <w:rPr>
          <w:rFonts w:ascii="Arial" w:hAnsi="Arial" w:cs="Arial"/>
        </w:rPr>
        <w:t>services for them</w:t>
      </w:r>
      <w:r w:rsidR="00AD7227" w:rsidRPr="00A50904">
        <w:rPr>
          <w:rFonts w:ascii="Arial" w:hAnsi="Arial" w:cs="Arial"/>
        </w:rPr>
        <w:t xml:space="preserve">. </w:t>
      </w:r>
      <w:r w:rsidRPr="00A50904">
        <w:rPr>
          <w:rFonts w:ascii="Arial" w:hAnsi="Arial" w:cs="Arial"/>
        </w:rPr>
        <w:t>On</w:t>
      </w:r>
      <w:r w:rsidR="00D55462" w:rsidRPr="00A50904">
        <w:rPr>
          <w:rFonts w:ascii="Arial" w:hAnsi="Arial" w:cs="Arial"/>
        </w:rPr>
        <w:t xml:space="preserve"> </w:t>
      </w:r>
      <w:r w:rsidRPr="00A50904">
        <w:rPr>
          <w:rFonts w:ascii="Arial" w:hAnsi="Arial" w:cs="Arial"/>
        </w:rPr>
        <w:t>October 2014, the reject</w:t>
      </w:r>
      <w:r w:rsidR="00910383" w:rsidRPr="00A50904">
        <w:rPr>
          <w:rFonts w:ascii="Arial" w:hAnsi="Arial" w:cs="Arial"/>
        </w:rPr>
        <w:t>ion of</w:t>
      </w:r>
      <w:r w:rsidRPr="00A50904">
        <w:rPr>
          <w:rFonts w:ascii="Arial" w:hAnsi="Arial" w:cs="Arial"/>
        </w:rPr>
        <w:t xml:space="preserve"> the family’s application for asylum was upheld by the Migration Court. The author and his wife appeal</w:t>
      </w:r>
      <w:r w:rsidR="00100B2A" w:rsidRPr="00A50904">
        <w:rPr>
          <w:rFonts w:ascii="Arial" w:hAnsi="Arial" w:cs="Arial"/>
        </w:rPr>
        <w:t>ed the decision</w:t>
      </w:r>
      <w:r w:rsidRPr="00A50904">
        <w:rPr>
          <w:rFonts w:ascii="Arial" w:hAnsi="Arial" w:cs="Arial"/>
        </w:rPr>
        <w:t xml:space="preserve"> to the Migration Court of Appeal on 2 December 2014. In that submission, the author’s counsel addressed the issue of the </w:t>
      </w:r>
      <w:r w:rsidRPr="00A50904">
        <w:rPr>
          <w:rFonts w:ascii="Arial" w:hAnsi="Arial" w:cs="Arial"/>
        </w:rPr>
        <w:lastRenderedPageBreak/>
        <w:t xml:space="preserve">separation of E.O.J.’s health case from the family’s asylum case. </w:t>
      </w:r>
      <w:r w:rsidR="00471F7B" w:rsidRPr="00A50904">
        <w:rPr>
          <w:rFonts w:ascii="Arial" w:hAnsi="Arial" w:cs="Arial"/>
        </w:rPr>
        <w:t>The family’s application was rejected by the Migration Court of Appeal on 22 December 2014.</w:t>
      </w:r>
    </w:p>
    <w:p w14:paraId="2268048D" w14:textId="77777777" w:rsidR="00254F10" w:rsidRPr="00A50904" w:rsidRDefault="00F33FFE" w:rsidP="00423C0A">
      <w:pPr>
        <w:jc w:val="both"/>
        <w:rPr>
          <w:rFonts w:ascii="Arial" w:hAnsi="Arial" w:cs="Arial"/>
        </w:rPr>
      </w:pPr>
      <w:r w:rsidRPr="00A50904">
        <w:rPr>
          <w:rFonts w:ascii="Arial" w:hAnsi="Arial" w:cs="Arial"/>
        </w:rPr>
        <w:t>In November 2014, the author and his wife applied for the expulsion order not to be enforced under an impediment of enforcement procedure and for them to be granted residence permits on the gr</w:t>
      </w:r>
      <w:r w:rsidR="0097122D" w:rsidRPr="00A50904">
        <w:rPr>
          <w:rFonts w:ascii="Arial" w:hAnsi="Arial" w:cs="Arial"/>
        </w:rPr>
        <w:t>ounds of their son’s disability</w:t>
      </w:r>
      <w:r w:rsidRPr="00A50904">
        <w:rPr>
          <w:rFonts w:ascii="Arial" w:hAnsi="Arial" w:cs="Arial"/>
        </w:rPr>
        <w:t>. On 9 January 2015, the Migration Agency issued a negative decision, reiterating its first decision of June 2014</w:t>
      </w:r>
      <w:r w:rsidR="000A4E07" w:rsidRPr="00A50904">
        <w:rPr>
          <w:rFonts w:ascii="Arial" w:hAnsi="Arial" w:cs="Arial"/>
        </w:rPr>
        <w:t>,</w:t>
      </w:r>
      <w:r w:rsidRPr="00A50904">
        <w:rPr>
          <w:rFonts w:ascii="Arial" w:hAnsi="Arial" w:cs="Arial"/>
        </w:rPr>
        <w:t xml:space="preserve"> stating that medical care</w:t>
      </w:r>
      <w:r w:rsidR="000A4E07" w:rsidRPr="00A50904">
        <w:rPr>
          <w:rFonts w:ascii="Arial" w:hAnsi="Arial" w:cs="Arial"/>
        </w:rPr>
        <w:t xml:space="preserve"> and schools</w:t>
      </w:r>
      <w:r w:rsidRPr="00A50904">
        <w:rPr>
          <w:rFonts w:ascii="Arial" w:hAnsi="Arial" w:cs="Arial"/>
        </w:rPr>
        <w:t xml:space="preserve"> for children with autism were available in Nigeria.</w:t>
      </w:r>
      <w:r w:rsidR="0097122D" w:rsidRPr="00A50904">
        <w:rPr>
          <w:rFonts w:ascii="Arial" w:hAnsi="Arial" w:cs="Arial"/>
        </w:rPr>
        <w:t xml:space="preserve"> </w:t>
      </w:r>
      <w:r w:rsidR="00471F7B" w:rsidRPr="00A50904">
        <w:rPr>
          <w:rFonts w:ascii="Arial" w:hAnsi="Arial" w:cs="Arial"/>
        </w:rPr>
        <w:t xml:space="preserve">On </w:t>
      </w:r>
      <w:r w:rsidR="0097122D" w:rsidRPr="00A50904">
        <w:rPr>
          <w:rFonts w:ascii="Arial" w:hAnsi="Arial" w:cs="Arial"/>
        </w:rPr>
        <w:t xml:space="preserve">30 January 2015, the author </w:t>
      </w:r>
      <w:r w:rsidR="00471F7B" w:rsidRPr="00A50904">
        <w:rPr>
          <w:rFonts w:ascii="Arial" w:hAnsi="Arial" w:cs="Arial"/>
        </w:rPr>
        <w:t xml:space="preserve">filed another application for impediment of enforcement of the deportation order and provided </w:t>
      </w:r>
      <w:r w:rsidR="00002509" w:rsidRPr="00A50904">
        <w:rPr>
          <w:rFonts w:ascii="Arial" w:hAnsi="Arial" w:cs="Arial"/>
        </w:rPr>
        <w:t xml:space="preserve">evidence that the public health system in Nigeria did not provide autism-specific services, and that </w:t>
      </w:r>
      <w:r w:rsidR="0097122D" w:rsidRPr="00A50904">
        <w:rPr>
          <w:rFonts w:ascii="Arial" w:hAnsi="Arial" w:cs="Arial"/>
        </w:rPr>
        <w:t xml:space="preserve">there was </w:t>
      </w:r>
      <w:r w:rsidR="00002509" w:rsidRPr="00A50904">
        <w:rPr>
          <w:rFonts w:ascii="Arial" w:hAnsi="Arial" w:cs="Arial"/>
        </w:rPr>
        <w:t xml:space="preserve">no governmental initiative </w:t>
      </w:r>
      <w:r w:rsidR="0097122D" w:rsidRPr="00A50904">
        <w:rPr>
          <w:rFonts w:ascii="Arial" w:hAnsi="Arial" w:cs="Arial"/>
        </w:rPr>
        <w:t>on autism</w:t>
      </w:r>
      <w:r w:rsidR="00002509" w:rsidRPr="00A50904">
        <w:rPr>
          <w:rFonts w:ascii="Arial" w:hAnsi="Arial" w:cs="Arial"/>
        </w:rPr>
        <w:t xml:space="preserve">. </w:t>
      </w:r>
      <w:r w:rsidR="00471F7B" w:rsidRPr="00A50904">
        <w:rPr>
          <w:rFonts w:ascii="Arial" w:hAnsi="Arial" w:cs="Arial"/>
        </w:rPr>
        <w:t xml:space="preserve">On 26 February 2015, the application was rejected by the Migration Agency on the grounds that assistance was available in Nigeria. </w:t>
      </w:r>
    </w:p>
    <w:p w14:paraId="0B8355AA" w14:textId="77777777" w:rsidR="00E62B23" w:rsidRPr="00A50904" w:rsidRDefault="00E62B23" w:rsidP="00E62B23">
      <w:pPr>
        <w:rPr>
          <w:rFonts w:ascii="Arial" w:hAnsi="Arial" w:cs="Arial"/>
          <w:bCs/>
          <w:color w:val="000000" w:themeColor="text1"/>
          <w:sz w:val="28"/>
          <w:szCs w:val="28"/>
        </w:rPr>
      </w:pPr>
      <w:r w:rsidRPr="00A50904">
        <w:rPr>
          <w:rFonts w:ascii="Arial" w:hAnsi="Arial" w:cs="Arial"/>
          <w:bCs/>
          <w:color w:val="000000" w:themeColor="text1"/>
          <w:sz w:val="28"/>
          <w:szCs w:val="28"/>
        </w:rPr>
        <w:t>The complaint submitted to the Committee</w:t>
      </w:r>
    </w:p>
    <w:p w14:paraId="487A1653" w14:textId="77777777" w:rsidR="00E62B23" w:rsidRPr="00A50904" w:rsidRDefault="00E62B23" w:rsidP="00E62B23">
      <w:pPr>
        <w:jc w:val="both"/>
        <w:rPr>
          <w:rFonts w:ascii="Arial" w:hAnsi="Arial" w:cs="Arial"/>
          <w:color w:val="000000" w:themeColor="text1"/>
        </w:rPr>
      </w:pPr>
      <w:r w:rsidRPr="00A50904">
        <w:rPr>
          <w:rFonts w:ascii="Arial" w:hAnsi="Arial" w:cs="Arial"/>
          <w:color w:val="000000" w:themeColor="text1"/>
        </w:rPr>
        <w:t xml:space="preserve">The author claims that State has breached its obligations under Articles </w:t>
      </w:r>
      <w:hyperlink r:id="rId29" w:anchor="7" w:history="1">
        <w:r w:rsidRPr="00A50904">
          <w:rPr>
            <w:rStyle w:val="Hyperlink"/>
            <w:rFonts w:ascii="Arial" w:hAnsi="Arial" w:cs="Arial"/>
          </w:rPr>
          <w:t>7 (2)</w:t>
        </w:r>
      </w:hyperlink>
      <w:r w:rsidRPr="00A50904">
        <w:rPr>
          <w:rFonts w:ascii="Arial" w:hAnsi="Arial" w:cs="Arial"/>
          <w:color w:val="000000" w:themeColor="text1"/>
        </w:rPr>
        <w:t xml:space="preserve">, </w:t>
      </w:r>
      <w:hyperlink r:id="rId30" w:anchor="12" w:history="1">
        <w:r w:rsidRPr="00A50904">
          <w:rPr>
            <w:rStyle w:val="Hyperlink"/>
            <w:rFonts w:ascii="Arial" w:hAnsi="Arial" w:cs="Arial"/>
          </w:rPr>
          <w:t>12 (4)</w:t>
        </w:r>
      </w:hyperlink>
      <w:r w:rsidRPr="00A50904">
        <w:rPr>
          <w:rFonts w:ascii="Arial" w:hAnsi="Arial" w:cs="Arial"/>
          <w:color w:val="000000" w:themeColor="text1"/>
        </w:rPr>
        <w:t xml:space="preserve">, </w:t>
      </w:r>
      <w:hyperlink r:id="rId31" w:anchor="15" w:history="1">
        <w:r w:rsidRPr="00A50904">
          <w:rPr>
            <w:rStyle w:val="Hyperlink"/>
            <w:rFonts w:ascii="Arial" w:hAnsi="Arial" w:cs="Arial"/>
          </w:rPr>
          <w:t>15 (2)</w:t>
        </w:r>
      </w:hyperlink>
      <w:r w:rsidRPr="00A50904">
        <w:rPr>
          <w:rFonts w:ascii="Arial" w:hAnsi="Arial" w:cs="Arial"/>
          <w:color w:val="000000" w:themeColor="text1"/>
        </w:rPr>
        <w:t xml:space="preserve">, </w:t>
      </w:r>
      <w:hyperlink r:id="rId32" w:anchor="24" w:history="1">
        <w:r w:rsidRPr="00A50904">
          <w:rPr>
            <w:rStyle w:val="Hyperlink"/>
            <w:rFonts w:ascii="Arial" w:hAnsi="Arial" w:cs="Arial"/>
          </w:rPr>
          <w:t>24</w:t>
        </w:r>
      </w:hyperlink>
      <w:r w:rsidRPr="00A50904">
        <w:rPr>
          <w:rFonts w:ascii="Arial" w:hAnsi="Arial" w:cs="Arial"/>
          <w:color w:val="000000" w:themeColor="text1"/>
        </w:rPr>
        <w:t xml:space="preserve">, </w:t>
      </w:r>
      <w:hyperlink r:id="rId33" w:anchor="25" w:history="1">
        <w:r w:rsidRPr="00A50904">
          <w:rPr>
            <w:rStyle w:val="Hyperlink"/>
            <w:rFonts w:ascii="Arial" w:hAnsi="Arial" w:cs="Arial"/>
          </w:rPr>
          <w:t>25 (a)</w:t>
        </w:r>
      </w:hyperlink>
      <w:r w:rsidRPr="00A50904">
        <w:rPr>
          <w:rFonts w:ascii="Arial" w:hAnsi="Arial" w:cs="Arial"/>
          <w:color w:val="000000" w:themeColor="text1"/>
        </w:rPr>
        <w:t xml:space="preserve">, </w:t>
      </w:r>
      <w:hyperlink r:id="rId34" w:anchor="26" w:history="1">
        <w:r w:rsidRPr="00A50904">
          <w:rPr>
            <w:rStyle w:val="Hyperlink"/>
            <w:rFonts w:ascii="Arial" w:hAnsi="Arial" w:cs="Arial"/>
          </w:rPr>
          <w:t>26</w:t>
        </w:r>
      </w:hyperlink>
      <w:r w:rsidRPr="00A50904">
        <w:rPr>
          <w:rFonts w:ascii="Arial" w:hAnsi="Arial" w:cs="Arial"/>
          <w:color w:val="000000" w:themeColor="text1"/>
        </w:rPr>
        <w:t xml:space="preserve"> and </w:t>
      </w:r>
      <w:hyperlink r:id="rId35" w:anchor="28" w:history="1">
        <w:r w:rsidRPr="00A50904">
          <w:rPr>
            <w:rStyle w:val="Hyperlink"/>
            <w:rFonts w:ascii="Arial" w:hAnsi="Arial" w:cs="Arial"/>
          </w:rPr>
          <w:t>28 (2) (a)</w:t>
        </w:r>
      </w:hyperlink>
      <w:r w:rsidRPr="00A50904">
        <w:rPr>
          <w:rFonts w:ascii="Arial" w:hAnsi="Arial" w:cs="Arial"/>
          <w:color w:val="000000" w:themeColor="text1"/>
        </w:rPr>
        <w:t xml:space="preserve"> of the CRPD</w:t>
      </w:r>
      <w:r w:rsidR="00274EE9" w:rsidRPr="00A50904">
        <w:rPr>
          <w:rFonts w:ascii="Arial" w:hAnsi="Arial" w:cs="Arial"/>
          <w:color w:val="000000" w:themeColor="text1"/>
        </w:rPr>
        <w:t>.</w:t>
      </w:r>
      <w:r w:rsidRPr="00A50904">
        <w:rPr>
          <w:rFonts w:ascii="Arial" w:hAnsi="Arial" w:cs="Arial"/>
          <w:color w:val="000000" w:themeColor="text1"/>
        </w:rPr>
        <w:t xml:space="preserve"> </w:t>
      </w:r>
    </w:p>
    <w:p w14:paraId="0EB75781" w14:textId="77777777" w:rsidR="009A38AC" w:rsidRPr="00A50904" w:rsidRDefault="009A38AC" w:rsidP="009A38AC">
      <w:pPr>
        <w:jc w:val="both"/>
        <w:rPr>
          <w:rFonts w:ascii="Arial" w:hAnsi="Arial" w:cs="Arial"/>
          <w:color w:val="000000" w:themeColor="text1"/>
        </w:rPr>
      </w:pPr>
      <w:r w:rsidRPr="00A50904">
        <w:rPr>
          <w:rFonts w:ascii="Arial" w:hAnsi="Arial" w:cs="Arial"/>
          <w:color w:val="000000" w:themeColor="text1"/>
          <w:u w:val="single"/>
        </w:rPr>
        <w:t>Regarding Article 7(2)</w:t>
      </w:r>
      <w:r w:rsidRPr="00A50904">
        <w:rPr>
          <w:rFonts w:ascii="Arial" w:hAnsi="Arial" w:cs="Arial"/>
          <w:color w:val="000000" w:themeColor="text1"/>
        </w:rPr>
        <w:t>, the author argues that the Migration Agency consistently maintained its stance to deport E.O.J. and his family to Nigeria without considering the severe health consequences. Further, the author notes that the medical report from the doctor states that his son is in need of continuous care and support from specially trained personnel.</w:t>
      </w:r>
    </w:p>
    <w:p w14:paraId="2AA4B22D" w14:textId="77777777" w:rsidR="00E62B23" w:rsidRPr="00A50904" w:rsidRDefault="00E62B23" w:rsidP="00E62B23">
      <w:pPr>
        <w:jc w:val="both"/>
        <w:rPr>
          <w:rFonts w:ascii="Arial" w:hAnsi="Arial" w:cs="Arial"/>
        </w:rPr>
      </w:pPr>
      <w:bookmarkStart w:id="1" w:name="_Hlk498950196"/>
      <w:r w:rsidRPr="00A50904">
        <w:rPr>
          <w:rFonts w:ascii="Arial" w:hAnsi="Arial" w:cs="Arial"/>
          <w:color w:val="000000" w:themeColor="text1"/>
          <w:u w:val="single"/>
        </w:rPr>
        <w:t xml:space="preserve">Regarding Article 12 </w:t>
      </w:r>
      <w:bookmarkEnd w:id="1"/>
      <w:r w:rsidRPr="00A50904">
        <w:rPr>
          <w:rFonts w:ascii="Arial" w:hAnsi="Arial" w:cs="Arial"/>
          <w:color w:val="000000" w:themeColor="text1"/>
          <w:u w:val="single"/>
        </w:rPr>
        <w:t>(4),</w:t>
      </w:r>
      <w:r w:rsidRPr="00A50904">
        <w:rPr>
          <w:rFonts w:ascii="Arial" w:hAnsi="Arial" w:cs="Arial"/>
          <w:color w:val="000000" w:themeColor="text1"/>
        </w:rPr>
        <w:t xml:space="preserve"> the author claimed that the domestic authorities did not ensure that all measures were taken to enable E.O.J. to exercise his l</w:t>
      </w:r>
      <w:r w:rsidR="00274EE9" w:rsidRPr="00A50904">
        <w:rPr>
          <w:rFonts w:ascii="Arial" w:hAnsi="Arial" w:cs="Arial"/>
          <w:color w:val="000000" w:themeColor="text1"/>
        </w:rPr>
        <w:t>egal capacity and</w:t>
      </w:r>
      <w:r w:rsidRPr="00A50904">
        <w:rPr>
          <w:rFonts w:ascii="Arial" w:hAnsi="Arial" w:cs="Arial"/>
          <w:color w:val="000000" w:themeColor="text1"/>
        </w:rPr>
        <w:t xml:space="preserve"> respect E.O.J.’s rights, will and preferences. </w:t>
      </w:r>
      <w:r w:rsidR="002C67B5" w:rsidRPr="00A50904">
        <w:rPr>
          <w:rFonts w:ascii="Arial" w:hAnsi="Arial" w:cs="Arial"/>
        </w:rPr>
        <w:t>The author submits that</w:t>
      </w:r>
      <w:r w:rsidR="009A38AC" w:rsidRPr="00A50904">
        <w:rPr>
          <w:rFonts w:ascii="Arial" w:hAnsi="Arial" w:cs="Arial"/>
        </w:rPr>
        <w:t xml:space="preserve"> the fact that no </w:t>
      </w:r>
      <w:r w:rsidR="002C67B5" w:rsidRPr="00A50904">
        <w:rPr>
          <w:rFonts w:ascii="Arial" w:hAnsi="Arial" w:cs="Arial"/>
        </w:rPr>
        <w:t xml:space="preserve">hearing took place </w:t>
      </w:r>
      <w:r w:rsidR="009A38AC" w:rsidRPr="00A50904">
        <w:rPr>
          <w:rFonts w:ascii="Arial" w:hAnsi="Arial" w:cs="Arial"/>
        </w:rPr>
        <w:t xml:space="preserve">is also a violation of article 12 of the Convention and that the measures taken by the authorities were not proportional and tailored to E.O.J.’s circumstances. </w:t>
      </w:r>
    </w:p>
    <w:p w14:paraId="0B5438AD" w14:textId="77777777" w:rsidR="00E62B23" w:rsidRPr="00A50904" w:rsidRDefault="00E62B23" w:rsidP="00951E7C">
      <w:pPr>
        <w:jc w:val="both"/>
        <w:rPr>
          <w:rFonts w:ascii="Arial" w:hAnsi="Arial" w:cs="Arial"/>
          <w:color w:val="000000" w:themeColor="text1"/>
        </w:rPr>
      </w:pPr>
      <w:r w:rsidRPr="00A50904">
        <w:rPr>
          <w:rFonts w:ascii="Arial" w:hAnsi="Arial" w:cs="Arial"/>
          <w:color w:val="000000" w:themeColor="text1"/>
          <w:u w:val="single"/>
        </w:rPr>
        <w:t>Regarding article 15 (2),</w:t>
      </w:r>
      <w:r w:rsidRPr="00A50904">
        <w:rPr>
          <w:rFonts w:ascii="Arial" w:hAnsi="Arial" w:cs="Arial"/>
          <w:color w:val="000000" w:themeColor="text1"/>
        </w:rPr>
        <w:t xml:space="preserve"> the author claimed that the deportation to Nigeria would amount to inhuman and degrading treatment, considering the n</w:t>
      </w:r>
      <w:r w:rsidR="002C67B5" w:rsidRPr="00A50904">
        <w:rPr>
          <w:rFonts w:ascii="Arial" w:hAnsi="Arial" w:cs="Arial"/>
          <w:color w:val="000000" w:themeColor="text1"/>
        </w:rPr>
        <w:t>ature of E.O.J.’s disability</w:t>
      </w:r>
      <w:r w:rsidRPr="00A50904">
        <w:rPr>
          <w:rFonts w:ascii="Arial" w:hAnsi="Arial" w:cs="Arial"/>
          <w:color w:val="000000" w:themeColor="text1"/>
        </w:rPr>
        <w:t xml:space="preserve">. </w:t>
      </w:r>
      <w:r w:rsidR="002C67B5" w:rsidRPr="00A50904">
        <w:rPr>
          <w:rFonts w:ascii="Arial" w:hAnsi="Arial" w:cs="Arial"/>
          <w:color w:val="000000" w:themeColor="text1"/>
        </w:rPr>
        <w:t>T</w:t>
      </w:r>
      <w:r w:rsidRPr="00A50904">
        <w:rPr>
          <w:rFonts w:ascii="Arial" w:hAnsi="Arial" w:cs="Arial"/>
          <w:color w:val="000000" w:themeColor="text1"/>
        </w:rPr>
        <w:t xml:space="preserve">he author joins a letter </w:t>
      </w:r>
      <w:r w:rsidR="002C67B5" w:rsidRPr="00A50904">
        <w:rPr>
          <w:rFonts w:ascii="Arial" w:hAnsi="Arial" w:cs="Arial"/>
          <w:color w:val="000000" w:themeColor="text1"/>
        </w:rPr>
        <w:t>describing</w:t>
      </w:r>
      <w:r w:rsidRPr="00A50904">
        <w:rPr>
          <w:rFonts w:ascii="Arial" w:hAnsi="Arial" w:cs="Arial"/>
          <w:color w:val="000000" w:themeColor="text1"/>
        </w:rPr>
        <w:t xml:space="preserve">: (a) that E.O.J. sometimes has injuries and they do not know </w:t>
      </w:r>
      <w:r w:rsidR="002C67B5" w:rsidRPr="00A50904">
        <w:rPr>
          <w:rFonts w:ascii="Arial" w:hAnsi="Arial" w:cs="Arial"/>
          <w:color w:val="000000" w:themeColor="text1"/>
        </w:rPr>
        <w:t>the cause</w:t>
      </w:r>
      <w:r w:rsidRPr="00A50904">
        <w:rPr>
          <w:rFonts w:ascii="Arial" w:hAnsi="Arial" w:cs="Arial"/>
          <w:color w:val="000000" w:themeColor="text1"/>
        </w:rPr>
        <w:t xml:space="preserve">; (b) the difficulties </w:t>
      </w:r>
      <w:r w:rsidR="002C67B5" w:rsidRPr="00A50904">
        <w:rPr>
          <w:rFonts w:ascii="Arial" w:hAnsi="Arial" w:cs="Arial"/>
          <w:color w:val="000000" w:themeColor="text1"/>
        </w:rPr>
        <w:t>faced daily</w:t>
      </w:r>
      <w:r w:rsidRPr="00A50904">
        <w:rPr>
          <w:rFonts w:ascii="Arial" w:hAnsi="Arial" w:cs="Arial"/>
          <w:color w:val="000000" w:themeColor="text1"/>
        </w:rPr>
        <w:t xml:space="preserve"> as parents</w:t>
      </w:r>
      <w:r w:rsidR="002C67B5" w:rsidRPr="00A50904">
        <w:rPr>
          <w:rFonts w:ascii="Arial" w:hAnsi="Arial" w:cs="Arial"/>
          <w:color w:val="000000" w:themeColor="text1"/>
        </w:rPr>
        <w:t xml:space="preserve">; (c) their need for support to deal </w:t>
      </w:r>
      <w:r w:rsidRPr="00A50904">
        <w:rPr>
          <w:rFonts w:ascii="Arial" w:hAnsi="Arial" w:cs="Arial"/>
          <w:color w:val="000000" w:themeColor="text1"/>
        </w:rPr>
        <w:t xml:space="preserve">with unexpected behaviours; (d) their fear </w:t>
      </w:r>
      <w:r w:rsidR="002C67B5" w:rsidRPr="00A50904">
        <w:rPr>
          <w:rFonts w:ascii="Arial" w:hAnsi="Arial" w:cs="Arial"/>
          <w:color w:val="000000" w:themeColor="text1"/>
        </w:rPr>
        <w:t>of exclusion</w:t>
      </w:r>
      <w:r w:rsidRPr="00A50904">
        <w:rPr>
          <w:rFonts w:ascii="Arial" w:hAnsi="Arial" w:cs="Arial"/>
          <w:color w:val="000000" w:themeColor="text1"/>
        </w:rPr>
        <w:t xml:space="preserve"> from Nigerian soc</w:t>
      </w:r>
      <w:r w:rsidR="002C67B5" w:rsidRPr="00A50904">
        <w:rPr>
          <w:rFonts w:ascii="Arial" w:hAnsi="Arial" w:cs="Arial"/>
          <w:color w:val="000000" w:themeColor="text1"/>
        </w:rPr>
        <w:t>iety because of his disability.</w:t>
      </w:r>
    </w:p>
    <w:p w14:paraId="390EED89" w14:textId="77777777" w:rsidR="00E62B23" w:rsidRPr="00A50904" w:rsidRDefault="00E62B23" w:rsidP="00951E7C">
      <w:pPr>
        <w:jc w:val="both"/>
        <w:rPr>
          <w:rFonts w:ascii="Arial" w:hAnsi="Arial" w:cs="Arial"/>
          <w:color w:val="000000" w:themeColor="text1"/>
        </w:rPr>
      </w:pPr>
      <w:r w:rsidRPr="00A50904">
        <w:rPr>
          <w:rFonts w:ascii="Arial" w:hAnsi="Arial" w:cs="Arial"/>
          <w:color w:val="000000" w:themeColor="text1"/>
          <w:u w:val="single"/>
        </w:rPr>
        <w:t>Regarding article 24,</w:t>
      </w:r>
      <w:r w:rsidRPr="00A50904">
        <w:rPr>
          <w:rFonts w:ascii="Arial" w:hAnsi="Arial" w:cs="Arial"/>
          <w:color w:val="000000" w:themeColor="text1"/>
        </w:rPr>
        <w:t xml:space="preserve"> the author argues that deporting E.O.J. to Nigeria, where there is no access to the kind of education and support he requires would amount to a violation of his son’s rights </w:t>
      </w:r>
      <w:r w:rsidR="00114F9E" w:rsidRPr="00A50904">
        <w:rPr>
          <w:rFonts w:ascii="Arial" w:hAnsi="Arial" w:cs="Arial"/>
          <w:color w:val="000000" w:themeColor="text1"/>
        </w:rPr>
        <w:t>under article 24</w:t>
      </w:r>
      <w:r w:rsidRPr="00A50904">
        <w:rPr>
          <w:rFonts w:ascii="Arial" w:hAnsi="Arial" w:cs="Arial"/>
          <w:color w:val="000000" w:themeColor="text1"/>
        </w:rPr>
        <w:t xml:space="preserve">, as it would automatically interrupt the support and treatment he is currently receiving. </w:t>
      </w:r>
      <w:r w:rsidRPr="00A50904">
        <w:rPr>
          <w:rFonts w:ascii="Arial" w:hAnsi="Arial" w:cs="Arial"/>
          <w:color w:val="000000" w:themeColor="text1"/>
          <w:u w:val="single"/>
        </w:rPr>
        <w:t>Regarding article 25 (a) and 26</w:t>
      </w:r>
      <w:r w:rsidRPr="00A50904">
        <w:rPr>
          <w:rFonts w:ascii="Arial" w:hAnsi="Arial" w:cs="Arial"/>
          <w:b/>
          <w:bCs/>
          <w:color w:val="000000" w:themeColor="text1"/>
        </w:rPr>
        <w:t>,</w:t>
      </w:r>
      <w:r w:rsidRPr="00A50904">
        <w:rPr>
          <w:rFonts w:ascii="Arial" w:hAnsi="Arial" w:cs="Arial"/>
          <w:color w:val="000000" w:themeColor="text1"/>
        </w:rPr>
        <w:t xml:space="preserve"> the author considers that deportation of the family to Nigeria would deprive his son of access to adequate health care and to the habilitation and rehabilitation programmes he has been attending, which have had positive results. </w:t>
      </w:r>
    </w:p>
    <w:p w14:paraId="0CBB6C73" w14:textId="77777777" w:rsidR="005B548C" w:rsidRPr="00A50904" w:rsidRDefault="005B548C" w:rsidP="005B548C">
      <w:pPr>
        <w:rPr>
          <w:rFonts w:ascii="Arial" w:hAnsi="Arial" w:cs="Arial"/>
          <w:bCs/>
          <w:color w:val="000000" w:themeColor="text1"/>
          <w:sz w:val="28"/>
          <w:szCs w:val="28"/>
        </w:rPr>
      </w:pPr>
      <w:bookmarkStart w:id="2" w:name="_Hlk501619516"/>
      <w:r w:rsidRPr="00A50904">
        <w:rPr>
          <w:rFonts w:ascii="Arial" w:hAnsi="Arial" w:cs="Arial"/>
          <w:bCs/>
          <w:color w:val="000000" w:themeColor="text1"/>
          <w:sz w:val="28"/>
          <w:szCs w:val="28"/>
        </w:rPr>
        <w:t xml:space="preserve">State party’s observations on admissibility </w:t>
      </w:r>
    </w:p>
    <w:p w14:paraId="0D3C3CCA" w14:textId="77777777" w:rsidR="005B548C" w:rsidRPr="00A50904" w:rsidRDefault="005B548C" w:rsidP="005B548C">
      <w:pPr>
        <w:jc w:val="both"/>
        <w:rPr>
          <w:rFonts w:ascii="Arial" w:hAnsi="Arial" w:cs="Arial"/>
        </w:rPr>
      </w:pPr>
      <w:r w:rsidRPr="00A50904">
        <w:rPr>
          <w:rFonts w:ascii="Arial" w:eastAsia="Calibri" w:hAnsi="Arial" w:cs="Arial"/>
        </w:rPr>
        <w:t xml:space="preserve">The State submits that the communication should be declared inadmissible </w:t>
      </w:r>
      <w:r w:rsidRPr="00A50904">
        <w:rPr>
          <w:rFonts w:ascii="Arial" w:eastAsia="Calibri" w:hAnsi="Arial" w:cs="Arial"/>
          <w:i/>
        </w:rPr>
        <w:t>ratione personae</w:t>
      </w:r>
      <w:r w:rsidRPr="00A50904">
        <w:rPr>
          <w:rFonts w:ascii="Arial" w:eastAsia="Calibri" w:hAnsi="Arial" w:cs="Arial"/>
        </w:rPr>
        <w:t xml:space="preserve"> under article 1 and 2 (e) of the Optional Protocol as being manifestly ill-founded for lack of substantiation. </w:t>
      </w:r>
      <w:r w:rsidRPr="00A50904">
        <w:rPr>
          <w:rFonts w:ascii="Arial" w:hAnsi="Arial" w:cs="Arial"/>
        </w:rPr>
        <w:t xml:space="preserve">The State party notes that the author’s complaint has been examined by the Migration </w:t>
      </w:r>
      <w:r w:rsidR="00BA32A2" w:rsidRPr="00A50904">
        <w:rPr>
          <w:rFonts w:ascii="Arial" w:hAnsi="Arial" w:cs="Arial"/>
        </w:rPr>
        <w:t>Agen</w:t>
      </w:r>
      <w:r w:rsidR="00407135" w:rsidRPr="00A50904">
        <w:rPr>
          <w:rFonts w:ascii="Arial" w:hAnsi="Arial" w:cs="Arial"/>
        </w:rPr>
        <w:t>cy and the migration courts. T</w:t>
      </w:r>
      <w:r w:rsidRPr="00A50904">
        <w:rPr>
          <w:rFonts w:ascii="Arial" w:hAnsi="Arial" w:cs="Arial"/>
        </w:rPr>
        <w:t>he health reasons invoked</w:t>
      </w:r>
      <w:r w:rsidR="00407135" w:rsidRPr="00A50904">
        <w:rPr>
          <w:rFonts w:ascii="Arial" w:hAnsi="Arial" w:cs="Arial"/>
        </w:rPr>
        <w:t xml:space="preserve"> were</w:t>
      </w:r>
      <w:r w:rsidRPr="00A50904">
        <w:rPr>
          <w:rFonts w:ascii="Arial" w:hAnsi="Arial" w:cs="Arial"/>
        </w:rPr>
        <w:t xml:space="preserve"> </w:t>
      </w:r>
      <w:r w:rsidR="00407135" w:rsidRPr="00A50904">
        <w:rPr>
          <w:rFonts w:ascii="Arial" w:hAnsi="Arial" w:cs="Arial"/>
        </w:rPr>
        <w:t>considered</w:t>
      </w:r>
      <w:r w:rsidRPr="00A50904">
        <w:rPr>
          <w:rFonts w:ascii="Arial" w:hAnsi="Arial" w:cs="Arial"/>
        </w:rPr>
        <w:t xml:space="preserve"> by the domestic authorities, </w:t>
      </w:r>
      <w:r w:rsidR="00407135" w:rsidRPr="00A50904">
        <w:rPr>
          <w:rFonts w:ascii="Arial" w:hAnsi="Arial" w:cs="Arial"/>
        </w:rPr>
        <w:t>stating</w:t>
      </w:r>
      <w:r w:rsidRPr="00A50904">
        <w:rPr>
          <w:rFonts w:ascii="Arial" w:hAnsi="Arial" w:cs="Arial"/>
        </w:rPr>
        <w:t xml:space="preserve"> that they </w:t>
      </w:r>
      <w:r w:rsidR="00407135" w:rsidRPr="00A50904">
        <w:rPr>
          <w:rFonts w:ascii="Arial" w:hAnsi="Arial" w:cs="Arial"/>
        </w:rPr>
        <w:t>were</w:t>
      </w:r>
      <w:r w:rsidRPr="00A50904">
        <w:rPr>
          <w:rFonts w:ascii="Arial" w:hAnsi="Arial" w:cs="Arial"/>
        </w:rPr>
        <w:t xml:space="preserve"> not of such a nature that the deportation of the author and his family would amount to inhuman or degrading treatment.</w:t>
      </w:r>
    </w:p>
    <w:p w14:paraId="5AF4D006" w14:textId="77777777" w:rsidR="005B548C" w:rsidRPr="00A50904" w:rsidRDefault="005B548C" w:rsidP="005B548C">
      <w:pPr>
        <w:jc w:val="both"/>
        <w:rPr>
          <w:rFonts w:ascii="Arial" w:hAnsi="Arial" w:cs="Arial"/>
        </w:rPr>
      </w:pPr>
      <w:r w:rsidRPr="00A50904">
        <w:rPr>
          <w:rFonts w:ascii="Arial" w:hAnsi="Arial" w:cs="Arial"/>
          <w:u w:val="single"/>
        </w:rPr>
        <w:lastRenderedPageBreak/>
        <w:t xml:space="preserve">Regarding articles </w:t>
      </w:r>
      <w:bookmarkStart w:id="3" w:name="_Hlk498701275"/>
      <w:r w:rsidRPr="00A50904">
        <w:rPr>
          <w:rFonts w:ascii="Arial" w:hAnsi="Arial" w:cs="Arial"/>
          <w:u w:val="single"/>
        </w:rPr>
        <w:t>7, 12, 24, 25, 26 and 28 of the CRPD</w:t>
      </w:r>
      <w:r w:rsidRPr="00A50904">
        <w:rPr>
          <w:rFonts w:ascii="Arial" w:hAnsi="Arial" w:cs="Arial"/>
        </w:rPr>
        <w:t>,</w:t>
      </w:r>
      <w:bookmarkEnd w:id="3"/>
      <w:r w:rsidRPr="00A50904">
        <w:rPr>
          <w:rFonts w:ascii="Arial" w:hAnsi="Arial" w:cs="Arial"/>
        </w:rPr>
        <w:t xml:space="preserve"> the State party submits that the complaint should be declared inadmissible </w:t>
      </w:r>
      <w:r w:rsidRPr="00A50904">
        <w:rPr>
          <w:rFonts w:ascii="Arial" w:hAnsi="Arial" w:cs="Arial"/>
          <w:i/>
        </w:rPr>
        <w:t>ratione personae</w:t>
      </w:r>
      <w:r w:rsidRPr="00A50904">
        <w:rPr>
          <w:rFonts w:ascii="Arial" w:hAnsi="Arial" w:cs="Arial"/>
        </w:rPr>
        <w:t xml:space="preserve">, noting that the author argues that </w:t>
      </w:r>
      <w:r w:rsidR="00407135" w:rsidRPr="00A50904">
        <w:rPr>
          <w:rFonts w:ascii="Arial" w:hAnsi="Arial" w:cs="Arial"/>
        </w:rPr>
        <w:t>the</w:t>
      </w:r>
      <w:r w:rsidRPr="00A50904">
        <w:rPr>
          <w:rFonts w:ascii="Arial" w:hAnsi="Arial" w:cs="Arial"/>
        </w:rPr>
        <w:t xml:space="preserve"> rights would be violated in Nigeria, </w:t>
      </w:r>
      <w:r w:rsidR="00407135" w:rsidRPr="00A50904">
        <w:rPr>
          <w:rFonts w:ascii="Arial" w:hAnsi="Arial" w:cs="Arial"/>
        </w:rPr>
        <w:t>being</w:t>
      </w:r>
      <w:r w:rsidRPr="00A50904">
        <w:rPr>
          <w:rFonts w:ascii="Arial" w:hAnsi="Arial" w:cs="Arial"/>
        </w:rPr>
        <w:t xml:space="preserve"> the complaint outside the State</w:t>
      </w:r>
      <w:r w:rsidR="00407135" w:rsidRPr="00A50904">
        <w:rPr>
          <w:rFonts w:ascii="Arial" w:hAnsi="Arial" w:cs="Arial"/>
        </w:rPr>
        <w:t>`s</w:t>
      </w:r>
      <w:r w:rsidRPr="00A50904">
        <w:rPr>
          <w:rFonts w:ascii="Arial" w:hAnsi="Arial" w:cs="Arial"/>
        </w:rPr>
        <w:t xml:space="preserve"> jurisdiction. </w:t>
      </w:r>
      <w:r w:rsidR="00407135" w:rsidRPr="00A50904">
        <w:rPr>
          <w:rFonts w:ascii="Arial" w:hAnsi="Arial" w:cs="Arial"/>
        </w:rPr>
        <w:t>T</w:t>
      </w:r>
      <w:r w:rsidRPr="00A50904">
        <w:rPr>
          <w:rFonts w:ascii="Arial" w:hAnsi="Arial" w:cs="Arial"/>
        </w:rPr>
        <w:t>he State party requests the Committee to consider whether</w:t>
      </w:r>
      <w:r w:rsidR="00407135" w:rsidRPr="00A50904">
        <w:rPr>
          <w:rFonts w:ascii="Arial" w:hAnsi="Arial" w:cs="Arial"/>
        </w:rPr>
        <w:t xml:space="preserve"> </w:t>
      </w:r>
      <w:r w:rsidR="00407135" w:rsidRPr="00A50904">
        <w:rPr>
          <w:rFonts w:ascii="Arial" w:hAnsi="Arial" w:cs="Arial"/>
          <w:u w:val="single"/>
        </w:rPr>
        <w:t>article 15 of the Convention</w:t>
      </w:r>
      <w:r w:rsidRPr="00A50904">
        <w:rPr>
          <w:rFonts w:ascii="Arial" w:hAnsi="Arial" w:cs="Arial"/>
        </w:rPr>
        <w:t xml:space="preserve"> encompasses the principl</w:t>
      </w:r>
      <w:r w:rsidR="00407135" w:rsidRPr="00A50904">
        <w:rPr>
          <w:rFonts w:ascii="Arial" w:hAnsi="Arial" w:cs="Arial"/>
        </w:rPr>
        <w:t>e of non-refoulement. Regardless of that point</w:t>
      </w:r>
      <w:r w:rsidRPr="00A50904">
        <w:rPr>
          <w:rFonts w:ascii="Arial" w:hAnsi="Arial" w:cs="Arial"/>
        </w:rPr>
        <w:t xml:space="preserve">, the State party submits that the complaint should be held inadmissible for lack of substantiation. </w:t>
      </w:r>
    </w:p>
    <w:p w14:paraId="7CDD4A52" w14:textId="77777777" w:rsidR="006B532D" w:rsidRPr="00A50904" w:rsidRDefault="006B532D" w:rsidP="005B548C">
      <w:pPr>
        <w:spacing w:after="120"/>
        <w:jc w:val="both"/>
        <w:rPr>
          <w:rFonts w:ascii="Arial" w:hAnsi="Arial" w:cs="Arial"/>
          <w:bCs/>
          <w:sz w:val="28"/>
          <w:szCs w:val="28"/>
        </w:rPr>
      </w:pPr>
    </w:p>
    <w:p w14:paraId="50792B51" w14:textId="77777777" w:rsidR="005B548C" w:rsidRPr="00A50904" w:rsidRDefault="005B548C" w:rsidP="005B548C">
      <w:pPr>
        <w:spacing w:after="120"/>
        <w:jc w:val="both"/>
        <w:rPr>
          <w:rFonts w:ascii="Arial" w:hAnsi="Arial" w:cs="Arial"/>
          <w:bCs/>
          <w:sz w:val="28"/>
          <w:szCs w:val="28"/>
        </w:rPr>
      </w:pPr>
      <w:r w:rsidRPr="00A50904">
        <w:rPr>
          <w:rFonts w:ascii="Arial" w:hAnsi="Arial" w:cs="Arial"/>
          <w:bCs/>
          <w:sz w:val="28"/>
          <w:szCs w:val="28"/>
        </w:rPr>
        <w:t>The author’s comments on the State party’s observations</w:t>
      </w:r>
    </w:p>
    <w:p w14:paraId="537FA242" w14:textId="77777777" w:rsidR="006B532D" w:rsidRPr="00A50904" w:rsidRDefault="005B548C" w:rsidP="006B532D">
      <w:pPr>
        <w:widowControl w:val="0"/>
        <w:spacing w:after="56" w:line="235" w:lineRule="exact"/>
        <w:ind w:right="40"/>
        <w:jc w:val="both"/>
        <w:rPr>
          <w:rFonts w:ascii="Arial" w:hAnsi="Arial" w:cs="Arial"/>
        </w:rPr>
      </w:pPr>
      <w:r w:rsidRPr="00A50904">
        <w:rPr>
          <w:rFonts w:ascii="Arial" w:eastAsia="Times New Roman" w:hAnsi="Arial" w:cs="Arial"/>
          <w:color w:val="000000"/>
          <w:u w:val="single"/>
          <w:lang w:val="en-US"/>
        </w:rPr>
        <w:t>The author maintains that the communication is admissible.</w:t>
      </w:r>
      <w:r w:rsidRPr="00A50904">
        <w:rPr>
          <w:rFonts w:ascii="Arial" w:eastAsia="Times New Roman" w:hAnsi="Arial" w:cs="Arial"/>
          <w:color w:val="000000"/>
          <w:lang w:val="en-US"/>
        </w:rPr>
        <w:t xml:space="preserve"> </w:t>
      </w:r>
      <w:r w:rsidR="00120357" w:rsidRPr="00A50904">
        <w:rPr>
          <w:rFonts w:ascii="Arial" w:eastAsia="Times New Roman" w:hAnsi="Arial" w:cs="Arial"/>
          <w:color w:val="000000"/>
          <w:lang w:val="en-US"/>
        </w:rPr>
        <w:t>He</w:t>
      </w:r>
      <w:r w:rsidRPr="00A50904">
        <w:rPr>
          <w:rFonts w:ascii="Arial" w:eastAsia="Times New Roman" w:hAnsi="Arial" w:cs="Arial"/>
          <w:color w:val="000000"/>
          <w:lang w:val="en-US"/>
        </w:rPr>
        <w:t xml:space="preserve"> noted that their </w:t>
      </w:r>
      <w:r w:rsidRPr="00A50904">
        <w:rPr>
          <w:rFonts w:ascii="Arial" w:hAnsi="Arial" w:cs="Arial"/>
        </w:rPr>
        <w:t xml:space="preserve">application for asylum was </w:t>
      </w:r>
      <w:r w:rsidR="00B60053" w:rsidRPr="00A50904">
        <w:rPr>
          <w:rFonts w:ascii="Arial" w:hAnsi="Arial" w:cs="Arial"/>
        </w:rPr>
        <w:t>assessed</w:t>
      </w:r>
      <w:r w:rsidRPr="00A50904">
        <w:rPr>
          <w:rFonts w:ascii="Arial" w:hAnsi="Arial" w:cs="Arial"/>
        </w:rPr>
        <w:t xml:space="preserve"> by the Migration Agency without consideration </w:t>
      </w:r>
      <w:r w:rsidR="00B60053" w:rsidRPr="00A50904">
        <w:rPr>
          <w:rFonts w:ascii="Arial" w:hAnsi="Arial" w:cs="Arial"/>
        </w:rPr>
        <w:t>of</w:t>
      </w:r>
      <w:r w:rsidRPr="00A50904">
        <w:rPr>
          <w:rFonts w:ascii="Arial" w:hAnsi="Arial" w:cs="Arial"/>
        </w:rPr>
        <w:t xml:space="preserve"> the application for residence permits based on his son’s disability</w:t>
      </w:r>
      <w:r w:rsidR="00B60053" w:rsidRPr="00A50904">
        <w:rPr>
          <w:rFonts w:ascii="Arial" w:hAnsi="Arial" w:cs="Arial"/>
        </w:rPr>
        <w:t>,</w:t>
      </w:r>
      <w:r w:rsidRPr="00A50904">
        <w:rPr>
          <w:rFonts w:ascii="Arial" w:hAnsi="Arial" w:cs="Arial"/>
        </w:rPr>
        <w:t xml:space="preserve"> and the decision was not subject to appeal. He submitted that this in itself amounts to a violation of articles 3 (a)-(b) and (e)-(i), 4 (a)-(e), 5 (l)-(4), 7 (l)-(2), 12 (4), 13 (l)-(2), 24, 25, 26 (1) and 28 of the Convention.</w:t>
      </w:r>
      <w:r w:rsidR="00B60053" w:rsidRPr="00A50904">
        <w:rPr>
          <w:rFonts w:ascii="Arial" w:hAnsi="Arial" w:cs="Arial"/>
        </w:rPr>
        <w:t xml:space="preserve"> </w:t>
      </w:r>
      <w:r w:rsidRPr="00A50904">
        <w:rPr>
          <w:rFonts w:ascii="Arial" w:hAnsi="Arial" w:cs="Arial"/>
        </w:rPr>
        <w:t>The author</w:t>
      </w:r>
      <w:r w:rsidR="00B60053" w:rsidRPr="00A50904">
        <w:rPr>
          <w:rFonts w:ascii="Arial" w:hAnsi="Arial" w:cs="Arial"/>
        </w:rPr>
        <w:t xml:space="preserve"> also</w:t>
      </w:r>
      <w:r w:rsidRPr="00A50904">
        <w:rPr>
          <w:rFonts w:ascii="Arial" w:hAnsi="Arial" w:cs="Arial"/>
        </w:rPr>
        <w:t xml:space="preserve"> argued that it was foreseeable that Nigeria will not be able to protect E.O.J.’s rights under the Convention if he were to be deported and this would cause harm to his health and will </w:t>
      </w:r>
      <w:r w:rsidR="00B60053" w:rsidRPr="00A50904">
        <w:rPr>
          <w:rFonts w:ascii="Arial" w:hAnsi="Arial" w:cs="Arial"/>
        </w:rPr>
        <w:t>amount to inhuman treatment, being</w:t>
      </w:r>
      <w:r w:rsidRPr="00A50904">
        <w:rPr>
          <w:rFonts w:ascii="Arial" w:hAnsi="Arial" w:cs="Arial"/>
        </w:rPr>
        <w:t xml:space="preserve"> the State party’s responsibility to </w:t>
      </w:r>
      <w:r w:rsidR="00B60053" w:rsidRPr="00A50904">
        <w:rPr>
          <w:rFonts w:ascii="Arial" w:hAnsi="Arial" w:cs="Arial"/>
        </w:rPr>
        <w:t>prevent</w:t>
      </w:r>
      <w:r w:rsidRPr="00A50904">
        <w:rPr>
          <w:rFonts w:ascii="Arial" w:hAnsi="Arial" w:cs="Arial"/>
        </w:rPr>
        <w:t xml:space="preserve"> such harm</w:t>
      </w:r>
      <w:r w:rsidR="00B60053" w:rsidRPr="00A50904">
        <w:rPr>
          <w:rFonts w:ascii="Arial" w:hAnsi="Arial" w:cs="Arial"/>
        </w:rPr>
        <w:t>.</w:t>
      </w:r>
      <w:r w:rsidRPr="00A50904">
        <w:rPr>
          <w:rFonts w:ascii="Arial" w:hAnsi="Arial" w:cs="Arial"/>
        </w:rPr>
        <w:t xml:space="preserve"> </w:t>
      </w:r>
    </w:p>
    <w:p w14:paraId="6280A407" w14:textId="77777777" w:rsidR="005B548C" w:rsidRPr="00A50904" w:rsidRDefault="005B548C" w:rsidP="006B532D">
      <w:pPr>
        <w:widowControl w:val="0"/>
        <w:spacing w:after="56" w:line="235" w:lineRule="exact"/>
        <w:ind w:right="40"/>
        <w:jc w:val="both"/>
        <w:rPr>
          <w:rFonts w:ascii="Arial" w:hAnsi="Arial" w:cs="Arial"/>
        </w:rPr>
      </w:pPr>
      <w:r w:rsidRPr="00A50904">
        <w:rPr>
          <w:rFonts w:ascii="Arial" w:eastAsia="Times New Roman" w:hAnsi="Arial" w:cs="Arial"/>
          <w:color w:val="000000"/>
          <w:lang w:val="en-US"/>
        </w:rPr>
        <w:t xml:space="preserve">On 21 August 2015, the Special Rapporteur on new communications and interim measures, on behalf of the Committee, </w:t>
      </w:r>
      <w:r w:rsidR="00852FF7" w:rsidRPr="00A50904">
        <w:rPr>
          <w:rFonts w:ascii="Arial" w:eastAsia="Times New Roman" w:hAnsi="Arial" w:cs="Arial"/>
          <w:color w:val="000000"/>
          <w:lang w:val="en-US"/>
        </w:rPr>
        <w:t>rejected the</w:t>
      </w:r>
      <w:r w:rsidRPr="00A50904">
        <w:rPr>
          <w:rFonts w:ascii="Arial" w:eastAsia="Times New Roman" w:hAnsi="Arial" w:cs="Arial"/>
          <w:color w:val="000000"/>
          <w:lang w:val="en-US"/>
        </w:rPr>
        <w:t xml:space="preserve"> State</w:t>
      </w:r>
      <w:r w:rsidR="00852FF7" w:rsidRPr="00A50904">
        <w:rPr>
          <w:rFonts w:ascii="Arial" w:eastAsia="Times New Roman" w:hAnsi="Arial" w:cs="Arial"/>
          <w:color w:val="000000"/>
          <w:lang w:val="en-US"/>
        </w:rPr>
        <w:t>`s</w:t>
      </w:r>
      <w:r w:rsidRPr="00A50904">
        <w:rPr>
          <w:rFonts w:ascii="Arial" w:eastAsia="Times New Roman" w:hAnsi="Arial" w:cs="Arial"/>
          <w:color w:val="000000"/>
          <w:lang w:val="en-US"/>
        </w:rPr>
        <w:t xml:space="preserve"> request for admissibility to be examined separately from the merits.</w:t>
      </w:r>
    </w:p>
    <w:p w14:paraId="7C218984" w14:textId="77777777" w:rsidR="005B548C" w:rsidRPr="00A50904" w:rsidRDefault="005B548C" w:rsidP="005B548C">
      <w:pPr>
        <w:widowControl w:val="0"/>
        <w:spacing w:after="60" w:line="240" w:lineRule="exact"/>
        <w:ind w:right="40"/>
        <w:jc w:val="both"/>
        <w:rPr>
          <w:rFonts w:ascii="Arial" w:eastAsia="Times New Roman" w:hAnsi="Arial" w:cs="Arial"/>
          <w:color w:val="000000"/>
          <w:lang w:val="en-US"/>
        </w:rPr>
      </w:pPr>
    </w:p>
    <w:p w14:paraId="2DA57927" w14:textId="77777777" w:rsidR="005B548C" w:rsidRPr="00A50904" w:rsidRDefault="005B548C" w:rsidP="005B548C">
      <w:pPr>
        <w:jc w:val="both"/>
        <w:rPr>
          <w:rFonts w:ascii="Arial" w:hAnsi="Arial" w:cs="Arial"/>
          <w:bCs/>
          <w:sz w:val="28"/>
          <w:szCs w:val="28"/>
          <w:lang w:val="en-US"/>
        </w:rPr>
      </w:pPr>
      <w:r w:rsidRPr="00A50904">
        <w:rPr>
          <w:rFonts w:ascii="Arial" w:hAnsi="Arial" w:cs="Arial"/>
          <w:bCs/>
          <w:sz w:val="28"/>
          <w:szCs w:val="28"/>
          <w:lang w:val="en-US"/>
        </w:rPr>
        <w:t>State party’s observations on the merits and additional observations on admissibility</w:t>
      </w:r>
    </w:p>
    <w:p w14:paraId="40258BBC" w14:textId="77777777" w:rsidR="00330EB0" w:rsidRPr="00A50904" w:rsidRDefault="005B548C" w:rsidP="005B548C">
      <w:pPr>
        <w:jc w:val="both"/>
        <w:rPr>
          <w:rFonts w:ascii="Arial" w:hAnsi="Arial" w:cs="Arial"/>
          <w:lang w:val="en-US"/>
        </w:rPr>
      </w:pPr>
      <w:r w:rsidRPr="00A50904">
        <w:rPr>
          <w:rFonts w:ascii="Arial" w:hAnsi="Arial" w:cs="Arial"/>
          <w:lang w:val="en-US"/>
        </w:rPr>
        <w:t xml:space="preserve">The State party submits that </w:t>
      </w:r>
      <w:r w:rsidRPr="00A50904">
        <w:rPr>
          <w:rFonts w:ascii="Arial" w:hAnsi="Arial" w:cs="Arial"/>
          <w:u w:val="single"/>
          <w:lang w:val="en-US"/>
        </w:rPr>
        <w:t>the claims under articles 3, 4, 5, 7, 12, 13, 24, 25, 26 and 28 of the Convention</w:t>
      </w:r>
      <w:r w:rsidRPr="00A50904">
        <w:rPr>
          <w:rFonts w:ascii="Arial" w:hAnsi="Arial" w:cs="Arial"/>
          <w:lang w:val="en-US"/>
        </w:rPr>
        <w:t xml:space="preserve"> should be declared inadmissible under article 1 of the Optional Protocol. </w:t>
      </w:r>
      <w:r w:rsidRPr="00A50904">
        <w:rPr>
          <w:rFonts w:ascii="Arial" w:hAnsi="Arial" w:cs="Arial"/>
          <w:u w:val="single"/>
          <w:lang w:val="en-US"/>
        </w:rPr>
        <w:t>Regarding article 15,</w:t>
      </w:r>
      <w:r w:rsidRPr="00A50904">
        <w:rPr>
          <w:rFonts w:ascii="Arial" w:hAnsi="Arial" w:cs="Arial"/>
          <w:lang w:val="en-US"/>
        </w:rPr>
        <w:t xml:space="preserve"> It reiterates its position and states that should the Committee find that the communication is admissible, the State party submits that it is without merit.</w:t>
      </w:r>
      <w:r w:rsidR="00330EB0" w:rsidRPr="00A50904">
        <w:rPr>
          <w:rFonts w:ascii="Arial" w:hAnsi="Arial" w:cs="Arial"/>
          <w:lang w:val="en-US"/>
        </w:rPr>
        <w:t xml:space="preserve"> </w:t>
      </w:r>
    </w:p>
    <w:p w14:paraId="7B6E7878" w14:textId="77777777" w:rsidR="005B548C" w:rsidRPr="00A50904" w:rsidRDefault="005B548C" w:rsidP="001B4F3E">
      <w:pPr>
        <w:jc w:val="both"/>
        <w:rPr>
          <w:rFonts w:ascii="Arial" w:hAnsi="Arial" w:cs="Arial"/>
          <w:lang w:val="en-US"/>
        </w:rPr>
      </w:pPr>
      <w:r w:rsidRPr="00A50904">
        <w:rPr>
          <w:rFonts w:ascii="Arial" w:hAnsi="Arial" w:cs="Arial"/>
          <w:u w:val="single"/>
          <w:lang w:val="en-US"/>
        </w:rPr>
        <w:t>Regarding article 7(2),</w:t>
      </w:r>
      <w:r w:rsidRPr="00A50904">
        <w:rPr>
          <w:rFonts w:ascii="Arial" w:hAnsi="Arial" w:cs="Arial"/>
          <w:lang w:val="en-US"/>
        </w:rPr>
        <w:t xml:space="preserve"> the State party noted that the Aliens Act stipulates consideration to the best interests of the child in general.</w:t>
      </w:r>
      <w:r w:rsidR="00330EB0" w:rsidRPr="00A50904">
        <w:rPr>
          <w:rFonts w:ascii="Arial" w:hAnsi="Arial" w:cs="Arial"/>
          <w:lang w:val="en-US"/>
        </w:rPr>
        <w:t xml:space="preserve"> </w:t>
      </w:r>
      <w:r w:rsidRPr="00A50904">
        <w:rPr>
          <w:rFonts w:ascii="Arial" w:hAnsi="Arial" w:cs="Arial"/>
          <w:lang w:val="en-US"/>
        </w:rPr>
        <w:t>The State party further notes that, if a residence permit is not granted under chapter 12, section 18, of the Aliens Act, the Migration Agency may decide to re-examine the matt</w:t>
      </w:r>
      <w:r w:rsidR="00330EB0" w:rsidRPr="00A50904">
        <w:rPr>
          <w:rFonts w:ascii="Arial" w:hAnsi="Arial" w:cs="Arial"/>
          <w:lang w:val="en-US"/>
        </w:rPr>
        <w:t>er under chapter 12, section 19</w:t>
      </w:r>
      <w:r w:rsidRPr="00A50904">
        <w:rPr>
          <w:rFonts w:ascii="Arial" w:hAnsi="Arial" w:cs="Arial"/>
          <w:lang w:val="en-US"/>
        </w:rPr>
        <w:t>. According to the Migration Court of Appeal</w:t>
      </w:r>
      <w:r w:rsidR="00330EB0" w:rsidRPr="00A50904">
        <w:rPr>
          <w:rFonts w:ascii="Arial" w:hAnsi="Arial" w:cs="Arial"/>
          <w:lang w:val="en-US"/>
        </w:rPr>
        <w:t>`s jurisprudence</w:t>
      </w:r>
      <w:r w:rsidRPr="00A50904">
        <w:rPr>
          <w:rFonts w:ascii="Arial" w:hAnsi="Arial" w:cs="Arial"/>
          <w:lang w:val="en-US"/>
        </w:rPr>
        <w:t>, a new examination may be granted if an applicant’s life- threatening disease can lead to the view that expulsion would constitute inhuman or degrading treatment in contravention of article 3 of the European Convention for the Protection of Human Rights and Fundamental Freedoms, and would thereby constitute grounds for protection.</w:t>
      </w:r>
    </w:p>
    <w:p w14:paraId="5810973E" w14:textId="77777777" w:rsidR="005B548C" w:rsidRPr="00A50904" w:rsidRDefault="005B548C" w:rsidP="005B548C">
      <w:pPr>
        <w:jc w:val="both"/>
        <w:rPr>
          <w:rFonts w:ascii="Arial" w:hAnsi="Arial" w:cs="Arial"/>
          <w:lang w:val="en-US"/>
        </w:rPr>
      </w:pPr>
      <w:r w:rsidRPr="00A50904">
        <w:rPr>
          <w:rFonts w:ascii="Arial" w:hAnsi="Arial" w:cs="Arial"/>
          <w:u w:val="single"/>
          <w:lang w:val="en-US"/>
        </w:rPr>
        <w:t>Regarding articles 7, 12, 24, 25, 26 and 28</w:t>
      </w:r>
      <w:r w:rsidRPr="00A50904">
        <w:rPr>
          <w:rFonts w:ascii="Arial" w:hAnsi="Arial" w:cs="Arial"/>
          <w:lang w:val="en-US"/>
        </w:rPr>
        <w:t xml:space="preserve">, the State party maintains its </w:t>
      </w:r>
      <w:r w:rsidR="00BE4CD7" w:rsidRPr="00A50904">
        <w:rPr>
          <w:rFonts w:ascii="Arial" w:hAnsi="Arial" w:cs="Arial"/>
          <w:lang w:val="en-US"/>
        </w:rPr>
        <w:t xml:space="preserve">previous </w:t>
      </w:r>
      <w:r w:rsidRPr="00A50904">
        <w:rPr>
          <w:rFonts w:ascii="Arial" w:hAnsi="Arial" w:cs="Arial"/>
          <w:lang w:val="en-US"/>
        </w:rPr>
        <w:t>observations</w:t>
      </w:r>
      <w:r w:rsidR="00BE4CD7" w:rsidRPr="00A50904">
        <w:rPr>
          <w:rFonts w:ascii="Arial" w:hAnsi="Arial" w:cs="Arial"/>
          <w:lang w:val="en-US"/>
        </w:rPr>
        <w:t xml:space="preserve">, notably that </w:t>
      </w:r>
      <w:r w:rsidRPr="00A50904">
        <w:rPr>
          <w:rFonts w:ascii="Arial" w:hAnsi="Arial" w:cs="Arial"/>
          <w:lang w:val="en-US"/>
        </w:rPr>
        <w:t xml:space="preserve">the </w:t>
      </w:r>
      <w:r w:rsidR="00BE4CD7" w:rsidRPr="00A50904">
        <w:rPr>
          <w:rFonts w:ascii="Arial" w:hAnsi="Arial" w:cs="Arial"/>
          <w:lang w:val="en-US"/>
        </w:rPr>
        <w:t xml:space="preserve">claims are based on treatment the author`s son </w:t>
      </w:r>
      <w:r w:rsidRPr="00A50904">
        <w:rPr>
          <w:rFonts w:ascii="Arial" w:hAnsi="Arial" w:cs="Arial"/>
          <w:lang w:val="en-US"/>
        </w:rPr>
        <w:t xml:space="preserve">will </w:t>
      </w:r>
      <w:r w:rsidR="00BE4CD7" w:rsidRPr="00A50904">
        <w:rPr>
          <w:rFonts w:ascii="Arial" w:hAnsi="Arial" w:cs="Arial"/>
          <w:lang w:val="en-US"/>
        </w:rPr>
        <w:t>suffer in Nigeria and thus</w:t>
      </w:r>
      <w:r w:rsidRPr="00A50904">
        <w:rPr>
          <w:rFonts w:ascii="Arial" w:hAnsi="Arial" w:cs="Arial"/>
          <w:lang w:val="en-US"/>
        </w:rPr>
        <w:t xml:space="preserve"> the Committee lacks jurisdiction in respect of Sweden, </w:t>
      </w:r>
      <w:r w:rsidR="00BE4CD7" w:rsidRPr="00A50904">
        <w:rPr>
          <w:rFonts w:ascii="Arial" w:hAnsi="Arial" w:cs="Arial"/>
          <w:lang w:val="en-US"/>
        </w:rPr>
        <w:t>being</w:t>
      </w:r>
      <w:r w:rsidRPr="00A50904">
        <w:rPr>
          <w:rFonts w:ascii="Arial" w:hAnsi="Arial" w:cs="Arial"/>
          <w:lang w:val="en-US"/>
        </w:rPr>
        <w:t xml:space="preserve"> those claims </w:t>
      </w:r>
      <w:r w:rsidR="00BE4CD7" w:rsidRPr="00A50904">
        <w:rPr>
          <w:rFonts w:ascii="Arial" w:hAnsi="Arial" w:cs="Arial"/>
          <w:lang w:val="en-US"/>
        </w:rPr>
        <w:t xml:space="preserve">inadmissible </w:t>
      </w:r>
      <w:r w:rsidR="00BE4CD7" w:rsidRPr="00A50904">
        <w:rPr>
          <w:rFonts w:ascii="Arial" w:hAnsi="Arial" w:cs="Arial"/>
          <w:i/>
          <w:lang w:val="en-US"/>
        </w:rPr>
        <w:t>ratione personae</w:t>
      </w:r>
      <w:r w:rsidR="00BE4CD7" w:rsidRPr="00A50904">
        <w:rPr>
          <w:rFonts w:ascii="Arial" w:hAnsi="Arial" w:cs="Arial"/>
          <w:lang w:val="en-US"/>
        </w:rPr>
        <w:t>.</w:t>
      </w:r>
      <w:r w:rsidRPr="00A50904">
        <w:rPr>
          <w:rFonts w:ascii="Arial" w:hAnsi="Arial" w:cs="Arial"/>
          <w:lang w:val="en-US"/>
        </w:rPr>
        <w:t xml:space="preserve"> </w:t>
      </w:r>
      <w:r w:rsidRPr="00A50904">
        <w:rPr>
          <w:rFonts w:ascii="Arial" w:hAnsi="Arial" w:cs="Arial"/>
          <w:u w:val="single"/>
          <w:lang w:val="en-US"/>
        </w:rPr>
        <w:t>Regarding articles 3, 4, 5, 7, 12, 13, 24, 25, 26 and 28 of the Convention,</w:t>
      </w:r>
      <w:r w:rsidRPr="00A50904">
        <w:rPr>
          <w:rFonts w:ascii="Arial" w:hAnsi="Arial" w:cs="Arial"/>
          <w:lang w:val="en-US"/>
        </w:rPr>
        <w:t xml:space="preserve"> The State party submits that the author failed to substantiate his claims for the purposes of admissibility.</w:t>
      </w:r>
    </w:p>
    <w:p w14:paraId="0F8704E9" w14:textId="77777777" w:rsidR="005B548C" w:rsidRPr="00A50904" w:rsidRDefault="005B548C" w:rsidP="005B548C">
      <w:pPr>
        <w:jc w:val="both"/>
        <w:rPr>
          <w:rFonts w:ascii="Arial" w:hAnsi="Arial" w:cs="Arial"/>
          <w:bCs/>
          <w:sz w:val="28"/>
          <w:szCs w:val="28"/>
          <w:lang w:val="en-US"/>
        </w:rPr>
      </w:pPr>
      <w:r w:rsidRPr="00A50904">
        <w:rPr>
          <w:rFonts w:ascii="Arial" w:hAnsi="Arial" w:cs="Arial"/>
          <w:bCs/>
          <w:sz w:val="28"/>
          <w:szCs w:val="28"/>
          <w:lang w:val="en-US"/>
        </w:rPr>
        <w:t>Regarding the merits of the case</w:t>
      </w:r>
    </w:p>
    <w:p w14:paraId="49D41AE3" w14:textId="77777777" w:rsidR="005B548C" w:rsidRPr="00A50904" w:rsidRDefault="00F06867" w:rsidP="005B548C">
      <w:pPr>
        <w:jc w:val="both"/>
        <w:rPr>
          <w:rFonts w:ascii="Arial" w:hAnsi="Arial" w:cs="Arial"/>
          <w:lang w:val="en-US"/>
        </w:rPr>
      </w:pPr>
      <w:r w:rsidRPr="00A50904">
        <w:rPr>
          <w:rFonts w:ascii="Arial" w:hAnsi="Arial" w:cs="Arial"/>
          <w:lang w:val="en-US"/>
        </w:rPr>
        <w:t>The State P</w:t>
      </w:r>
      <w:r w:rsidR="005B548C" w:rsidRPr="00A50904">
        <w:rPr>
          <w:rFonts w:ascii="Arial" w:hAnsi="Arial" w:cs="Arial"/>
          <w:lang w:val="en-US"/>
        </w:rPr>
        <w:t>arty considers that the enforcement of the decision to return the author and his family to Nigeria does not constitute a violation of the Convention</w:t>
      </w:r>
      <w:r w:rsidR="00D4126F" w:rsidRPr="00A50904">
        <w:rPr>
          <w:rFonts w:ascii="Arial" w:hAnsi="Arial" w:cs="Arial"/>
          <w:lang w:val="en-US"/>
        </w:rPr>
        <w:t>,</w:t>
      </w:r>
      <w:r w:rsidR="005B548C" w:rsidRPr="00A50904">
        <w:rPr>
          <w:rFonts w:ascii="Arial" w:hAnsi="Arial" w:cs="Arial"/>
          <w:lang w:val="en-US"/>
        </w:rPr>
        <w:t xml:space="preserve"> </w:t>
      </w:r>
      <w:r w:rsidR="00D4126F" w:rsidRPr="00A50904">
        <w:rPr>
          <w:rFonts w:ascii="Arial" w:hAnsi="Arial" w:cs="Arial"/>
          <w:lang w:val="en-US"/>
        </w:rPr>
        <w:t>referring to its</w:t>
      </w:r>
      <w:r w:rsidR="005B548C" w:rsidRPr="00A50904">
        <w:rPr>
          <w:rFonts w:ascii="Arial" w:hAnsi="Arial" w:cs="Arial"/>
          <w:lang w:val="en-US"/>
        </w:rPr>
        <w:t xml:space="preserve"> </w:t>
      </w:r>
      <w:r w:rsidR="00D4126F" w:rsidRPr="00A50904">
        <w:rPr>
          <w:rFonts w:ascii="Arial" w:hAnsi="Arial" w:cs="Arial"/>
          <w:lang w:val="en-US"/>
        </w:rPr>
        <w:t xml:space="preserve">previous </w:t>
      </w:r>
      <w:r w:rsidR="005B548C" w:rsidRPr="00A50904">
        <w:rPr>
          <w:rFonts w:ascii="Arial" w:hAnsi="Arial" w:cs="Arial"/>
          <w:lang w:val="en-US"/>
        </w:rPr>
        <w:t xml:space="preserve">observations </w:t>
      </w:r>
      <w:r w:rsidR="00D4126F" w:rsidRPr="00A50904">
        <w:rPr>
          <w:rFonts w:ascii="Arial" w:hAnsi="Arial" w:cs="Arial"/>
          <w:lang w:val="en-US"/>
        </w:rPr>
        <w:t>on</w:t>
      </w:r>
      <w:r w:rsidR="005B548C" w:rsidRPr="00A50904">
        <w:rPr>
          <w:rFonts w:ascii="Arial" w:hAnsi="Arial" w:cs="Arial"/>
          <w:lang w:val="en-US"/>
        </w:rPr>
        <w:t xml:space="preserve"> the jurisprudence and general comment No. 1 of the </w:t>
      </w:r>
      <w:r w:rsidR="00D4126F" w:rsidRPr="00A50904">
        <w:rPr>
          <w:rFonts w:ascii="Arial" w:hAnsi="Arial" w:cs="Arial"/>
          <w:lang w:val="en-US"/>
        </w:rPr>
        <w:t>CAT Committee</w:t>
      </w:r>
      <w:r w:rsidR="005B548C" w:rsidRPr="00A50904">
        <w:rPr>
          <w:rFonts w:ascii="Arial" w:hAnsi="Arial" w:cs="Arial"/>
          <w:lang w:val="en-US"/>
        </w:rPr>
        <w:t>.</w:t>
      </w:r>
    </w:p>
    <w:p w14:paraId="691851CD" w14:textId="77777777" w:rsidR="005B548C" w:rsidRPr="00A50904" w:rsidRDefault="005B548C" w:rsidP="005B548C">
      <w:pPr>
        <w:jc w:val="both"/>
        <w:rPr>
          <w:rFonts w:ascii="Arial" w:hAnsi="Arial" w:cs="Arial"/>
          <w:lang w:val="en-US"/>
        </w:rPr>
      </w:pPr>
      <w:r w:rsidRPr="00A50904">
        <w:rPr>
          <w:rFonts w:ascii="Arial" w:hAnsi="Arial" w:cs="Arial"/>
          <w:u w:val="single"/>
          <w:lang w:val="en-US"/>
        </w:rPr>
        <w:lastRenderedPageBreak/>
        <w:t>Regarding the impediments to enforcement of an expulsion order</w:t>
      </w:r>
      <w:r w:rsidRPr="00A50904">
        <w:rPr>
          <w:rFonts w:ascii="Arial" w:hAnsi="Arial" w:cs="Arial"/>
          <w:lang w:val="en-US"/>
        </w:rPr>
        <w:t xml:space="preserve">, the State party notes that there are </w:t>
      </w:r>
      <w:r w:rsidR="00D4126F" w:rsidRPr="00A50904">
        <w:rPr>
          <w:rFonts w:ascii="Arial" w:hAnsi="Arial" w:cs="Arial"/>
          <w:lang w:val="en-US"/>
        </w:rPr>
        <w:t>relevant</w:t>
      </w:r>
      <w:r w:rsidRPr="00A50904">
        <w:rPr>
          <w:rFonts w:ascii="Arial" w:hAnsi="Arial" w:cs="Arial"/>
          <w:lang w:val="en-US"/>
        </w:rPr>
        <w:t xml:space="preserve"> provisions in the Aliens Act</w:t>
      </w:r>
      <w:r w:rsidR="00D4126F" w:rsidRPr="00A50904">
        <w:rPr>
          <w:rFonts w:ascii="Arial" w:hAnsi="Arial" w:cs="Arial"/>
          <w:lang w:val="en-US"/>
        </w:rPr>
        <w:t>, and</w:t>
      </w:r>
      <w:r w:rsidRPr="00A50904">
        <w:rPr>
          <w:rFonts w:ascii="Arial" w:hAnsi="Arial" w:cs="Arial"/>
          <w:lang w:val="en-US"/>
        </w:rPr>
        <w:t xml:space="preserve"> reiterates that, under certain conditions, an alien may be granted a residence permit even if a refusal-of-entry or expulsion order has gained legal effect.</w:t>
      </w:r>
      <w:r w:rsidR="00932334" w:rsidRPr="00A50904">
        <w:rPr>
          <w:rFonts w:ascii="Arial" w:hAnsi="Arial" w:cs="Arial"/>
          <w:lang w:val="en-US"/>
        </w:rPr>
        <w:t xml:space="preserve"> </w:t>
      </w:r>
      <w:r w:rsidR="000177B0" w:rsidRPr="00A50904">
        <w:rPr>
          <w:rFonts w:ascii="Arial" w:hAnsi="Arial" w:cs="Arial"/>
          <w:lang w:val="en-US"/>
        </w:rPr>
        <w:t>It further</w:t>
      </w:r>
      <w:r w:rsidRPr="00A50904">
        <w:rPr>
          <w:rFonts w:ascii="Arial" w:hAnsi="Arial" w:cs="Arial"/>
          <w:lang w:val="en-US"/>
        </w:rPr>
        <w:t xml:space="preserve"> notes that the question of whether</w:t>
      </w:r>
      <w:r w:rsidRPr="00A50904">
        <w:rPr>
          <w:rFonts w:ascii="Arial" w:hAnsi="Arial" w:cs="Arial"/>
          <w:color w:val="000000" w:themeColor="text1"/>
        </w:rPr>
        <w:t xml:space="preserve"> E</w:t>
      </w:r>
      <w:r w:rsidR="000177B0" w:rsidRPr="00A50904">
        <w:rPr>
          <w:rFonts w:ascii="Arial" w:hAnsi="Arial" w:cs="Arial"/>
          <w:color w:val="000000" w:themeColor="text1"/>
        </w:rPr>
        <w:t>.O.</w:t>
      </w:r>
      <w:r w:rsidRPr="00A50904">
        <w:rPr>
          <w:rFonts w:ascii="Arial" w:hAnsi="Arial" w:cs="Arial"/>
          <w:color w:val="000000" w:themeColor="text1"/>
        </w:rPr>
        <w:t>J</w:t>
      </w:r>
      <w:r w:rsidR="000177B0" w:rsidRPr="00A50904">
        <w:rPr>
          <w:rFonts w:ascii="Arial" w:hAnsi="Arial" w:cs="Arial"/>
          <w:color w:val="000000" w:themeColor="text1"/>
        </w:rPr>
        <w:t>.</w:t>
      </w:r>
      <w:r w:rsidRPr="00A50904">
        <w:rPr>
          <w:rFonts w:ascii="Arial" w:hAnsi="Arial" w:cs="Arial"/>
          <w:color w:val="000000" w:themeColor="text1"/>
        </w:rPr>
        <w:t>’s</w:t>
      </w:r>
      <w:r w:rsidRPr="00A50904">
        <w:rPr>
          <w:rFonts w:ascii="Arial" w:hAnsi="Arial" w:cs="Arial"/>
          <w:lang w:val="en-US"/>
        </w:rPr>
        <w:t xml:space="preserve"> disability could be considered to constitute an impediment to enforcement was examined by the Migration Agency under chapter 12, section </w:t>
      </w:r>
      <w:r w:rsidR="009E6F4D" w:rsidRPr="00A50904">
        <w:rPr>
          <w:rFonts w:ascii="Arial" w:hAnsi="Arial" w:cs="Arial"/>
          <w:lang w:val="en-US"/>
        </w:rPr>
        <w:t xml:space="preserve">18, on four separate occasions. </w:t>
      </w:r>
      <w:r w:rsidRPr="00A50904">
        <w:rPr>
          <w:rFonts w:ascii="Arial" w:hAnsi="Arial" w:cs="Arial"/>
          <w:lang w:val="en-US"/>
        </w:rPr>
        <w:t xml:space="preserve">Regarding the author claims that the decision was non-appealable, the State party argues that chapter 12, section 18, is applicable if new circumstances should emerge after an expulsion order has become final. </w:t>
      </w:r>
    </w:p>
    <w:p w14:paraId="65070F6B" w14:textId="77777777" w:rsidR="005B548C" w:rsidRPr="00A50904" w:rsidRDefault="004E380E" w:rsidP="005B548C">
      <w:pPr>
        <w:jc w:val="both"/>
        <w:rPr>
          <w:rFonts w:ascii="Arial" w:hAnsi="Arial" w:cs="Arial"/>
          <w:lang w:val="en-US"/>
        </w:rPr>
      </w:pPr>
      <w:r w:rsidRPr="00A50904">
        <w:rPr>
          <w:rFonts w:ascii="Arial" w:hAnsi="Arial" w:cs="Arial"/>
          <w:lang w:val="en-US"/>
        </w:rPr>
        <w:t>T</w:t>
      </w:r>
      <w:r w:rsidR="005B548C" w:rsidRPr="00A50904">
        <w:rPr>
          <w:rFonts w:ascii="Arial" w:hAnsi="Arial" w:cs="Arial"/>
          <w:lang w:val="en-US"/>
        </w:rPr>
        <w:t xml:space="preserve">he State party notes that, while residing in Sweden, the author’s son has equal access to health care and special support as other children, therefore there is no reason to conclude that the outcome of the domestic proceedings </w:t>
      </w:r>
      <w:r w:rsidR="00441DFE" w:rsidRPr="00A50904">
        <w:rPr>
          <w:rFonts w:ascii="Arial" w:hAnsi="Arial" w:cs="Arial"/>
          <w:lang w:val="en-US"/>
        </w:rPr>
        <w:t xml:space="preserve">amounted to </w:t>
      </w:r>
      <w:r w:rsidR="005B548C" w:rsidRPr="00A50904">
        <w:rPr>
          <w:rFonts w:ascii="Arial" w:hAnsi="Arial" w:cs="Arial"/>
          <w:lang w:val="en-US"/>
        </w:rPr>
        <w:t>denial of justice. The State party notes the author’s claim that the deportation of his son to Nigeria would subject him to inhuman treatment as he will not have the same services as he does in Sweden. The State party refers to the jurisprudence of the European Court of Human Rights</w:t>
      </w:r>
      <w:r w:rsidR="005B548C" w:rsidRPr="00A50904">
        <w:rPr>
          <w:rFonts w:ascii="Arial" w:hAnsi="Arial" w:cs="Arial"/>
          <w:vertAlign w:val="superscript"/>
          <w:lang w:val="en-US"/>
        </w:rPr>
        <w:footnoteReference w:id="2"/>
      </w:r>
      <w:r w:rsidR="005B548C" w:rsidRPr="00A50904">
        <w:rPr>
          <w:rFonts w:ascii="Arial" w:hAnsi="Arial" w:cs="Arial"/>
          <w:lang w:val="en-US"/>
        </w:rPr>
        <w:t xml:space="preserve">, in which the Court has consistently held that contracting States have the right to control the entry, residence and expulsion of aliens. However, in exercising their rights in this respect, contracting States must have regard to article 3 of the European Convention.  </w:t>
      </w:r>
    </w:p>
    <w:p w14:paraId="5AE775EE" w14:textId="77777777" w:rsidR="005B548C" w:rsidRPr="00A50904" w:rsidRDefault="005B548C" w:rsidP="005B548C">
      <w:pPr>
        <w:jc w:val="both"/>
        <w:rPr>
          <w:rFonts w:ascii="Arial" w:hAnsi="Arial" w:cs="Arial"/>
          <w:lang w:val="en-US"/>
        </w:rPr>
      </w:pPr>
      <w:r w:rsidRPr="00A50904">
        <w:rPr>
          <w:rFonts w:ascii="Arial" w:hAnsi="Arial" w:cs="Arial"/>
          <w:u w:val="single"/>
          <w:lang w:val="en-US"/>
        </w:rPr>
        <w:t>Regarding article 15,</w:t>
      </w:r>
      <w:r w:rsidRPr="00A50904">
        <w:rPr>
          <w:rFonts w:ascii="Arial" w:hAnsi="Arial" w:cs="Arial"/>
          <w:lang w:val="en-US"/>
        </w:rPr>
        <w:t xml:space="preserve"> the State party notes that, in its jurisprudence, the Committee against Torture has held that the aggravation of an individual’s health</w:t>
      </w:r>
      <w:r w:rsidRPr="00A50904">
        <w:rPr>
          <w:rFonts w:ascii="Arial" w:hAnsi="Arial" w:cs="Arial"/>
        </w:rPr>
        <w:t xml:space="preserve"> </w:t>
      </w:r>
      <w:r w:rsidRPr="00A50904">
        <w:rPr>
          <w:rFonts w:ascii="Arial" w:hAnsi="Arial" w:cs="Arial"/>
          <w:lang w:val="en-US"/>
        </w:rPr>
        <w:t>condition by virtue of deportation is generally insufficient to amount to degrading treatment. Accordingly, whether the needs of the author’s son in terms of health care would constitute an impediment to enforcement of the expulsion order, the State party argues that the grounds invoked in the case at hand do not reach the high threshold set by other international courts and committees</w:t>
      </w:r>
      <w:r w:rsidR="00CB7280" w:rsidRPr="00A50904">
        <w:rPr>
          <w:rFonts w:ascii="Arial" w:hAnsi="Arial" w:cs="Arial"/>
          <w:lang w:val="en-US"/>
        </w:rPr>
        <w:t>.</w:t>
      </w:r>
      <w:r w:rsidRPr="00A50904">
        <w:rPr>
          <w:rFonts w:ascii="Arial" w:hAnsi="Arial" w:cs="Arial"/>
          <w:lang w:val="en-US"/>
        </w:rPr>
        <w:t xml:space="preserve"> The State party also notes that the Migration Agency did not consider the fact that an accurate diagnosis for the author’s son had not been established, but accepted the information provided in that regard and adequately investigated the availability of required service in Nigeria.</w:t>
      </w:r>
    </w:p>
    <w:p w14:paraId="7CA4012D" w14:textId="77777777" w:rsidR="005B548C" w:rsidRPr="00A50904" w:rsidRDefault="005B548C" w:rsidP="005B548C">
      <w:pPr>
        <w:jc w:val="both"/>
        <w:rPr>
          <w:rFonts w:ascii="Arial" w:hAnsi="Arial" w:cs="Arial"/>
          <w:bCs/>
          <w:sz w:val="28"/>
          <w:szCs w:val="28"/>
        </w:rPr>
      </w:pPr>
      <w:r w:rsidRPr="00A50904">
        <w:rPr>
          <w:rFonts w:ascii="Arial" w:hAnsi="Arial" w:cs="Arial"/>
          <w:bCs/>
          <w:sz w:val="28"/>
          <w:szCs w:val="28"/>
        </w:rPr>
        <w:t xml:space="preserve">State party’s further observations </w:t>
      </w:r>
    </w:p>
    <w:p w14:paraId="3ACE13C2" w14:textId="77777777" w:rsidR="005B548C" w:rsidRPr="00A50904" w:rsidRDefault="005B548C" w:rsidP="005B548C">
      <w:pPr>
        <w:jc w:val="both"/>
        <w:rPr>
          <w:rFonts w:ascii="Arial" w:hAnsi="Arial" w:cs="Arial"/>
        </w:rPr>
      </w:pPr>
      <w:r w:rsidRPr="00A50904">
        <w:rPr>
          <w:rFonts w:ascii="Arial" w:hAnsi="Arial" w:cs="Arial"/>
          <w:u w:val="single"/>
        </w:rPr>
        <w:t>Regarding chapter 12, section 22, of the Aliens Ac</w:t>
      </w:r>
      <w:r w:rsidRPr="00A50904">
        <w:rPr>
          <w:rFonts w:ascii="Arial" w:hAnsi="Arial" w:cs="Arial"/>
        </w:rPr>
        <w:t xml:space="preserve">t, the State party noted that, a refusal of entry or an expulsion order that has not been issued by a general court expires four years after the order became final and non-appealable. </w:t>
      </w:r>
      <w:r w:rsidR="000A683D" w:rsidRPr="00A50904">
        <w:rPr>
          <w:rFonts w:ascii="Arial" w:hAnsi="Arial" w:cs="Arial"/>
        </w:rPr>
        <w:t>T</w:t>
      </w:r>
      <w:r w:rsidRPr="00A50904">
        <w:rPr>
          <w:rFonts w:ascii="Arial" w:hAnsi="Arial" w:cs="Arial"/>
        </w:rPr>
        <w:t>he decision to expel the complainants became final and non-appealable on 13 November 2012.</w:t>
      </w:r>
      <w:r w:rsidRPr="00A50904">
        <w:rPr>
          <w:rFonts w:ascii="Arial" w:hAnsi="Arial" w:cs="Arial"/>
          <w:b/>
        </w:rPr>
        <w:t xml:space="preserve"> Therefore, this decision is statute-barred as of 13 November 2016 and it is</w:t>
      </w:r>
      <w:r w:rsidR="004E380E" w:rsidRPr="00A50904">
        <w:rPr>
          <w:rFonts w:ascii="Arial" w:hAnsi="Arial" w:cs="Arial"/>
          <w:b/>
        </w:rPr>
        <w:t xml:space="preserve"> no longer enforceable</w:t>
      </w:r>
      <w:r w:rsidRPr="00A50904">
        <w:rPr>
          <w:rFonts w:ascii="Arial" w:hAnsi="Arial" w:cs="Arial"/>
        </w:rPr>
        <w:t xml:space="preserve">. </w:t>
      </w:r>
      <w:r w:rsidR="000A683D" w:rsidRPr="00A50904">
        <w:rPr>
          <w:rFonts w:ascii="Arial" w:hAnsi="Arial" w:cs="Arial"/>
        </w:rPr>
        <w:t>Consequently, the State party submitted that</w:t>
      </w:r>
      <w:r w:rsidRPr="00A50904">
        <w:rPr>
          <w:rFonts w:ascii="Arial" w:hAnsi="Arial" w:cs="Arial"/>
        </w:rPr>
        <w:t xml:space="preserve"> the communication should be declared inadmissible as incompatible </w:t>
      </w:r>
      <w:r w:rsidRPr="00A50904">
        <w:rPr>
          <w:rFonts w:ascii="Arial" w:hAnsi="Arial" w:cs="Arial"/>
          <w:i/>
        </w:rPr>
        <w:t>ratione personae</w:t>
      </w:r>
      <w:r w:rsidRPr="00A50904">
        <w:rPr>
          <w:rFonts w:ascii="Arial" w:hAnsi="Arial" w:cs="Arial"/>
        </w:rPr>
        <w:t xml:space="preserve"> with the Convention, under article 1 of the Optional Protocol.</w:t>
      </w:r>
    </w:p>
    <w:p w14:paraId="0ED8CF6C" w14:textId="77777777" w:rsidR="005B548C" w:rsidRPr="00A50904" w:rsidRDefault="005B548C" w:rsidP="005B548C">
      <w:pPr>
        <w:jc w:val="both"/>
        <w:rPr>
          <w:rFonts w:ascii="Arial" w:hAnsi="Arial" w:cs="Arial"/>
        </w:rPr>
      </w:pPr>
      <w:r w:rsidRPr="00A50904">
        <w:rPr>
          <w:rFonts w:ascii="Arial" w:hAnsi="Arial" w:cs="Arial"/>
          <w:u w:val="single"/>
        </w:rPr>
        <w:t>Under article 2 (d) of the Optional Protocol,</w:t>
      </w:r>
      <w:r w:rsidRPr="00A50904">
        <w:rPr>
          <w:rFonts w:ascii="Arial" w:hAnsi="Arial" w:cs="Arial"/>
        </w:rPr>
        <w:t xml:space="preserve"> the State party submitted that the communication should be declared inadmissible for non-exhaustion of domestic remedies. It noted that, as the expulsion order has become statute-barred, the author and his family may submit a new application to the Migration Agency, with the possibility of subsequent appeals. The State party referred to the jurisprudence of the Committee against Torture.</w:t>
      </w:r>
      <w:r w:rsidRPr="00A50904">
        <w:rPr>
          <w:rFonts w:ascii="Arial" w:eastAsia="Calibri" w:hAnsi="Arial" w:cs="Arial"/>
          <w:color w:val="000000"/>
          <w:shd w:val="clear" w:color="auto" w:fill="FFFFFF"/>
          <w:vertAlign w:val="superscript"/>
          <w:lang w:val="en-US"/>
        </w:rPr>
        <w:footnoteReference w:id="3"/>
      </w:r>
    </w:p>
    <w:p w14:paraId="2E9A22D3" w14:textId="77777777" w:rsidR="005B548C" w:rsidRPr="00A50904" w:rsidRDefault="005B548C" w:rsidP="005B548C">
      <w:pPr>
        <w:rPr>
          <w:rFonts w:ascii="Arial" w:hAnsi="Arial" w:cs="Arial"/>
          <w:bCs/>
          <w:sz w:val="28"/>
          <w:szCs w:val="28"/>
        </w:rPr>
      </w:pPr>
      <w:r w:rsidRPr="00A50904">
        <w:rPr>
          <w:rFonts w:ascii="Arial" w:hAnsi="Arial" w:cs="Arial"/>
          <w:bCs/>
          <w:sz w:val="28"/>
          <w:szCs w:val="28"/>
        </w:rPr>
        <w:t>Additional observations from the author</w:t>
      </w:r>
    </w:p>
    <w:p w14:paraId="6A36C228" w14:textId="77777777" w:rsidR="006B532D" w:rsidRPr="00A50904" w:rsidRDefault="005B548C" w:rsidP="006B532D">
      <w:pPr>
        <w:jc w:val="both"/>
        <w:rPr>
          <w:rFonts w:ascii="Arial" w:hAnsi="Arial" w:cs="Arial"/>
        </w:rPr>
      </w:pPr>
      <w:r w:rsidRPr="00A50904">
        <w:rPr>
          <w:rFonts w:ascii="Arial" w:hAnsi="Arial" w:cs="Arial"/>
        </w:rPr>
        <w:lastRenderedPageBreak/>
        <w:t xml:space="preserve">The author confirms that the decision on expulsion has become statute-barred and that a new application can be submitted before the Migration Agency. He, however, argues that at the time of the submission of the communication, the State party was in violation of the Convention, and that all domestic remedies had been exhausted. </w:t>
      </w:r>
      <w:r w:rsidR="00C87CF1" w:rsidRPr="00A50904">
        <w:rPr>
          <w:rFonts w:ascii="Arial" w:hAnsi="Arial" w:cs="Arial"/>
        </w:rPr>
        <w:t>T</w:t>
      </w:r>
      <w:r w:rsidRPr="00A50904">
        <w:rPr>
          <w:rFonts w:ascii="Arial" w:hAnsi="Arial" w:cs="Arial"/>
        </w:rPr>
        <w:t xml:space="preserve">he relevant time for determining whether domestic remedies have been exhausted refers to the time of occurrence of the alleged violation of the Convention. </w:t>
      </w:r>
      <w:r w:rsidR="00C87CF1" w:rsidRPr="00A50904">
        <w:rPr>
          <w:rFonts w:ascii="Arial" w:hAnsi="Arial" w:cs="Arial"/>
        </w:rPr>
        <w:t>T</w:t>
      </w:r>
      <w:r w:rsidRPr="00A50904">
        <w:rPr>
          <w:rFonts w:ascii="Arial" w:hAnsi="Arial" w:cs="Arial"/>
        </w:rPr>
        <w:t>he outcome of a new proceeding initiated before the Migration Agency will be greatly affected by the previous decisions and only information pertaining to events that have occurred after the last decision was issued will be relevant</w:t>
      </w:r>
      <w:r w:rsidR="00C87CF1" w:rsidRPr="00A50904">
        <w:rPr>
          <w:rFonts w:ascii="Arial" w:hAnsi="Arial" w:cs="Arial"/>
        </w:rPr>
        <w:t>. He also submits that,</w:t>
      </w:r>
      <w:r w:rsidRPr="00A50904">
        <w:rPr>
          <w:rFonts w:ascii="Arial" w:hAnsi="Arial" w:cs="Arial"/>
        </w:rPr>
        <w:t xml:space="preserve"> owing to new legislative amendments, the possibility of receiving a positive outcome after submitting a new application is worse than before.</w:t>
      </w:r>
      <w:r w:rsidRPr="00A50904">
        <w:rPr>
          <w:rFonts w:ascii="Arial" w:hAnsi="Arial" w:cs="Arial"/>
        </w:rPr>
        <w:t> </w:t>
      </w:r>
      <w:bookmarkEnd w:id="2"/>
    </w:p>
    <w:p w14:paraId="51C359A3" w14:textId="77777777" w:rsidR="00DF4349" w:rsidRPr="00A50904" w:rsidRDefault="00DF4349" w:rsidP="006B532D">
      <w:pPr>
        <w:jc w:val="both"/>
        <w:rPr>
          <w:rFonts w:ascii="Arial" w:hAnsi="Arial" w:cs="Arial"/>
        </w:rPr>
      </w:pPr>
      <w:r w:rsidRPr="00A50904">
        <w:rPr>
          <w:rFonts w:ascii="Arial" w:hAnsi="Arial" w:cs="Arial"/>
          <w:bCs/>
          <w:sz w:val="28"/>
          <w:szCs w:val="28"/>
        </w:rPr>
        <w:t>Committee’s consideration of admissibility</w:t>
      </w:r>
    </w:p>
    <w:p w14:paraId="4E52ABA3" w14:textId="77777777" w:rsidR="00DF4349" w:rsidRPr="00A50904" w:rsidRDefault="00A95990" w:rsidP="00DF4349">
      <w:pPr>
        <w:jc w:val="both"/>
        <w:rPr>
          <w:rFonts w:ascii="Arial" w:eastAsia="Calibri" w:hAnsi="Arial" w:cs="Arial"/>
          <w:color w:val="000000"/>
          <w:shd w:val="clear" w:color="auto" w:fill="FFFFFF"/>
          <w:lang w:val="en-US"/>
        </w:rPr>
      </w:pPr>
      <w:r w:rsidRPr="00A50904">
        <w:rPr>
          <w:rFonts w:ascii="Arial" w:eastAsia="Calibri" w:hAnsi="Arial" w:cs="Arial"/>
          <w:color w:val="000000"/>
          <w:shd w:val="clear" w:color="auto" w:fill="FFFFFF"/>
          <w:lang w:val="en-US"/>
        </w:rPr>
        <w:t>T</w:t>
      </w:r>
      <w:r w:rsidR="00DF4349" w:rsidRPr="00A50904">
        <w:rPr>
          <w:rFonts w:ascii="Arial" w:eastAsia="Calibri" w:hAnsi="Arial" w:cs="Arial"/>
          <w:color w:val="000000"/>
          <w:shd w:val="clear" w:color="auto" w:fill="FFFFFF"/>
          <w:lang w:val="en-US"/>
        </w:rPr>
        <w:t xml:space="preserve">he Committee has ascertained, as required under article 2 (c) of the </w:t>
      </w:r>
      <w:r w:rsidRPr="00A50904">
        <w:rPr>
          <w:rFonts w:ascii="Arial" w:eastAsia="Calibri" w:hAnsi="Arial" w:cs="Arial"/>
          <w:color w:val="000000"/>
          <w:shd w:val="clear" w:color="auto" w:fill="FFFFFF"/>
          <w:lang w:val="en-US"/>
        </w:rPr>
        <w:t>OP</w:t>
      </w:r>
      <w:r w:rsidR="00DF4349" w:rsidRPr="00A50904">
        <w:rPr>
          <w:rFonts w:ascii="Arial" w:eastAsia="Calibri" w:hAnsi="Arial" w:cs="Arial"/>
          <w:color w:val="000000"/>
          <w:shd w:val="clear" w:color="auto" w:fill="FFFFFF"/>
          <w:lang w:val="en-US"/>
        </w:rPr>
        <w:t>, that the same matter has not already been examined by the Committee, and has not been and is not being examined under another procedure of international investigation or settlement.</w:t>
      </w:r>
    </w:p>
    <w:p w14:paraId="548F7BDB" w14:textId="77777777" w:rsidR="00DF4349" w:rsidRPr="00A50904" w:rsidRDefault="00DF4349" w:rsidP="00DF4349">
      <w:pPr>
        <w:widowControl w:val="0"/>
        <w:spacing w:after="0" w:line="240" w:lineRule="auto"/>
        <w:ind w:right="20"/>
        <w:jc w:val="both"/>
        <w:rPr>
          <w:rFonts w:ascii="Arial" w:eastAsia="Calibri" w:hAnsi="Arial" w:cs="Arial"/>
          <w:color w:val="000000"/>
          <w:shd w:val="clear" w:color="auto" w:fill="FFFFFF"/>
          <w:lang w:val="en-US"/>
        </w:rPr>
      </w:pPr>
      <w:r w:rsidRPr="00A50904">
        <w:rPr>
          <w:rFonts w:ascii="Arial" w:eastAsia="Calibri" w:hAnsi="Arial" w:cs="Arial"/>
          <w:bCs/>
          <w:color w:val="000000"/>
          <w:u w:val="single"/>
          <w:shd w:val="clear" w:color="auto" w:fill="FFFFFF"/>
          <w:lang w:val="en-US"/>
        </w:rPr>
        <w:t>Regarding the author’s claims under articles 7, 12, 15, 24, 25, 26 and 28</w:t>
      </w:r>
      <w:r w:rsidRPr="00A50904">
        <w:rPr>
          <w:rFonts w:ascii="Arial" w:eastAsia="Calibri" w:hAnsi="Arial" w:cs="Arial"/>
          <w:b/>
          <w:color w:val="000000"/>
          <w:shd w:val="clear" w:color="auto" w:fill="FFFFFF"/>
          <w:lang w:val="en-US"/>
        </w:rPr>
        <w:t>,</w:t>
      </w:r>
      <w:r w:rsidRPr="00A50904">
        <w:rPr>
          <w:rFonts w:ascii="Arial" w:eastAsia="Calibri" w:hAnsi="Arial" w:cs="Arial"/>
          <w:color w:val="000000"/>
          <w:shd w:val="clear" w:color="auto" w:fill="FFFFFF"/>
          <w:lang w:val="en-US"/>
        </w:rPr>
        <w:t xml:space="preserve"> </w:t>
      </w:r>
      <w:r w:rsidR="00A95990" w:rsidRPr="00A50904">
        <w:rPr>
          <w:rFonts w:ascii="Arial" w:eastAsia="Calibri" w:hAnsi="Arial" w:cs="Arial"/>
          <w:color w:val="000000"/>
          <w:shd w:val="clear" w:color="auto" w:fill="FFFFFF"/>
          <w:lang w:val="en-US"/>
        </w:rPr>
        <w:t>t</w:t>
      </w:r>
      <w:r w:rsidRPr="00A50904">
        <w:rPr>
          <w:rFonts w:ascii="Arial" w:eastAsia="Calibri" w:hAnsi="Arial" w:cs="Arial"/>
          <w:color w:val="000000"/>
          <w:shd w:val="clear" w:color="auto" w:fill="FFFFFF"/>
          <w:lang w:val="en-US"/>
        </w:rPr>
        <w:t xml:space="preserve">he Committee notes the State party’s argument that the Committee lacks jurisdiction to consider these claims under the Optional Protocol, as the State party cannot be held responsible for violations of the Convention that are likely to be committed by another State. </w:t>
      </w:r>
      <w:r w:rsidR="00A95990" w:rsidRPr="00A50904">
        <w:rPr>
          <w:rFonts w:ascii="Arial" w:eastAsia="Calibri" w:hAnsi="Arial" w:cs="Arial"/>
          <w:color w:val="000000"/>
          <w:shd w:val="clear" w:color="auto" w:fill="FFFFFF"/>
          <w:lang w:val="en-US"/>
        </w:rPr>
        <w:t>However, t</w:t>
      </w:r>
      <w:r w:rsidRPr="00A50904">
        <w:rPr>
          <w:rFonts w:ascii="Arial" w:eastAsia="Calibri" w:hAnsi="Arial" w:cs="Arial"/>
          <w:color w:val="000000"/>
          <w:shd w:val="clear" w:color="auto" w:fill="FFFFFF"/>
          <w:lang w:val="en-US"/>
        </w:rPr>
        <w:t xml:space="preserve">he Committee is of the view that the removal by a State party of an individual to a jurisdiction where he or she would risk facing violations of the Convention may, under certain circumstances, engage the responsibility of the removing State under the Convention which has no territorial restriction clause. The Committee therefore considers that the principle of extraterritorial effect would not prevent it from examining the present communication under article 1 of the </w:t>
      </w:r>
      <w:r w:rsidR="00304B9A" w:rsidRPr="00A50904">
        <w:rPr>
          <w:rFonts w:ascii="Arial" w:eastAsia="Calibri" w:hAnsi="Arial" w:cs="Arial"/>
          <w:color w:val="000000"/>
          <w:shd w:val="clear" w:color="auto" w:fill="FFFFFF"/>
          <w:lang w:val="en-US"/>
        </w:rPr>
        <w:t>OP</w:t>
      </w:r>
      <w:r w:rsidRPr="00A50904">
        <w:rPr>
          <w:rFonts w:ascii="Arial" w:eastAsia="Calibri" w:hAnsi="Arial" w:cs="Arial"/>
          <w:color w:val="000000"/>
          <w:shd w:val="clear" w:color="auto" w:fill="FFFFFF"/>
          <w:lang w:val="en-US"/>
        </w:rPr>
        <w:t>.</w:t>
      </w:r>
    </w:p>
    <w:p w14:paraId="1F8F7320" w14:textId="77777777" w:rsidR="00DF4349" w:rsidRPr="00A50904" w:rsidRDefault="00DF4349" w:rsidP="00DF4349">
      <w:pPr>
        <w:widowControl w:val="0"/>
        <w:spacing w:after="0" w:line="240" w:lineRule="auto"/>
        <w:ind w:right="20"/>
        <w:jc w:val="both"/>
        <w:rPr>
          <w:rFonts w:ascii="Arial" w:eastAsia="Calibri" w:hAnsi="Arial" w:cs="Arial"/>
          <w:color w:val="000000"/>
          <w:shd w:val="clear" w:color="auto" w:fill="FFFFFF"/>
          <w:lang w:val="en-US"/>
        </w:rPr>
      </w:pPr>
    </w:p>
    <w:p w14:paraId="5D40620C" w14:textId="77777777" w:rsidR="00DF4349" w:rsidRPr="00A50904" w:rsidRDefault="00273DB4" w:rsidP="00DF4349">
      <w:pPr>
        <w:widowControl w:val="0"/>
        <w:spacing w:after="0" w:line="240" w:lineRule="auto"/>
        <w:ind w:right="20"/>
        <w:jc w:val="both"/>
        <w:rPr>
          <w:rFonts w:ascii="Arial" w:eastAsia="Calibri" w:hAnsi="Arial" w:cs="Arial"/>
          <w:color w:val="000000"/>
          <w:shd w:val="clear" w:color="auto" w:fill="FFFFFF"/>
          <w:lang w:val="en-US"/>
        </w:rPr>
      </w:pPr>
      <w:r w:rsidRPr="00A50904">
        <w:rPr>
          <w:rFonts w:ascii="Arial" w:eastAsia="Calibri" w:hAnsi="Arial" w:cs="Arial"/>
          <w:color w:val="000000"/>
          <w:shd w:val="clear" w:color="auto" w:fill="FFFFFF"/>
          <w:lang w:val="en-US"/>
        </w:rPr>
        <w:t xml:space="preserve">The Committee notes the </w:t>
      </w:r>
      <w:r w:rsidR="00DF4349" w:rsidRPr="00A50904">
        <w:rPr>
          <w:rFonts w:ascii="Arial" w:eastAsia="Calibri" w:hAnsi="Arial" w:cs="Arial"/>
          <w:color w:val="000000"/>
          <w:shd w:val="clear" w:color="auto" w:fill="FFFFFF"/>
          <w:lang w:val="en-US"/>
        </w:rPr>
        <w:t xml:space="preserve">State party’s argument that the expulsion order of 13 November 2012 became statute-barred on 13 November 2016 and is </w:t>
      </w:r>
      <w:r w:rsidRPr="00A50904">
        <w:rPr>
          <w:rFonts w:ascii="Arial" w:eastAsia="Calibri" w:hAnsi="Arial" w:cs="Arial"/>
          <w:color w:val="000000"/>
          <w:shd w:val="clear" w:color="auto" w:fill="FFFFFF"/>
          <w:lang w:val="en-US"/>
        </w:rPr>
        <w:t>no longer enforceable, and that</w:t>
      </w:r>
      <w:r w:rsidR="00DF4349" w:rsidRPr="00A50904">
        <w:rPr>
          <w:rFonts w:ascii="Arial" w:eastAsia="Calibri" w:hAnsi="Arial" w:cs="Arial"/>
          <w:color w:val="000000"/>
          <w:shd w:val="clear" w:color="auto" w:fill="FFFFFF"/>
          <w:lang w:val="en-US"/>
        </w:rPr>
        <w:t xml:space="preserve"> the author and his family have the possibility of reapplying for residence permits, with subsequent possibilities of appeals. </w:t>
      </w:r>
      <w:r w:rsidRPr="00A50904">
        <w:rPr>
          <w:rFonts w:ascii="Arial" w:eastAsia="Calibri" w:hAnsi="Arial" w:cs="Arial"/>
          <w:color w:val="000000"/>
          <w:shd w:val="clear" w:color="auto" w:fill="FFFFFF"/>
          <w:lang w:val="en-US"/>
        </w:rPr>
        <w:t>In this line, t</w:t>
      </w:r>
      <w:r w:rsidR="00DF4349" w:rsidRPr="00A50904">
        <w:rPr>
          <w:rFonts w:ascii="Arial" w:eastAsia="Calibri" w:hAnsi="Arial" w:cs="Arial"/>
          <w:color w:val="000000"/>
          <w:shd w:val="clear" w:color="auto" w:fill="FFFFFF"/>
          <w:lang w:val="en-US"/>
        </w:rPr>
        <w:t>he Committee noted the jurisprudence of the Committee against Torture,</w:t>
      </w:r>
      <w:r w:rsidR="00DF4349" w:rsidRPr="00A50904">
        <w:rPr>
          <w:rFonts w:ascii="Arial" w:eastAsia="Calibri" w:hAnsi="Arial" w:cs="Arial"/>
          <w:color w:val="000000"/>
          <w:shd w:val="clear" w:color="auto" w:fill="FFFFFF"/>
          <w:vertAlign w:val="superscript"/>
          <w:lang w:val="en-US"/>
        </w:rPr>
        <w:footnoteReference w:id="4"/>
      </w:r>
      <w:r w:rsidR="00DF4349" w:rsidRPr="00A50904">
        <w:rPr>
          <w:rFonts w:ascii="Arial" w:eastAsia="Calibri" w:hAnsi="Arial" w:cs="Arial"/>
          <w:color w:val="000000"/>
          <w:shd w:val="clear" w:color="auto" w:fill="FFFFFF"/>
          <w:lang w:val="en-US"/>
        </w:rPr>
        <w:t xml:space="preserve"> which concerned the deportation of the complainants to their country of origin in cases where</w:t>
      </w:r>
      <w:r w:rsidR="00921F1F" w:rsidRPr="00A50904">
        <w:rPr>
          <w:rFonts w:ascii="Arial" w:eastAsia="Calibri" w:hAnsi="Arial" w:cs="Arial"/>
          <w:color w:val="000000"/>
          <w:shd w:val="clear" w:color="auto" w:fill="FFFFFF"/>
          <w:lang w:val="en-US"/>
        </w:rPr>
        <w:t xml:space="preserve"> </w:t>
      </w:r>
      <w:r w:rsidR="00DF4349" w:rsidRPr="00A50904">
        <w:rPr>
          <w:rFonts w:ascii="Arial" w:eastAsia="Calibri" w:hAnsi="Arial" w:cs="Arial"/>
          <w:color w:val="000000"/>
          <w:shd w:val="clear" w:color="auto" w:fill="FFFFFF"/>
          <w:lang w:val="en-US"/>
        </w:rPr>
        <w:t>the expulsion orders against the complainants had become statute-barred at the time of the examination by that Committee. The Committee against Torture found the complaints to be inadmissible owing to non-exhaustion of domestic remedies, as the decisions to expel the complainants had become statute-barred, they were therefore no longer at risk of being expelled from the State party, they had the possibility of submitting new asylum applications, which would be examined in full by the migration authorities and there was nothing to indicate that the new procedure would be ineffective in the complainants’ case. The Committee also noted</w:t>
      </w:r>
      <w:r w:rsidR="00C206B0" w:rsidRPr="00A50904">
        <w:rPr>
          <w:rFonts w:ascii="Arial" w:eastAsia="Calibri" w:hAnsi="Arial" w:cs="Arial"/>
          <w:color w:val="000000"/>
          <w:shd w:val="clear" w:color="auto" w:fill="FFFFFF"/>
          <w:lang w:val="en-US"/>
        </w:rPr>
        <w:t xml:space="preserve"> similar</w:t>
      </w:r>
      <w:r w:rsidR="00DF4349" w:rsidRPr="00A50904">
        <w:rPr>
          <w:rFonts w:ascii="Arial" w:eastAsia="Calibri" w:hAnsi="Arial" w:cs="Arial"/>
          <w:color w:val="000000"/>
          <w:shd w:val="clear" w:color="auto" w:fill="FFFFFF"/>
          <w:lang w:val="en-US"/>
        </w:rPr>
        <w:t xml:space="preserve"> jurisprudence of the European Court of Human Rights</w:t>
      </w:r>
      <w:r w:rsidR="00C206B0" w:rsidRPr="00A50904">
        <w:rPr>
          <w:rFonts w:ascii="Arial" w:eastAsia="Calibri" w:hAnsi="Arial" w:cs="Arial"/>
          <w:color w:val="000000"/>
          <w:shd w:val="clear" w:color="auto" w:fill="FFFFFF"/>
          <w:lang w:val="en-US"/>
        </w:rPr>
        <w:t>.</w:t>
      </w:r>
      <w:r w:rsidR="00DF4349" w:rsidRPr="00A50904">
        <w:rPr>
          <w:rFonts w:ascii="Arial" w:eastAsia="Calibri" w:hAnsi="Arial" w:cs="Arial"/>
          <w:color w:val="000000"/>
          <w:shd w:val="clear" w:color="auto" w:fill="FFFFFF"/>
          <w:vertAlign w:val="superscript"/>
          <w:lang w:val="en-US"/>
        </w:rPr>
        <w:footnoteReference w:id="5"/>
      </w:r>
      <w:r w:rsidR="00DF4349" w:rsidRPr="00A50904">
        <w:rPr>
          <w:rFonts w:ascii="Arial" w:eastAsia="Calibri" w:hAnsi="Arial" w:cs="Arial"/>
          <w:color w:val="000000"/>
          <w:shd w:val="clear" w:color="auto" w:fill="FFFFFF"/>
          <w:lang w:val="en-US"/>
        </w:rPr>
        <w:t xml:space="preserve"> </w:t>
      </w:r>
    </w:p>
    <w:p w14:paraId="09FE54E2" w14:textId="77777777" w:rsidR="00B214BB" w:rsidRPr="00A50904" w:rsidRDefault="00B214BB" w:rsidP="00DF4349">
      <w:pPr>
        <w:widowControl w:val="0"/>
        <w:spacing w:after="0" w:line="240" w:lineRule="auto"/>
        <w:ind w:right="240"/>
        <w:jc w:val="both"/>
        <w:rPr>
          <w:rFonts w:ascii="Arial" w:hAnsi="Arial" w:cs="Arial"/>
          <w:lang w:val="en-US"/>
        </w:rPr>
      </w:pPr>
    </w:p>
    <w:p w14:paraId="7D0B1280" w14:textId="77777777" w:rsidR="00BE6E33" w:rsidRPr="00A50904" w:rsidRDefault="00DF4349" w:rsidP="00DF4349">
      <w:pPr>
        <w:widowControl w:val="0"/>
        <w:spacing w:after="0" w:line="240" w:lineRule="auto"/>
        <w:ind w:right="240"/>
        <w:jc w:val="both"/>
        <w:rPr>
          <w:rFonts w:ascii="Arial" w:eastAsia="Calibri" w:hAnsi="Arial" w:cs="Arial"/>
          <w:color w:val="000000"/>
          <w:shd w:val="clear" w:color="auto" w:fill="FFFFFF"/>
          <w:lang w:val="en-US"/>
        </w:rPr>
      </w:pPr>
      <w:r w:rsidRPr="00A50904">
        <w:rPr>
          <w:rFonts w:ascii="Arial" w:eastAsia="Calibri" w:hAnsi="Arial" w:cs="Arial"/>
          <w:color w:val="000000"/>
          <w:shd w:val="clear" w:color="auto" w:fill="FFFFFF"/>
          <w:lang w:val="en-US"/>
        </w:rPr>
        <w:t>The Committee notes the author’s argument that it is unlikely that the family would be granted residence permits if they were to reapply, given the outcome of the previous proceedings. In that respect, the Committee recalls its jurisprudence, according to which, mere doubts about the effectiveness of a remedy do not absolve a person from s</w:t>
      </w:r>
      <w:r w:rsidR="00BE6E33" w:rsidRPr="00A50904">
        <w:rPr>
          <w:rFonts w:ascii="Arial" w:eastAsia="Calibri" w:hAnsi="Arial" w:cs="Arial"/>
          <w:color w:val="000000"/>
          <w:shd w:val="clear" w:color="auto" w:fill="FFFFFF"/>
          <w:lang w:val="en-US"/>
        </w:rPr>
        <w:t>eeking to exhaust such a remedy,</w:t>
      </w:r>
      <w:r w:rsidRPr="00A50904">
        <w:rPr>
          <w:rFonts w:ascii="Arial" w:eastAsia="Calibri" w:hAnsi="Arial" w:cs="Arial"/>
          <w:color w:val="000000"/>
          <w:shd w:val="clear" w:color="auto" w:fill="FFFFFF"/>
          <w:vertAlign w:val="superscript"/>
          <w:lang w:val="en-US"/>
        </w:rPr>
        <w:footnoteReference w:id="6"/>
      </w:r>
      <w:r w:rsidRPr="00A50904">
        <w:rPr>
          <w:rFonts w:ascii="Arial" w:eastAsia="Calibri" w:hAnsi="Arial" w:cs="Arial"/>
          <w:color w:val="000000"/>
          <w:shd w:val="clear" w:color="auto" w:fill="FFFFFF"/>
          <w:lang w:val="en-US"/>
        </w:rPr>
        <w:t xml:space="preserve"> and notes that there is nothing to indicate that a new application submitted by the author and his family to the State party authorities would not bring effective relief. </w:t>
      </w:r>
      <w:r w:rsidR="00BE6E33" w:rsidRPr="00A50904">
        <w:rPr>
          <w:rFonts w:ascii="Arial" w:eastAsia="Calibri" w:hAnsi="Arial" w:cs="Arial"/>
          <w:color w:val="000000"/>
          <w:shd w:val="clear" w:color="auto" w:fill="FFFFFF"/>
          <w:lang w:val="en-US"/>
        </w:rPr>
        <w:t>Further</w:t>
      </w:r>
      <w:r w:rsidRPr="00A50904">
        <w:rPr>
          <w:rFonts w:ascii="Arial" w:eastAsia="Calibri" w:hAnsi="Arial" w:cs="Arial"/>
          <w:color w:val="000000"/>
          <w:shd w:val="clear" w:color="auto" w:fill="FFFFFF"/>
          <w:lang w:val="en-US"/>
        </w:rPr>
        <w:t xml:space="preserve">, under </w:t>
      </w:r>
      <w:r w:rsidRPr="00A50904">
        <w:rPr>
          <w:rFonts w:ascii="Arial" w:eastAsia="Calibri" w:hAnsi="Arial" w:cs="Arial"/>
          <w:color w:val="000000"/>
          <w:u w:val="single"/>
          <w:shd w:val="clear" w:color="auto" w:fill="FFFFFF"/>
          <w:lang w:val="en-US"/>
        </w:rPr>
        <w:t>rule 71 (2) of its rules of procedure</w:t>
      </w:r>
      <w:r w:rsidRPr="00A50904">
        <w:rPr>
          <w:rFonts w:ascii="Arial" w:eastAsia="Calibri" w:hAnsi="Arial" w:cs="Arial"/>
          <w:color w:val="000000"/>
          <w:shd w:val="clear" w:color="auto" w:fill="FFFFFF"/>
          <w:lang w:val="en-US"/>
        </w:rPr>
        <w:t xml:space="preserve">, a decision declaring a </w:t>
      </w:r>
      <w:r w:rsidRPr="00A50904">
        <w:rPr>
          <w:rFonts w:ascii="Arial" w:eastAsia="Calibri" w:hAnsi="Arial" w:cs="Arial"/>
          <w:color w:val="000000"/>
          <w:shd w:val="clear" w:color="auto" w:fill="FFFFFF"/>
          <w:lang w:val="en-US"/>
        </w:rPr>
        <w:lastRenderedPageBreak/>
        <w:t xml:space="preserve">communication inadmissible under article 2 (d) of the </w:t>
      </w:r>
      <w:r w:rsidR="00BE6E33" w:rsidRPr="00A50904">
        <w:rPr>
          <w:rFonts w:ascii="Arial" w:eastAsia="Calibri" w:hAnsi="Arial" w:cs="Arial"/>
          <w:color w:val="000000"/>
          <w:shd w:val="clear" w:color="auto" w:fill="FFFFFF"/>
          <w:lang w:val="en-US"/>
        </w:rPr>
        <w:t>OP</w:t>
      </w:r>
      <w:r w:rsidRPr="00A50904">
        <w:rPr>
          <w:rFonts w:ascii="Arial" w:eastAsia="Calibri" w:hAnsi="Arial" w:cs="Arial"/>
          <w:color w:val="000000"/>
          <w:shd w:val="clear" w:color="auto" w:fill="FFFFFF"/>
          <w:lang w:val="en-US"/>
        </w:rPr>
        <w:t xml:space="preserve"> may be reviewed upon receipt of </w:t>
      </w:r>
      <w:r w:rsidR="00BE6E33" w:rsidRPr="00A50904">
        <w:rPr>
          <w:rFonts w:ascii="Arial" w:eastAsia="Calibri" w:hAnsi="Arial" w:cs="Arial"/>
          <w:color w:val="000000"/>
          <w:shd w:val="clear" w:color="auto" w:fill="FFFFFF"/>
          <w:lang w:val="en-US"/>
        </w:rPr>
        <w:t>new</w:t>
      </w:r>
      <w:r w:rsidRPr="00A50904">
        <w:rPr>
          <w:rFonts w:ascii="Arial" w:eastAsia="Calibri" w:hAnsi="Arial" w:cs="Arial"/>
          <w:color w:val="000000"/>
          <w:shd w:val="clear" w:color="auto" w:fill="FFFFFF"/>
          <w:lang w:val="en-US"/>
        </w:rPr>
        <w:t xml:space="preserve"> information indicating that the reasons for inadmissibility no longer apply. </w:t>
      </w:r>
    </w:p>
    <w:p w14:paraId="2CD1C5BE" w14:textId="77777777" w:rsidR="00BE6E33" w:rsidRPr="00A50904" w:rsidRDefault="00BE6E33" w:rsidP="00DF4349">
      <w:pPr>
        <w:widowControl w:val="0"/>
        <w:spacing w:after="0" w:line="240" w:lineRule="auto"/>
        <w:ind w:right="240"/>
        <w:jc w:val="both"/>
        <w:rPr>
          <w:rFonts w:ascii="Arial" w:eastAsia="Calibri" w:hAnsi="Arial" w:cs="Arial"/>
          <w:color w:val="000000"/>
          <w:shd w:val="clear" w:color="auto" w:fill="FFFFFF"/>
          <w:lang w:val="en-US"/>
        </w:rPr>
      </w:pPr>
    </w:p>
    <w:p w14:paraId="069BCCA3" w14:textId="77777777" w:rsidR="00BE6E33" w:rsidRPr="00A50904" w:rsidRDefault="00921F1F" w:rsidP="00DF4349">
      <w:pPr>
        <w:widowControl w:val="0"/>
        <w:spacing w:after="0" w:line="240" w:lineRule="auto"/>
        <w:ind w:right="240"/>
        <w:jc w:val="both"/>
        <w:rPr>
          <w:rFonts w:ascii="Arial" w:eastAsia="Calibri" w:hAnsi="Arial" w:cs="Arial"/>
          <w:color w:val="000000"/>
          <w:shd w:val="clear" w:color="auto" w:fill="FFFFFF"/>
          <w:lang w:val="en-US"/>
        </w:rPr>
      </w:pPr>
      <w:r w:rsidRPr="00A50904">
        <w:rPr>
          <w:rFonts w:ascii="Arial" w:eastAsia="Calibri" w:hAnsi="Arial" w:cs="Arial"/>
          <w:color w:val="000000"/>
          <w:shd w:val="clear" w:color="auto" w:fill="FFFFFF"/>
          <w:lang w:val="en-US"/>
        </w:rPr>
        <w:t>T</w:t>
      </w:r>
      <w:r w:rsidR="00DF4349" w:rsidRPr="00A50904">
        <w:rPr>
          <w:rFonts w:ascii="Arial" w:eastAsia="Calibri" w:hAnsi="Arial" w:cs="Arial"/>
          <w:color w:val="000000"/>
          <w:shd w:val="clear" w:color="auto" w:fill="FFFFFF"/>
          <w:lang w:val="en-US"/>
        </w:rPr>
        <w:t>he Committee concludes that the author’s claims that deporting his family to Nigeria would constitute a violation by the State party of his son’s rights under articles 7, 12, 15, 24, 25, 26 and 28 of the Convention are inadmissible under article 2 (d) of the Optional Protocol.</w:t>
      </w:r>
      <w:r w:rsidR="00BE6E33" w:rsidRPr="00A50904">
        <w:rPr>
          <w:rFonts w:ascii="Arial" w:eastAsia="Calibri" w:hAnsi="Arial" w:cs="Arial"/>
          <w:color w:val="000000"/>
          <w:shd w:val="clear" w:color="auto" w:fill="FFFFFF"/>
          <w:lang w:val="en-US"/>
        </w:rPr>
        <w:t xml:space="preserve"> </w:t>
      </w:r>
    </w:p>
    <w:p w14:paraId="22064F0D" w14:textId="77777777" w:rsidR="00DF4349" w:rsidRPr="00A50904" w:rsidRDefault="00DF4349" w:rsidP="00DF4349">
      <w:pPr>
        <w:widowControl w:val="0"/>
        <w:spacing w:after="0" w:line="240" w:lineRule="auto"/>
        <w:ind w:right="240"/>
        <w:jc w:val="both"/>
        <w:rPr>
          <w:rFonts w:ascii="Arial" w:eastAsia="Calibri" w:hAnsi="Arial" w:cs="Arial"/>
          <w:color w:val="000000"/>
          <w:shd w:val="clear" w:color="auto" w:fill="FFFFFF"/>
          <w:lang w:val="en-US"/>
        </w:rPr>
      </w:pPr>
      <w:bookmarkStart w:id="4" w:name="bookmark9"/>
    </w:p>
    <w:p w14:paraId="67136449" w14:textId="77777777" w:rsidR="00DF4349" w:rsidRPr="00A50904" w:rsidRDefault="00DF4349" w:rsidP="00D24C3D">
      <w:pPr>
        <w:spacing w:after="120" w:line="276" w:lineRule="auto"/>
        <w:jc w:val="both"/>
        <w:rPr>
          <w:rFonts w:ascii="Arial" w:eastAsia="Calibri" w:hAnsi="Arial" w:cs="Arial"/>
          <w:sz w:val="28"/>
          <w:szCs w:val="28"/>
        </w:rPr>
      </w:pPr>
      <w:r w:rsidRPr="00A50904">
        <w:rPr>
          <w:rFonts w:ascii="Arial" w:eastAsia="Calibri" w:hAnsi="Arial" w:cs="Arial"/>
          <w:sz w:val="28"/>
          <w:szCs w:val="28"/>
        </w:rPr>
        <w:t>Conclusion</w:t>
      </w:r>
      <w:bookmarkEnd w:id="4"/>
    </w:p>
    <w:p w14:paraId="6DFB380E" w14:textId="77777777" w:rsidR="00DF4349" w:rsidRPr="00A50904" w:rsidRDefault="00DF4349" w:rsidP="00DF4349">
      <w:pPr>
        <w:rPr>
          <w:rFonts w:ascii="Arial" w:hAnsi="Arial" w:cs="Arial"/>
          <w:shd w:val="clear" w:color="auto" w:fill="FFFFFF"/>
          <w:lang w:val="en-US"/>
        </w:rPr>
      </w:pPr>
      <w:r w:rsidRPr="00A50904">
        <w:rPr>
          <w:rFonts w:ascii="Arial" w:hAnsi="Arial" w:cs="Arial"/>
          <w:shd w:val="clear" w:color="auto" w:fill="FFFFFF"/>
          <w:lang w:val="en-US"/>
        </w:rPr>
        <w:t>The Committee therefore decided</w:t>
      </w:r>
      <w:r w:rsidRPr="00A50904">
        <w:rPr>
          <w:rFonts w:ascii="Arial" w:hAnsi="Arial" w:cs="Arial"/>
        </w:rPr>
        <w:t xml:space="preserve"> </w:t>
      </w:r>
      <w:r w:rsidRPr="00A50904">
        <w:rPr>
          <w:rFonts w:ascii="Arial" w:hAnsi="Arial" w:cs="Arial"/>
          <w:shd w:val="clear" w:color="auto" w:fill="FFFFFF"/>
          <w:lang w:val="en-US"/>
        </w:rPr>
        <w:t>that:</w:t>
      </w:r>
    </w:p>
    <w:p w14:paraId="59A274BC" w14:textId="77777777" w:rsidR="00DF4349" w:rsidRPr="00A50904" w:rsidRDefault="00DF4349" w:rsidP="00DF4349">
      <w:pPr>
        <w:pStyle w:val="ListParagraph"/>
        <w:numPr>
          <w:ilvl w:val="0"/>
          <w:numId w:val="1"/>
        </w:numPr>
        <w:ind w:left="426" w:hanging="284"/>
        <w:jc w:val="both"/>
        <w:rPr>
          <w:rFonts w:ascii="Arial" w:hAnsi="Arial" w:cs="Arial"/>
          <w:lang w:val="en-US"/>
        </w:rPr>
      </w:pPr>
      <w:r w:rsidRPr="00A50904">
        <w:rPr>
          <w:rFonts w:ascii="Arial" w:hAnsi="Arial" w:cs="Arial"/>
          <w:shd w:val="clear" w:color="auto" w:fill="FFFFFF"/>
          <w:lang w:val="en-US"/>
        </w:rPr>
        <w:t>The communication is inadmissible under article 2 (d) of the Optional Protocol,</w:t>
      </w:r>
      <w:r w:rsidRPr="00A50904">
        <w:rPr>
          <w:rFonts w:ascii="Arial" w:hAnsi="Arial" w:cs="Arial"/>
          <w:lang w:val="en-US"/>
        </w:rPr>
        <w:t xml:space="preserve"> </w:t>
      </w:r>
    </w:p>
    <w:p w14:paraId="48652FAE" w14:textId="77777777" w:rsidR="00DF4349" w:rsidRPr="00A50904" w:rsidRDefault="00DF4349" w:rsidP="00DF4349">
      <w:pPr>
        <w:pStyle w:val="ListParagraph"/>
        <w:numPr>
          <w:ilvl w:val="0"/>
          <w:numId w:val="1"/>
        </w:numPr>
        <w:ind w:left="426" w:hanging="284"/>
        <w:jc w:val="both"/>
        <w:rPr>
          <w:rFonts w:ascii="Arial" w:hAnsi="Arial" w:cs="Arial"/>
          <w:shd w:val="clear" w:color="auto" w:fill="FFFFFF"/>
          <w:lang w:val="en-US"/>
        </w:rPr>
      </w:pPr>
      <w:r w:rsidRPr="00A50904">
        <w:rPr>
          <w:rFonts w:ascii="Arial" w:hAnsi="Arial" w:cs="Arial"/>
          <w:shd w:val="clear" w:color="auto" w:fill="FFFFFF"/>
          <w:lang w:val="en-US"/>
        </w:rPr>
        <w:t xml:space="preserve">The decision may be reviewed upon receipt </w:t>
      </w:r>
      <w:r w:rsidR="00921F1F" w:rsidRPr="00A50904">
        <w:rPr>
          <w:rFonts w:ascii="Arial" w:hAnsi="Arial" w:cs="Arial"/>
          <w:shd w:val="clear" w:color="auto" w:fill="FFFFFF"/>
          <w:lang w:val="en-US"/>
        </w:rPr>
        <w:t xml:space="preserve">of </w:t>
      </w:r>
      <w:r w:rsidRPr="00A50904">
        <w:rPr>
          <w:rFonts w:ascii="Arial" w:hAnsi="Arial" w:cs="Arial"/>
          <w:shd w:val="clear" w:color="auto" w:fill="FFFFFF"/>
          <w:lang w:val="en-US"/>
        </w:rPr>
        <w:t>information indicating that the reasons for inadm</w:t>
      </w:r>
      <w:r w:rsidR="00921F1F" w:rsidRPr="00A50904">
        <w:rPr>
          <w:rFonts w:ascii="Arial" w:hAnsi="Arial" w:cs="Arial"/>
          <w:shd w:val="clear" w:color="auto" w:fill="FFFFFF"/>
          <w:lang w:val="en-US"/>
        </w:rPr>
        <w:t xml:space="preserve">issibility no longer apply; </w:t>
      </w:r>
      <w:r w:rsidRPr="00A50904">
        <w:rPr>
          <w:rFonts w:ascii="Arial" w:hAnsi="Arial" w:cs="Arial"/>
          <w:shd w:val="clear" w:color="auto" w:fill="FFFFFF"/>
          <w:lang w:val="en-US"/>
        </w:rPr>
        <w:t>under rule 71</w:t>
      </w:r>
      <w:r w:rsidR="00921F1F" w:rsidRPr="00A50904">
        <w:rPr>
          <w:rFonts w:ascii="Arial" w:hAnsi="Arial" w:cs="Arial"/>
          <w:shd w:val="clear" w:color="auto" w:fill="FFFFFF"/>
          <w:lang w:val="en-US"/>
        </w:rPr>
        <w:t xml:space="preserve"> (2) of its rules of procedure.</w:t>
      </w:r>
    </w:p>
    <w:p w14:paraId="6CE308D0" w14:textId="77777777" w:rsidR="00DF4349" w:rsidRPr="00A50904" w:rsidRDefault="00DF4349" w:rsidP="00EA46FC">
      <w:pPr>
        <w:jc w:val="both"/>
        <w:rPr>
          <w:rFonts w:ascii="Arial" w:hAnsi="Arial" w:cs="Arial"/>
          <w:lang w:val="en-US"/>
        </w:rPr>
      </w:pPr>
    </w:p>
    <w:sectPr w:rsidR="00DF4349" w:rsidRPr="00A50904" w:rsidSect="00886F96">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C595" w14:textId="77777777" w:rsidR="00C85905" w:rsidRDefault="00C85905" w:rsidP="00FA398F">
      <w:pPr>
        <w:spacing w:after="0" w:line="240" w:lineRule="auto"/>
      </w:pPr>
      <w:r>
        <w:separator/>
      </w:r>
    </w:p>
  </w:endnote>
  <w:endnote w:type="continuationSeparator" w:id="0">
    <w:p w14:paraId="18FD41EA" w14:textId="77777777" w:rsidR="00C85905" w:rsidRDefault="00C85905" w:rsidP="00FA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877710"/>
      <w:docPartObj>
        <w:docPartGallery w:val="Page Numbers (Bottom of Page)"/>
        <w:docPartUnique/>
      </w:docPartObj>
    </w:sdtPr>
    <w:sdtEndPr>
      <w:rPr>
        <w:noProof/>
      </w:rPr>
    </w:sdtEndPr>
    <w:sdtContent>
      <w:p w14:paraId="21664C53" w14:textId="77777777" w:rsidR="00811AD7" w:rsidRDefault="00886F96">
        <w:pPr>
          <w:pStyle w:val="Footer"/>
          <w:jc w:val="center"/>
        </w:pPr>
        <w:r>
          <w:fldChar w:fldCharType="begin"/>
        </w:r>
        <w:r w:rsidR="00811AD7">
          <w:instrText xml:space="preserve"> PAGE   \* MERGEFORMAT </w:instrText>
        </w:r>
        <w:r>
          <w:fldChar w:fldCharType="separate"/>
        </w:r>
        <w:r w:rsidR="004F3237">
          <w:rPr>
            <w:noProof/>
          </w:rPr>
          <w:t>1</w:t>
        </w:r>
        <w:r>
          <w:rPr>
            <w:noProof/>
          </w:rPr>
          <w:fldChar w:fldCharType="end"/>
        </w:r>
      </w:p>
    </w:sdtContent>
  </w:sdt>
  <w:p w14:paraId="6C8AD595" w14:textId="77777777" w:rsidR="00811AD7" w:rsidRDefault="00811A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43DC7" w14:textId="77777777" w:rsidR="00C85905" w:rsidRDefault="00C85905" w:rsidP="00FA398F">
      <w:pPr>
        <w:spacing w:after="0" w:line="240" w:lineRule="auto"/>
      </w:pPr>
      <w:r>
        <w:separator/>
      </w:r>
    </w:p>
  </w:footnote>
  <w:footnote w:type="continuationSeparator" w:id="0">
    <w:p w14:paraId="6AACAD97" w14:textId="77777777" w:rsidR="00C85905" w:rsidRDefault="00C85905" w:rsidP="00FA398F">
      <w:pPr>
        <w:spacing w:after="0" w:line="240" w:lineRule="auto"/>
      </w:pPr>
      <w:r>
        <w:continuationSeparator/>
      </w:r>
    </w:p>
  </w:footnote>
  <w:footnote w:id="1">
    <w:p w14:paraId="5D1A4954" w14:textId="77777777" w:rsidR="00811AD7" w:rsidRPr="000C4545" w:rsidRDefault="00811AD7" w:rsidP="000C4545">
      <w:pPr>
        <w:spacing w:after="0" w:line="240" w:lineRule="auto"/>
        <w:jc w:val="both"/>
        <w:rPr>
          <w:rFonts w:ascii="Arial" w:hAnsi="Arial" w:cs="Arial"/>
          <w:sz w:val="16"/>
          <w:szCs w:val="16"/>
        </w:rPr>
      </w:pPr>
      <w:r w:rsidRPr="000C4545">
        <w:rPr>
          <w:rStyle w:val="FootnoteReference"/>
          <w:rFonts w:ascii="Arial" w:hAnsi="Arial" w:cs="Arial"/>
          <w:sz w:val="16"/>
          <w:szCs w:val="16"/>
        </w:rPr>
        <w:footnoteRef/>
      </w:r>
      <w:r w:rsidRPr="000C4545">
        <w:rPr>
          <w:rFonts w:ascii="Arial" w:hAnsi="Arial" w:cs="Arial"/>
          <w:sz w:val="16"/>
          <w:szCs w:val="16"/>
          <w:lang w:val="en-US"/>
        </w:rPr>
        <w:t xml:space="preserve"> </w:t>
      </w:r>
      <w:r w:rsidRPr="00FD4FA3">
        <w:rPr>
          <w:rFonts w:ascii="Arial" w:hAnsi="Arial" w:cs="Arial"/>
          <w:sz w:val="16"/>
          <w:szCs w:val="16"/>
        </w:rPr>
        <w:t xml:space="preserve">This summary has been prepared by the International Disability Alliance. For more information on how to lodge individual communications under the Optional Protocol to the CRPD, visit </w:t>
      </w:r>
      <w:hyperlink r:id="rId1" w:history="1">
        <w:r w:rsidRPr="00FD4FA3">
          <w:rPr>
            <w:rStyle w:val="Hyperlink"/>
            <w:rFonts w:ascii="Arial" w:hAnsi="Arial" w:cs="Arial"/>
            <w:sz w:val="16"/>
            <w:szCs w:val="16"/>
          </w:rPr>
          <w:t xml:space="preserve">IDA’s disability rights litigation website. </w:t>
        </w:r>
      </w:hyperlink>
    </w:p>
  </w:footnote>
  <w:footnote w:id="2">
    <w:p w14:paraId="547C0949" w14:textId="77777777" w:rsidR="00811AD7" w:rsidRPr="000C4545" w:rsidRDefault="00811AD7" w:rsidP="000C4545">
      <w:pPr>
        <w:pStyle w:val="FootnoteText"/>
        <w:ind w:left="142" w:hanging="142"/>
        <w:jc w:val="both"/>
        <w:rPr>
          <w:rStyle w:val="CharStyle3"/>
          <w:rFonts w:ascii="Arial" w:hAnsi="Arial" w:cs="Arial"/>
          <w:color w:val="000000"/>
          <w:sz w:val="16"/>
          <w:szCs w:val="16"/>
          <w:lang w:val="bg-BG" w:eastAsia="bg-BG"/>
        </w:rPr>
      </w:pPr>
      <w:r w:rsidRPr="000C4545">
        <w:rPr>
          <w:rStyle w:val="FootnoteReference"/>
          <w:rFonts w:ascii="Arial" w:hAnsi="Arial" w:cs="Arial"/>
          <w:sz w:val="16"/>
          <w:szCs w:val="16"/>
        </w:rPr>
        <w:footnoteRef/>
      </w:r>
      <w:r w:rsidRPr="000C4545">
        <w:rPr>
          <w:rFonts w:ascii="Arial" w:hAnsi="Arial" w:cs="Arial"/>
          <w:sz w:val="16"/>
          <w:szCs w:val="16"/>
        </w:rPr>
        <w:t xml:space="preserve"> </w:t>
      </w:r>
      <w:r w:rsidRPr="000C4545">
        <w:rPr>
          <w:rStyle w:val="CharStyle3"/>
          <w:rFonts w:ascii="Arial" w:hAnsi="Arial" w:cs="Arial"/>
          <w:color w:val="000000"/>
          <w:sz w:val="16"/>
          <w:szCs w:val="16"/>
          <w:lang w:val="bg-BG" w:eastAsia="bg-BG"/>
        </w:rPr>
        <w:t xml:space="preserve">See </w:t>
      </w:r>
      <w:r>
        <w:rPr>
          <w:rStyle w:val="CharStyle3"/>
          <w:rFonts w:ascii="Arial" w:hAnsi="Arial" w:cs="Arial"/>
          <w:color w:val="000000"/>
          <w:sz w:val="16"/>
          <w:szCs w:val="16"/>
          <w:lang w:val="bg-BG" w:eastAsia="bg-BG"/>
        </w:rPr>
        <w:t>ECHR</w:t>
      </w:r>
      <w:r w:rsidRPr="000C4545">
        <w:rPr>
          <w:rStyle w:val="CharStyle3"/>
          <w:rFonts w:ascii="Arial" w:hAnsi="Arial" w:cs="Arial"/>
          <w:color w:val="000000"/>
          <w:sz w:val="16"/>
          <w:szCs w:val="16"/>
          <w:lang w:val="bg-BG" w:eastAsia="bg-BG"/>
        </w:rPr>
        <w:t xml:space="preserve">, Soering v. the United Kingdom, application No. 14038/88, </w:t>
      </w:r>
      <w:r>
        <w:rPr>
          <w:rStyle w:val="CharStyle3"/>
          <w:rFonts w:ascii="Arial" w:hAnsi="Arial" w:cs="Arial"/>
          <w:color w:val="000000"/>
          <w:sz w:val="16"/>
          <w:szCs w:val="16"/>
          <w:lang w:val="bg-BG" w:eastAsia="bg-BG"/>
        </w:rPr>
        <w:t>7.7.</w:t>
      </w:r>
      <w:r w:rsidRPr="000C4545">
        <w:rPr>
          <w:rStyle w:val="CharStyle3"/>
          <w:rFonts w:ascii="Arial" w:hAnsi="Arial" w:cs="Arial"/>
          <w:color w:val="000000"/>
          <w:sz w:val="16"/>
          <w:szCs w:val="16"/>
          <w:lang w:val="bg-BG" w:eastAsia="bg-BG"/>
        </w:rPr>
        <w:t xml:space="preserve">1989, paras. 88 and 113 </w:t>
      </w:r>
    </w:p>
  </w:footnote>
  <w:footnote w:id="3">
    <w:p w14:paraId="357D1355" w14:textId="77777777" w:rsidR="00811AD7" w:rsidRPr="000C4545" w:rsidRDefault="00811AD7" w:rsidP="000C4545">
      <w:pPr>
        <w:pStyle w:val="Style2"/>
        <w:shd w:val="clear" w:color="auto" w:fill="auto"/>
        <w:spacing w:line="240" w:lineRule="auto"/>
        <w:ind w:left="142" w:right="80" w:hanging="142"/>
        <w:jc w:val="both"/>
        <w:rPr>
          <w:rStyle w:val="CharStyle3"/>
          <w:rFonts w:ascii="Arial" w:hAnsi="Arial" w:cs="Arial"/>
          <w:color w:val="000000"/>
          <w:sz w:val="16"/>
          <w:szCs w:val="16"/>
          <w:lang w:val="bg-BG" w:eastAsia="bg-BG"/>
        </w:rPr>
      </w:pPr>
      <w:r w:rsidRPr="000C4545">
        <w:rPr>
          <w:rStyle w:val="CharStyle3"/>
          <w:rFonts w:ascii="Arial" w:hAnsi="Arial" w:cs="Arial"/>
          <w:color w:val="000000"/>
          <w:sz w:val="16"/>
          <w:szCs w:val="16"/>
          <w:vertAlign w:val="superscript"/>
        </w:rPr>
        <w:footnoteRef/>
      </w:r>
      <w:r w:rsidRPr="000C4545">
        <w:rPr>
          <w:rStyle w:val="CharStyle3"/>
          <w:rFonts w:ascii="Arial" w:hAnsi="Arial" w:cs="Arial"/>
          <w:color w:val="000000"/>
          <w:sz w:val="16"/>
          <w:szCs w:val="16"/>
        </w:rPr>
        <w:t xml:space="preserve"> </w:t>
      </w:r>
      <w:r w:rsidRPr="000C4545">
        <w:rPr>
          <w:rStyle w:val="CharStyle3"/>
          <w:rFonts w:ascii="Arial" w:hAnsi="Arial" w:cs="Arial"/>
          <w:color w:val="000000"/>
          <w:sz w:val="16"/>
          <w:szCs w:val="16"/>
          <w:lang w:val="bg-BG" w:eastAsia="bg-BG"/>
        </w:rPr>
        <w:t xml:space="preserve">See </w:t>
      </w:r>
      <w:r>
        <w:rPr>
          <w:rStyle w:val="CharStyle3"/>
          <w:rFonts w:ascii="Arial" w:hAnsi="Arial" w:cs="Arial"/>
          <w:color w:val="000000"/>
          <w:sz w:val="16"/>
          <w:szCs w:val="16"/>
          <w:lang w:val="bg-BG" w:eastAsia="bg-BG"/>
        </w:rPr>
        <w:t>CAT Committee</w:t>
      </w:r>
      <w:r w:rsidRPr="000C4545">
        <w:rPr>
          <w:rStyle w:val="CharStyle3"/>
          <w:rFonts w:ascii="Arial" w:hAnsi="Arial" w:cs="Arial"/>
          <w:color w:val="000000"/>
          <w:sz w:val="16"/>
          <w:szCs w:val="16"/>
          <w:lang w:val="bg-BG" w:eastAsia="bg-BG"/>
        </w:rPr>
        <w:t xml:space="preserve">, communications No. 58/1996, </w:t>
      </w:r>
      <w:r w:rsidRPr="000C4545">
        <w:rPr>
          <w:rStyle w:val="CharStyle3"/>
          <w:rFonts w:ascii="Arial" w:hAnsi="Arial" w:cs="Arial"/>
          <w:i/>
          <w:iCs/>
          <w:sz w:val="16"/>
          <w:szCs w:val="16"/>
          <w:lang w:val="bg-BG" w:eastAsia="bg-BG"/>
        </w:rPr>
        <w:t>J.M. U.M. v. Sweden,</w:t>
      </w:r>
      <w:r w:rsidRPr="000C4545">
        <w:rPr>
          <w:rStyle w:val="CharStyle3"/>
          <w:rFonts w:ascii="Arial" w:hAnsi="Arial" w:cs="Arial"/>
          <w:color w:val="000000"/>
          <w:sz w:val="16"/>
          <w:szCs w:val="16"/>
          <w:lang w:val="bg-BG" w:eastAsia="bg-BG"/>
        </w:rPr>
        <w:t xml:space="preserve"> 15</w:t>
      </w:r>
      <w:r>
        <w:rPr>
          <w:rStyle w:val="CharStyle3"/>
          <w:rFonts w:ascii="Arial" w:hAnsi="Arial" w:cs="Arial"/>
          <w:color w:val="000000"/>
          <w:sz w:val="16"/>
          <w:szCs w:val="16"/>
          <w:lang w:val="bg-BG" w:eastAsia="bg-BG"/>
        </w:rPr>
        <w:t>.5.</w:t>
      </w:r>
      <w:r w:rsidRPr="000C4545">
        <w:rPr>
          <w:rStyle w:val="CharStyle3"/>
          <w:rFonts w:ascii="Arial" w:hAnsi="Arial" w:cs="Arial"/>
          <w:color w:val="000000"/>
          <w:sz w:val="16"/>
          <w:szCs w:val="16"/>
          <w:lang w:val="bg-BG" w:eastAsia="bg-BG"/>
        </w:rPr>
        <w:t xml:space="preserve">1998; No. 170/2000, </w:t>
      </w:r>
      <w:r w:rsidRPr="000C4545">
        <w:rPr>
          <w:rStyle w:val="CharStyle3"/>
          <w:rFonts w:ascii="Arial" w:hAnsi="Arial" w:cs="Arial"/>
          <w:i/>
          <w:iCs/>
          <w:sz w:val="16"/>
          <w:szCs w:val="16"/>
          <w:lang w:val="bg-BG" w:eastAsia="bg-BG"/>
        </w:rPr>
        <w:t>A.R. v. Sweden,</w:t>
      </w:r>
      <w:r w:rsidRPr="000C4545">
        <w:rPr>
          <w:rStyle w:val="CharStyle3"/>
          <w:rFonts w:ascii="Arial" w:hAnsi="Arial" w:cs="Arial"/>
          <w:color w:val="000000"/>
          <w:sz w:val="16"/>
          <w:szCs w:val="16"/>
          <w:lang w:val="bg-BG" w:eastAsia="bg-BG"/>
        </w:rPr>
        <w:t xml:space="preserve"> </w:t>
      </w:r>
      <w:r>
        <w:rPr>
          <w:rStyle w:val="CharStyle3"/>
          <w:rFonts w:ascii="Arial" w:hAnsi="Arial" w:cs="Arial"/>
          <w:color w:val="000000"/>
          <w:sz w:val="16"/>
          <w:szCs w:val="16"/>
          <w:lang w:val="bg-BG" w:eastAsia="bg-BG"/>
        </w:rPr>
        <w:t>23.11.2011</w:t>
      </w:r>
      <w:r w:rsidRPr="000C4545">
        <w:rPr>
          <w:rStyle w:val="CharStyle3"/>
          <w:rFonts w:ascii="Arial" w:hAnsi="Arial" w:cs="Arial"/>
          <w:color w:val="000000"/>
          <w:sz w:val="16"/>
          <w:szCs w:val="16"/>
          <w:lang w:val="bg-BG" w:eastAsia="bg-BG"/>
        </w:rPr>
        <w:t xml:space="preserve">; and No. 365/2008, </w:t>
      </w:r>
      <w:r w:rsidRPr="000C4545">
        <w:rPr>
          <w:rStyle w:val="CharStyle3"/>
          <w:rFonts w:ascii="Arial" w:hAnsi="Arial" w:cs="Arial"/>
          <w:i/>
          <w:iCs/>
          <w:sz w:val="16"/>
          <w:szCs w:val="16"/>
          <w:lang w:val="bg-BG" w:eastAsia="bg-BG"/>
        </w:rPr>
        <w:t>S.K. and R.K. v. Sweden,</w:t>
      </w:r>
      <w:r w:rsidRPr="000C4545">
        <w:rPr>
          <w:rStyle w:val="CharStyle3"/>
          <w:rFonts w:ascii="Arial" w:hAnsi="Arial" w:cs="Arial"/>
          <w:color w:val="000000"/>
          <w:sz w:val="16"/>
          <w:szCs w:val="16"/>
          <w:lang w:val="bg-BG" w:eastAsia="bg-BG"/>
        </w:rPr>
        <w:t xml:space="preserve"> </w:t>
      </w:r>
      <w:r>
        <w:rPr>
          <w:rStyle w:val="CharStyle3"/>
          <w:rFonts w:ascii="Arial" w:hAnsi="Arial" w:cs="Arial"/>
          <w:color w:val="000000"/>
          <w:sz w:val="16"/>
          <w:szCs w:val="16"/>
          <w:lang w:val="bg-BG" w:eastAsia="bg-BG"/>
        </w:rPr>
        <w:t>21.11.2011</w:t>
      </w:r>
      <w:r w:rsidRPr="000C4545">
        <w:rPr>
          <w:rStyle w:val="CharStyle3"/>
          <w:rFonts w:ascii="Arial" w:hAnsi="Arial" w:cs="Arial"/>
          <w:color w:val="000000"/>
          <w:sz w:val="16"/>
          <w:szCs w:val="16"/>
          <w:lang w:val="bg-BG" w:eastAsia="bg-BG"/>
        </w:rPr>
        <w:t>.</w:t>
      </w:r>
    </w:p>
  </w:footnote>
  <w:footnote w:id="4">
    <w:p w14:paraId="1A5B673E" w14:textId="77777777" w:rsidR="00811AD7" w:rsidRPr="000C4545" w:rsidRDefault="00811AD7" w:rsidP="000C4545">
      <w:pPr>
        <w:pStyle w:val="Style5"/>
        <w:shd w:val="clear" w:color="auto" w:fill="auto"/>
        <w:spacing w:line="240" w:lineRule="auto"/>
        <w:rPr>
          <w:rFonts w:ascii="Arial" w:hAnsi="Arial" w:cs="Arial"/>
          <w:sz w:val="16"/>
          <w:szCs w:val="16"/>
        </w:rPr>
      </w:pPr>
      <w:r w:rsidRPr="000C4545">
        <w:rPr>
          <w:rStyle w:val="CharStyle7"/>
          <w:rFonts w:ascii="Arial" w:hAnsi="Arial" w:cs="Arial"/>
          <w:i w:val="0"/>
          <w:iCs w:val="0"/>
          <w:color w:val="000000"/>
          <w:sz w:val="16"/>
          <w:szCs w:val="16"/>
          <w:vertAlign w:val="superscript"/>
        </w:rPr>
        <w:footnoteRef/>
      </w:r>
      <w:r w:rsidRPr="000C4545">
        <w:rPr>
          <w:rStyle w:val="CharStyle7"/>
          <w:rFonts w:ascii="Arial" w:hAnsi="Arial" w:cs="Arial"/>
          <w:i w:val="0"/>
          <w:iCs w:val="0"/>
          <w:color w:val="000000"/>
          <w:sz w:val="16"/>
          <w:szCs w:val="16"/>
        </w:rPr>
        <w:t xml:space="preserve"> S</w:t>
      </w:r>
      <w:r w:rsidRPr="000C4545">
        <w:rPr>
          <w:rStyle w:val="CharStyle6"/>
          <w:rFonts w:ascii="Arial" w:hAnsi="Arial" w:cs="Arial"/>
          <w:color w:val="000000"/>
          <w:sz w:val="16"/>
          <w:szCs w:val="16"/>
        </w:rPr>
        <w:t>ee</w:t>
      </w:r>
      <w:r>
        <w:rPr>
          <w:rStyle w:val="CharStyle6"/>
          <w:rFonts w:ascii="Arial" w:hAnsi="Arial" w:cs="Arial"/>
          <w:color w:val="000000"/>
          <w:sz w:val="16"/>
          <w:szCs w:val="16"/>
        </w:rPr>
        <w:t xml:space="preserve"> </w:t>
      </w:r>
      <w:r w:rsidRPr="000C4545">
        <w:rPr>
          <w:rStyle w:val="CharStyle6"/>
          <w:rFonts w:ascii="Arial" w:hAnsi="Arial" w:cs="Arial"/>
          <w:color w:val="000000"/>
          <w:sz w:val="16"/>
          <w:szCs w:val="16"/>
        </w:rPr>
        <w:t>B.M.S. v. Sweden, S.K. and RK. v. Sweden, A.R v. Sweden,</w:t>
      </w:r>
      <w:r w:rsidRPr="000C4545">
        <w:rPr>
          <w:rStyle w:val="CharStyle7"/>
          <w:rFonts w:ascii="Arial" w:hAnsi="Arial" w:cs="Arial"/>
          <w:i w:val="0"/>
          <w:iCs w:val="0"/>
          <w:color w:val="000000"/>
          <w:sz w:val="16"/>
          <w:szCs w:val="16"/>
        </w:rPr>
        <w:t xml:space="preserve"> and </w:t>
      </w:r>
      <w:r w:rsidRPr="000C4545">
        <w:rPr>
          <w:rStyle w:val="CharStyle6"/>
          <w:rFonts w:ascii="Arial" w:hAnsi="Arial" w:cs="Arial"/>
          <w:color w:val="000000"/>
          <w:sz w:val="16"/>
          <w:szCs w:val="16"/>
        </w:rPr>
        <w:t>J.M.U.M. v. Sweden.</w:t>
      </w:r>
    </w:p>
  </w:footnote>
  <w:footnote w:id="5">
    <w:p w14:paraId="3F947450" w14:textId="77777777" w:rsidR="00811AD7" w:rsidRPr="000C4545" w:rsidRDefault="00811AD7" w:rsidP="000C4545">
      <w:pPr>
        <w:pStyle w:val="Style2"/>
        <w:shd w:val="clear" w:color="auto" w:fill="auto"/>
        <w:spacing w:line="240" w:lineRule="auto"/>
        <w:ind w:right="200" w:firstLine="0"/>
        <w:rPr>
          <w:rFonts w:ascii="Arial" w:hAnsi="Arial" w:cs="Arial"/>
          <w:sz w:val="16"/>
          <w:szCs w:val="16"/>
        </w:rPr>
      </w:pPr>
      <w:r w:rsidRPr="000C4545">
        <w:rPr>
          <w:rStyle w:val="CharStyle3"/>
          <w:rFonts w:ascii="Arial" w:hAnsi="Arial" w:cs="Arial"/>
          <w:color w:val="000000"/>
          <w:sz w:val="16"/>
          <w:szCs w:val="16"/>
          <w:vertAlign w:val="superscript"/>
        </w:rPr>
        <w:footnoteRef/>
      </w:r>
      <w:r w:rsidRPr="000C4545">
        <w:rPr>
          <w:rStyle w:val="CharStyle3"/>
          <w:rFonts w:ascii="Arial" w:hAnsi="Arial" w:cs="Arial"/>
          <w:color w:val="000000"/>
          <w:sz w:val="16"/>
          <w:szCs w:val="16"/>
        </w:rPr>
        <w:t xml:space="preserve"> See </w:t>
      </w:r>
      <w:r>
        <w:rPr>
          <w:rStyle w:val="CharStyle3"/>
          <w:rFonts w:ascii="Arial" w:hAnsi="Arial" w:cs="Arial"/>
          <w:color w:val="000000"/>
          <w:sz w:val="16"/>
          <w:szCs w:val="16"/>
        </w:rPr>
        <w:t>ECHR</w:t>
      </w:r>
      <w:r w:rsidRPr="000C4545">
        <w:rPr>
          <w:rStyle w:val="CharStyle3"/>
          <w:rFonts w:ascii="Arial" w:hAnsi="Arial" w:cs="Arial"/>
          <w:color w:val="000000"/>
          <w:sz w:val="16"/>
          <w:szCs w:val="16"/>
        </w:rPr>
        <w:t xml:space="preserve">, </w:t>
      </w:r>
      <w:r w:rsidRPr="000C4545">
        <w:rPr>
          <w:rStyle w:val="CharStyle4"/>
          <w:rFonts w:ascii="Arial" w:hAnsi="Arial" w:cs="Arial"/>
          <w:color w:val="000000"/>
          <w:sz w:val="16"/>
          <w:szCs w:val="16"/>
        </w:rPr>
        <w:t xml:space="preserve">Atayeva and </w:t>
      </w:r>
      <w:r w:rsidRPr="000C4545">
        <w:rPr>
          <w:rStyle w:val="CharStyle4"/>
          <w:rFonts w:ascii="Arial" w:hAnsi="Arial" w:cs="Arial"/>
          <w:color w:val="000000"/>
          <w:sz w:val="16"/>
          <w:szCs w:val="16"/>
          <w:lang w:val="nb-NO" w:eastAsia="nb-NO"/>
        </w:rPr>
        <w:t xml:space="preserve">Burman </w:t>
      </w:r>
      <w:r w:rsidRPr="000C4545">
        <w:rPr>
          <w:rStyle w:val="CharStyle4"/>
          <w:rFonts w:ascii="Arial" w:hAnsi="Arial" w:cs="Arial"/>
          <w:color w:val="000000"/>
          <w:sz w:val="16"/>
          <w:szCs w:val="16"/>
        </w:rPr>
        <w:t>v. Sweden,</w:t>
      </w:r>
      <w:r w:rsidRPr="000C4545">
        <w:rPr>
          <w:rStyle w:val="CharStyle3"/>
          <w:rFonts w:ascii="Arial" w:hAnsi="Arial" w:cs="Arial"/>
          <w:color w:val="000000"/>
          <w:sz w:val="16"/>
          <w:szCs w:val="16"/>
        </w:rPr>
        <w:t xml:space="preserve"> application No. </w:t>
      </w:r>
      <w:r w:rsidRPr="000C4545">
        <w:rPr>
          <w:rStyle w:val="CharStyle3"/>
          <w:rFonts w:ascii="Arial" w:hAnsi="Arial" w:cs="Arial"/>
          <w:color w:val="000000"/>
          <w:sz w:val="16"/>
          <w:szCs w:val="16"/>
          <w:lang w:val="bg-BG" w:eastAsia="bg-BG"/>
        </w:rPr>
        <w:t xml:space="preserve">17471/11, </w:t>
      </w:r>
      <w:r>
        <w:rPr>
          <w:rStyle w:val="CharStyle3"/>
          <w:rFonts w:ascii="Arial" w:hAnsi="Arial" w:cs="Arial"/>
          <w:color w:val="000000"/>
          <w:sz w:val="16"/>
          <w:szCs w:val="16"/>
        </w:rPr>
        <w:t>19.2.</w:t>
      </w:r>
      <w:r w:rsidRPr="000C4545">
        <w:rPr>
          <w:rStyle w:val="CharStyle3"/>
          <w:rFonts w:ascii="Arial" w:hAnsi="Arial" w:cs="Arial"/>
          <w:color w:val="000000"/>
          <w:sz w:val="16"/>
          <w:szCs w:val="16"/>
        </w:rPr>
        <w:t xml:space="preserve">2013; </w:t>
      </w:r>
      <w:r w:rsidRPr="000C4545">
        <w:rPr>
          <w:rStyle w:val="CharStyle4"/>
          <w:rFonts w:ascii="Arial" w:hAnsi="Arial" w:cs="Arial"/>
          <w:color w:val="000000"/>
          <w:sz w:val="16"/>
          <w:szCs w:val="16"/>
        </w:rPr>
        <w:t>P.Z. and others v. Sweden,</w:t>
      </w:r>
      <w:r w:rsidRPr="000C4545">
        <w:rPr>
          <w:rStyle w:val="CharStyle3"/>
          <w:rFonts w:ascii="Arial" w:hAnsi="Arial" w:cs="Arial"/>
          <w:color w:val="000000"/>
          <w:sz w:val="16"/>
          <w:szCs w:val="16"/>
        </w:rPr>
        <w:t xml:space="preserve"> application No. </w:t>
      </w:r>
      <w:r w:rsidRPr="000C4545">
        <w:rPr>
          <w:rStyle w:val="CharStyle3"/>
          <w:rFonts w:ascii="Arial" w:hAnsi="Arial" w:cs="Arial"/>
          <w:color w:val="000000"/>
          <w:sz w:val="16"/>
          <w:szCs w:val="16"/>
          <w:lang w:val="bg-BG" w:eastAsia="bg-BG"/>
        </w:rPr>
        <w:t xml:space="preserve">68194/10, </w:t>
      </w:r>
      <w:r w:rsidRPr="000C4545">
        <w:rPr>
          <w:rStyle w:val="CharStyle3"/>
          <w:rFonts w:ascii="Arial" w:hAnsi="Arial" w:cs="Arial"/>
          <w:color w:val="000000"/>
          <w:sz w:val="16"/>
          <w:szCs w:val="16"/>
        </w:rPr>
        <w:t>18</w:t>
      </w:r>
      <w:r>
        <w:rPr>
          <w:rStyle w:val="CharStyle3"/>
          <w:rFonts w:ascii="Arial" w:hAnsi="Arial" w:cs="Arial"/>
          <w:color w:val="000000"/>
          <w:sz w:val="16"/>
          <w:szCs w:val="16"/>
        </w:rPr>
        <w:t>.12.</w:t>
      </w:r>
      <w:r w:rsidRPr="000C4545">
        <w:rPr>
          <w:rStyle w:val="CharStyle3"/>
          <w:rFonts w:ascii="Arial" w:hAnsi="Arial" w:cs="Arial"/>
          <w:color w:val="000000"/>
          <w:sz w:val="16"/>
          <w:szCs w:val="16"/>
        </w:rPr>
        <w:t>2012; and</w:t>
      </w:r>
      <w:r>
        <w:rPr>
          <w:rStyle w:val="CharStyle3"/>
          <w:rFonts w:ascii="Arial" w:hAnsi="Arial" w:cs="Arial"/>
          <w:color w:val="000000"/>
          <w:sz w:val="16"/>
          <w:szCs w:val="16"/>
        </w:rPr>
        <w:t xml:space="preserve"> </w:t>
      </w:r>
      <w:r w:rsidRPr="000C4545">
        <w:rPr>
          <w:rStyle w:val="CharStyle3"/>
          <w:rFonts w:ascii="Arial" w:hAnsi="Arial" w:cs="Arial"/>
          <w:color w:val="000000"/>
          <w:sz w:val="16"/>
          <w:szCs w:val="16"/>
        </w:rPr>
        <w:t xml:space="preserve">RZ. </w:t>
      </w:r>
      <w:r w:rsidRPr="000C4545">
        <w:rPr>
          <w:rStyle w:val="CharStyle4"/>
          <w:rFonts w:ascii="Arial" w:hAnsi="Arial" w:cs="Arial"/>
          <w:color w:val="000000"/>
          <w:sz w:val="16"/>
          <w:szCs w:val="16"/>
        </w:rPr>
        <w:t>v. Sweden,</w:t>
      </w:r>
      <w:r w:rsidRPr="000C4545">
        <w:rPr>
          <w:rStyle w:val="CharStyle3"/>
          <w:rFonts w:ascii="Arial" w:hAnsi="Arial" w:cs="Arial"/>
          <w:color w:val="000000"/>
          <w:sz w:val="16"/>
          <w:szCs w:val="16"/>
        </w:rPr>
        <w:t xml:space="preserve"> application No. </w:t>
      </w:r>
      <w:r w:rsidRPr="000C4545">
        <w:rPr>
          <w:rStyle w:val="CharStyle3"/>
          <w:rFonts w:ascii="Arial" w:hAnsi="Arial" w:cs="Arial"/>
          <w:color w:val="000000"/>
          <w:sz w:val="16"/>
          <w:szCs w:val="16"/>
          <w:lang w:val="bg-BG" w:eastAsia="bg-BG"/>
        </w:rPr>
        <w:t>74352/1</w:t>
      </w:r>
      <w:r w:rsidRPr="000C4545">
        <w:rPr>
          <w:rStyle w:val="CharStyle3"/>
          <w:rFonts w:ascii="Arial" w:hAnsi="Arial" w:cs="Arial"/>
          <w:color w:val="000000"/>
          <w:sz w:val="16"/>
          <w:szCs w:val="16"/>
        </w:rPr>
        <w:t>1, 18</w:t>
      </w:r>
      <w:r>
        <w:rPr>
          <w:rStyle w:val="CharStyle3"/>
          <w:rFonts w:ascii="Arial" w:hAnsi="Arial" w:cs="Arial"/>
          <w:color w:val="000000"/>
          <w:sz w:val="16"/>
          <w:szCs w:val="16"/>
        </w:rPr>
        <w:t>.12.</w:t>
      </w:r>
      <w:r w:rsidRPr="000C4545">
        <w:rPr>
          <w:rStyle w:val="CharStyle3"/>
          <w:rFonts w:ascii="Arial" w:hAnsi="Arial" w:cs="Arial"/>
          <w:color w:val="000000"/>
          <w:sz w:val="16"/>
          <w:szCs w:val="16"/>
        </w:rPr>
        <w:t>2012.</w:t>
      </w:r>
    </w:p>
  </w:footnote>
  <w:footnote w:id="6">
    <w:p w14:paraId="3D3F0325" w14:textId="77777777" w:rsidR="00811AD7" w:rsidRPr="000C4545" w:rsidRDefault="00811AD7" w:rsidP="000C4545">
      <w:pPr>
        <w:pStyle w:val="Style2"/>
        <w:shd w:val="clear" w:color="auto" w:fill="auto"/>
        <w:spacing w:line="240" w:lineRule="auto"/>
        <w:ind w:firstLine="0"/>
        <w:rPr>
          <w:rFonts w:ascii="Arial" w:hAnsi="Arial" w:cs="Arial"/>
          <w:sz w:val="16"/>
          <w:szCs w:val="16"/>
        </w:rPr>
      </w:pPr>
      <w:r w:rsidRPr="000C4545">
        <w:rPr>
          <w:rStyle w:val="CharStyle3"/>
          <w:rFonts w:ascii="Arial" w:hAnsi="Arial" w:cs="Arial"/>
          <w:color w:val="000000"/>
          <w:sz w:val="16"/>
          <w:szCs w:val="16"/>
          <w:vertAlign w:val="superscript"/>
        </w:rPr>
        <w:footnoteRef/>
      </w:r>
      <w:r w:rsidRPr="000C4545">
        <w:rPr>
          <w:rStyle w:val="CharStyle3"/>
          <w:rFonts w:ascii="Arial" w:hAnsi="Arial" w:cs="Arial"/>
          <w:color w:val="000000"/>
          <w:sz w:val="16"/>
          <w:szCs w:val="16"/>
        </w:rPr>
        <w:t xml:space="preserve"> See communication No. </w:t>
      </w:r>
      <w:r w:rsidRPr="000C4545">
        <w:rPr>
          <w:rStyle w:val="CharStyle3"/>
          <w:rFonts w:ascii="Arial" w:hAnsi="Arial" w:cs="Arial"/>
          <w:color w:val="000000"/>
          <w:sz w:val="16"/>
          <w:szCs w:val="16"/>
          <w:lang w:val="bg-BG" w:eastAsia="bg-BG"/>
        </w:rPr>
        <w:t xml:space="preserve">31/2015, </w:t>
      </w:r>
      <w:r w:rsidRPr="000C4545">
        <w:rPr>
          <w:rStyle w:val="CharStyle4"/>
          <w:rFonts w:ascii="Arial" w:hAnsi="Arial" w:cs="Arial"/>
          <w:color w:val="000000"/>
          <w:sz w:val="16"/>
          <w:szCs w:val="16"/>
        </w:rPr>
        <w:t>D.L. v. Sweden,</w:t>
      </w:r>
      <w:r w:rsidRPr="000C4545">
        <w:rPr>
          <w:rStyle w:val="CharStyle3"/>
          <w:rFonts w:ascii="Arial" w:hAnsi="Arial" w:cs="Arial"/>
          <w:color w:val="000000"/>
          <w:sz w:val="16"/>
          <w:szCs w:val="16"/>
        </w:rPr>
        <w:t xml:space="preserve"> 24</w:t>
      </w:r>
      <w:r>
        <w:rPr>
          <w:rStyle w:val="CharStyle3"/>
          <w:rFonts w:ascii="Arial" w:hAnsi="Arial" w:cs="Arial"/>
          <w:color w:val="000000"/>
          <w:sz w:val="16"/>
          <w:szCs w:val="16"/>
        </w:rPr>
        <w:t>.3.</w:t>
      </w:r>
      <w:r w:rsidRPr="000C4545">
        <w:rPr>
          <w:rStyle w:val="CharStyle3"/>
          <w:rFonts w:ascii="Arial" w:hAnsi="Arial" w:cs="Arial"/>
          <w:color w:val="000000"/>
          <w:sz w:val="16"/>
          <w:szCs w:val="16"/>
        </w:rPr>
        <w:t xml:space="preserve"> 2017, para. 7.3.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E6A8D"/>
    <w:multiLevelType w:val="hybridMultilevel"/>
    <w:tmpl w:val="C3E84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3FFE"/>
    <w:rsid w:val="00002509"/>
    <w:rsid w:val="00005D9C"/>
    <w:rsid w:val="00016C3C"/>
    <w:rsid w:val="000177B0"/>
    <w:rsid w:val="000A4E07"/>
    <w:rsid w:val="000A683D"/>
    <w:rsid w:val="000C4545"/>
    <w:rsid w:val="00100B2A"/>
    <w:rsid w:val="00105B94"/>
    <w:rsid w:val="00114F9E"/>
    <w:rsid w:val="00120357"/>
    <w:rsid w:val="00144F2C"/>
    <w:rsid w:val="001620EF"/>
    <w:rsid w:val="00167122"/>
    <w:rsid w:val="001B4F3E"/>
    <w:rsid w:val="001D35BC"/>
    <w:rsid w:val="001E4078"/>
    <w:rsid w:val="00202EEF"/>
    <w:rsid w:val="00222711"/>
    <w:rsid w:val="00226761"/>
    <w:rsid w:val="002268E4"/>
    <w:rsid w:val="0024126F"/>
    <w:rsid w:val="00242813"/>
    <w:rsid w:val="0024306C"/>
    <w:rsid w:val="00244E52"/>
    <w:rsid w:val="00254F10"/>
    <w:rsid w:val="00273DB4"/>
    <w:rsid w:val="00274EE9"/>
    <w:rsid w:val="002B6CA9"/>
    <w:rsid w:val="002C67B5"/>
    <w:rsid w:val="002D71D7"/>
    <w:rsid w:val="00304B9A"/>
    <w:rsid w:val="00322076"/>
    <w:rsid w:val="00330EB0"/>
    <w:rsid w:val="00377CC5"/>
    <w:rsid w:val="00393FF5"/>
    <w:rsid w:val="003A6ACD"/>
    <w:rsid w:val="003A7E36"/>
    <w:rsid w:val="003F6AEB"/>
    <w:rsid w:val="003F6C41"/>
    <w:rsid w:val="0040660E"/>
    <w:rsid w:val="00407135"/>
    <w:rsid w:val="00423C0A"/>
    <w:rsid w:val="00441DFE"/>
    <w:rsid w:val="004554ED"/>
    <w:rsid w:val="00471F7B"/>
    <w:rsid w:val="00492C26"/>
    <w:rsid w:val="004A003D"/>
    <w:rsid w:val="004E380E"/>
    <w:rsid w:val="004F3237"/>
    <w:rsid w:val="005475A1"/>
    <w:rsid w:val="00573412"/>
    <w:rsid w:val="0058111D"/>
    <w:rsid w:val="005B548C"/>
    <w:rsid w:val="005F16CA"/>
    <w:rsid w:val="0061192E"/>
    <w:rsid w:val="00633A5C"/>
    <w:rsid w:val="006430CE"/>
    <w:rsid w:val="006606C5"/>
    <w:rsid w:val="006622F0"/>
    <w:rsid w:val="006841AC"/>
    <w:rsid w:val="00695F08"/>
    <w:rsid w:val="006A105C"/>
    <w:rsid w:val="006B532D"/>
    <w:rsid w:val="006E776D"/>
    <w:rsid w:val="00715A42"/>
    <w:rsid w:val="00725330"/>
    <w:rsid w:val="00740A94"/>
    <w:rsid w:val="00750CA8"/>
    <w:rsid w:val="00792E7A"/>
    <w:rsid w:val="007D32CE"/>
    <w:rsid w:val="007E4269"/>
    <w:rsid w:val="00811AD7"/>
    <w:rsid w:val="00837210"/>
    <w:rsid w:val="00852FF7"/>
    <w:rsid w:val="008630B9"/>
    <w:rsid w:val="00886F96"/>
    <w:rsid w:val="008904D5"/>
    <w:rsid w:val="008A351B"/>
    <w:rsid w:val="008C09E8"/>
    <w:rsid w:val="008F68AC"/>
    <w:rsid w:val="00910383"/>
    <w:rsid w:val="00921F1F"/>
    <w:rsid w:val="00932334"/>
    <w:rsid w:val="00951E7C"/>
    <w:rsid w:val="0097122D"/>
    <w:rsid w:val="009959D2"/>
    <w:rsid w:val="009A38AC"/>
    <w:rsid w:val="009D6755"/>
    <w:rsid w:val="009E6F4D"/>
    <w:rsid w:val="009F3E7C"/>
    <w:rsid w:val="00A11251"/>
    <w:rsid w:val="00A21FA2"/>
    <w:rsid w:val="00A507C5"/>
    <w:rsid w:val="00A50904"/>
    <w:rsid w:val="00A72F57"/>
    <w:rsid w:val="00A945C6"/>
    <w:rsid w:val="00A95990"/>
    <w:rsid w:val="00AA3937"/>
    <w:rsid w:val="00AD7227"/>
    <w:rsid w:val="00AE6D2E"/>
    <w:rsid w:val="00B15FD9"/>
    <w:rsid w:val="00B214BB"/>
    <w:rsid w:val="00B40099"/>
    <w:rsid w:val="00B55039"/>
    <w:rsid w:val="00B60053"/>
    <w:rsid w:val="00B846E5"/>
    <w:rsid w:val="00BA32A2"/>
    <w:rsid w:val="00BB6CCC"/>
    <w:rsid w:val="00BE4CD7"/>
    <w:rsid w:val="00BE6E33"/>
    <w:rsid w:val="00C06C2D"/>
    <w:rsid w:val="00C206B0"/>
    <w:rsid w:val="00C45847"/>
    <w:rsid w:val="00C85905"/>
    <w:rsid w:val="00C87CF1"/>
    <w:rsid w:val="00CB7280"/>
    <w:rsid w:val="00CE3DD7"/>
    <w:rsid w:val="00D16677"/>
    <w:rsid w:val="00D23CB4"/>
    <w:rsid w:val="00D24C3D"/>
    <w:rsid w:val="00D31CE4"/>
    <w:rsid w:val="00D40E4D"/>
    <w:rsid w:val="00D4126F"/>
    <w:rsid w:val="00D55462"/>
    <w:rsid w:val="00D55E6B"/>
    <w:rsid w:val="00D65DB6"/>
    <w:rsid w:val="00D873E2"/>
    <w:rsid w:val="00D94D89"/>
    <w:rsid w:val="00D9730E"/>
    <w:rsid w:val="00DB0174"/>
    <w:rsid w:val="00DF4349"/>
    <w:rsid w:val="00E2293B"/>
    <w:rsid w:val="00E2513B"/>
    <w:rsid w:val="00E33117"/>
    <w:rsid w:val="00E374DC"/>
    <w:rsid w:val="00E37A2B"/>
    <w:rsid w:val="00E51F4D"/>
    <w:rsid w:val="00E62B23"/>
    <w:rsid w:val="00E96297"/>
    <w:rsid w:val="00EA46FC"/>
    <w:rsid w:val="00ED1434"/>
    <w:rsid w:val="00F06867"/>
    <w:rsid w:val="00F33FFE"/>
    <w:rsid w:val="00F83D9F"/>
    <w:rsid w:val="00FA398F"/>
    <w:rsid w:val="00FA676C"/>
    <w:rsid w:val="00FD23CF"/>
    <w:rsid w:val="00FF4F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C0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98F"/>
    <w:rPr>
      <w:color w:val="0000FF"/>
      <w:u w:val="single"/>
    </w:rPr>
  </w:style>
  <w:style w:type="character" w:styleId="FootnoteReference">
    <w:name w:val="footnote reference"/>
    <w:rsid w:val="00FA398F"/>
    <w:rPr>
      <w:rFonts w:ascii="Times New Roman" w:hAnsi="Times New Roman"/>
      <w:position w:val="0"/>
      <w:sz w:val="18"/>
      <w:vertAlign w:val="superscript"/>
    </w:rPr>
  </w:style>
  <w:style w:type="paragraph" w:styleId="NormalWeb">
    <w:name w:val="Normal (Web)"/>
    <w:basedOn w:val="Normal"/>
    <w:uiPriority w:val="99"/>
    <w:semiHidden/>
    <w:unhideWhenUsed/>
    <w:rsid w:val="00AD7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FD9"/>
  </w:style>
  <w:style w:type="paragraph" w:styleId="Footer">
    <w:name w:val="footer"/>
    <w:basedOn w:val="Normal"/>
    <w:link w:val="FooterChar"/>
    <w:uiPriority w:val="99"/>
    <w:unhideWhenUsed/>
    <w:rsid w:val="00B1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D9"/>
  </w:style>
  <w:style w:type="character" w:customStyle="1" w:styleId="CharStyle23">
    <w:name w:val="Char Style 23"/>
    <w:basedOn w:val="DefaultParagraphFont"/>
    <w:link w:val="Style8"/>
    <w:uiPriority w:val="99"/>
    <w:locked/>
    <w:rsid w:val="00D16677"/>
    <w:rPr>
      <w:rFonts w:cs="Times New Roman"/>
      <w:sz w:val="19"/>
      <w:szCs w:val="19"/>
      <w:shd w:val="clear" w:color="auto" w:fill="FFFFFF"/>
    </w:rPr>
  </w:style>
  <w:style w:type="paragraph" w:customStyle="1" w:styleId="Style8">
    <w:name w:val="Style 8"/>
    <w:basedOn w:val="Normal"/>
    <w:link w:val="CharStyle23"/>
    <w:uiPriority w:val="99"/>
    <w:rsid w:val="00D16677"/>
    <w:pPr>
      <w:widowControl w:val="0"/>
      <w:shd w:val="clear" w:color="auto" w:fill="FFFFFF"/>
      <w:spacing w:after="180" w:line="240" w:lineRule="exact"/>
      <w:jc w:val="both"/>
    </w:pPr>
    <w:rPr>
      <w:rFonts w:cs="Times New Roman"/>
      <w:sz w:val="19"/>
      <w:szCs w:val="19"/>
    </w:rPr>
  </w:style>
  <w:style w:type="character" w:customStyle="1" w:styleId="CharStyle3">
    <w:name w:val="Char Style 3"/>
    <w:basedOn w:val="DefaultParagraphFont"/>
    <w:link w:val="Style2"/>
    <w:uiPriority w:val="99"/>
    <w:locked/>
    <w:rsid w:val="006E776D"/>
    <w:rPr>
      <w:rFonts w:cs="Times New Roman"/>
      <w:sz w:val="17"/>
      <w:szCs w:val="17"/>
      <w:shd w:val="clear" w:color="auto" w:fill="FFFFFF"/>
    </w:rPr>
  </w:style>
  <w:style w:type="character" w:customStyle="1" w:styleId="CharStyle4">
    <w:name w:val="Char Style 4"/>
    <w:basedOn w:val="CharStyle3"/>
    <w:uiPriority w:val="99"/>
    <w:rsid w:val="006E776D"/>
    <w:rPr>
      <w:rFonts w:cs="Times New Roman"/>
      <w:i/>
      <w:iCs/>
      <w:sz w:val="17"/>
      <w:szCs w:val="17"/>
      <w:shd w:val="clear" w:color="auto" w:fill="FFFFFF"/>
    </w:rPr>
  </w:style>
  <w:style w:type="paragraph" w:customStyle="1" w:styleId="Style2">
    <w:name w:val="Style 2"/>
    <w:basedOn w:val="Normal"/>
    <w:link w:val="CharStyle3"/>
    <w:uiPriority w:val="99"/>
    <w:rsid w:val="006E776D"/>
    <w:pPr>
      <w:widowControl w:val="0"/>
      <w:shd w:val="clear" w:color="auto" w:fill="FFFFFF"/>
      <w:spacing w:after="0" w:line="216" w:lineRule="exact"/>
      <w:ind w:hanging="220"/>
    </w:pPr>
    <w:rPr>
      <w:rFonts w:cs="Times New Roman"/>
      <w:sz w:val="17"/>
      <w:szCs w:val="17"/>
    </w:rPr>
  </w:style>
  <w:style w:type="character" w:customStyle="1" w:styleId="CharStyle6">
    <w:name w:val="Char Style 6"/>
    <w:basedOn w:val="DefaultParagraphFont"/>
    <w:link w:val="Style5"/>
    <w:uiPriority w:val="99"/>
    <w:locked/>
    <w:rsid w:val="00DF4349"/>
    <w:rPr>
      <w:rFonts w:cs="Times New Roman"/>
      <w:i/>
      <w:iCs/>
      <w:sz w:val="17"/>
      <w:szCs w:val="17"/>
      <w:shd w:val="clear" w:color="auto" w:fill="FFFFFF"/>
    </w:rPr>
  </w:style>
  <w:style w:type="character" w:customStyle="1" w:styleId="CharStyle7">
    <w:name w:val="Char Style 7"/>
    <w:basedOn w:val="CharStyle6"/>
    <w:uiPriority w:val="99"/>
    <w:rsid w:val="00DF4349"/>
    <w:rPr>
      <w:rFonts w:cs="Times New Roman"/>
      <w:i w:val="0"/>
      <w:iCs w:val="0"/>
      <w:sz w:val="17"/>
      <w:szCs w:val="17"/>
      <w:shd w:val="clear" w:color="auto" w:fill="FFFFFF"/>
    </w:rPr>
  </w:style>
  <w:style w:type="paragraph" w:customStyle="1" w:styleId="Style5">
    <w:name w:val="Style 5"/>
    <w:basedOn w:val="Normal"/>
    <w:link w:val="CharStyle6"/>
    <w:uiPriority w:val="99"/>
    <w:rsid w:val="00DF4349"/>
    <w:pPr>
      <w:widowControl w:val="0"/>
      <w:shd w:val="clear" w:color="auto" w:fill="FFFFFF"/>
      <w:spacing w:after="0" w:line="216" w:lineRule="exact"/>
    </w:pPr>
    <w:rPr>
      <w:rFonts w:cs="Times New Roman"/>
      <w:i/>
      <w:iCs/>
      <w:sz w:val="17"/>
      <w:szCs w:val="17"/>
    </w:rPr>
  </w:style>
  <w:style w:type="paragraph" w:styleId="ListParagraph">
    <w:name w:val="List Paragraph"/>
    <w:basedOn w:val="Normal"/>
    <w:uiPriority w:val="34"/>
    <w:qFormat/>
    <w:rsid w:val="00DF4349"/>
    <w:pPr>
      <w:ind w:left="720"/>
      <w:contextualSpacing/>
    </w:pPr>
  </w:style>
  <w:style w:type="character" w:customStyle="1" w:styleId="UnresolvedMention1">
    <w:name w:val="Unresolved Mention1"/>
    <w:basedOn w:val="DefaultParagraphFont"/>
    <w:uiPriority w:val="99"/>
    <w:semiHidden/>
    <w:unhideWhenUsed/>
    <w:rsid w:val="00005D9C"/>
    <w:rPr>
      <w:color w:val="808080"/>
      <w:shd w:val="clear" w:color="auto" w:fill="E6E6E6"/>
    </w:rPr>
  </w:style>
  <w:style w:type="character" w:styleId="FollowedHyperlink">
    <w:name w:val="FollowedHyperlink"/>
    <w:basedOn w:val="DefaultParagraphFont"/>
    <w:uiPriority w:val="99"/>
    <w:semiHidden/>
    <w:unhideWhenUsed/>
    <w:rsid w:val="00E51F4D"/>
    <w:rPr>
      <w:color w:val="954F72" w:themeColor="followedHyperlink"/>
      <w:u w:val="single"/>
    </w:rPr>
  </w:style>
  <w:style w:type="paragraph" w:styleId="FootnoteText">
    <w:name w:val="footnote text"/>
    <w:basedOn w:val="Normal"/>
    <w:link w:val="FootnoteTextChar"/>
    <w:uiPriority w:val="99"/>
    <w:semiHidden/>
    <w:unhideWhenUsed/>
    <w:rsid w:val="005B5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4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4620">
      <w:bodyDiv w:val="1"/>
      <w:marLeft w:val="0"/>
      <w:marRight w:val="0"/>
      <w:marTop w:val="0"/>
      <w:marBottom w:val="0"/>
      <w:divBdr>
        <w:top w:val="none" w:sz="0" w:space="0" w:color="auto"/>
        <w:left w:val="none" w:sz="0" w:space="0" w:color="auto"/>
        <w:bottom w:val="none" w:sz="0" w:space="0" w:color="auto"/>
        <w:right w:val="none" w:sz="0" w:space="0" w:color="auto"/>
      </w:divBdr>
    </w:div>
    <w:div w:id="1045839024">
      <w:bodyDiv w:val="1"/>
      <w:marLeft w:val="0"/>
      <w:marRight w:val="0"/>
      <w:marTop w:val="0"/>
      <w:marBottom w:val="0"/>
      <w:divBdr>
        <w:top w:val="none" w:sz="0" w:space="0" w:color="auto"/>
        <w:left w:val="none" w:sz="0" w:space="0" w:color="auto"/>
        <w:bottom w:val="none" w:sz="0" w:space="0" w:color="auto"/>
        <w:right w:val="none" w:sz="0" w:space="0" w:color="auto"/>
      </w:divBdr>
    </w:div>
    <w:div w:id="16107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hchr.org/EN/HRBodies/CRPD/Pages/OptionalProtocolRightsPersonsWithDisabilities.aspx" TargetMode="External"/><Relationship Id="rId21" Type="http://schemas.openxmlformats.org/officeDocument/2006/relationships/hyperlink" Target="http://www.ohchr.org/EN/HRBodies/CRPD/Pages/OptionalProtocolRightsPersonsWithDisabilities.aspx" TargetMode="External"/><Relationship Id="rId22" Type="http://schemas.openxmlformats.org/officeDocument/2006/relationships/hyperlink" Target="http://www.ohchr.org/EN/HRBodies/CRPD/Pages/OptionalProtocolRightsPersonsWithDisabilities.aspx" TargetMode="External"/><Relationship Id="rId23" Type="http://schemas.openxmlformats.org/officeDocument/2006/relationships/hyperlink" Target="http://docstore.ohchr.org/SelfServices/FilesHandler.ashx?enc=6QkG1d%2fPPRiCAqhKb7yhsoSrhwG9CrOqAWZMtC2E1Xe36%2buAdL6x9aN91J0q29jBM8ToL40pFc2leMF0ZQpH66QsDgnIHR8m7dFbCA0R1qYXm1QqzkneEbXAqAOLGthiuj0hIdv28osZ%2bOLbiU%2fUvQ%3d%3d" TargetMode="External"/><Relationship Id="rId24" Type="http://schemas.openxmlformats.org/officeDocument/2006/relationships/hyperlink" Target="http://docstore.ohchr.org/SelfServices/FilesHandler.ashx?enc=6QkG1d%2fPPRiCAqhKb7yhsoSrhwG9CrOqAWZMtC2E1Xe36%2buAdL6x9aN91J0q29jBM8ToL40pFc2leMF0ZQpH60dOY1bioPTa9nuosLWJ5Sa0HzYSHBI1SEnsj5LveSkEf0YIDx5xlzRNABeeCQ5GGg%3d%3d" TargetMode="External"/><Relationship Id="rId25" Type="http://schemas.openxmlformats.org/officeDocument/2006/relationships/hyperlink" Target="http://docstore.ohchr.org/SelfServices/FilesHandler.ashx?enc=6QkG1d%2fPPRiCAqhKb7yhsoSrhwG9CrOqAWZMtC2E1Xe36%2buAdL6x9aN91J0q29jBM8ToL40pFc2leMF0ZQpH69dAgvNiDki42GoOIsWoYf9B7M9C41FmypvAhjlA3MFijvxtWO3El9QCmUj1fT1A4Q%3d%3d" TargetMode="External"/><Relationship Id="rId26" Type="http://schemas.openxmlformats.org/officeDocument/2006/relationships/hyperlink" Target="http://docstore.ohchr.org/SelfServices/FilesHandler.ashx?enc=6QkG1d%2fPPRiCAqhKb7yhsoSrhwG9CrOqAWZMtC2E1Xe36%2buAdL6x9aN91J0q29jBM8ToL40pFc2leMF0ZQpH60SzK%2bdLiJpTr6rurVxwY15R9YexvUVry54JvgiLFU98gf1CjiIXHvaowf6Y3ci4mw%3d%3d" TargetMode="External"/><Relationship Id="rId27" Type="http://schemas.openxmlformats.org/officeDocument/2006/relationships/hyperlink" Target="http://docstore.ohchr.org/SelfServices/FilesHandler.ashx?enc=6QkG1d%2fPPRiCAqhKb7yhsoSrhwG9CrOqAWZMtC2E1Xe36%2buAdL6x9aN91J0q29jBM8ToL40pFc2leMF0ZQpH62McplscfWp0XVI7WH4JFm1fqDxCcg3k%2bo8a4aSMQCzUJcqDUZ1prnVDFtvKHQ2jlg%3d%3d" TargetMode="External"/><Relationship Id="rId28" Type="http://schemas.openxmlformats.org/officeDocument/2006/relationships/hyperlink" Target="https://documents.un.org" TargetMode="External"/><Relationship Id="rId29" Type="http://schemas.openxmlformats.org/officeDocument/2006/relationships/hyperlink" Target="http://www.ohchr.org/EN/HRBodies/CRPD/Pages/ConventionRightsPersonsWithDisabilitie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hchr.org/EN/HRBodies/CRPD/Pages/ConventionRightsPersonsWithDisabilities.aspx" TargetMode="External"/><Relationship Id="rId31" Type="http://schemas.openxmlformats.org/officeDocument/2006/relationships/hyperlink" Target="http://www.ohchr.org/EN/HRBodies/CRPD/Pages/ConventionRightsPersonsWithDisabilities.aspx" TargetMode="External"/><Relationship Id="rId32" Type="http://schemas.openxmlformats.org/officeDocument/2006/relationships/hyperlink" Target="http://www.ohchr.org/EN/HRBodies/CRPD/Pages/ConventionRightsPersonsWithDisabilities.aspx" TargetMode="External"/><Relationship Id="rId9" Type="http://schemas.openxmlformats.org/officeDocument/2006/relationships/hyperlink" Target="http://www.ohchr.org/EN/HRBodies/CRPD/Pages/ConventionRightsPersonsWithDisabilities.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HRBodies/CRPD/Pages/ConventionRightsPersonsWithDisabilities.aspx" TargetMode="External"/><Relationship Id="rId33" Type="http://schemas.openxmlformats.org/officeDocument/2006/relationships/hyperlink" Target="http://www.ohchr.org/EN/HRBodies/CRPD/Pages/ConventionRightsPersonsWithDisabilities.aspx" TargetMode="External"/><Relationship Id="rId34" Type="http://schemas.openxmlformats.org/officeDocument/2006/relationships/hyperlink" Target="http://www.ohchr.org/EN/HRBodies/CRPD/Pages/ConventionRightsPersonsWithDisabilities.aspx" TargetMode="External"/><Relationship Id="rId35" Type="http://schemas.openxmlformats.org/officeDocument/2006/relationships/hyperlink" Target="http://www.ohchr.org/EN/HRBodies/CRPD/Pages/ConventionRightsPersonsWithDisabilities.aspx" TargetMode="External"/><Relationship Id="rId36" Type="http://schemas.openxmlformats.org/officeDocument/2006/relationships/footer" Target="footer1.xml"/><Relationship Id="rId10" Type="http://schemas.openxmlformats.org/officeDocument/2006/relationships/hyperlink" Target="http://www.ohchr.org/EN/HRBodies/CRPD/Pages/ConventionRightsPersonsWithDisabilities.aspx" TargetMode="External"/><Relationship Id="rId11"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www.ohchr.org/EN/HRBodies/CRPD/Pages/ConventionRightsPersonsWithDisabilities.aspx" TargetMode="External"/><Relationship Id="rId14"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www.ohchr.org/EN/HRBodies/CRPD/Pages/ConventionRightsPersonsWithDisabilities.aspx" TargetMode="External"/><Relationship Id="rId16" Type="http://schemas.openxmlformats.org/officeDocument/2006/relationships/hyperlink" Target="http://www.ohchr.org/EN/HRBodies/CRPD/Pages/ConventionRightsPersonsWithDisabilities.aspx" TargetMode="External"/><Relationship Id="rId17" Type="http://schemas.openxmlformats.org/officeDocument/2006/relationships/hyperlink" Target="http://www.ohchr.org/EN/HRBodies/CRPD/Pages/ConventionRightsPersonsWithDisabilities.aspx" TargetMode="External"/><Relationship Id="rId18" Type="http://schemas.openxmlformats.org/officeDocument/2006/relationships/hyperlink" Target="http://www.ohchr.org/EN/HRBodies/CRPD/Pages/ConventionRightsPersonsWithDisabilities.aspx" TargetMode="External"/><Relationship Id="rId19" Type="http://schemas.openxmlformats.org/officeDocument/2006/relationships/hyperlink" Target="http://www.ohchr.org/EN/HRBodies/CRPD/Pages/OptionalProtocolRightsPersonsWithDisabilities.aspx"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F920-9312-6A4C-A338-F1374839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3259</Words>
  <Characters>18579</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Mustafa</dc:creator>
  <cp:keywords/>
  <dc:description/>
  <cp:lastModifiedBy>x</cp:lastModifiedBy>
  <cp:revision>19</cp:revision>
  <dcterms:created xsi:type="dcterms:W3CDTF">2017-12-21T12:51:00Z</dcterms:created>
  <dcterms:modified xsi:type="dcterms:W3CDTF">2018-02-12T16:27:00Z</dcterms:modified>
</cp:coreProperties>
</file>