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57D8" w14:textId="4EEF1D8B" w:rsidR="001021CE" w:rsidRPr="00346FE6" w:rsidRDefault="001021CE" w:rsidP="0073020E">
      <w:pPr>
        <w:spacing w:after="0"/>
        <w:jc w:val="both"/>
        <w:outlineLvl w:val="0"/>
        <w:rPr>
          <w:rFonts w:ascii="Arial" w:hAnsi="Arial" w:cs="Arial"/>
          <w:i/>
          <w:sz w:val="28"/>
          <w:lang w:val="en-GB"/>
        </w:rPr>
      </w:pPr>
      <w:r w:rsidRPr="00346FE6">
        <w:rPr>
          <w:rFonts w:ascii="Arial" w:hAnsi="Arial" w:cs="Arial"/>
          <w:sz w:val="28"/>
          <w:lang w:val="en-GB"/>
        </w:rPr>
        <w:t>Case summary:</w:t>
      </w:r>
      <w:r w:rsidRPr="00346FE6">
        <w:rPr>
          <w:rStyle w:val="FootnoteReference"/>
          <w:rFonts w:ascii="Arial" w:hAnsi="Arial" w:cs="Arial"/>
          <w:sz w:val="24"/>
          <w:lang w:val="en-GB"/>
        </w:rPr>
        <w:footnoteReference w:id="1"/>
      </w:r>
      <w:r w:rsidRPr="00346FE6">
        <w:rPr>
          <w:rFonts w:ascii="Arial" w:hAnsi="Arial" w:cs="Arial"/>
          <w:sz w:val="24"/>
          <w:lang w:val="en-GB"/>
        </w:rPr>
        <w:t xml:space="preserve"> </w:t>
      </w:r>
      <w:r w:rsidR="00410A46" w:rsidRPr="00346FE6">
        <w:rPr>
          <w:rFonts w:ascii="Arial" w:hAnsi="Arial" w:cs="Arial"/>
          <w:i/>
          <w:sz w:val="28"/>
          <w:lang w:val="en-GB"/>
        </w:rPr>
        <w:t xml:space="preserve">Fiona Given </w:t>
      </w:r>
      <w:r w:rsidR="008252D6" w:rsidRPr="00346FE6">
        <w:rPr>
          <w:rFonts w:ascii="Arial" w:hAnsi="Arial" w:cs="Arial"/>
          <w:i/>
          <w:sz w:val="28"/>
          <w:lang w:val="en-GB"/>
        </w:rPr>
        <w:t xml:space="preserve">v </w:t>
      </w:r>
      <w:r w:rsidR="0077057D" w:rsidRPr="00346FE6">
        <w:rPr>
          <w:rFonts w:ascii="Arial" w:hAnsi="Arial" w:cs="Arial"/>
          <w:i/>
          <w:sz w:val="28"/>
          <w:lang w:val="en-GB"/>
        </w:rPr>
        <w:t>Australia</w:t>
      </w:r>
    </w:p>
    <w:p w14:paraId="33D6BF3A" w14:textId="77777777" w:rsidR="001021CE" w:rsidRPr="00346FE6" w:rsidRDefault="001021CE" w:rsidP="001021CE">
      <w:pPr>
        <w:spacing w:after="0"/>
        <w:jc w:val="both"/>
        <w:rPr>
          <w:rFonts w:ascii="Arial" w:hAnsi="Arial" w:cs="Arial"/>
          <w:lang w:val="en-GB"/>
        </w:rPr>
      </w:pPr>
    </w:p>
    <w:p w14:paraId="3526ED30" w14:textId="5900EA54" w:rsidR="00932C9F" w:rsidRPr="00CC60C4" w:rsidRDefault="00CC60C4" w:rsidP="0073020E">
      <w:pPr>
        <w:spacing w:after="0"/>
        <w:jc w:val="both"/>
        <w:outlineLvl w:val="0"/>
        <w:rPr>
          <w:rStyle w:val="Hyperlink"/>
          <w:rFonts w:ascii="Arial" w:hAnsi="Arial" w:cs="Arial"/>
          <w:szCs w:val="20"/>
          <w:lang w:val="en-GB"/>
        </w:rPr>
      </w:pPr>
      <w:r>
        <w:rPr>
          <w:rFonts w:ascii="Arial" w:hAnsi="Arial" w:cs="Arial"/>
          <w:szCs w:val="20"/>
          <w:lang w:val="en-GB"/>
        </w:rPr>
        <w:fldChar w:fldCharType="begin"/>
      </w:r>
      <w:r>
        <w:rPr>
          <w:rFonts w:ascii="Arial" w:hAnsi="Arial" w:cs="Arial"/>
          <w:szCs w:val="20"/>
          <w:lang w:val="en-GB"/>
        </w:rPr>
        <w:instrText xml:space="preserve"> HYPERLINK "https://documents-dds-ny.un.org/doc/UNDOC/GEN/G18/080/99/pdf/G1808099.pdf?OpenElement" </w:instrText>
      </w:r>
      <w:r>
        <w:rPr>
          <w:rFonts w:ascii="Arial" w:hAnsi="Arial" w:cs="Arial"/>
          <w:szCs w:val="20"/>
          <w:lang w:val="en-GB"/>
        </w:rPr>
      </w:r>
      <w:r>
        <w:rPr>
          <w:rFonts w:ascii="Arial" w:hAnsi="Arial" w:cs="Arial"/>
          <w:szCs w:val="20"/>
          <w:lang w:val="en-GB"/>
        </w:rPr>
        <w:fldChar w:fldCharType="separate"/>
      </w:r>
      <w:r w:rsidR="00932C9F" w:rsidRPr="00CC60C4">
        <w:rPr>
          <w:rStyle w:val="Hyperlink"/>
          <w:rFonts w:ascii="Arial" w:hAnsi="Arial" w:cs="Arial"/>
          <w:szCs w:val="20"/>
          <w:lang w:val="en-GB"/>
        </w:rPr>
        <w:t>CRPD/C/19/D/19/2014</w:t>
      </w:r>
    </w:p>
    <w:p w14:paraId="64BBEE34" w14:textId="04D6358D" w:rsidR="001021CE" w:rsidRPr="00346FE6" w:rsidRDefault="00CC60C4" w:rsidP="0073020E">
      <w:pPr>
        <w:spacing w:after="0"/>
        <w:jc w:val="both"/>
        <w:outlineLvl w:val="0"/>
        <w:rPr>
          <w:rFonts w:ascii="Arial" w:hAnsi="Arial" w:cs="Arial"/>
          <w:szCs w:val="20"/>
          <w:lang w:val="en-GB"/>
        </w:rPr>
      </w:pPr>
      <w:r>
        <w:rPr>
          <w:rFonts w:ascii="Arial" w:hAnsi="Arial" w:cs="Arial"/>
          <w:szCs w:val="20"/>
          <w:lang w:val="en-GB"/>
        </w:rPr>
        <w:fldChar w:fldCharType="end"/>
      </w:r>
      <w:r w:rsidR="00932C9F" w:rsidRPr="00346FE6">
        <w:rPr>
          <w:rFonts w:ascii="Arial" w:hAnsi="Arial" w:cs="Arial"/>
          <w:szCs w:val="20"/>
          <w:lang w:val="en-GB"/>
        </w:rPr>
        <w:t>Communication no 19/2014</w:t>
      </w:r>
    </w:p>
    <w:p w14:paraId="18AE1DCE" w14:textId="6B4FA550" w:rsidR="001021CE" w:rsidRPr="00346FE6" w:rsidRDefault="001021CE" w:rsidP="001021CE">
      <w:pPr>
        <w:spacing w:after="0"/>
        <w:jc w:val="both"/>
        <w:rPr>
          <w:rFonts w:ascii="Arial" w:hAnsi="Arial" w:cs="Arial"/>
          <w:szCs w:val="20"/>
          <w:lang w:val="en-GB"/>
        </w:rPr>
      </w:pPr>
      <w:r w:rsidRPr="00346FE6">
        <w:rPr>
          <w:rFonts w:ascii="Arial" w:hAnsi="Arial" w:cs="Arial"/>
          <w:szCs w:val="20"/>
          <w:lang w:val="en-GB"/>
        </w:rPr>
        <w:t>Date of communication (initial submission):</w:t>
      </w:r>
      <w:r w:rsidRPr="00346FE6">
        <w:rPr>
          <w:rFonts w:ascii="Arial" w:hAnsi="Arial" w:cs="Arial"/>
          <w:szCs w:val="20"/>
          <w:lang w:val="en-GB"/>
        </w:rPr>
        <w:tab/>
      </w:r>
      <w:r w:rsidRPr="00346FE6">
        <w:rPr>
          <w:rFonts w:ascii="Arial" w:hAnsi="Arial" w:cs="Arial"/>
          <w:szCs w:val="20"/>
          <w:lang w:val="en-GB"/>
        </w:rPr>
        <w:tab/>
      </w:r>
      <w:r w:rsidR="00AE4B17" w:rsidRPr="00346FE6">
        <w:rPr>
          <w:rFonts w:ascii="Arial" w:hAnsi="Arial" w:cs="Arial"/>
          <w:szCs w:val="20"/>
          <w:lang w:val="en-GB"/>
        </w:rPr>
        <w:t>27 November 2013</w:t>
      </w:r>
    </w:p>
    <w:p w14:paraId="6ABA244D" w14:textId="22334387" w:rsidR="001021CE" w:rsidRPr="00346FE6" w:rsidRDefault="001021CE" w:rsidP="001021CE">
      <w:pPr>
        <w:spacing w:after="0"/>
        <w:jc w:val="both"/>
        <w:rPr>
          <w:rFonts w:ascii="Arial" w:hAnsi="Arial" w:cs="Arial"/>
          <w:szCs w:val="20"/>
          <w:lang w:val="en-GB"/>
        </w:rPr>
      </w:pPr>
      <w:r w:rsidRPr="00346FE6">
        <w:rPr>
          <w:rFonts w:ascii="Arial" w:hAnsi="Arial" w:cs="Arial"/>
          <w:szCs w:val="20"/>
          <w:lang w:val="en-GB"/>
        </w:rPr>
        <w:t>Date of adoption of Views:</w:t>
      </w:r>
      <w:r w:rsidRPr="00346FE6">
        <w:rPr>
          <w:rFonts w:ascii="Arial" w:hAnsi="Arial" w:cs="Arial"/>
          <w:szCs w:val="20"/>
          <w:lang w:val="en-GB"/>
        </w:rPr>
        <w:tab/>
      </w:r>
      <w:r w:rsidRPr="00346FE6">
        <w:rPr>
          <w:rFonts w:ascii="Arial" w:hAnsi="Arial" w:cs="Arial"/>
          <w:szCs w:val="20"/>
          <w:lang w:val="en-GB"/>
        </w:rPr>
        <w:tab/>
      </w:r>
      <w:r w:rsidRPr="00346FE6">
        <w:rPr>
          <w:rFonts w:ascii="Arial" w:hAnsi="Arial" w:cs="Arial"/>
          <w:szCs w:val="20"/>
          <w:lang w:val="en-GB"/>
        </w:rPr>
        <w:tab/>
      </w:r>
      <w:r w:rsidRPr="00346FE6">
        <w:rPr>
          <w:rFonts w:ascii="Arial" w:hAnsi="Arial" w:cs="Arial"/>
          <w:szCs w:val="20"/>
          <w:lang w:val="en-GB"/>
        </w:rPr>
        <w:tab/>
      </w:r>
      <w:r w:rsidR="0085522E" w:rsidRPr="00346FE6">
        <w:rPr>
          <w:rFonts w:ascii="Arial" w:hAnsi="Arial" w:cs="Arial"/>
          <w:szCs w:val="20"/>
          <w:lang w:val="en-GB"/>
        </w:rPr>
        <w:t>16 February 2018</w:t>
      </w:r>
    </w:p>
    <w:p w14:paraId="020F8E38" w14:textId="10D95A45" w:rsidR="00F40F7C" w:rsidRPr="00346FE6" w:rsidRDefault="001021CE" w:rsidP="001F504D">
      <w:pPr>
        <w:spacing w:after="0"/>
        <w:ind w:left="4962" w:hanging="4962"/>
        <w:jc w:val="both"/>
        <w:rPr>
          <w:rFonts w:ascii="Arial" w:hAnsi="Arial" w:cs="Arial"/>
          <w:szCs w:val="20"/>
          <w:lang w:val="en-GB"/>
        </w:rPr>
      </w:pPr>
      <w:r w:rsidRPr="00346FE6">
        <w:rPr>
          <w:rFonts w:ascii="Arial" w:hAnsi="Arial" w:cs="Arial"/>
          <w:szCs w:val="20"/>
          <w:lang w:val="en-GB"/>
        </w:rPr>
        <w:t>Invoked</w:t>
      </w:r>
      <w:r w:rsidR="001F504D" w:rsidRPr="00346FE6">
        <w:rPr>
          <w:rFonts w:ascii="Arial" w:hAnsi="Arial" w:cs="Arial"/>
          <w:szCs w:val="20"/>
          <w:lang w:val="en-GB"/>
        </w:rPr>
        <w:t xml:space="preserve"> provisions of the Convention:</w:t>
      </w:r>
      <w:r w:rsidR="001F504D" w:rsidRPr="00346FE6">
        <w:rPr>
          <w:rFonts w:ascii="Arial" w:hAnsi="Arial" w:cs="Arial"/>
          <w:szCs w:val="20"/>
          <w:lang w:val="en-GB"/>
        </w:rPr>
        <w:tab/>
      </w:r>
      <w:r w:rsidR="00F40F7C" w:rsidRPr="00346FE6">
        <w:rPr>
          <w:rFonts w:ascii="Arial" w:hAnsi="Arial" w:cs="Arial"/>
          <w:szCs w:val="20"/>
          <w:lang w:val="en-GB"/>
        </w:rPr>
        <w:t>Articles</w:t>
      </w:r>
      <w:r w:rsidR="001F504D" w:rsidRPr="00346FE6">
        <w:rPr>
          <w:rFonts w:ascii="Arial" w:hAnsi="Arial" w:cs="Arial"/>
          <w:szCs w:val="20"/>
          <w:lang w:val="en-GB"/>
        </w:rPr>
        <w:t xml:space="preserve"> </w:t>
      </w:r>
      <w:hyperlink r:id="rId7" w:anchor="29" w:history="1">
        <w:r w:rsidR="00896C5B" w:rsidRPr="00346FE6">
          <w:rPr>
            <w:rStyle w:val="Hyperlink"/>
            <w:rFonts w:ascii="Arial" w:hAnsi="Arial" w:cs="Arial"/>
            <w:szCs w:val="20"/>
            <w:lang w:val="en-GB"/>
          </w:rPr>
          <w:t>29 (a) (i), (ii) and (iii)</w:t>
        </w:r>
      </w:hyperlink>
      <w:r w:rsidR="00896C5B" w:rsidRPr="00346FE6">
        <w:rPr>
          <w:rFonts w:ascii="Arial" w:hAnsi="Arial" w:cs="Arial"/>
          <w:szCs w:val="20"/>
          <w:lang w:val="en-GB"/>
        </w:rPr>
        <w:t xml:space="preserve">, </w:t>
      </w:r>
      <w:hyperlink r:id="rId8" w:anchor="4" w:history="1">
        <w:r w:rsidR="00896C5B" w:rsidRPr="00346FE6">
          <w:rPr>
            <w:rStyle w:val="Hyperlink"/>
            <w:rFonts w:ascii="Arial" w:hAnsi="Arial" w:cs="Arial"/>
            <w:szCs w:val="20"/>
            <w:lang w:val="en-GB"/>
          </w:rPr>
          <w:t xml:space="preserve">4 (1) (a), (b), (d), (e) and (g) </w:t>
        </w:r>
      </w:hyperlink>
      <w:r w:rsidR="00896C5B" w:rsidRPr="00346FE6">
        <w:rPr>
          <w:rFonts w:ascii="Arial" w:hAnsi="Arial" w:cs="Arial"/>
          <w:szCs w:val="20"/>
          <w:lang w:val="en-GB"/>
        </w:rPr>
        <w:t xml:space="preserve">, </w:t>
      </w:r>
      <w:hyperlink r:id="rId9" w:anchor="5" w:history="1">
        <w:r w:rsidR="00FB5EB3" w:rsidRPr="00346FE6">
          <w:rPr>
            <w:rStyle w:val="Hyperlink"/>
            <w:rFonts w:ascii="Arial" w:hAnsi="Arial" w:cs="Arial"/>
            <w:szCs w:val="20"/>
            <w:lang w:val="en-GB"/>
          </w:rPr>
          <w:t>5 (2) and (3)</w:t>
        </w:r>
      </w:hyperlink>
      <w:r w:rsidR="00896C5B" w:rsidRPr="00346FE6">
        <w:rPr>
          <w:rFonts w:ascii="Arial" w:hAnsi="Arial" w:cs="Arial"/>
          <w:szCs w:val="20"/>
          <w:lang w:val="en-GB"/>
        </w:rPr>
        <w:t xml:space="preserve">, </w:t>
      </w:r>
      <w:r w:rsidR="00FB5EB3" w:rsidRPr="00346FE6">
        <w:rPr>
          <w:rFonts w:ascii="Arial" w:hAnsi="Arial" w:cs="Arial"/>
          <w:szCs w:val="20"/>
          <w:lang w:val="en-GB"/>
        </w:rPr>
        <w:t xml:space="preserve">and </w:t>
      </w:r>
      <w:hyperlink r:id="rId10" w:anchor="9" w:history="1">
        <w:r w:rsidR="00FB5EB3" w:rsidRPr="00346FE6">
          <w:rPr>
            <w:rStyle w:val="Hyperlink"/>
            <w:rFonts w:ascii="Arial" w:hAnsi="Arial" w:cs="Arial"/>
            <w:szCs w:val="20"/>
            <w:lang w:val="en-GB"/>
          </w:rPr>
          <w:t>9</w:t>
        </w:r>
      </w:hyperlink>
    </w:p>
    <w:p w14:paraId="29CFB191" w14:textId="21CB37BD" w:rsidR="001021CE" w:rsidRPr="00346FE6" w:rsidRDefault="001021CE" w:rsidP="00F40F7C">
      <w:pPr>
        <w:spacing w:after="0"/>
        <w:jc w:val="both"/>
        <w:rPr>
          <w:rStyle w:val="Hyperlink"/>
          <w:rFonts w:ascii="Arial" w:hAnsi="Arial" w:cs="Arial"/>
          <w:szCs w:val="20"/>
          <w:lang w:val="en-GB"/>
        </w:rPr>
      </w:pPr>
      <w:r w:rsidRPr="00346FE6">
        <w:rPr>
          <w:rFonts w:ascii="Arial" w:hAnsi="Arial" w:cs="Arial"/>
          <w:szCs w:val="20"/>
          <w:lang w:val="en-GB"/>
        </w:rPr>
        <w:t>Provisions of the Optional Protocol:</w:t>
      </w:r>
      <w:r w:rsidRPr="00346FE6">
        <w:rPr>
          <w:rFonts w:ascii="Arial" w:hAnsi="Arial" w:cs="Arial"/>
          <w:szCs w:val="20"/>
          <w:lang w:val="en-GB"/>
        </w:rPr>
        <w:tab/>
      </w:r>
      <w:r w:rsidRPr="00346FE6">
        <w:rPr>
          <w:rFonts w:ascii="Arial" w:hAnsi="Arial" w:cs="Arial"/>
          <w:szCs w:val="20"/>
          <w:lang w:val="en-GB"/>
        </w:rPr>
        <w:tab/>
      </w:r>
      <w:r w:rsidRPr="00346FE6">
        <w:rPr>
          <w:rFonts w:ascii="Arial" w:hAnsi="Arial" w:cs="Arial"/>
          <w:szCs w:val="20"/>
          <w:lang w:val="en-GB"/>
        </w:rPr>
        <w:tab/>
      </w:r>
      <w:r w:rsidR="006736B3" w:rsidRPr="00346FE6">
        <w:rPr>
          <w:rFonts w:ascii="Arial" w:hAnsi="Arial" w:cs="Arial"/>
          <w:szCs w:val="20"/>
          <w:lang w:val="en-GB"/>
        </w:rPr>
        <w:t>Article</w:t>
      </w:r>
      <w:r w:rsidR="00F40F7C" w:rsidRPr="00346FE6">
        <w:rPr>
          <w:rFonts w:ascii="Arial" w:hAnsi="Arial" w:cs="Arial"/>
          <w:szCs w:val="20"/>
          <w:lang w:val="en-GB"/>
        </w:rPr>
        <w:t xml:space="preserve"> </w:t>
      </w:r>
      <w:hyperlink r:id="rId11" w:history="1">
        <w:r w:rsidR="006736B3" w:rsidRPr="00346FE6">
          <w:rPr>
            <w:rStyle w:val="Hyperlink"/>
            <w:rFonts w:ascii="Arial" w:hAnsi="Arial" w:cs="Arial"/>
            <w:szCs w:val="20"/>
            <w:lang w:val="en-GB"/>
          </w:rPr>
          <w:t>2 (d) and (e)</w:t>
        </w:r>
      </w:hyperlink>
    </w:p>
    <w:p w14:paraId="6EA26DF0" w14:textId="77777777" w:rsidR="008A59F5" w:rsidRPr="00346FE6" w:rsidRDefault="008A59F5" w:rsidP="00FB5EB3">
      <w:pPr>
        <w:spacing w:after="0"/>
        <w:jc w:val="both"/>
        <w:rPr>
          <w:rFonts w:ascii="Arial" w:hAnsi="Arial" w:cs="Arial"/>
          <w:szCs w:val="20"/>
          <w:lang w:val="en-GB"/>
        </w:rPr>
      </w:pPr>
    </w:p>
    <w:p w14:paraId="50A6D64B" w14:textId="1EB9E8A2" w:rsidR="001021CE" w:rsidRPr="00346FE6" w:rsidRDefault="001021CE" w:rsidP="00F426E9">
      <w:pPr>
        <w:spacing w:after="0"/>
        <w:ind w:left="2124" w:hanging="2124"/>
        <w:jc w:val="both"/>
        <w:rPr>
          <w:rFonts w:ascii="Arial" w:hAnsi="Arial" w:cs="Arial"/>
          <w:szCs w:val="20"/>
          <w:lang w:val="en-GB"/>
        </w:rPr>
      </w:pPr>
      <w:r w:rsidRPr="00346FE6">
        <w:rPr>
          <w:rFonts w:ascii="Arial" w:hAnsi="Arial" w:cs="Arial"/>
          <w:szCs w:val="20"/>
          <w:lang w:val="en-GB"/>
        </w:rPr>
        <w:t xml:space="preserve">Keywords: </w:t>
      </w:r>
      <w:r w:rsidRPr="00346FE6">
        <w:rPr>
          <w:rFonts w:ascii="Arial" w:hAnsi="Arial" w:cs="Arial"/>
          <w:szCs w:val="20"/>
          <w:lang w:val="en-GB"/>
        </w:rPr>
        <w:tab/>
      </w:r>
      <w:r w:rsidR="002D143D" w:rsidRPr="00346FE6">
        <w:rPr>
          <w:rFonts w:ascii="Arial" w:hAnsi="Arial" w:cs="Arial"/>
          <w:szCs w:val="20"/>
          <w:lang w:val="en-GB"/>
        </w:rPr>
        <w:t>Participation in political and public life</w:t>
      </w:r>
      <w:r w:rsidR="00F426E9" w:rsidRPr="00346FE6">
        <w:rPr>
          <w:rFonts w:ascii="Arial" w:hAnsi="Arial" w:cs="Arial"/>
          <w:szCs w:val="20"/>
          <w:lang w:val="en-GB"/>
        </w:rPr>
        <w:t>; right to vote by secret ballo</w:t>
      </w:r>
      <w:r w:rsidR="00187328" w:rsidRPr="00346FE6">
        <w:rPr>
          <w:rFonts w:ascii="Arial" w:hAnsi="Arial" w:cs="Arial"/>
          <w:szCs w:val="20"/>
          <w:lang w:val="en-GB"/>
        </w:rPr>
        <w:t>t; electronically assisted voting</w:t>
      </w:r>
    </w:p>
    <w:p w14:paraId="2B77D323" w14:textId="77777777" w:rsidR="00F40F7C" w:rsidRPr="00346FE6" w:rsidRDefault="00F40F7C" w:rsidP="001021CE">
      <w:pPr>
        <w:spacing w:after="0"/>
        <w:ind w:left="2124" w:hanging="2124"/>
        <w:jc w:val="both"/>
        <w:rPr>
          <w:rFonts w:ascii="Arial" w:hAnsi="Arial" w:cs="Arial"/>
          <w:szCs w:val="20"/>
          <w:lang w:val="en-GB"/>
        </w:rPr>
      </w:pPr>
    </w:p>
    <w:p w14:paraId="2EEBC207" w14:textId="24712059" w:rsidR="001021CE" w:rsidRPr="00346FE6" w:rsidRDefault="0091571B" w:rsidP="00A318BA">
      <w:pPr>
        <w:spacing w:after="0"/>
        <w:ind w:left="2127" w:hanging="2127"/>
        <w:jc w:val="both"/>
        <w:rPr>
          <w:rFonts w:ascii="Arial" w:hAnsi="Arial" w:cs="Arial"/>
          <w:szCs w:val="20"/>
          <w:lang w:val="en-GB"/>
        </w:rPr>
      </w:pPr>
      <w:r w:rsidRPr="00346FE6">
        <w:rPr>
          <w:rFonts w:ascii="Arial" w:hAnsi="Arial" w:cs="Arial"/>
          <w:szCs w:val="20"/>
          <w:lang w:val="en-GB"/>
        </w:rPr>
        <w:t xml:space="preserve">Decision: </w:t>
      </w:r>
      <w:r w:rsidRPr="00346FE6">
        <w:rPr>
          <w:rFonts w:ascii="Arial" w:hAnsi="Arial" w:cs="Arial"/>
          <w:szCs w:val="20"/>
          <w:lang w:val="en-GB"/>
        </w:rPr>
        <w:tab/>
      </w:r>
      <w:r w:rsidR="00F40F7C" w:rsidRPr="00346FE6">
        <w:rPr>
          <w:rFonts w:ascii="Arial" w:hAnsi="Arial" w:cs="Arial"/>
          <w:szCs w:val="20"/>
          <w:lang w:val="en-GB"/>
        </w:rPr>
        <w:t xml:space="preserve">Violation of </w:t>
      </w:r>
      <w:r w:rsidRPr="00346FE6">
        <w:rPr>
          <w:rFonts w:ascii="Arial" w:hAnsi="Arial" w:cs="Arial"/>
          <w:szCs w:val="20"/>
          <w:lang w:val="en-GB"/>
        </w:rPr>
        <w:t xml:space="preserve">Articles </w:t>
      </w:r>
      <w:hyperlink r:id="rId12" w:anchor="29" w:history="1">
        <w:r w:rsidR="008A59F5" w:rsidRPr="00346FE6">
          <w:rPr>
            <w:rStyle w:val="Hyperlink"/>
            <w:rFonts w:ascii="Arial" w:hAnsi="Arial" w:cs="Arial"/>
            <w:szCs w:val="20"/>
            <w:lang w:val="en-GB"/>
          </w:rPr>
          <w:t>29 (a) (i) and (ii)</w:t>
        </w:r>
      </w:hyperlink>
      <w:r w:rsidRPr="00346FE6">
        <w:rPr>
          <w:rFonts w:ascii="Arial" w:hAnsi="Arial" w:cs="Arial"/>
          <w:szCs w:val="20"/>
          <w:lang w:val="en-GB"/>
        </w:rPr>
        <w:t>,</w:t>
      </w:r>
      <w:r w:rsidR="00320A5C" w:rsidRPr="00346FE6">
        <w:rPr>
          <w:rFonts w:ascii="Arial" w:hAnsi="Arial" w:cs="Arial"/>
          <w:szCs w:val="20"/>
          <w:lang w:val="en-GB"/>
        </w:rPr>
        <w:t xml:space="preserve"> </w:t>
      </w:r>
      <w:r w:rsidR="00320A5C" w:rsidRPr="00346FE6">
        <w:rPr>
          <w:rFonts w:ascii="Arial" w:hAnsi="Arial" w:cs="Arial"/>
          <w:lang w:val="en-GB"/>
        </w:rPr>
        <w:t>read alone and in conjunction with articles</w:t>
      </w:r>
      <w:r w:rsidRPr="00346FE6">
        <w:rPr>
          <w:rFonts w:ascii="Arial" w:hAnsi="Arial" w:cs="Arial"/>
          <w:szCs w:val="20"/>
          <w:lang w:val="en-GB"/>
        </w:rPr>
        <w:t xml:space="preserve"> </w:t>
      </w:r>
      <w:hyperlink r:id="rId13" w:anchor="4" w:history="1">
        <w:r w:rsidR="00320A5C" w:rsidRPr="00346FE6">
          <w:rPr>
            <w:rStyle w:val="Hyperlink"/>
            <w:rFonts w:ascii="Arial" w:hAnsi="Arial" w:cs="Arial"/>
            <w:szCs w:val="20"/>
            <w:lang w:val="en-GB"/>
          </w:rPr>
          <w:t xml:space="preserve">4 (1) (a), (b), (d), (e) and (g) </w:t>
        </w:r>
      </w:hyperlink>
      <w:r w:rsidRPr="00346FE6">
        <w:rPr>
          <w:rFonts w:ascii="Arial" w:hAnsi="Arial" w:cs="Arial"/>
          <w:szCs w:val="20"/>
          <w:lang w:val="en-GB"/>
        </w:rPr>
        <w:t xml:space="preserve">, </w:t>
      </w:r>
      <w:hyperlink r:id="rId14" w:anchor="5" w:history="1">
        <w:r w:rsidR="00320A5C" w:rsidRPr="00346FE6">
          <w:rPr>
            <w:rStyle w:val="Hyperlink"/>
            <w:rFonts w:ascii="Arial" w:hAnsi="Arial" w:cs="Arial"/>
            <w:szCs w:val="20"/>
            <w:lang w:val="en-GB"/>
          </w:rPr>
          <w:t>5 (2)</w:t>
        </w:r>
      </w:hyperlink>
      <w:r w:rsidRPr="00346FE6">
        <w:rPr>
          <w:rFonts w:ascii="Arial" w:hAnsi="Arial" w:cs="Arial"/>
          <w:szCs w:val="20"/>
          <w:lang w:val="en-GB"/>
        </w:rPr>
        <w:t xml:space="preserve">, </w:t>
      </w:r>
      <w:hyperlink r:id="rId15" w:anchor="9" w:history="1">
        <w:r w:rsidR="00896C5B" w:rsidRPr="00346FE6">
          <w:rPr>
            <w:rStyle w:val="Hyperlink"/>
            <w:rFonts w:ascii="Arial" w:hAnsi="Arial" w:cs="Arial"/>
            <w:szCs w:val="20"/>
            <w:lang w:val="en-GB"/>
          </w:rPr>
          <w:t>9 (1) and (2) (g)</w:t>
        </w:r>
      </w:hyperlink>
      <w:r w:rsidR="00A318BA" w:rsidRPr="00346FE6">
        <w:rPr>
          <w:rFonts w:ascii="Arial" w:hAnsi="Arial" w:cs="Arial"/>
          <w:szCs w:val="20"/>
          <w:lang w:val="en-GB"/>
        </w:rPr>
        <w:t xml:space="preserve"> </w:t>
      </w:r>
      <w:r w:rsidR="00F40F7C" w:rsidRPr="00346FE6">
        <w:rPr>
          <w:rFonts w:ascii="Arial" w:hAnsi="Arial" w:cs="Arial"/>
          <w:szCs w:val="20"/>
          <w:lang w:val="en-GB"/>
        </w:rPr>
        <w:t>of the Convention</w:t>
      </w:r>
      <w:r w:rsidR="00C67E32" w:rsidRPr="00346FE6">
        <w:rPr>
          <w:rFonts w:ascii="Arial" w:hAnsi="Arial" w:cs="Arial"/>
          <w:szCs w:val="20"/>
          <w:lang w:val="en-GB"/>
        </w:rPr>
        <w:t xml:space="preserve"> </w:t>
      </w:r>
    </w:p>
    <w:p w14:paraId="257F57FE" w14:textId="77777777" w:rsidR="00F40F7C" w:rsidRPr="00346FE6" w:rsidRDefault="00F40F7C" w:rsidP="001021CE">
      <w:pPr>
        <w:spacing w:after="0"/>
        <w:jc w:val="both"/>
        <w:rPr>
          <w:rFonts w:ascii="Arial" w:hAnsi="Arial" w:cs="Arial"/>
          <w:szCs w:val="20"/>
          <w:lang w:val="en-GB"/>
        </w:rPr>
      </w:pPr>
    </w:p>
    <w:p w14:paraId="3F48F2CB" w14:textId="5FF19D26" w:rsidR="003C2147" w:rsidRPr="00DA148C" w:rsidRDefault="003C2147" w:rsidP="003C2147">
      <w:pPr>
        <w:spacing w:after="0"/>
        <w:jc w:val="both"/>
        <w:rPr>
          <w:lang w:val="en-GB"/>
        </w:rPr>
      </w:pPr>
      <w:r w:rsidRPr="00F176E0">
        <w:rPr>
          <w:rFonts w:ascii="Arial" w:hAnsi="Arial" w:cs="Arial"/>
          <w:szCs w:val="20"/>
          <w:lang w:val="en-GB"/>
        </w:rPr>
        <w:t xml:space="preserve">Full decision in </w:t>
      </w:r>
      <w:r w:rsidRPr="003C2147">
        <w:rPr>
          <w:rFonts w:ascii="Arial" w:hAnsi="Arial" w:cs="Arial"/>
          <w:szCs w:val="20"/>
          <w:lang w:val="en-GB"/>
        </w:rPr>
        <w:t>PDF format</w:t>
      </w:r>
      <w:r w:rsidRPr="00F176E0">
        <w:rPr>
          <w:rFonts w:ascii="Arial" w:hAnsi="Arial" w:cs="Arial"/>
          <w:szCs w:val="20"/>
          <w:lang w:val="en-GB"/>
        </w:rPr>
        <w:t xml:space="preserve">: </w:t>
      </w:r>
      <w:hyperlink r:id="rId16" w:history="1">
        <w:r w:rsidRPr="002F0F7A">
          <w:rPr>
            <w:rStyle w:val="Hyperlink"/>
            <w:rFonts w:ascii="Arial" w:hAnsi="Arial" w:cs="Arial"/>
            <w:szCs w:val="20"/>
            <w:lang w:val="en-GB"/>
          </w:rPr>
          <w:t>Engl</w:t>
        </w:r>
        <w:r w:rsidRPr="002F0F7A">
          <w:rPr>
            <w:rStyle w:val="Hyperlink"/>
            <w:rFonts w:ascii="Arial" w:hAnsi="Arial" w:cs="Arial"/>
            <w:szCs w:val="20"/>
            <w:lang w:val="en-GB"/>
          </w:rPr>
          <w:t>i</w:t>
        </w:r>
        <w:r w:rsidRPr="002F0F7A">
          <w:rPr>
            <w:rStyle w:val="Hyperlink"/>
            <w:rFonts w:ascii="Arial" w:hAnsi="Arial" w:cs="Arial"/>
            <w:szCs w:val="20"/>
            <w:lang w:val="en-GB"/>
          </w:rPr>
          <w:t>sh</w:t>
        </w:r>
      </w:hyperlink>
      <w:r w:rsidR="00CC60C4">
        <w:rPr>
          <w:rFonts w:ascii="Arial" w:hAnsi="Arial" w:cs="Arial"/>
          <w:szCs w:val="20"/>
          <w:lang w:val="en-GB"/>
        </w:rPr>
        <w:t xml:space="preserve">, </w:t>
      </w:r>
      <w:hyperlink r:id="rId17" w:history="1">
        <w:r w:rsidR="00EB6C86" w:rsidRPr="00EB6C86">
          <w:rPr>
            <w:rStyle w:val="Hyperlink"/>
            <w:rFonts w:ascii="Arial" w:hAnsi="Arial" w:cs="Arial"/>
            <w:szCs w:val="20"/>
            <w:lang w:val="en-GB"/>
          </w:rPr>
          <w:t>Russian</w:t>
        </w:r>
      </w:hyperlink>
      <w:r w:rsidR="00EB6C86">
        <w:rPr>
          <w:rFonts w:ascii="Arial" w:hAnsi="Arial" w:cs="Arial"/>
          <w:szCs w:val="20"/>
          <w:lang w:val="en-GB"/>
        </w:rPr>
        <w:t xml:space="preserve"> and </w:t>
      </w:r>
      <w:hyperlink r:id="rId18" w:history="1">
        <w:r w:rsidR="00EB6C86" w:rsidRPr="00EB6C86">
          <w:rPr>
            <w:rStyle w:val="Hyperlink"/>
            <w:rFonts w:ascii="Arial" w:hAnsi="Arial" w:cs="Arial"/>
            <w:szCs w:val="20"/>
            <w:lang w:val="en-GB"/>
          </w:rPr>
          <w:t>Spanish</w:t>
        </w:r>
      </w:hyperlink>
      <w:r w:rsidR="00EB6C86">
        <w:rPr>
          <w:rFonts w:ascii="Arial" w:hAnsi="Arial" w:cs="Arial"/>
          <w:szCs w:val="20"/>
          <w:lang w:val="en-GB"/>
        </w:rPr>
        <w:t>.</w:t>
      </w:r>
    </w:p>
    <w:p w14:paraId="6C9729AA" w14:textId="77777777" w:rsidR="003C2147" w:rsidRDefault="003C2147" w:rsidP="003C2147">
      <w:pPr>
        <w:spacing w:after="0"/>
        <w:jc w:val="both"/>
        <w:rPr>
          <w:rFonts w:ascii="Arial" w:hAnsi="Arial" w:cs="Arial"/>
          <w:szCs w:val="20"/>
          <w:lang w:val="en-GB"/>
        </w:rPr>
      </w:pPr>
      <w:r w:rsidRPr="003C2147">
        <w:rPr>
          <w:rFonts w:ascii="Arial" w:hAnsi="Arial" w:cs="Arial"/>
          <w:szCs w:val="20"/>
          <w:lang w:val="en-GB"/>
        </w:rPr>
        <w:t>F</w:t>
      </w:r>
      <w:r w:rsidRPr="00725785">
        <w:rPr>
          <w:rFonts w:ascii="Arial" w:hAnsi="Arial" w:cs="Arial"/>
          <w:szCs w:val="20"/>
          <w:lang w:val="en-GB"/>
        </w:rPr>
        <w:t>ull decision in PDF and/or Word format in UN official languages</w:t>
      </w:r>
      <w:r w:rsidRPr="003C2147">
        <w:rPr>
          <w:rFonts w:ascii="Arial" w:hAnsi="Arial" w:cs="Arial"/>
          <w:szCs w:val="20"/>
          <w:lang w:val="en-GB"/>
        </w:rPr>
        <w:t xml:space="preserve"> should be made available in the UN Official Documentation System.</w:t>
      </w:r>
      <w:r w:rsidRPr="00725785">
        <w:rPr>
          <w:rFonts w:ascii="Arial" w:hAnsi="Arial" w:cs="Arial"/>
          <w:szCs w:val="20"/>
          <w:lang w:val="en-GB"/>
        </w:rPr>
        <w:t xml:space="preserve"> </w:t>
      </w:r>
      <w:r w:rsidRPr="003C2147">
        <w:rPr>
          <w:rFonts w:ascii="Arial" w:hAnsi="Arial" w:cs="Arial"/>
          <w:szCs w:val="20"/>
          <w:lang w:val="en-GB"/>
        </w:rPr>
        <w:t>S</w:t>
      </w:r>
      <w:r>
        <w:rPr>
          <w:rFonts w:ascii="Arial" w:hAnsi="Arial" w:cs="Arial"/>
          <w:szCs w:val="20"/>
          <w:lang w:val="en-GB"/>
        </w:rPr>
        <w:t xml:space="preserve">earch in </w:t>
      </w:r>
      <w:hyperlink r:id="rId19" w:history="1">
        <w:r w:rsidRPr="00FA7F4E">
          <w:rPr>
            <w:rStyle w:val="Hyperlink"/>
            <w:rFonts w:ascii="Arial" w:hAnsi="Arial" w:cs="Arial"/>
            <w:szCs w:val="20"/>
            <w:lang w:val="en-GB"/>
          </w:rPr>
          <w:t>https://documents.un.org</w:t>
        </w:r>
      </w:hyperlink>
      <w:r>
        <w:rPr>
          <w:rFonts w:ascii="Arial" w:hAnsi="Arial" w:cs="Arial"/>
          <w:szCs w:val="20"/>
          <w:lang w:val="en-GB"/>
        </w:rPr>
        <w:t>, fill the blank space after ‘Symbol’ with the CRPD case code mentioned above and then click on ‘Details’.</w:t>
      </w:r>
    </w:p>
    <w:p w14:paraId="125CF0A2" w14:textId="77777777" w:rsidR="000E3E18" w:rsidRPr="00346FE6" w:rsidRDefault="000E3E18" w:rsidP="001021CE">
      <w:pPr>
        <w:spacing w:after="0"/>
        <w:jc w:val="both"/>
        <w:rPr>
          <w:rFonts w:ascii="Arial" w:hAnsi="Arial" w:cs="Arial"/>
          <w:szCs w:val="20"/>
          <w:lang w:val="en-GB"/>
        </w:rPr>
      </w:pPr>
    </w:p>
    <w:p w14:paraId="2C5996CE" w14:textId="77777777" w:rsidR="001021CE" w:rsidRPr="00346FE6" w:rsidRDefault="001021CE" w:rsidP="0073020E">
      <w:pPr>
        <w:spacing w:after="120"/>
        <w:jc w:val="both"/>
        <w:outlineLvl w:val="0"/>
        <w:rPr>
          <w:rFonts w:ascii="Arial" w:hAnsi="Arial" w:cs="Arial"/>
          <w:sz w:val="28"/>
          <w:szCs w:val="28"/>
          <w:lang w:val="en-GB"/>
        </w:rPr>
      </w:pPr>
      <w:r w:rsidRPr="00346FE6">
        <w:rPr>
          <w:rFonts w:ascii="Arial" w:hAnsi="Arial" w:cs="Arial"/>
          <w:sz w:val="28"/>
          <w:szCs w:val="28"/>
          <w:lang w:val="en-GB"/>
        </w:rPr>
        <w:t>Facts</w:t>
      </w:r>
    </w:p>
    <w:p w14:paraId="520BF2AF" w14:textId="7B3945F8" w:rsidR="00506430" w:rsidRPr="00346FE6" w:rsidRDefault="00A7128D" w:rsidP="00EA3ADF">
      <w:pPr>
        <w:spacing w:after="120"/>
        <w:jc w:val="both"/>
        <w:rPr>
          <w:rFonts w:ascii="Arial" w:hAnsi="Arial" w:cs="Arial"/>
          <w:lang w:val="en-GB"/>
        </w:rPr>
      </w:pPr>
      <w:r w:rsidRPr="00346FE6">
        <w:rPr>
          <w:rFonts w:ascii="Arial" w:hAnsi="Arial" w:cs="Arial"/>
          <w:lang w:val="en-GB"/>
        </w:rPr>
        <w:t xml:space="preserve">The author is Fiona </w:t>
      </w:r>
      <w:r w:rsidR="00EB2CEC" w:rsidRPr="00346FE6">
        <w:rPr>
          <w:rFonts w:ascii="Arial" w:hAnsi="Arial" w:cs="Arial"/>
          <w:lang w:val="en-GB"/>
        </w:rPr>
        <w:t xml:space="preserve">Given, a national of Australia. </w:t>
      </w:r>
      <w:r w:rsidR="001406E9" w:rsidRPr="00346FE6">
        <w:rPr>
          <w:rFonts w:ascii="Arial" w:hAnsi="Arial" w:cs="Arial"/>
          <w:lang w:val="en-GB"/>
        </w:rPr>
        <w:t>On 7 September 2013, federal elections were held. The Australian Electoral Commission</w:t>
      </w:r>
      <w:r w:rsidR="00EB7BC6" w:rsidRPr="00346FE6">
        <w:rPr>
          <w:rFonts w:ascii="Arial" w:hAnsi="Arial" w:cs="Arial"/>
          <w:lang w:val="en-GB"/>
        </w:rPr>
        <w:t xml:space="preserve"> conducted the election by means of postal voting, polling stations and electronically assisted voting for persons with visual impairments</w:t>
      </w:r>
      <w:r w:rsidR="009F3280" w:rsidRPr="00346FE6">
        <w:rPr>
          <w:rFonts w:ascii="Arial" w:hAnsi="Arial" w:cs="Arial"/>
          <w:lang w:val="en-GB"/>
        </w:rPr>
        <w:t xml:space="preserve">. </w:t>
      </w:r>
      <w:r w:rsidR="008C071D">
        <w:rPr>
          <w:rFonts w:ascii="Arial" w:hAnsi="Arial" w:cs="Arial"/>
          <w:lang w:val="en-GB"/>
        </w:rPr>
        <w:t>D</w:t>
      </w:r>
      <w:r w:rsidR="008C071D" w:rsidRPr="00346FE6">
        <w:rPr>
          <w:rFonts w:ascii="Arial" w:hAnsi="Arial" w:cs="Arial"/>
          <w:lang w:val="en-GB"/>
        </w:rPr>
        <w:t xml:space="preserve">ue </w:t>
      </w:r>
      <w:r w:rsidR="009F3280" w:rsidRPr="00346FE6">
        <w:rPr>
          <w:rFonts w:ascii="Arial" w:hAnsi="Arial" w:cs="Arial"/>
          <w:lang w:val="en-GB"/>
        </w:rPr>
        <w:t xml:space="preserve">to her limited dexterity, </w:t>
      </w:r>
      <w:r w:rsidR="00531871">
        <w:rPr>
          <w:rFonts w:ascii="Arial" w:hAnsi="Arial" w:cs="Arial"/>
          <w:lang w:val="en-GB"/>
        </w:rPr>
        <w:t>the author</w:t>
      </w:r>
      <w:r w:rsidR="00531871" w:rsidRPr="00346FE6">
        <w:rPr>
          <w:rFonts w:ascii="Arial" w:hAnsi="Arial" w:cs="Arial"/>
          <w:lang w:val="en-GB"/>
        </w:rPr>
        <w:t xml:space="preserve"> </w:t>
      </w:r>
      <w:r w:rsidR="009F3280" w:rsidRPr="00346FE6">
        <w:rPr>
          <w:rFonts w:ascii="Arial" w:hAnsi="Arial" w:cs="Arial"/>
          <w:lang w:val="en-GB"/>
        </w:rPr>
        <w:t>is unable to mark a ballot paper and fold and deposit it in a ballot box without live assistance, which would compromise the secrecy of her vote. She argues that requires access to an electronic voting system</w:t>
      </w:r>
      <w:r w:rsidR="003011A5" w:rsidRPr="00346FE6">
        <w:rPr>
          <w:rFonts w:ascii="Arial" w:hAnsi="Arial" w:cs="Arial"/>
          <w:lang w:val="en-GB"/>
        </w:rPr>
        <w:t>, but electronically assisted voting would only be made available to persons with visual impairments registered as such</w:t>
      </w:r>
      <w:r w:rsidR="00506430" w:rsidRPr="00346FE6">
        <w:rPr>
          <w:rFonts w:ascii="Arial" w:hAnsi="Arial" w:cs="Arial"/>
          <w:lang w:val="en-GB"/>
        </w:rPr>
        <w:t>.</w:t>
      </w:r>
    </w:p>
    <w:p w14:paraId="732C8B32" w14:textId="367FA911" w:rsidR="00E20F28" w:rsidRPr="00346FE6" w:rsidRDefault="00531871" w:rsidP="00EA3ADF">
      <w:pPr>
        <w:spacing w:after="120"/>
        <w:jc w:val="both"/>
        <w:rPr>
          <w:rFonts w:ascii="Arial" w:hAnsi="Arial" w:cs="Arial"/>
          <w:lang w:val="en-GB"/>
        </w:rPr>
      </w:pPr>
      <w:r>
        <w:rPr>
          <w:rFonts w:ascii="Arial" w:hAnsi="Arial" w:cs="Arial"/>
          <w:lang w:val="en-GB"/>
        </w:rPr>
        <w:t>According to the author, w</w:t>
      </w:r>
      <w:r w:rsidR="001A3EF7" w:rsidRPr="00346FE6">
        <w:rPr>
          <w:rFonts w:ascii="Arial" w:hAnsi="Arial" w:cs="Arial"/>
          <w:lang w:val="en-GB"/>
        </w:rPr>
        <w:t xml:space="preserve">hen </w:t>
      </w:r>
      <w:r>
        <w:rPr>
          <w:rFonts w:ascii="Arial" w:hAnsi="Arial" w:cs="Arial"/>
          <w:lang w:val="en-GB"/>
        </w:rPr>
        <w:t>she</w:t>
      </w:r>
      <w:r w:rsidR="001A3EF7" w:rsidRPr="00346FE6">
        <w:rPr>
          <w:rFonts w:ascii="Arial" w:hAnsi="Arial" w:cs="Arial"/>
          <w:lang w:val="en-GB"/>
        </w:rPr>
        <w:t xml:space="preserve"> attended the polling station and</w:t>
      </w:r>
      <w:r w:rsidR="00506430" w:rsidRPr="00346FE6">
        <w:rPr>
          <w:rFonts w:ascii="Arial" w:hAnsi="Arial" w:cs="Arial"/>
          <w:lang w:val="en-GB"/>
        </w:rPr>
        <w:t xml:space="preserve"> </w:t>
      </w:r>
      <w:r w:rsidR="001A3EF7" w:rsidRPr="00346FE6">
        <w:rPr>
          <w:rFonts w:ascii="Arial" w:hAnsi="Arial" w:cs="Arial"/>
          <w:lang w:val="en-GB"/>
        </w:rPr>
        <w:t>i</w:t>
      </w:r>
      <w:r w:rsidR="00797718" w:rsidRPr="00346FE6">
        <w:rPr>
          <w:rFonts w:ascii="Arial" w:hAnsi="Arial" w:cs="Arial"/>
          <w:lang w:val="en-GB"/>
        </w:rPr>
        <w:t>n the absence of an electronic voting facility, she opted to exercise her right as a person with physical disabilities, requesting the assistance of the polling booth’s presiding officer</w:t>
      </w:r>
      <w:r w:rsidR="00F54100" w:rsidRPr="00346FE6">
        <w:rPr>
          <w:rFonts w:ascii="Arial" w:hAnsi="Arial" w:cs="Arial"/>
          <w:lang w:val="en-GB"/>
        </w:rPr>
        <w:t>.</w:t>
      </w:r>
      <w:r w:rsidR="00BC4DD8" w:rsidRPr="00346FE6">
        <w:rPr>
          <w:rFonts w:ascii="Arial" w:hAnsi="Arial" w:cs="Arial"/>
          <w:lang w:val="en-GB"/>
        </w:rPr>
        <w:t xml:space="preserve"> </w:t>
      </w:r>
      <w:r w:rsidR="00F60F29" w:rsidRPr="00346FE6">
        <w:rPr>
          <w:rFonts w:ascii="Arial" w:hAnsi="Arial" w:cs="Arial"/>
          <w:lang w:val="en-GB"/>
        </w:rPr>
        <w:t>T</w:t>
      </w:r>
      <w:r w:rsidR="00BC4DD8" w:rsidRPr="00346FE6">
        <w:rPr>
          <w:rFonts w:ascii="Arial" w:hAnsi="Arial" w:cs="Arial"/>
          <w:lang w:val="en-GB"/>
        </w:rPr>
        <w:t>he presiding officer refused the author’s request for assistance on the grounds that she was “too busy” and directed the author to obtain assistance from her attendant</w:t>
      </w:r>
      <w:r w:rsidR="00F60F29" w:rsidRPr="00346FE6">
        <w:rPr>
          <w:rFonts w:ascii="Arial" w:hAnsi="Arial" w:cs="Arial"/>
          <w:lang w:val="en-GB"/>
        </w:rPr>
        <w:t>. However, the author did not wish to disclose her vo</w:t>
      </w:r>
      <w:r w:rsidR="001B0577" w:rsidRPr="00346FE6">
        <w:rPr>
          <w:rFonts w:ascii="Arial" w:hAnsi="Arial" w:cs="Arial"/>
          <w:lang w:val="en-GB"/>
        </w:rPr>
        <w:t>t</w:t>
      </w:r>
      <w:r w:rsidR="000F34C8" w:rsidRPr="00346FE6">
        <w:rPr>
          <w:rFonts w:ascii="Arial" w:hAnsi="Arial" w:cs="Arial"/>
          <w:lang w:val="en-GB"/>
        </w:rPr>
        <w:t xml:space="preserve">ing intention to her </w:t>
      </w:r>
      <w:r w:rsidR="00866D4A" w:rsidRPr="00346FE6">
        <w:rPr>
          <w:rFonts w:ascii="Arial" w:hAnsi="Arial" w:cs="Arial"/>
          <w:lang w:val="en-GB"/>
        </w:rPr>
        <w:t>attendant; still, s</w:t>
      </w:r>
      <w:r w:rsidR="000F34C8" w:rsidRPr="00346FE6">
        <w:rPr>
          <w:rFonts w:ascii="Arial" w:hAnsi="Arial" w:cs="Arial"/>
          <w:lang w:val="en-GB"/>
        </w:rPr>
        <w:t>h</w:t>
      </w:r>
      <w:r w:rsidR="00E20F28" w:rsidRPr="00346FE6">
        <w:rPr>
          <w:rFonts w:ascii="Arial" w:hAnsi="Arial" w:cs="Arial"/>
          <w:lang w:val="en-GB"/>
        </w:rPr>
        <w:t>e eventually unwillingly did</w:t>
      </w:r>
      <w:r w:rsidR="001B0577" w:rsidRPr="00346FE6">
        <w:rPr>
          <w:rFonts w:ascii="Arial" w:hAnsi="Arial" w:cs="Arial"/>
          <w:lang w:val="en-GB"/>
        </w:rPr>
        <w:t xml:space="preserve"> it</w:t>
      </w:r>
      <w:r w:rsidR="00E20F28" w:rsidRPr="00346FE6">
        <w:rPr>
          <w:rFonts w:ascii="Arial" w:hAnsi="Arial" w:cs="Arial"/>
          <w:lang w:val="en-GB"/>
        </w:rPr>
        <w:t xml:space="preserve"> due to the circumstances.</w:t>
      </w:r>
    </w:p>
    <w:p w14:paraId="3067E145" w14:textId="5F373A86" w:rsidR="00B108EE" w:rsidRPr="00346FE6" w:rsidRDefault="00E20F28" w:rsidP="00741033">
      <w:pPr>
        <w:spacing w:after="120"/>
        <w:jc w:val="both"/>
        <w:rPr>
          <w:rFonts w:ascii="Arial" w:hAnsi="Arial" w:cs="Arial"/>
          <w:lang w:val="en-GB"/>
        </w:rPr>
      </w:pPr>
      <w:r w:rsidRPr="00346FE6">
        <w:rPr>
          <w:rFonts w:ascii="Arial" w:hAnsi="Arial" w:cs="Arial"/>
          <w:lang w:val="en-GB"/>
        </w:rPr>
        <w:t>The author argues that she does not have access to an effective domestic remedy in order to address the violations of her rights</w:t>
      </w:r>
      <w:r w:rsidR="00531871">
        <w:rPr>
          <w:rFonts w:ascii="Arial" w:hAnsi="Arial" w:cs="Arial"/>
          <w:lang w:val="en-GB"/>
        </w:rPr>
        <w:t xml:space="preserve"> and</w:t>
      </w:r>
      <w:r w:rsidR="00F52A3D" w:rsidRPr="00346FE6">
        <w:rPr>
          <w:rFonts w:ascii="Arial" w:hAnsi="Arial" w:cs="Arial"/>
          <w:lang w:val="en-GB"/>
        </w:rPr>
        <w:t xml:space="preserve"> that she would have had no pro</w:t>
      </w:r>
      <w:r w:rsidR="00454B93" w:rsidRPr="00346FE6">
        <w:rPr>
          <w:rFonts w:ascii="Arial" w:hAnsi="Arial" w:cs="Arial"/>
          <w:lang w:val="en-GB"/>
        </w:rPr>
        <w:t xml:space="preserve">spect of success </w:t>
      </w:r>
      <w:r w:rsidR="00FB6078" w:rsidRPr="00346FE6">
        <w:rPr>
          <w:rFonts w:ascii="Arial" w:hAnsi="Arial" w:cs="Arial"/>
          <w:lang w:val="en-GB"/>
        </w:rPr>
        <w:t xml:space="preserve">for any claim </w:t>
      </w:r>
      <w:r w:rsidR="00454B93" w:rsidRPr="00346FE6">
        <w:rPr>
          <w:rFonts w:ascii="Arial" w:hAnsi="Arial" w:cs="Arial"/>
          <w:lang w:val="en-GB"/>
        </w:rPr>
        <w:t>challenging</w:t>
      </w:r>
      <w:r w:rsidR="00F52A3D" w:rsidRPr="00346FE6">
        <w:rPr>
          <w:rFonts w:ascii="Arial" w:hAnsi="Arial" w:cs="Arial"/>
          <w:lang w:val="en-GB"/>
        </w:rPr>
        <w:t xml:space="preserve"> the fact that she did not have access to an electronic voting platform, as the Electoral Act stipulates that electronic voting </w:t>
      </w:r>
      <w:r w:rsidR="0000161F" w:rsidRPr="00346FE6">
        <w:rPr>
          <w:rFonts w:ascii="Arial" w:hAnsi="Arial" w:cs="Arial"/>
          <w:lang w:val="en-GB"/>
        </w:rPr>
        <w:t xml:space="preserve">are only </w:t>
      </w:r>
      <w:r w:rsidR="00F52A3D" w:rsidRPr="00346FE6">
        <w:rPr>
          <w:rFonts w:ascii="Arial" w:hAnsi="Arial" w:cs="Arial"/>
          <w:lang w:val="en-GB"/>
        </w:rPr>
        <w:t>available to persons with visual impairments.</w:t>
      </w:r>
      <w:r w:rsidR="00E45723" w:rsidRPr="00346FE6">
        <w:rPr>
          <w:rFonts w:ascii="Arial" w:hAnsi="Arial" w:cs="Arial"/>
          <w:lang w:val="en-GB"/>
        </w:rPr>
        <w:t xml:space="preserve"> She further argues that there would have been no prospect of success for any claim alleging discrimination based on disability in relation to th</w:t>
      </w:r>
      <w:r w:rsidR="00454B93" w:rsidRPr="00346FE6">
        <w:rPr>
          <w:rFonts w:ascii="Arial" w:hAnsi="Arial" w:cs="Arial"/>
          <w:lang w:val="en-GB"/>
        </w:rPr>
        <w:t>e presiding officer’s refusal</w:t>
      </w:r>
      <w:r w:rsidR="00E45723" w:rsidRPr="00346FE6">
        <w:rPr>
          <w:rFonts w:ascii="Arial" w:hAnsi="Arial" w:cs="Arial"/>
          <w:lang w:val="en-GB"/>
        </w:rPr>
        <w:t xml:space="preserve">, </w:t>
      </w:r>
      <w:r w:rsidR="00E45723" w:rsidRPr="00346FE6">
        <w:rPr>
          <w:rFonts w:ascii="Arial" w:hAnsi="Arial" w:cs="Arial"/>
          <w:lang w:val="en-GB"/>
        </w:rPr>
        <w:lastRenderedPageBreak/>
        <w:t xml:space="preserve">since the Electoral Act </w:t>
      </w:r>
      <w:r w:rsidR="009345E2" w:rsidRPr="00346FE6">
        <w:rPr>
          <w:rFonts w:ascii="Arial" w:hAnsi="Arial" w:cs="Arial"/>
          <w:lang w:val="en-GB"/>
        </w:rPr>
        <w:t>establishes</w:t>
      </w:r>
      <w:r w:rsidR="00E45723" w:rsidRPr="00346FE6">
        <w:rPr>
          <w:rFonts w:ascii="Arial" w:hAnsi="Arial" w:cs="Arial"/>
          <w:lang w:val="en-GB"/>
        </w:rPr>
        <w:t xml:space="preserve"> that the presiding officer should provide</w:t>
      </w:r>
      <w:r w:rsidR="009345E2" w:rsidRPr="00346FE6">
        <w:rPr>
          <w:rFonts w:ascii="Arial" w:hAnsi="Arial" w:cs="Arial"/>
          <w:lang w:val="en-GB"/>
        </w:rPr>
        <w:t xml:space="preserve"> assistance if the eligible voter “fails” to nominate another person and not merely upon request.</w:t>
      </w:r>
    </w:p>
    <w:p w14:paraId="6866CD50" w14:textId="77777777" w:rsidR="00DD462D" w:rsidRPr="00346FE6" w:rsidRDefault="00DD462D" w:rsidP="0073020E">
      <w:pPr>
        <w:spacing w:after="120"/>
        <w:jc w:val="both"/>
        <w:outlineLvl w:val="0"/>
        <w:rPr>
          <w:rFonts w:ascii="Arial" w:hAnsi="Arial" w:cs="Arial"/>
          <w:sz w:val="28"/>
          <w:szCs w:val="28"/>
          <w:lang w:val="en-GB"/>
        </w:rPr>
      </w:pPr>
      <w:r w:rsidRPr="00346FE6">
        <w:rPr>
          <w:rFonts w:ascii="Arial" w:hAnsi="Arial" w:cs="Arial"/>
          <w:sz w:val="28"/>
          <w:szCs w:val="28"/>
          <w:lang w:val="en-GB"/>
        </w:rPr>
        <w:t>The complaint submitted to the Committee</w:t>
      </w:r>
    </w:p>
    <w:p w14:paraId="0FE77538" w14:textId="64CD1040" w:rsidR="00ED4DC3" w:rsidRPr="00346FE6" w:rsidRDefault="00DD462D" w:rsidP="00184C92">
      <w:pPr>
        <w:spacing w:after="120"/>
        <w:jc w:val="both"/>
        <w:rPr>
          <w:rFonts w:ascii="Arial" w:hAnsi="Arial" w:cs="Arial"/>
          <w:lang w:val="en-GB"/>
        </w:rPr>
      </w:pPr>
      <w:r w:rsidRPr="00346FE6">
        <w:rPr>
          <w:rFonts w:ascii="Arial" w:hAnsi="Arial" w:cs="Arial"/>
          <w:lang w:val="en-GB"/>
        </w:rPr>
        <w:t xml:space="preserve">The author claims that </w:t>
      </w:r>
      <w:r w:rsidR="00E1641C" w:rsidRPr="00346FE6">
        <w:rPr>
          <w:rFonts w:ascii="Arial" w:hAnsi="Arial" w:cs="Arial"/>
          <w:lang w:val="en-GB"/>
        </w:rPr>
        <w:t xml:space="preserve">the </w:t>
      </w:r>
      <w:r w:rsidRPr="00346FE6">
        <w:rPr>
          <w:rFonts w:ascii="Arial" w:hAnsi="Arial" w:cs="Arial"/>
          <w:lang w:val="en-GB"/>
        </w:rPr>
        <w:t>State has breached its obligations unde</w:t>
      </w:r>
      <w:r w:rsidR="00756B92" w:rsidRPr="00346FE6">
        <w:rPr>
          <w:rFonts w:ascii="Arial" w:hAnsi="Arial" w:cs="Arial"/>
          <w:lang w:val="en-GB"/>
        </w:rPr>
        <w:t xml:space="preserve">r </w:t>
      </w:r>
      <w:r w:rsidR="00CA1BE2" w:rsidRPr="00346FE6">
        <w:rPr>
          <w:rFonts w:ascii="Arial" w:hAnsi="Arial" w:cs="Arial"/>
          <w:lang w:val="en-GB"/>
        </w:rPr>
        <w:t>article 29 (a) (i), (ii) and (iii), read alone and in conjunction with articles 4 (1) (a), (b), (d), (e)</w:t>
      </w:r>
      <w:r w:rsidR="00741033" w:rsidRPr="00346FE6">
        <w:rPr>
          <w:rFonts w:ascii="Arial" w:hAnsi="Arial" w:cs="Arial"/>
          <w:lang w:val="en-GB"/>
        </w:rPr>
        <w:t xml:space="preserve"> and (g), 5 (2) and (3) and 9</w:t>
      </w:r>
      <w:r w:rsidRPr="00346FE6">
        <w:rPr>
          <w:rFonts w:ascii="Arial" w:hAnsi="Arial" w:cs="Arial"/>
          <w:szCs w:val="20"/>
          <w:lang w:val="en-GB"/>
        </w:rPr>
        <w:t>.</w:t>
      </w:r>
      <w:r w:rsidR="00FB6078" w:rsidRPr="00346FE6">
        <w:rPr>
          <w:rFonts w:ascii="Arial" w:hAnsi="Arial" w:cs="Arial"/>
          <w:szCs w:val="20"/>
          <w:lang w:val="en-GB"/>
        </w:rPr>
        <w:t xml:space="preserve"> </w:t>
      </w:r>
      <w:r w:rsidR="002315D4" w:rsidRPr="00346FE6">
        <w:rPr>
          <w:rFonts w:ascii="Arial" w:hAnsi="Arial" w:cs="Arial"/>
          <w:szCs w:val="20"/>
          <w:lang w:val="en-GB"/>
        </w:rPr>
        <w:t xml:space="preserve">In particular, </w:t>
      </w:r>
      <w:r w:rsidR="002315D4" w:rsidRPr="00346FE6">
        <w:rPr>
          <w:rFonts w:ascii="Arial" w:hAnsi="Arial" w:cs="Arial"/>
          <w:szCs w:val="20"/>
          <w:u w:val="single"/>
          <w:lang w:val="en-GB"/>
        </w:rPr>
        <w:t>r</w:t>
      </w:r>
      <w:r w:rsidR="0058730E" w:rsidRPr="00346FE6">
        <w:rPr>
          <w:rFonts w:ascii="Arial" w:hAnsi="Arial" w:cs="Arial"/>
          <w:szCs w:val="20"/>
          <w:u w:val="single"/>
          <w:lang w:val="en-GB"/>
        </w:rPr>
        <w:t>egarding</w:t>
      </w:r>
      <w:r w:rsidR="00ED76A2" w:rsidRPr="00346FE6">
        <w:rPr>
          <w:rFonts w:ascii="Arial" w:hAnsi="Arial" w:cs="Arial"/>
          <w:szCs w:val="20"/>
          <w:u w:val="single"/>
          <w:lang w:val="en-GB"/>
        </w:rPr>
        <w:t xml:space="preserve"> a</w:t>
      </w:r>
      <w:r w:rsidRPr="00346FE6">
        <w:rPr>
          <w:rFonts w:ascii="Arial" w:hAnsi="Arial" w:cs="Arial"/>
          <w:szCs w:val="20"/>
          <w:u w:val="single"/>
          <w:lang w:val="en-GB"/>
        </w:rPr>
        <w:t xml:space="preserve">rticle </w:t>
      </w:r>
      <w:r w:rsidR="00971DCD" w:rsidRPr="00346FE6">
        <w:rPr>
          <w:rFonts w:ascii="Arial" w:hAnsi="Arial" w:cs="Arial"/>
          <w:szCs w:val="20"/>
          <w:u w:val="single"/>
          <w:lang w:val="en-GB"/>
        </w:rPr>
        <w:t>29</w:t>
      </w:r>
      <w:r w:rsidR="00F41CED" w:rsidRPr="00346FE6">
        <w:rPr>
          <w:rFonts w:ascii="Arial" w:hAnsi="Arial" w:cs="Arial"/>
          <w:szCs w:val="20"/>
          <w:lang w:val="en-GB"/>
        </w:rPr>
        <w:t xml:space="preserve">, </w:t>
      </w:r>
      <w:r w:rsidR="00971DCD" w:rsidRPr="00346FE6">
        <w:rPr>
          <w:rFonts w:ascii="Arial" w:hAnsi="Arial" w:cs="Arial"/>
          <w:szCs w:val="20"/>
          <w:lang w:val="en-GB"/>
        </w:rPr>
        <w:t>s</w:t>
      </w:r>
      <w:r w:rsidRPr="00346FE6">
        <w:rPr>
          <w:rFonts w:ascii="Arial" w:hAnsi="Arial" w:cs="Arial"/>
          <w:szCs w:val="20"/>
          <w:lang w:val="en-GB"/>
        </w:rPr>
        <w:t xml:space="preserve">he argues </w:t>
      </w:r>
      <w:r w:rsidR="00662056" w:rsidRPr="00346FE6">
        <w:rPr>
          <w:rFonts w:ascii="Arial" w:hAnsi="Arial" w:cs="Arial"/>
          <w:lang w:val="en-GB"/>
        </w:rPr>
        <w:t xml:space="preserve">that </w:t>
      </w:r>
      <w:r w:rsidR="006D3C3F" w:rsidRPr="00346FE6">
        <w:rPr>
          <w:rFonts w:ascii="Arial" w:hAnsi="Arial" w:cs="Arial"/>
          <w:lang w:val="en-GB"/>
        </w:rPr>
        <w:t xml:space="preserve">the State did not ensure that she, as a person with disabilities, could effectively and fully participate in political and public life on an equal basis with others. </w:t>
      </w:r>
      <w:r w:rsidR="002315D4" w:rsidRPr="00346FE6">
        <w:rPr>
          <w:rFonts w:ascii="Arial" w:hAnsi="Arial" w:cs="Arial"/>
          <w:lang w:val="en-GB"/>
        </w:rPr>
        <w:t>T</w:t>
      </w:r>
      <w:r w:rsidR="006D3C3F" w:rsidRPr="00346FE6">
        <w:rPr>
          <w:rFonts w:ascii="Arial" w:hAnsi="Arial" w:cs="Arial"/>
          <w:lang w:val="en-GB"/>
        </w:rPr>
        <w:t>he author claims that the State violated her rights, as it denied her the rights to accessible voting procedures and facilities, to vote by secret ballot utilizing assistive technology and to obtain voting assistance from a person of her choice.</w:t>
      </w:r>
    </w:p>
    <w:p w14:paraId="53AABC8D" w14:textId="745BF10E" w:rsidR="008B6E7A" w:rsidRPr="00346FE6" w:rsidRDefault="00DD462D" w:rsidP="0073020E">
      <w:pPr>
        <w:spacing w:after="120"/>
        <w:jc w:val="both"/>
        <w:outlineLvl w:val="0"/>
        <w:rPr>
          <w:rFonts w:ascii="Arial" w:hAnsi="Arial" w:cs="Arial"/>
          <w:sz w:val="28"/>
          <w:szCs w:val="28"/>
          <w:lang w:val="en-GB"/>
        </w:rPr>
      </w:pPr>
      <w:r w:rsidRPr="00346FE6">
        <w:rPr>
          <w:rFonts w:ascii="Arial" w:hAnsi="Arial" w:cs="Arial"/>
          <w:sz w:val="28"/>
          <w:szCs w:val="28"/>
          <w:lang w:val="en-GB"/>
        </w:rPr>
        <w:t>State party’s observations on the admissibility and merits</w:t>
      </w:r>
    </w:p>
    <w:p w14:paraId="4093195D" w14:textId="13A8E823" w:rsidR="00B70B34" w:rsidRPr="00346FE6" w:rsidRDefault="00B70B34" w:rsidP="00B70B34">
      <w:pPr>
        <w:spacing w:after="120"/>
        <w:jc w:val="both"/>
        <w:rPr>
          <w:rFonts w:ascii="Arial" w:hAnsi="Arial" w:cs="Arial"/>
          <w:lang w:val="en-GB"/>
        </w:rPr>
      </w:pPr>
      <w:r w:rsidRPr="00346FE6">
        <w:rPr>
          <w:rFonts w:ascii="Arial" w:hAnsi="Arial" w:cs="Arial"/>
          <w:lang w:val="en-GB"/>
        </w:rPr>
        <w:t xml:space="preserve">The State submits that, save for the author’s claim under article 29 (a) (ii), the complaint should be declared </w:t>
      </w:r>
      <w:r w:rsidRPr="00346FE6">
        <w:rPr>
          <w:rFonts w:ascii="Arial" w:hAnsi="Arial" w:cs="Arial"/>
          <w:u w:val="single"/>
          <w:lang w:val="en-GB"/>
        </w:rPr>
        <w:t>inadmissible for failure to exhaust domestic remedies</w:t>
      </w:r>
      <w:r w:rsidRPr="00346FE6">
        <w:rPr>
          <w:rFonts w:ascii="Arial" w:hAnsi="Arial" w:cs="Arial"/>
          <w:lang w:val="en-GB"/>
        </w:rPr>
        <w:t xml:space="preserve"> or </w:t>
      </w:r>
      <w:r w:rsidRPr="00346FE6">
        <w:rPr>
          <w:rFonts w:ascii="Arial" w:hAnsi="Arial" w:cs="Arial"/>
          <w:u w:val="single"/>
          <w:lang w:val="en-GB"/>
        </w:rPr>
        <w:t>for failure to sufficiently substantiate the claims</w:t>
      </w:r>
      <w:r w:rsidRPr="00346FE6">
        <w:rPr>
          <w:rFonts w:ascii="Arial" w:hAnsi="Arial" w:cs="Arial"/>
          <w:lang w:val="en-GB"/>
        </w:rPr>
        <w:t xml:space="preserve"> under article 2 </w:t>
      </w:r>
      <w:r w:rsidR="00A36CA8" w:rsidRPr="00346FE6">
        <w:rPr>
          <w:rFonts w:ascii="Arial" w:hAnsi="Arial" w:cs="Arial"/>
          <w:lang w:val="en-GB"/>
        </w:rPr>
        <w:t xml:space="preserve">(d) and </w:t>
      </w:r>
      <w:r w:rsidRPr="00346FE6">
        <w:rPr>
          <w:rFonts w:ascii="Arial" w:hAnsi="Arial" w:cs="Arial"/>
          <w:lang w:val="en-GB"/>
        </w:rPr>
        <w:t>(e) of the Optional Protocol. Should the Committee find the author’s claims admissible, the State submits that the claims are without merit and that the author’s rights under the Convention have been respected.</w:t>
      </w:r>
    </w:p>
    <w:p w14:paraId="07A4AE78" w14:textId="167C8CA1" w:rsidR="00241562" w:rsidRPr="00346FE6" w:rsidRDefault="00406241" w:rsidP="00241562">
      <w:pPr>
        <w:spacing w:after="120"/>
        <w:jc w:val="both"/>
        <w:rPr>
          <w:rFonts w:ascii="Arial" w:hAnsi="Arial" w:cs="Arial"/>
          <w:lang w:val="en-GB"/>
        </w:rPr>
      </w:pPr>
      <w:r w:rsidRPr="00184C92">
        <w:rPr>
          <w:rFonts w:ascii="Arial" w:hAnsi="Arial" w:cs="Arial"/>
          <w:u w:val="single"/>
          <w:lang w:val="en-GB"/>
        </w:rPr>
        <w:t>In relation to article 2 (e),</w:t>
      </w:r>
      <w:r w:rsidR="00241562" w:rsidRPr="00346FE6">
        <w:rPr>
          <w:rFonts w:ascii="Arial" w:hAnsi="Arial" w:cs="Arial"/>
          <w:lang w:val="en-GB"/>
        </w:rPr>
        <w:t xml:space="preserve"> the State submits that the author has not provided</w:t>
      </w:r>
      <w:r w:rsidR="00D979EE" w:rsidRPr="00346FE6">
        <w:rPr>
          <w:rFonts w:ascii="Arial" w:hAnsi="Arial" w:cs="Arial"/>
          <w:lang w:val="en-GB"/>
        </w:rPr>
        <w:t xml:space="preserve"> any evidence or substantiation of</w:t>
      </w:r>
      <w:r w:rsidR="00DD590A" w:rsidRPr="00346FE6">
        <w:rPr>
          <w:rFonts w:ascii="Arial" w:hAnsi="Arial" w:cs="Arial"/>
          <w:lang w:val="en-GB"/>
        </w:rPr>
        <w:t xml:space="preserve"> her claims under</w:t>
      </w:r>
      <w:r w:rsidR="00241562" w:rsidRPr="00346FE6">
        <w:rPr>
          <w:rFonts w:ascii="Arial" w:hAnsi="Arial" w:cs="Arial"/>
          <w:lang w:val="en-GB"/>
        </w:rPr>
        <w:t xml:space="preserve">: (a) </w:t>
      </w:r>
      <w:r w:rsidR="00241562" w:rsidRPr="00346FE6">
        <w:rPr>
          <w:rFonts w:ascii="Arial" w:hAnsi="Arial" w:cs="Arial"/>
          <w:u w:val="single"/>
          <w:lang w:val="en-GB"/>
        </w:rPr>
        <w:t>article 5</w:t>
      </w:r>
      <w:r w:rsidR="00241562" w:rsidRPr="00346FE6">
        <w:rPr>
          <w:rFonts w:ascii="Arial" w:hAnsi="Arial" w:cs="Arial"/>
          <w:lang w:val="en-GB"/>
        </w:rPr>
        <w:t xml:space="preserve">, as she has not explained why her treatment constituted discrimination; (b) </w:t>
      </w:r>
      <w:r w:rsidR="00241562" w:rsidRPr="00346FE6">
        <w:rPr>
          <w:rFonts w:ascii="Arial" w:hAnsi="Arial" w:cs="Arial"/>
          <w:u w:val="single"/>
          <w:lang w:val="en-GB"/>
        </w:rPr>
        <w:t>article 9</w:t>
      </w:r>
      <w:r w:rsidR="00241562" w:rsidRPr="00346FE6">
        <w:rPr>
          <w:rFonts w:ascii="Arial" w:hAnsi="Arial" w:cs="Arial"/>
          <w:lang w:val="en-GB"/>
        </w:rPr>
        <w:t xml:space="preserve">, except for referring to the lack of an electronic voting option for persons with her disability; (c) </w:t>
      </w:r>
      <w:r w:rsidR="00241562" w:rsidRPr="00346FE6">
        <w:rPr>
          <w:rFonts w:ascii="Arial" w:hAnsi="Arial" w:cs="Arial"/>
          <w:u w:val="single"/>
          <w:lang w:val="en-GB"/>
        </w:rPr>
        <w:t>article 29 (a) (i)</w:t>
      </w:r>
      <w:r w:rsidR="00241562" w:rsidRPr="00346FE6">
        <w:rPr>
          <w:rFonts w:ascii="Arial" w:hAnsi="Arial" w:cs="Arial"/>
          <w:lang w:val="en-GB"/>
        </w:rPr>
        <w:t xml:space="preserve">; (d) </w:t>
      </w:r>
      <w:r w:rsidR="0011799A" w:rsidRPr="00346FE6">
        <w:rPr>
          <w:rFonts w:ascii="Arial" w:hAnsi="Arial" w:cs="Arial"/>
          <w:u w:val="single"/>
          <w:lang w:val="en-GB"/>
        </w:rPr>
        <w:t>article 29 (a) (iii)</w:t>
      </w:r>
      <w:r w:rsidR="0011799A" w:rsidRPr="00346FE6">
        <w:rPr>
          <w:rFonts w:ascii="Arial" w:hAnsi="Arial" w:cs="Arial"/>
          <w:lang w:val="en-GB"/>
        </w:rPr>
        <w:t xml:space="preserve">, regarding </w:t>
      </w:r>
      <w:r w:rsidR="00241562" w:rsidRPr="00346FE6">
        <w:rPr>
          <w:rFonts w:ascii="Arial" w:hAnsi="Arial" w:cs="Arial"/>
          <w:lang w:val="en-GB"/>
        </w:rPr>
        <w:t xml:space="preserve">her version of events on 7 September 2013,; and (e) </w:t>
      </w:r>
      <w:r w:rsidR="00241562" w:rsidRPr="00346FE6">
        <w:rPr>
          <w:rFonts w:ascii="Arial" w:hAnsi="Arial" w:cs="Arial"/>
          <w:u w:val="single"/>
          <w:lang w:val="en-GB"/>
        </w:rPr>
        <w:t>article 4</w:t>
      </w:r>
      <w:r w:rsidR="00241562" w:rsidRPr="00346FE6">
        <w:rPr>
          <w:rFonts w:ascii="Arial" w:hAnsi="Arial" w:cs="Arial"/>
          <w:lang w:val="en-GB"/>
        </w:rPr>
        <w:t>.</w:t>
      </w:r>
    </w:p>
    <w:p w14:paraId="70E5801F" w14:textId="2EACE8E0" w:rsidR="00971395" w:rsidRPr="00346FE6" w:rsidRDefault="00E50ED6" w:rsidP="00241562">
      <w:pPr>
        <w:spacing w:after="120"/>
        <w:jc w:val="both"/>
        <w:rPr>
          <w:rFonts w:ascii="Arial" w:hAnsi="Arial" w:cs="Arial"/>
          <w:lang w:val="en-GB"/>
        </w:rPr>
      </w:pPr>
      <w:r w:rsidRPr="00184C92">
        <w:rPr>
          <w:rFonts w:ascii="Arial" w:hAnsi="Arial" w:cs="Arial"/>
          <w:u w:val="single"/>
          <w:lang w:val="en-GB"/>
        </w:rPr>
        <w:t>In relation to article 2 (d),</w:t>
      </w:r>
      <w:r w:rsidRPr="00346FE6">
        <w:rPr>
          <w:rFonts w:ascii="Arial" w:hAnsi="Arial" w:cs="Arial"/>
          <w:lang w:val="en-GB"/>
        </w:rPr>
        <w:t xml:space="preserve"> </w:t>
      </w:r>
      <w:r w:rsidR="00A164FC" w:rsidRPr="00346FE6">
        <w:rPr>
          <w:rFonts w:ascii="Arial" w:hAnsi="Arial" w:cs="Arial"/>
          <w:lang w:val="en-GB"/>
        </w:rPr>
        <w:t>the State submits that the author has failed to exhaust both legal and non-legal domestic remedies available to her</w:t>
      </w:r>
      <w:r w:rsidR="00F35BFE" w:rsidRPr="00346FE6">
        <w:rPr>
          <w:rFonts w:ascii="Arial" w:hAnsi="Arial" w:cs="Arial"/>
          <w:lang w:val="en-GB"/>
        </w:rPr>
        <w:t xml:space="preserve"> regarding the claims under </w:t>
      </w:r>
      <w:r w:rsidR="00F35BFE" w:rsidRPr="00346FE6">
        <w:rPr>
          <w:rFonts w:ascii="Arial" w:hAnsi="Arial" w:cs="Arial"/>
          <w:u w:val="single"/>
          <w:lang w:val="en-GB"/>
        </w:rPr>
        <w:t>article 29 (a) (iii)</w:t>
      </w:r>
      <w:r w:rsidR="009752E7" w:rsidRPr="00346FE6">
        <w:rPr>
          <w:rFonts w:ascii="Arial" w:hAnsi="Arial" w:cs="Arial"/>
          <w:lang w:val="en-GB"/>
        </w:rPr>
        <w:t xml:space="preserve">. </w:t>
      </w:r>
      <w:r w:rsidR="001252BA" w:rsidRPr="00346FE6">
        <w:rPr>
          <w:rFonts w:ascii="Arial" w:hAnsi="Arial" w:cs="Arial"/>
          <w:lang w:val="en-GB"/>
        </w:rPr>
        <w:t xml:space="preserve">The State submits that the author </w:t>
      </w:r>
      <w:r w:rsidR="005736C7" w:rsidRPr="00346FE6">
        <w:rPr>
          <w:rFonts w:ascii="Arial" w:hAnsi="Arial" w:cs="Arial"/>
          <w:lang w:val="en-GB"/>
        </w:rPr>
        <w:t>failed to exhaust domestic remedies in regard</w:t>
      </w:r>
      <w:r w:rsidR="001252BA" w:rsidRPr="00346FE6">
        <w:rPr>
          <w:rFonts w:ascii="Arial" w:hAnsi="Arial" w:cs="Arial"/>
          <w:lang w:val="en-GB"/>
        </w:rPr>
        <w:t xml:space="preserve"> to the presiding officer actions</w:t>
      </w:r>
      <w:r w:rsidR="005736C7" w:rsidRPr="00346FE6">
        <w:rPr>
          <w:rFonts w:ascii="Arial" w:hAnsi="Arial" w:cs="Arial"/>
          <w:lang w:val="en-GB"/>
        </w:rPr>
        <w:t xml:space="preserve">. </w:t>
      </w:r>
      <w:r w:rsidR="009752E7" w:rsidRPr="00346FE6">
        <w:rPr>
          <w:rFonts w:ascii="Arial" w:hAnsi="Arial" w:cs="Arial"/>
          <w:lang w:val="en-GB"/>
        </w:rPr>
        <w:t xml:space="preserve">The State argues that the author should have submitted a complaint to the national jurisdictions or </w:t>
      </w:r>
      <w:r w:rsidR="00A55DD9" w:rsidRPr="00346FE6">
        <w:rPr>
          <w:rFonts w:ascii="Arial" w:hAnsi="Arial" w:cs="Arial"/>
          <w:lang w:val="en-GB"/>
        </w:rPr>
        <w:t>made</w:t>
      </w:r>
      <w:r w:rsidR="009752E7" w:rsidRPr="00346FE6">
        <w:rPr>
          <w:rFonts w:ascii="Arial" w:hAnsi="Arial" w:cs="Arial"/>
          <w:lang w:val="en-GB"/>
        </w:rPr>
        <w:t xml:space="preserve"> a complaint </w:t>
      </w:r>
      <w:r w:rsidR="002827B6" w:rsidRPr="00346FE6">
        <w:rPr>
          <w:rFonts w:ascii="Arial" w:hAnsi="Arial" w:cs="Arial"/>
          <w:lang w:val="en-GB"/>
        </w:rPr>
        <w:t>during the</w:t>
      </w:r>
      <w:r w:rsidR="009752E7" w:rsidRPr="00346FE6">
        <w:rPr>
          <w:rFonts w:ascii="Arial" w:hAnsi="Arial" w:cs="Arial"/>
          <w:lang w:val="en-GB"/>
        </w:rPr>
        <w:t xml:space="preserve"> polling day, through the use of </w:t>
      </w:r>
      <w:r w:rsidR="00381004" w:rsidRPr="00346FE6">
        <w:rPr>
          <w:rFonts w:ascii="Arial" w:hAnsi="Arial" w:cs="Arial"/>
          <w:lang w:val="en-GB"/>
        </w:rPr>
        <w:t xml:space="preserve">the available </w:t>
      </w:r>
      <w:r w:rsidR="00A55DD9" w:rsidRPr="00346FE6">
        <w:rPr>
          <w:rFonts w:ascii="Arial" w:hAnsi="Arial" w:cs="Arial"/>
          <w:lang w:val="en-GB"/>
        </w:rPr>
        <w:t>legal and administrative mechanisms</w:t>
      </w:r>
      <w:r w:rsidR="009752E7" w:rsidRPr="00346FE6">
        <w:rPr>
          <w:rFonts w:ascii="Arial" w:hAnsi="Arial" w:cs="Arial"/>
          <w:lang w:val="en-GB"/>
        </w:rPr>
        <w:t>.</w:t>
      </w:r>
    </w:p>
    <w:p w14:paraId="7AC92560" w14:textId="3A6EB41D" w:rsidR="00DA5005" w:rsidRPr="00346FE6" w:rsidRDefault="00CD4EA5" w:rsidP="001777E5">
      <w:pPr>
        <w:spacing w:after="120"/>
        <w:jc w:val="both"/>
        <w:rPr>
          <w:rFonts w:ascii="Arial" w:hAnsi="Arial" w:cs="Arial"/>
          <w:lang w:val="en-GB"/>
        </w:rPr>
      </w:pPr>
      <w:r w:rsidRPr="00184C92">
        <w:rPr>
          <w:rFonts w:ascii="Arial" w:hAnsi="Arial" w:cs="Arial"/>
          <w:u w:val="single"/>
          <w:lang w:val="en-GB"/>
        </w:rPr>
        <w:t xml:space="preserve">In relation to </w:t>
      </w:r>
      <w:r w:rsidR="002827B6" w:rsidRPr="00184C92">
        <w:rPr>
          <w:rFonts w:ascii="Arial" w:hAnsi="Arial" w:cs="Arial"/>
          <w:u w:val="single"/>
          <w:lang w:val="en-GB"/>
        </w:rPr>
        <w:t xml:space="preserve">the </w:t>
      </w:r>
      <w:r w:rsidRPr="00184C92">
        <w:rPr>
          <w:rFonts w:ascii="Arial" w:hAnsi="Arial" w:cs="Arial"/>
          <w:u w:val="single"/>
          <w:lang w:val="en-GB"/>
        </w:rPr>
        <w:t xml:space="preserve">merits of </w:t>
      </w:r>
      <w:r w:rsidR="00086C1A" w:rsidRPr="00184C92">
        <w:rPr>
          <w:rFonts w:ascii="Arial" w:hAnsi="Arial" w:cs="Arial"/>
          <w:u w:val="single"/>
          <w:lang w:val="en-GB"/>
        </w:rPr>
        <w:t xml:space="preserve">the author’s claims under </w:t>
      </w:r>
      <w:r w:rsidR="00086C1A" w:rsidRPr="00B435DD">
        <w:rPr>
          <w:rFonts w:ascii="Arial" w:hAnsi="Arial" w:cs="Arial"/>
          <w:u w:val="single"/>
          <w:lang w:val="en-GB"/>
        </w:rPr>
        <w:t>article 29 (a) (i)</w:t>
      </w:r>
      <w:r w:rsidR="00086C1A" w:rsidRPr="006B74C1">
        <w:rPr>
          <w:rFonts w:ascii="Arial" w:hAnsi="Arial" w:cs="Arial"/>
          <w:lang w:val="en-GB"/>
        </w:rPr>
        <w:t>,</w:t>
      </w:r>
      <w:r w:rsidR="00086C1A" w:rsidRPr="00346FE6">
        <w:rPr>
          <w:rFonts w:ascii="Arial" w:hAnsi="Arial" w:cs="Arial"/>
          <w:lang w:val="en-GB"/>
        </w:rPr>
        <w:t xml:space="preserve"> </w:t>
      </w:r>
      <w:r w:rsidRPr="00346FE6">
        <w:rPr>
          <w:rFonts w:ascii="Arial" w:hAnsi="Arial" w:cs="Arial"/>
          <w:lang w:val="en-GB"/>
        </w:rPr>
        <w:t xml:space="preserve">the State points out that </w:t>
      </w:r>
      <w:r w:rsidR="00086C1A" w:rsidRPr="00346FE6">
        <w:rPr>
          <w:rFonts w:ascii="Arial" w:hAnsi="Arial" w:cs="Arial"/>
          <w:lang w:val="en-GB"/>
        </w:rPr>
        <w:t>persons with disabilities have access to a range of accessible and appropriate voting o</w:t>
      </w:r>
      <w:r w:rsidR="00A9465F" w:rsidRPr="00346FE6">
        <w:rPr>
          <w:rFonts w:ascii="Arial" w:hAnsi="Arial" w:cs="Arial"/>
          <w:lang w:val="en-GB"/>
        </w:rPr>
        <w:t>ptions under the Electoral Act.</w:t>
      </w:r>
      <w:r w:rsidR="00086C1A" w:rsidRPr="00346FE6">
        <w:rPr>
          <w:rFonts w:ascii="Arial" w:hAnsi="Arial" w:cs="Arial"/>
          <w:lang w:val="en-GB"/>
        </w:rPr>
        <w:t xml:space="preserve"> The Electoral Commission Disability Inclusion Strategy</w:t>
      </w:r>
      <w:r w:rsidR="00EC06D4" w:rsidRPr="00346FE6">
        <w:rPr>
          <w:rFonts w:ascii="Arial" w:hAnsi="Arial" w:cs="Arial"/>
          <w:lang w:val="en-GB"/>
        </w:rPr>
        <w:t xml:space="preserve"> ensures that the advertising and information distributed prior to every election clearly show the location of polling places with either full or partial access for persons with disabilities.</w:t>
      </w:r>
      <w:r w:rsidR="000C4913" w:rsidRPr="00346FE6">
        <w:rPr>
          <w:rFonts w:ascii="Arial" w:hAnsi="Arial" w:cs="Arial"/>
          <w:lang w:val="en-GB"/>
        </w:rPr>
        <w:t xml:space="preserve"> Besides, the Commission’s website contains enrolment and voting information in accessible formats.</w:t>
      </w:r>
      <w:r w:rsidR="00EA5E2A" w:rsidRPr="00346FE6">
        <w:rPr>
          <w:rFonts w:ascii="Arial" w:hAnsi="Arial" w:cs="Arial"/>
          <w:lang w:val="en-GB"/>
        </w:rPr>
        <w:t xml:space="preserve"> The State argues that, although the author was not able to vote in her preferred way, this situation does not co</w:t>
      </w:r>
      <w:r w:rsidR="00794E79" w:rsidRPr="00346FE6">
        <w:rPr>
          <w:rFonts w:ascii="Arial" w:hAnsi="Arial" w:cs="Arial"/>
          <w:lang w:val="en-GB"/>
        </w:rPr>
        <w:t>nstitute a breach of the State</w:t>
      </w:r>
      <w:r w:rsidR="00EA5E2A" w:rsidRPr="00346FE6">
        <w:rPr>
          <w:rFonts w:ascii="Arial" w:hAnsi="Arial" w:cs="Arial"/>
          <w:lang w:val="en-GB"/>
        </w:rPr>
        <w:t>’s obligati</w:t>
      </w:r>
      <w:r w:rsidR="00794E79" w:rsidRPr="00346FE6">
        <w:rPr>
          <w:rFonts w:ascii="Arial" w:hAnsi="Arial" w:cs="Arial"/>
          <w:lang w:val="en-GB"/>
        </w:rPr>
        <w:t>ons under article 29 (a) (i).</w:t>
      </w:r>
    </w:p>
    <w:p w14:paraId="11ABC23F" w14:textId="5C2557CA" w:rsidR="00DA5005" w:rsidRPr="00346FE6" w:rsidRDefault="00540728" w:rsidP="001777E5">
      <w:pPr>
        <w:spacing w:after="120"/>
        <w:jc w:val="both"/>
        <w:rPr>
          <w:rFonts w:ascii="Arial" w:hAnsi="Arial" w:cs="Arial"/>
          <w:lang w:val="en-GB"/>
        </w:rPr>
      </w:pPr>
      <w:r w:rsidRPr="00184C92">
        <w:rPr>
          <w:rFonts w:ascii="Arial" w:hAnsi="Arial" w:cs="Arial"/>
          <w:u w:val="single"/>
          <w:lang w:val="en-GB"/>
        </w:rPr>
        <w:t xml:space="preserve">In relation to </w:t>
      </w:r>
      <w:r w:rsidR="006844F6" w:rsidRPr="00184C92">
        <w:rPr>
          <w:rFonts w:ascii="Arial" w:hAnsi="Arial" w:cs="Arial"/>
          <w:u w:val="single"/>
          <w:lang w:val="en-GB"/>
        </w:rPr>
        <w:t xml:space="preserve">the </w:t>
      </w:r>
      <w:r w:rsidRPr="00184C92">
        <w:rPr>
          <w:rFonts w:ascii="Arial" w:hAnsi="Arial" w:cs="Arial"/>
          <w:u w:val="single"/>
          <w:lang w:val="en-GB"/>
        </w:rPr>
        <w:t xml:space="preserve">merits of the author’s claims under </w:t>
      </w:r>
      <w:r w:rsidR="0038097C" w:rsidRPr="006B74C1">
        <w:rPr>
          <w:rFonts w:ascii="Arial" w:hAnsi="Arial" w:cs="Arial"/>
          <w:u w:val="single"/>
          <w:lang w:val="en-GB"/>
        </w:rPr>
        <w:t>article 29 (a) (ii)</w:t>
      </w:r>
      <w:r w:rsidRPr="00346FE6">
        <w:rPr>
          <w:rFonts w:ascii="Arial" w:hAnsi="Arial" w:cs="Arial"/>
          <w:lang w:val="en-GB"/>
        </w:rPr>
        <w:t>, the State argues</w:t>
      </w:r>
      <w:r w:rsidR="00CB6411" w:rsidRPr="00346FE6">
        <w:rPr>
          <w:rFonts w:ascii="Arial" w:hAnsi="Arial" w:cs="Arial"/>
          <w:lang w:val="en-GB"/>
        </w:rPr>
        <w:t xml:space="preserve"> </w:t>
      </w:r>
      <w:r w:rsidR="004F0670" w:rsidRPr="00346FE6">
        <w:rPr>
          <w:rFonts w:ascii="Arial" w:hAnsi="Arial" w:cs="Arial"/>
          <w:lang w:val="en-GB"/>
        </w:rPr>
        <w:t xml:space="preserve">that </w:t>
      </w:r>
      <w:r w:rsidR="00CB6411" w:rsidRPr="00346FE6">
        <w:rPr>
          <w:rFonts w:ascii="Arial" w:hAnsi="Arial" w:cs="Arial"/>
          <w:lang w:val="en-GB"/>
        </w:rPr>
        <w:t>this article</w:t>
      </w:r>
      <w:r w:rsidR="0038097C" w:rsidRPr="00346FE6">
        <w:rPr>
          <w:rFonts w:ascii="Arial" w:hAnsi="Arial" w:cs="Arial"/>
          <w:lang w:val="en-GB"/>
        </w:rPr>
        <w:t xml:space="preserve"> does not require States parties to the Convention to provide assistive and new technologies to each and every voter who cannot vote without assistance. It submits that the requirement to facilitate the use of assistive technology is a general or aspirational obligation required of States parties, which need only to be met where appropriate.</w:t>
      </w:r>
      <w:r w:rsidR="008A7237" w:rsidRPr="00346FE6">
        <w:rPr>
          <w:rFonts w:ascii="Arial" w:hAnsi="Arial" w:cs="Arial"/>
          <w:lang w:val="en-GB"/>
        </w:rPr>
        <w:t xml:space="preserve"> The State additionally submits that it falls within its broad discretion to decide how to allocate limited resources, and that it is justifiable that, at this stage, only voters with visual impairments are provided with the option of using assistive technologies when voting</w:t>
      </w:r>
      <w:r w:rsidR="004875C1" w:rsidRPr="00346FE6">
        <w:rPr>
          <w:rFonts w:ascii="Arial" w:hAnsi="Arial" w:cs="Arial"/>
          <w:lang w:val="en-GB"/>
        </w:rPr>
        <w:t>.</w:t>
      </w:r>
    </w:p>
    <w:p w14:paraId="3ED6F782" w14:textId="54CEF0C7" w:rsidR="004875C1" w:rsidRPr="00346FE6" w:rsidRDefault="00747842" w:rsidP="001777E5">
      <w:pPr>
        <w:spacing w:after="120"/>
        <w:jc w:val="both"/>
        <w:rPr>
          <w:rFonts w:ascii="Arial" w:hAnsi="Arial" w:cs="Arial"/>
          <w:lang w:val="en-GB"/>
        </w:rPr>
      </w:pPr>
      <w:r w:rsidRPr="00184C92">
        <w:rPr>
          <w:rFonts w:ascii="Arial" w:hAnsi="Arial" w:cs="Arial"/>
          <w:u w:val="single"/>
          <w:lang w:val="en-GB"/>
        </w:rPr>
        <w:t xml:space="preserve">With regard to the author’s claims </w:t>
      </w:r>
      <w:r w:rsidRPr="006B74C1">
        <w:rPr>
          <w:rFonts w:ascii="Arial" w:hAnsi="Arial" w:cs="Arial"/>
          <w:u w:val="single"/>
          <w:lang w:val="en-GB"/>
        </w:rPr>
        <w:t>under article 5 (2)</w:t>
      </w:r>
      <w:r w:rsidRPr="00346FE6">
        <w:rPr>
          <w:rFonts w:ascii="Arial" w:hAnsi="Arial" w:cs="Arial"/>
          <w:lang w:val="en-GB"/>
        </w:rPr>
        <w:t xml:space="preserve">, the State argues that it has prohibited both direct and indirect discrimination on the basis of disability in </w:t>
      </w:r>
      <w:r w:rsidR="009A6CCB" w:rsidRPr="00346FE6">
        <w:rPr>
          <w:rFonts w:ascii="Arial" w:hAnsi="Arial" w:cs="Arial"/>
          <w:lang w:val="en-GB"/>
        </w:rPr>
        <w:t>its legislation</w:t>
      </w:r>
      <w:r w:rsidRPr="00346FE6">
        <w:rPr>
          <w:rFonts w:ascii="Arial" w:hAnsi="Arial" w:cs="Arial"/>
          <w:lang w:val="en-GB"/>
        </w:rPr>
        <w:t>, and that a range of legal and non-legal measures are in place in the State to prohibit and prevent discrimination on protected grounds.</w:t>
      </w:r>
      <w:r w:rsidR="00F61120" w:rsidRPr="00346FE6">
        <w:rPr>
          <w:rFonts w:ascii="Arial" w:hAnsi="Arial" w:cs="Arial"/>
          <w:lang w:val="en-GB"/>
        </w:rPr>
        <w:t xml:space="preserve"> The State further argues that the author has not explained, beyond referring to her lack of a secret voting option, what aspect of the conduct of the 2013 federal election amounted to discrimination. </w:t>
      </w:r>
      <w:r w:rsidR="00F61120" w:rsidRPr="00184C92">
        <w:rPr>
          <w:rFonts w:ascii="Arial" w:hAnsi="Arial" w:cs="Arial"/>
          <w:u w:val="single"/>
          <w:lang w:val="en-GB"/>
        </w:rPr>
        <w:t xml:space="preserve">Regarding the author’s claim under </w:t>
      </w:r>
      <w:r w:rsidR="00F61120" w:rsidRPr="006B74C1">
        <w:rPr>
          <w:rFonts w:ascii="Arial" w:hAnsi="Arial" w:cs="Arial"/>
          <w:u w:val="single"/>
          <w:lang w:val="en-GB"/>
        </w:rPr>
        <w:t>article 5 (3)</w:t>
      </w:r>
      <w:r w:rsidR="00F61120" w:rsidRPr="00346FE6">
        <w:rPr>
          <w:rFonts w:ascii="Arial" w:hAnsi="Arial" w:cs="Arial"/>
          <w:lang w:val="en-GB"/>
        </w:rPr>
        <w:t xml:space="preserve">, the State argues that it has introduced specific reasonable accommodations to ensure that persons with disabilities can participate in the electoral system on an equal basis with others. The State further submits that </w:t>
      </w:r>
      <w:r w:rsidR="00D85066" w:rsidRPr="00346FE6">
        <w:rPr>
          <w:rFonts w:ascii="Arial" w:hAnsi="Arial" w:cs="Arial"/>
          <w:lang w:val="en-GB"/>
        </w:rPr>
        <w:t>having</w:t>
      </w:r>
      <w:r w:rsidR="00F61120" w:rsidRPr="00346FE6">
        <w:rPr>
          <w:rFonts w:ascii="Arial" w:hAnsi="Arial" w:cs="Arial"/>
          <w:lang w:val="en-GB"/>
        </w:rPr>
        <w:t xml:space="preserve"> access to assistive voting technology does not represent a reasonable accommodation, but would amount to an absolute obligation to provide assistive technology to all those who cannot vote unassisted.</w:t>
      </w:r>
    </w:p>
    <w:p w14:paraId="2F9EA2BA" w14:textId="10D9D19E" w:rsidR="000F7004" w:rsidRPr="00346FE6" w:rsidRDefault="00C24A47" w:rsidP="006E3546">
      <w:pPr>
        <w:spacing w:after="120"/>
        <w:jc w:val="both"/>
        <w:rPr>
          <w:rFonts w:ascii="Arial" w:hAnsi="Arial" w:cs="Arial"/>
          <w:lang w:val="en-GB"/>
        </w:rPr>
      </w:pPr>
      <w:r w:rsidRPr="00346FE6">
        <w:rPr>
          <w:rFonts w:ascii="Arial" w:hAnsi="Arial" w:cs="Arial"/>
          <w:lang w:val="en-GB"/>
        </w:rPr>
        <w:t xml:space="preserve">As concerns the author’s claim under </w:t>
      </w:r>
      <w:r w:rsidRPr="00346FE6">
        <w:rPr>
          <w:rFonts w:ascii="Arial" w:hAnsi="Arial" w:cs="Arial"/>
          <w:u w:val="single"/>
          <w:lang w:val="en-GB"/>
        </w:rPr>
        <w:t>article 9</w:t>
      </w:r>
      <w:r w:rsidRPr="00346FE6">
        <w:rPr>
          <w:rFonts w:ascii="Arial" w:hAnsi="Arial" w:cs="Arial"/>
          <w:lang w:val="en-GB"/>
        </w:rPr>
        <w:t xml:space="preserve"> that the State failed to ensure that persons with disabilities have access to information and communications technology and live assistance, the State </w:t>
      </w:r>
      <w:r w:rsidR="003B1FF5" w:rsidRPr="00346FE6">
        <w:rPr>
          <w:rFonts w:ascii="Arial" w:hAnsi="Arial" w:cs="Arial"/>
          <w:lang w:val="en-GB"/>
        </w:rPr>
        <w:t>reiterates</w:t>
      </w:r>
      <w:r w:rsidRPr="00346FE6">
        <w:rPr>
          <w:rFonts w:ascii="Arial" w:hAnsi="Arial" w:cs="Arial"/>
          <w:lang w:val="en-GB"/>
        </w:rPr>
        <w:t xml:space="preserve"> that it falls within its broad discretion to decide how to allocate its limited resources</w:t>
      </w:r>
      <w:r w:rsidR="0027505E">
        <w:rPr>
          <w:rFonts w:ascii="Arial" w:hAnsi="Arial" w:cs="Arial"/>
          <w:lang w:val="en-GB"/>
        </w:rPr>
        <w:t>, being</w:t>
      </w:r>
      <w:r w:rsidRPr="00346FE6">
        <w:rPr>
          <w:rFonts w:ascii="Arial" w:hAnsi="Arial" w:cs="Arial"/>
          <w:lang w:val="en-GB"/>
        </w:rPr>
        <w:t xml:space="preserve"> justifiable at this stage not</w:t>
      </w:r>
      <w:r w:rsidR="0027505E">
        <w:rPr>
          <w:rFonts w:ascii="Arial" w:hAnsi="Arial" w:cs="Arial"/>
          <w:lang w:val="en-GB"/>
        </w:rPr>
        <w:t xml:space="preserve"> to have</w:t>
      </w:r>
      <w:r w:rsidRPr="00346FE6">
        <w:rPr>
          <w:rFonts w:ascii="Arial" w:hAnsi="Arial" w:cs="Arial"/>
          <w:lang w:val="en-GB"/>
        </w:rPr>
        <w:t xml:space="preserve"> promoted the use and development of information and communications technology in relation to voting and elections, for all persons with disabilities similar to those of the author</w:t>
      </w:r>
      <w:r w:rsidR="00075D60" w:rsidRPr="00346FE6">
        <w:rPr>
          <w:rFonts w:ascii="Arial" w:hAnsi="Arial" w:cs="Arial"/>
          <w:lang w:val="en-GB"/>
        </w:rPr>
        <w:t>.</w:t>
      </w:r>
      <w:r w:rsidR="00100B4B" w:rsidRPr="00346FE6">
        <w:rPr>
          <w:rFonts w:ascii="Arial" w:hAnsi="Arial" w:cs="Arial"/>
          <w:lang w:val="en-GB"/>
        </w:rPr>
        <w:t xml:space="preserve"> </w:t>
      </w:r>
      <w:r w:rsidR="004A7E7B" w:rsidRPr="00346FE6">
        <w:rPr>
          <w:rFonts w:ascii="Arial" w:hAnsi="Arial" w:cs="Arial"/>
          <w:lang w:val="en-GB"/>
        </w:rPr>
        <w:t>T</w:t>
      </w:r>
      <w:r w:rsidR="00100B4B" w:rsidRPr="00346FE6">
        <w:rPr>
          <w:rFonts w:ascii="Arial" w:hAnsi="Arial" w:cs="Arial"/>
          <w:lang w:val="en-GB"/>
        </w:rPr>
        <w:t>herefore, t</w:t>
      </w:r>
      <w:r w:rsidR="004A7E7B" w:rsidRPr="00346FE6">
        <w:rPr>
          <w:rFonts w:ascii="Arial" w:hAnsi="Arial" w:cs="Arial"/>
          <w:lang w:val="en-GB"/>
        </w:rPr>
        <w:t xml:space="preserve">he State submits that the author’s claims under articles </w:t>
      </w:r>
      <w:r w:rsidR="00625EAF" w:rsidRPr="00346FE6">
        <w:rPr>
          <w:rFonts w:ascii="Arial" w:hAnsi="Arial" w:cs="Arial"/>
          <w:lang w:val="en-GB"/>
        </w:rPr>
        <w:t xml:space="preserve">4, </w:t>
      </w:r>
      <w:r w:rsidR="004A7E7B" w:rsidRPr="00346FE6">
        <w:rPr>
          <w:rFonts w:ascii="Arial" w:hAnsi="Arial" w:cs="Arial"/>
          <w:lang w:val="en-GB"/>
        </w:rPr>
        <w:t>5 an</w:t>
      </w:r>
      <w:r w:rsidR="006E3546" w:rsidRPr="00346FE6">
        <w:rPr>
          <w:rFonts w:ascii="Arial" w:hAnsi="Arial" w:cs="Arial"/>
          <w:lang w:val="en-GB"/>
        </w:rPr>
        <w:t>d 9 are without merit</w:t>
      </w:r>
      <w:r w:rsidR="00625EAF" w:rsidRPr="00346FE6">
        <w:rPr>
          <w:rFonts w:ascii="Arial" w:hAnsi="Arial" w:cs="Arial"/>
          <w:lang w:val="en-GB"/>
        </w:rPr>
        <w:t>.</w:t>
      </w:r>
    </w:p>
    <w:p w14:paraId="73D581B9" w14:textId="77777777" w:rsidR="000F7004" w:rsidRPr="00346FE6" w:rsidRDefault="000F7004" w:rsidP="00DD462D">
      <w:pPr>
        <w:spacing w:after="0"/>
        <w:jc w:val="both"/>
        <w:rPr>
          <w:rFonts w:ascii="Arial" w:hAnsi="Arial" w:cs="Arial"/>
          <w:lang w:val="en-GB"/>
        </w:rPr>
      </w:pPr>
    </w:p>
    <w:p w14:paraId="64975DD5" w14:textId="77777777" w:rsidR="00DD462D" w:rsidRPr="00346FE6" w:rsidRDefault="00DD462D" w:rsidP="0073020E">
      <w:pPr>
        <w:spacing w:after="120"/>
        <w:jc w:val="both"/>
        <w:outlineLvl w:val="0"/>
        <w:rPr>
          <w:rFonts w:ascii="Arial" w:hAnsi="Arial" w:cs="Arial"/>
          <w:sz w:val="28"/>
          <w:szCs w:val="28"/>
          <w:lang w:val="en-GB"/>
        </w:rPr>
      </w:pPr>
      <w:r w:rsidRPr="00346FE6">
        <w:rPr>
          <w:rFonts w:ascii="Arial" w:hAnsi="Arial" w:cs="Arial"/>
          <w:sz w:val="28"/>
          <w:szCs w:val="28"/>
          <w:lang w:val="en-GB"/>
        </w:rPr>
        <w:t>The author’s comments on the State party’s observations</w:t>
      </w:r>
    </w:p>
    <w:p w14:paraId="5E76A539" w14:textId="1C20E3C0" w:rsidR="00CF08D2" w:rsidRPr="00346FE6" w:rsidRDefault="00625EAF" w:rsidP="00CF08D2">
      <w:pPr>
        <w:spacing w:after="120"/>
        <w:jc w:val="both"/>
        <w:rPr>
          <w:rFonts w:ascii="Arial" w:hAnsi="Arial" w:cs="Arial"/>
          <w:lang w:val="en-GB"/>
        </w:rPr>
      </w:pPr>
      <w:r w:rsidRPr="00346FE6">
        <w:rPr>
          <w:rFonts w:ascii="Arial" w:hAnsi="Arial" w:cs="Arial"/>
          <w:lang w:val="en-GB"/>
        </w:rPr>
        <w:t>T</w:t>
      </w:r>
      <w:r w:rsidR="00896F90" w:rsidRPr="00346FE6">
        <w:rPr>
          <w:rFonts w:ascii="Arial" w:hAnsi="Arial" w:cs="Arial"/>
          <w:lang w:val="en-GB"/>
        </w:rPr>
        <w:t xml:space="preserve">he author maintains that she has sufficiently substantiated </w:t>
      </w:r>
      <w:r w:rsidR="00DF660E" w:rsidRPr="00346FE6">
        <w:rPr>
          <w:rFonts w:ascii="Arial" w:hAnsi="Arial" w:cs="Arial"/>
          <w:lang w:val="en-GB"/>
        </w:rPr>
        <w:t>her</w:t>
      </w:r>
      <w:r w:rsidR="00896F90" w:rsidRPr="00346FE6">
        <w:rPr>
          <w:rFonts w:ascii="Arial" w:hAnsi="Arial" w:cs="Arial"/>
          <w:lang w:val="en-GB"/>
        </w:rPr>
        <w:t xml:space="preserve"> claim </w:t>
      </w:r>
      <w:r w:rsidR="00DF660E" w:rsidRPr="00346FE6">
        <w:rPr>
          <w:rFonts w:ascii="Arial" w:hAnsi="Arial" w:cs="Arial"/>
          <w:lang w:val="en-GB"/>
        </w:rPr>
        <w:t xml:space="preserve">regarding the presiding officer’s conduct </w:t>
      </w:r>
      <w:r w:rsidR="00896F90" w:rsidRPr="00346FE6">
        <w:rPr>
          <w:rFonts w:ascii="Arial" w:hAnsi="Arial" w:cs="Arial"/>
          <w:lang w:val="en-GB"/>
        </w:rPr>
        <w:t xml:space="preserve">and that the fact that she did not lodge a complaint with the Electoral Commission or any other body </w:t>
      </w:r>
      <w:r w:rsidR="009F6A01" w:rsidRPr="00346FE6">
        <w:rPr>
          <w:rFonts w:ascii="Arial" w:hAnsi="Arial" w:cs="Arial"/>
          <w:lang w:val="en-GB"/>
        </w:rPr>
        <w:t>in this regard</w:t>
      </w:r>
      <w:r w:rsidR="00896F90" w:rsidRPr="00346FE6">
        <w:rPr>
          <w:rFonts w:ascii="Arial" w:hAnsi="Arial" w:cs="Arial"/>
          <w:lang w:val="en-GB"/>
        </w:rPr>
        <w:t xml:space="preserve"> is not evidence that the event did not occur.</w:t>
      </w:r>
      <w:r w:rsidR="009F6A01" w:rsidRPr="00346FE6">
        <w:rPr>
          <w:rFonts w:ascii="Arial" w:hAnsi="Arial" w:cs="Arial"/>
          <w:lang w:val="en-GB"/>
        </w:rPr>
        <w:t xml:space="preserve"> </w:t>
      </w:r>
      <w:r w:rsidR="00CF08D2" w:rsidRPr="00346FE6">
        <w:rPr>
          <w:rFonts w:ascii="Arial" w:hAnsi="Arial" w:cs="Arial"/>
          <w:lang w:val="en-GB"/>
        </w:rPr>
        <w:t>The author notes that the State has not challenged her assertion that there was no domestic remedy available as concerns her claims under article 29 (a) (i) and (ii)</w:t>
      </w:r>
      <w:r w:rsidR="00F644A2" w:rsidRPr="00346FE6">
        <w:rPr>
          <w:rFonts w:ascii="Arial" w:hAnsi="Arial" w:cs="Arial"/>
          <w:lang w:val="en-GB"/>
        </w:rPr>
        <w:t xml:space="preserve">. </w:t>
      </w:r>
      <w:r w:rsidR="00A54EA4" w:rsidRPr="00184C92">
        <w:rPr>
          <w:rFonts w:ascii="Arial" w:hAnsi="Arial" w:cs="Arial"/>
          <w:u w:val="single"/>
          <w:lang w:val="en-GB"/>
        </w:rPr>
        <w:t>Regarding</w:t>
      </w:r>
      <w:r w:rsidR="00F644A2" w:rsidRPr="00184C92">
        <w:rPr>
          <w:rFonts w:ascii="Arial" w:hAnsi="Arial" w:cs="Arial"/>
          <w:u w:val="single"/>
          <w:lang w:val="en-GB"/>
        </w:rPr>
        <w:t xml:space="preserve"> her claim under article 29 (a) (iii)</w:t>
      </w:r>
      <w:r w:rsidR="00F644A2" w:rsidRPr="00346FE6">
        <w:rPr>
          <w:rFonts w:ascii="Arial" w:hAnsi="Arial" w:cs="Arial"/>
          <w:lang w:val="en-GB"/>
        </w:rPr>
        <w:t>, she argues that there was no possibility to rectify the alleged violation by making an application for judicial review of the presiding officer’s conduct under the Administrative Decisions Act prior to the close of polling on 7 September 2013</w:t>
      </w:r>
      <w:r w:rsidR="004C2CF1" w:rsidRPr="00346FE6">
        <w:rPr>
          <w:rFonts w:ascii="Arial" w:hAnsi="Arial" w:cs="Arial"/>
          <w:lang w:val="en-GB"/>
        </w:rPr>
        <w:t>. She further argues that, the assistance of the presiding officer would have potentially exposed her voting intention to multiple scrutineers and other persons, contrary to her right to cast a secret vote</w:t>
      </w:r>
      <w:r w:rsidR="00592680">
        <w:rPr>
          <w:rFonts w:ascii="Arial" w:hAnsi="Arial" w:cs="Arial"/>
          <w:lang w:val="en-GB"/>
        </w:rPr>
        <w:t>, and that</w:t>
      </w:r>
      <w:r w:rsidR="00993339" w:rsidRPr="00346FE6">
        <w:rPr>
          <w:rFonts w:ascii="Arial" w:hAnsi="Arial" w:cs="Arial"/>
          <w:lang w:val="en-GB"/>
        </w:rPr>
        <w:t xml:space="preserve"> the Electoral Act imposes no obligation on </w:t>
      </w:r>
      <w:r w:rsidR="00592680">
        <w:rPr>
          <w:rFonts w:ascii="Arial" w:hAnsi="Arial" w:cs="Arial"/>
          <w:lang w:val="en-GB"/>
        </w:rPr>
        <w:t>the</w:t>
      </w:r>
      <w:r w:rsidR="00993339" w:rsidRPr="00346FE6">
        <w:rPr>
          <w:rFonts w:ascii="Arial" w:hAnsi="Arial" w:cs="Arial"/>
          <w:lang w:val="en-GB"/>
        </w:rPr>
        <w:t xml:space="preserve"> person assist</w:t>
      </w:r>
      <w:r w:rsidR="00592680">
        <w:rPr>
          <w:rFonts w:ascii="Arial" w:hAnsi="Arial" w:cs="Arial"/>
          <w:lang w:val="en-GB"/>
        </w:rPr>
        <w:t>ing</w:t>
      </w:r>
      <w:r w:rsidR="00993339" w:rsidRPr="00346FE6">
        <w:rPr>
          <w:rFonts w:ascii="Arial" w:hAnsi="Arial" w:cs="Arial"/>
          <w:lang w:val="en-GB"/>
        </w:rPr>
        <w:t xml:space="preserve"> to maintain the confidentiality of that vote.</w:t>
      </w:r>
    </w:p>
    <w:p w14:paraId="7F259D94" w14:textId="4A8B30A9" w:rsidR="00316601" w:rsidRPr="00346FE6" w:rsidRDefault="00316601" w:rsidP="00CF08D2">
      <w:pPr>
        <w:spacing w:after="120"/>
        <w:jc w:val="both"/>
        <w:rPr>
          <w:rFonts w:ascii="Arial" w:hAnsi="Arial" w:cs="Arial"/>
          <w:lang w:val="en-GB"/>
        </w:rPr>
      </w:pPr>
      <w:r w:rsidRPr="00346FE6">
        <w:rPr>
          <w:rFonts w:ascii="Arial" w:hAnsi="Arial" w:cs="Arial"/>
          <w:lang w:val="en-GB"/>
        </w:rPr>
        <w:t>In response to the State party’s claim that she has failed to sufficiently substantiate her complaint, the author refers her initial complaint</w:t>
      </w:r>
      <w:r w:rsidR="00072893" w:rsidRPr="00346FE6">
        <w:rPr>
          <w:rFonts w:ascii="Arial" w:hAnsi="Arial" w:cs="Arial"/>
          <w:lang w:val="en-GB"/>
        </w:rPr>
        <w:t xml:space="preserve">. </w:t>
      </w:r>
      <w:r w:rsidR="00BD45CF" w:rsidRPr="00346FE6">
        <w:rPr>
          <w:rFonts w:ascii="Arial" w:hAnsi="Arial" w:cs="Arial"/>
          <w:lang w:val="en-GB"/>
        </w:rPr>
        <w:t>In particular, she pointed out</w:t>
      </w:r>
      <w:r w:rsidR="00207F10" w:rsidRPr="00346FE6">
        <w:rPr>
          <w:rFonts w:ascii="Arial" w:hAnsi="Arial" w:cs="Arial"/>
          <w:lang w:val="en-GB"/>
        </w:rPr>
        <w:t xml:space="preserve"> that</w:t>
      </w:r>
      <w:r w:rsidR="00592680">
        <w:rPr>
          <w:rFonts w:ascii="Arial" w:hAnsi="Arial" w:cs="Arial"/>
          <w:lang w:val="en-GB"/>
        </w:rPr>
        <w:t xml:space="preserve"> </w:t>
      </w:r>
      <w:r w:rsidR="00BD45CF" w:rsidRPr="00346FE6">
        <w:rPr>
          <w:rFonts w:ascii="Arial" w:hAnsi="Arial" w:cs="Arial"/>
          <w:lang w:val="en-GB"/>
        </w:rPr>
        <w:t xml:space="preserve">she was not provided with the opportunity to vote by secret ballot on an equal basis with others. The voting procedure adopted by the Electoral Commission meant that she was compelled to accept the assistance of another person and potentially to be observed casting her vote by multiple persons, in violation of her right to equality and non-discrimination. </w:t>
      </w:r>
    </w:p>
    <w:p w14:paraId="15048176" w14:textId="58D698AA" w:rsidR="00510EFD" w:rsidRPr="00346FE6" w:rsidRDefault="003E585D" w:rsidP="00CF08D2">
      <w:pPr>
        <w:spacing w:after="120"/>
        <w:jc w:val="both"/>
        <w:rPr>
          <w:rFonts w:ascii="Arial" w:hAnsi="Arial" w:cs="Arial"/>
          <w:lang w:val="en-GB"/>
        </w:rPr>
      </w:pPr>
      <w:r w:rsidRPr="00184C92">
        <w:rPr>
          <w:rFonts w:ascii="Arial" w:hAnsi="Arial" w:cs="Arial"/>
          <w:u w:val="single"/>
          <w:lang w:val="en-GB"/>
        </w:rPr>
        <w:t>In relation to her complaint under article 9 of the Convention</w:t>
      </w:r>
      <w:r w:rsidRPr="00346FE6">
        <w:rPr>
          <w:rFonts w:ascii="Arial" w:hAnsi="Arial" w:cs="Arial"/>
          <w:lang w:val="en-GB"/>
        </w:rPr>
        <w:t>, the author argues that the State has failed to observe its obligation with respect to</w:t>
      </w:r>
      <w:r w:rsidR="009F6E8F" w:rsidRPr="00346FE6">
        <w:rPr>
          <w:rFonts w:ascii="Arial" w:hAnsi="Arial" w:cs="Arial"/>
          <w:lang w:val="en-GB"/>
        </w:rPr>
        <w:t xml:space="preserve"> the realization of article 29, in particular for n</w:t>
      </w:r>
      <w:r w:rsidR="00510EFD" w:rsidRPr="00346FE6">
        <w:rPr>
          <w:rFonts w:ascii="Arial" w:hAnsi="Arial" w:cs="Arial"/>
          <w:lang w:val="en-GB"/>
        </w:rPr>
        <w:t>o</w:t>
      </w:r>
      <w:r w:rsidR="009F6E8F" w:rsidRPr="00346FE6">
        <w:rPr>
          <w:rFonts w:ascii="Arial" w:hAnsi="Arial" w:cs="Arial"/>
          <w:lang w:val="en-GB"/>
        </w:rPr>
        <w:t>t providing</w:t>
      </w:r>
      <w:r w:rsidR="00510EFD" w:rsidRPr="00346FE6">
        <w:rPr>
          <w:rFonts w:ascii="Arial" w:hAnsi="Arial" w:cs="Arial"/>
          <w:lang w:val="en-GB"/>
        </w:rPr>
        <w:t xml:space="preserve"> her with an accessible electronic voting system or facility that would have enabled her to independently cast a secret ballot. She notes that she uses such a system to cast an independent vote by secret ballot in New South Wales State elections and that such a platform is readily available and</w:t>
      </w:r>
      <w:r w:rsidR="005E0306" w:rsidRPr="00346FE6">
        <w:rPr>
          <w:rFonts w:ascii="Arial" w:hAnsi="Arial" w:cs="Arial"/>
          <w:lang w:val="en-GB"/>
        </w:rPr>
        <w:t xml:space="preserve"> in use within the jurisdiction</w:t>
      </w:r>
      <w:r w:rsidR="00510EFD" w:rsidRPr="00346FE6">
        <w:rPr>
          <w:rFonts w:ascii="Arial" w:hAnsi="Arial" w:cs="Arial"/>
          <w:lang w:val="en-GB"/>
        </w:rPr>
        <w:t>.</w:t>
      </w:r>
      <w:r w:rsidR="003A674C" w:rsidRPr="00346FE6">
        <w:rPr>
          <w:rFonts w:ascii="Arial" w:hAnsi="Arial" w:cs="Arial"/>
          <w:lang w:val="en-GB"/>
        </w:rPr>
        <w:t xml:space="preserve"> In that </w:t>
      </w:r>
      <w:r w:rsidR="008E123D" w:rsidRPr="00346FE6">
        <w:rPr>
          <w:rFonts w:ascii="Arial" w:hAnsi="Arial" w:cs="Arial"/>
          <w:lang w:val="en-GB"/>
        </w:rPr>
        <w:t>regard</w:t>
      </w:r>
      <w:r w:rsidR="003A674C" w:rsidRPr="00346FE6">
        <w:rPr>
          <w:rFonts w:ascii="Arial" w:hAnsi="Arial" w:cs="Arial"/>
          <w:lang w:val="en-GB"/>
        </w:rPr>
        <w:t>, the author argues that, in her case, an electronic voting option is a reasonable accommodation to enable her to cast a secret vote. She submits that it falls on the State to demonstrate how the accommodation required would constitute a disproportionate or undue burden</w:t>
      </w:r>
      <w:r w:rsidR="008E123D" w:rsidRPr="00346FE6">
        <w:rPr>
          <w:rFonts w:ascii="Arial" w:hAnsi="Arial" w:cs="Arial"/>
          <w:lang w:val="en-GB"/>
        </w:rPr>
        <w:t>.</w:t>
      </w:r>
    </w:p>
    <w:p w14:paraId="4C95470E" w14:textId="3BAB8BD2" w:rsidR="00E56B1F" w:rsidRPr="00346FE6" w:rsidRDefault="00795766" w:rsidP="00184C92">
      <w:pPr>
        <w:spacing w:after="120"/>
        <w:jc w:val="both"/>
        <w:rPr>
          <w:rFonts w:ascii="Arial" w:hAnsi="Arial" w:cs="Arial"/>
          <w:lang w:val="en-GB"/>
        </w:rPr>
      </w:pPr>
      <w:r w:rsidRPr="00346FE6">
        <w:rPr>
          <w:rFonts w:ascii="Arial" w:hAnsi="Arial" w:cs="Arial"/>
          <w:lang w:val="en-GB"/>
        </w:rPr>
        <w:t>As concerns her claim under article 4, the author argues that the State has not taken legislative measures to repeal or amend the Electoral Act to int</w:t>
      </w:r>
      <w:bookmarkStart w:id="0" w:name="_GoBack"/>
      <w:bookmarkEnd w:id="0"/>
      <w:r w:rsidRPr="00346FE6">
        <w:rPr>
          <w:rFonts w:ascii="Arial" w:hAnsi="Arial" w:cs="Arial"/>
          <w:lang w:val="en-GB"/>
        </w:rPr>
        <w:t>roduce an electronic voting system that would enable her to independently cast a vote by secret ballot. She considers that this amounts to disability-based discrimination in the 2013 federal election.</w:t>
      </w:r>
    </w:p>
    <w:p w14:paraId="5800FE55" w14:textId="77777777" w:rsidR="008E123D" w:rsidRPr="00346FE6" w:rsidRDefault="008E123D" w:rsidP="0073020E">
      <w:pPr>
        <w:spacing w:after="120"/>
        <w:jc w:val="both"/>
        <w:outlineLvl w:val="0"/>
        <w:rPr>
          <w:rFonts w:ascii="Arial" w:hAnsi="Arial" w:cs="Arial"/>
          <w:sz w:val="28"/>
          <w:szCs w:val="28"/>
          <w:lang w:val="en-GB"/>
        </w:rPr>
      </w:pPr>
      <w:r w:rsidRPr="00346FE6">
        <w:rPr>
          <w:rFonts w:ascii="Arial" w:hAnsi="Arial" w:cs="Arial"/>
          <w:sz w:val="28"/>
          <w:szCs w:val="28"/>
          <w:lang w:val="en-GB"/>
        </w:rPr>
        <w:t>State party’s additional observations</w:t>
      </w:r>
    </w:p>
    <w:p w14:paraId="522DAFE2" w14:textId="44BB3AA6" w:rsidR="008E123D" w:rsidRPr="00346FE6" w:rsidRDefault="00385C90" w:rsidP="001021CE">
      <w:pPr>
        <w:spacing w:after="120"/>
        <w:jc w:val="both"/>
        <w:rPr>
          <w:rFonts w:ascii="Arial" w:hAnsi="Arial" w:cs="Arial"/>
          <w:lang w:val="en-GB"/>
        </w:rPr>
      </w:pPr>
      <w:r w:rsidRPr="00346FE6">
        <w:rPr>
          <w:rFonts w:ascii="Arial" w:hAnsi="Arial" w:cs="Arial"/>
          <w:lang w:val="en-GB"/>
        </w:rPr>
        <w:t>The State argues that article 29 contains obligations that are</w:t>
      </w:r>
      <w:r w:rsidR="006E0A40">
        <w:rPr>
          <w:rFonts w:ascii="Arial" w:hAnsi="Arial" w:cs="Arial"/>
          <w:lang w:val="en-GB"/>
        </w:rPr>
        <w:t xml:space="preserve"> of</w:t>
      </w:r>
      <w:r w:rsidRPr="00346FE6">
        <w:rPr>
          <w:rFonts w:ascii="Arial" w:hAnsi="Arial" w:cs="Arial"/>
          <w:lang w:val="en-GB"/>
        </w:rPr>
        <w:t xml:space="preserve"> immediately </w:t>
      </w:r>
      <w:r w:rsidR="006E0A40">
        <w:rPr>
          <w:rFonts w:ascii="Arial" w:hAnsi="Arial" w:cs="Arial"/>
          <w:lang w:val="en-GB"/>
        </w:rPr>
        <w:t>realisation</w:t>
      </w:r>
      <w:r w:rsidR="006E0A40" w:rsidRPr="00346FE6">
        <w:rPr>
          <w:rFonts w:ascii="Arial" w:hAnsi="Arial" w:cs="Arial"/>
          <w:lang w:val="en-GB"/>
        </w:rPr>
        <w:t xml:space="preserve"> </w:t>
      </w:r>
      <w:r w:rsidRPr="00346FE6">
        <w:rPr>
          <w:rFonts w:ascii="Arial" w:hAnsi="Arial" w:cs="Arial"/>
          <w:lang w:val="en-GB"/>
        </w:rPr>
        <w:t>and others that are of a general nature, including the obligation to facilitate the use of assistive and new technologies, where appropriate.</w:t>
      </w:r>
      <w:r w:rsidR="005A304B" w:rsidRPr="00346FE6">
        <w:rPr>
          <w:rFonts w:ascii="Arial" w:hAnsi="Arial" w:cs="Arial"/>
          <w:lang w:val="en-GB"/>
        </w:rPr>
        <w:t xml:space="preserve"> It notes that the Committee has acknowledged that accessibility should be achieved through gradual implementation, when necessary. As concerns the reasonable accommodation standard</w:t>
      </w:r>
      <w:r w:rsidR="005F690A" w:rsidRPr="00346FE6">
        <w:rPr>
          <w:rFonts w:ascii="Arial" w:hAnsi="Arial" w:cs="Arial"/>
          <w:lang w:val="en-GB"/>
        </w:rPr>
        <w:t xml:space="preserve">, the State refers to the </w:t>
      </w:r>
      <w:r w:rsidR="00FD2317" w:rsidRPr="00346FE6">
        <w:rPr>
          <w:rFonts w:ascii="Arial" w:hAnsi="Arial" w:cs="Arial"/>
          <w:lang w:val="en-GB"/>
        </w:rPr>
        <w:t xml:space="preserve">CRPD </w:t>
      </w:r>
      <w:r w:rsidR="005F690A" w:rsidRPr="00346FE6">
        <w:rPr>
          <w:rFonts w:ascii="Arial" w:hAnsi="Arial" w:cs="Arial"/>
          <w:i/>
          <w:lang w:val="en-GB"/>
        </w:rPr>
        <w:t>travaux préparatoires</w:t>
      </w:r>
      <w:r w:rsidR="005F690A" w:rsidRPr="00346FE6">
        <w:rPr>
          <w:rFonts w:ascii="Arial" w:hAnsi="Arial" w:cs="Arial"/>
          <w:lang w:val="en-GB"/>
        </w:rPr>
        <w:t>, noting that significant increase in cost can constitute a disproportionate burden</w:t>
      </w:r>
    </w:p>
    <w:p w14:paraId="0C7E0128" w14:textId="77777777" w:rsidR="005F690A" w:rsidRPr="00346FE6" w:rsidRDefault="005F690A" w:rsidP="00A37DEE">
      <w:pPr>
        <w:spacing w:after="0"/>
        <w:jc w:val="both"/>
        <w:rPr>
          <w:rFonts w:ascii="Arial" w:hAnsi="Arial" w:cs="Arial"/>
          <w:lang w:val="en-GB"/>
        </w:rPr>
      </w:pPr>
    </w:p>
    <w:p w14:paraId="300F63D5" w14:textId="286F5572" w:rsidR="001021CE" w:rsidRPr="00346FE6" w:rsidRDefault="001021CE" w:rsidP="0073020E">
      <w:pPr>
        <w:spacing w:after="120"/>
        <w:jc w:val="both"/>
        <w:outlineLvl w:val="0"/>
        <w:rPr>
          <w:rFonts w:ascii="Arial" w:hAnsi="Arial" w:cs="Arial"/>
          <w:sz w:val="28"/>
          <w:szCs w:val="28"/>
          <w:lang w:val="en-GB"/>
        </w:rPr>
      </w:pPr>
      <w:r w:rsidRPr="00346FE6">
        <w:rPr>
          <w:rFonts w:ascii="Arial" w:hAnsi="Arial" w:cs="Arial"/>
          <w:sz w:val="28"/>
          <w:szCs w:val="28"/>
          <w:lang w:val="en-GB"/>
        </w:rPr>
        <w:t>Issues and proceedings before the Committee</w:t>
      </w:r>
      <w:bookmarkStart w:id="1" w:name="admissibility"/>
    </w:p>
    <w:p w14:paraId="13F94B12" w14:textId="77777777" w:rsidR="001021CE" w:rsidRPr="00346FE6" w:rsidRDefault="001021CE" w:rsidP="0073020E">
      <w:pPr>
        <w:spacing w:after="120"/>
        <w:jc w:val="both"/>
        <w:outlineLvl w:val="0"/>
        <w:rPr>
          <w:rFonts w:ascii="Arial" w:hAnsi="Arial" w:cs="Arial"/>
          <w:sz w:val="28"/>
          <w:szCs w:val="28"/>
          <w:lang w:val="en-GB"/>
        </w:rPr>
      </w:pPr>
      <w:r w:rsidRPr="00346FE6">
        <w:rPr>
          <w:rFonts w:ascii="Arial" w:hAnsi="Arial" w:cs="Arial"/>
          <w:sz w:val="28"/>
          <w:szCs w:val="28"/>
          <w:lang w:val="en-GB"/>
        </w:rPr>
        <w:t>Consideration of admissibility</w:t>
      </w:r>
    </w:p>
    <w:p w14:paraId="0EDB07D0" w14:textId="1AA27B7D" w:rsidR="00B57239" w:rsidRPr="00346FE6" w:rsidRDefault="00A706DC" w:rsidP="001777E5">
      <w:pPr>
        <w:spacing w:after="120"/>
        <w:jc w:val="both"/>
        <w:rPr>
          <w:rFonts w:ascii="Arial" w:hAnsi="Arial"/>
          <w:lang w:val="en-GB"/>
        </w:rPr>
      </w:pPr>
      <w:r w:rsidRPr="00346FE6">
        <w:rPr>
          <w:rFonts w:ascii="Arial" w:hAnsi="Arial"/>
          <w:lang w:val="en-GB"/>
        </w:rPr>
        <w:t>The</w:t>
      </w:r>
      <w:r w:rsidR="00021F81" w:rsidRPr="00346FE6">
        <w:rPr>
          <w:rFonts w:ascii="Arial" w:hAnsi="Arial"/>
          <w:lang w:val="en-GB"/>
        </w:rPr>
        <w:t xml:space="preserve"> Committee ascertains</w:t>
      </w:r>
      <w:r w:rsidR="001E657C" w:rsidRPr="00346FE6">
        <w:rPr>
          <w:rFonts w:ascii="Arial" w:hAnsi="Arial"/>
          <w:lang w:val="en-GB"/>
        </w:rPr>
        <w:t xml:space="preserve"> that the same matter has not already been examined by it and has not been or is not being examined under another procedure of international investigation or settlement, as required by </w:t>
      </w:r>
      <w:hyperlink r:id="rId20" w:history="1">
        <w:r w:rsidR="001E657C" w:rsidRPr="00346FE6">
          <w:rPr>
            <w:rStyle w:val="Hyperlink"/>
            <w:rFonts w:ascii="Arial" w:hAnsi="Arial"/>
            <w:lang w:val="en-GB"/>
          </w:rPr>
          <w:t>article 2(c) of the OP</w:t>
        </w:r>
      </w:hyperlink>
      <w:r w:rsidR="001E657C" w:rsidRPr="00346FE6">
        <w:rPr>
          <w:rFonts w:ascii="Arial" w:hAnsi="Arial"/>
          <w:lang w:val="en-GB"/>
        </w:rPr>
        <w:t>.</w:t>
      </w:r>
    </w:p>
    <w:p w14:paraId="0B5D76FC" w14:textId="5DC5DEB9" w:rsidR="00550653" w:rsidRPr="00346FE6" w:rsidRDefault="00550653" w:rsidP="001777E5">
      <w:pPr>
        <w:spacing w:after="120"/>
        <w:jc w:val="both"/>
        <w:rPr>
          <w:rFonts w:ascii="Arial" w:hAnsi="Arial"/>
          <w:lang w:val="en-GB"/>
        </w:rPr>
      </w:pPr>
      <w:r w:rsidRPr="00346FE6">
        <w:rPr>
          <w:rFonts w:ascii="Arial" w:hAnsi="Arial"/>
          <w:u w:val="single"/>
          <w:lang w:val="en-GB"/>
        </w:rPr>
        <w:t>Regarding inadmissibility for non-exhaustion of domestic remedies</w:t>
      </w:r>
      <w:r w:rsidRPr="00346FE6">
        <w:rPr>
          <w:rFonts w:ascii="Arial" w:hAnsi="Arial"/>
          <w:lang w:val="en-GB"/>
        </w:rPr>
        <w:t>,</w:t>
      </w:r>
      <w:r w:rsidR="00304AA5" w:rsidRPr="00346FE6">
        <w:rPr>
          <w:rFonts w:ascii="Arial" w:hAnsi="Arial"/>
          <w:lang w:val="en-GB"/>
        </w:rPr>
        <w:t xml:space="preserve"> the Committee finds that, by failing to make an application to the Federal Circuit Court or the Federal Court of Australia for judicial review of the alleged conduct of the presiding officer, the author failed to exhaust domestic remedies in this regard. The Committee concludes that the author’s claims under article 29 (a) (iii) are inadmissible under article 2 (d) of the </w:t>
      </w:r>
      <w:r w:rsidR="009B4CB3" w:rsidRPr="00346FE6">
        <w:rPr>
          <w:rFonts w:ascii="Arial" w:hAnsi="Arial"/>
          <w:lang w:val="en-GB"/>
        </w:rPr>
        <w:t>OP</w:t>
      </w:r>
      <w:r w:rsidR="00304AA5" w:rsidRPr="00346FE6">
        <w:rPr>
          <w:rFonts w:ascii="Arial" w:hAnsi="Arial"/>
          <w:lang w:val="en-GB"/>
        </w:rPr>
        <w:t>.</w:t>
      </w:r>
      <w:r w:rsidR="00DA3391">
        <w:rPr>
          <w:rFonts w:ascii="Arial" w:hAnsi="Arial"/>
          <w:lang w:val="en-GB"/>
        </w:rPr>
        <w:t xml:space="preserve"> </w:t>
      </w:r>
      <w:r w:rsidR="00B06029" w:rsidRPr="00346FE6">
        <w:rPr>
          <w:rFonts w:ascii="Arial" w:hAnsi="Arial"/>
          <w:lang w:val="en-GB"/>
        </w:rPr>
        <w:t xml:space="preserve">The Committee also notes that the State has not contested the author’s argument that she was not able to directly challenge her claims under article 29 (a) (i) and (ii) under domestic law. The Committee considers that the requirements of article 2 (d) of the </w:t>
      </w:r>
      <w:r w:rsidR="007D6A55" w:rsidRPr="00346FE6">
        <w:rPr>
          <w:rFonts w:ascii="Arial" w:hAnsi="Arial"/>
          <w:lang w:val="en-GB"/>
        </w:rPr>
        <w:t>OP</w:t>
      </w:r>
      <w:r w:rsidR="00B06029" w:rsidRPr="00346FE6">
        <w:rPr>
          <w:rFonts w:ascii="Arial" w:hAnsi="Arial"/>
          <w:lang w:val="en-GB"/>
        </w:rPr>
        <w:t xml:space="preserve"> have been met with regard to the author’s claims under article 29 (a) (i) and (ii), read alone and in conjunction with articles 4 (1) (a), (b), (d), (e) and (g), 5 (2) and (3) and 9.</w:t>
      </w:r>
    </w:p>
    <w:p w14:paraId="1BAA4A63" w14:textId="389BF00E" w:rsidR="00550653" w:rsidRPr="00346FE6" w:rsidRDefault="00C85062" w:rsidP="001777E5">
      <w:pPr>
        <w:spacing w:after="120"/>
        <w:jc w:val="both"/>
        <w:rPr>
          <w:rFonts w:ascii="Arial" w:hAnsi="Arial"/>
          <w:lang w:val="en-GB"/>
        </w:rPr>
      </w:pPr>
      <w:r w:rsidRPr="00346FE6">
        <w:rPr>
          <w:rFonts w:ascii="Arial" w:hAnsi="Arial"/>
          <w:u w:val="single"/>
          <w:lang w:val="en-GB"/>
        </w:rPr>
        <w:t>Regarding inadmissibility due to failure to sufficiently substantiate claims</w:t>
      </w:r>
      <w:r w:rsidR="00AC7752" w:rsidRPr="00346FE6">
        <w:rPr>
          <w:rFonts w:ascii="Arial" w:hAnsi="Arial"/>
          <w:lang w:val="en-GB"/>
        </w:rPr>
        <w:t xml:space="preserve">, the Committee considers that </w:t>
      </w:r>
      <w:r w:rsidRPr="00346FE6">
        <w:rPr>
          <w:rFonts w:ascii="Arial" w:hAnsi="Arial"/>
          <w:lang w:val="en-GB"/>
        </w:rPr>
        <w:t>the author has sufficiently substantiated her claims under article 29 (a) (i) and (ii), read alone and in conjunction with articles 4</w:t>
      </w:r>
      <w:r w:rsidRPr="00346FE6">
        <w:rPr>
          <w:rFonts w:ascii="Arial" w:hAnsi="Arial"/>
          <w:spacing w:val="-10"/>
          <w:lang w:val="en-GB"/>
        </w:rPr>
        <w:t xml:space="preserve"> </w:t>
      </w:r>
      <w:r w:rsidRPr="00346FE6">
        <w:rPr>
          <w:rFonts w:ascii="Arial" w:hAnsi="Arial"/>
          <w:lang w:val="en-GB"/>
        </w:rPr>
        <w:t>(1)</w:t>
      </w:r>
      <w:r w:rsidRPr="00346FE6">
        <w:rPr>
          <w:rFonts w:ascii="Arial" w:hAnsi="Arial"/>
          <w:spacing w:val="-10"/>
          <w:lang w:val="en-GB"/>
        </w:rPr>
        <w:t xml:space="preserve"> </w:t>
      </w:r>
      <w:r w:rsidRPr="00346FE6">
        <w:rPr>
          <w:rFonts w:ascii="Arial" w:hAnsi="Arial"/>
          <w:spacing w:val="-2"/>
          <w:lang w:val="en-GB"/>
        </w:rPr>
        <w:t>(a),</w:t>
      </w:r>
      <w:r w:rsidRPr="00346FE6">
        <w:rPr>
          <w:rFonts w:ascii="Arial" w:hAnsi="Arial"/>
          <w:spacing w:val="-10"/>
          <w:lang w:val="en-GB"/>
        </w:rPr>
        <w:t xml:space="preserve"> </w:t>
      </w:r>
      <w:r w:rsidRPr="00346FE6">
        <w:rPr>
          <w:rFonts w:ascii="Arial" w:hAnsi="Arial"/>
          <w:spacing w:val="-2"/>
          <w:lang w:val="en-GB"/>
        </w:rPr>
        <w:t>(b),</w:t>
      </w:r>
      <w:r w:rsidRPr="00346FE6">
        <w:rPr>
          <w:rFonts w:ascii="Arial" w:hAnsi="Arial"/>
          <w:spacing w:val="-10"/>
          <w:lang w:val="en-GB"/>
        </w:rPr>
        <w:t xml:space="preserve"> </w:t>
      </w:r>
      <w:r w:rsidRPr="00346FE6">
        <w:rPr>
          <w:rFonts w:ascii="Arial" w:hAnsi="Arial"/>
          <w:spacing w:val="-2"/>
          <w:lang w:val="en-GB"/>
        </w:rPr>
        <w:t>(d),</w:t>
      </w:r>
      <w:r w:rsidRPr="00346FE6">
        <w:rPr>
          <w:rFonts w:ascii="Arial" w:hAnsi="Arial"/>
          <w:spacing w:val="-10"/>
          <w:lang w:val="en-GB"/>
        </w:rPr>
        <w:t xml:space="preserve"> </w:t>
      </w:r>
      <w:r w:rsidRPr="00346FE6">
        <w:rPr>
          <w:rFonts w:ascii="Arial" w:hAnsi="Arial"/>
          <w:spacing w:val="-2"/>
          <w:lang w:val="en-GB"/>
        </w:rPr>
        <w:t>(e)</w:t>
      </w:r>
      <w:r w:rsidR="000510A3" w:rsidRPr="00346FE6">
        <w:rPr>
          <w:rFonts w:ascii="Arial" w:hAnsi="Arial"/>
          <w:spacing w:val="-10"/>
          <w:lang w:val="en-GB"/>
        </w:rPr>
        <w:t xml:space="preserve"> </w:t>
      </w:r>
      <w:r w:rsidR="000510A3" w:rsidRPr="00346FE6">
        <w:rPr>
          <w:rFonts w:ascii="Arial" w:hAnsi="Arial"/>
          <w:lang w:val="en-GB"/>
        </w:rPr>
        <w:t>and</w:t>
      </w:r>
      <w:r w:rsidR="000510A3" w:rsidRPr="00346FE6">
        <w:rPr>
          <w:rFonts w:ascii="Arial" w:hAnsi="Arial"/>
          <w:spacing w:val="-10"/>
          <w:lang w:val="en-GB"/>
        </w:rPr>
        <w:t xml:space="preserve"> </w:t>
      </w:r>
      <w:r w:rsidR="000510A3" w:rsidRPr="00346FE6">
        <w:rPr>
          <w:rFonts w:ascii="Arial" w:hAnsi="Arial"/>
          <w:lang w:val="en-GB"/>
        </w:rPr>
        <w:t>(g),</w:t>
      </w:r>
      <w:r w:rsidR="000510A3" w:rsidRPr="00346FE6">
        <w:rPr>
          <w:rFonts w:ascii="Arial" w:hAnsi="Arial"/>
          <w:spacing w:val="-10"/>
          <w:lang w:val="en-GB"/>
        </w:rPr>
        <w:t xml:space="preserve"> </w:t>
      </w:r>
      <w:r w:rsidR="000510A3" w:rsidRPr="00346FE6">
        <w:rPr>
          <w:rFonts w:ascii="Arial" w:hAnsi="Arial"/>
          <w:lang w:val="en-GB"/>
        </w:rPr>
        <w:t>5</w:t>
      </w:r>
      <w:r w:rsidR="000510A3" w:rsidRPr="00346FE6">
        <w:rPr>
          <w:rFonts w:ascii="Arial" w:hAnsi="Arial"/>
          <w:spacing w:val="-10"/>
          <w:lang w:val="en-GB"/>
        </w:rPr>
        <w:t xml:space="preserve"> </w:t>
      </w:r>
      <w:r w:rsidR="000510A3" w:rsidRPr="00346FE6">
        <w:rPr>
          <w:rFonts w:ascii="Arial" w:hAnsi="Arial"/>
          <w:lang w:val="en-GB"/>
        </w:rPr>
        <w:t>(2)</w:t>
      </w:r>
      <w:r w:rsidR="000510A3" w:rsidRPr="00346FE6">
        <w:rPr>
          <w:rFonts w:ascii="Arial" w:hAnsi="Arial"/>
          <w:spacing w:val="-10"/>
          <w:lang w:val="en-GB"/>
        </w:rPr>
        <w:t xml:space="preserve"> </w:t>
      </w:r>
      <w:r w:rsidR="000510A3" w:rsidRPr="00346FE6">
        <w:rPr>
          <w:rFonts w:ascii="Arial" w:hAnsi="Arial"/>
          <w:lang w:val="en-GB"/>
        </w:rPr>
        <w:t>and</w:t>
      </w:r>
      <w:r w:rsidR="000510A3" w:rsidRPr="00346FE6">
        <w:rPr>
          <w:rFonts w:ascii="Arial" w:hAnsi="Arial"/>
          <w:spacing w:val="-10"/>
          <w:lang w:val="en-GB"/>
        </w:rPr>
        <w:t xml:space="preserve"> </w:t>
      </w:r>
      <w:r w:rsidR="000510A3" w:rsidRPr="00346FE6">
        <w:rPr>
          <w:rFonts w:ascii="Arial" w:hAnsi="Arial"/>
          <w:lang w:val="en-GB"/>
        </w:rPr>
        <w:t>(3)</w:t>
      </w:r>
      <w:r w:rsidR="000510A3" w:rsidRPr="00346FE6">
        <w:rPr>
          <w:rFonts w:ascii="Arial" w:hAnsi="Arial"/>
          <w:spacing w:val="-10"/>
          <w:lang w:val="en-GB"/>
        </w:rPr>
        <w:t xml:space="preserve"> </w:t>
      </w:r>
      <w:r w:rsidR="000510A3" w:rsidRPr="00346FE6">
        <w:rPr>
          <w:rFonts w:ascii="Arial" w:hAnsi="Arial"/>
          <w:lang w:val="en-GB"/>
        </w:rPr>
        <w:t>and</w:t>
      </w:r>
      <w:r w:rsidR="000510A3" w:rsidRPr="00346FE6">
        <w:rPr>
          <w:rFonts w:ascii="Arial" w:hAnsi="Arial"/>
          <w:spacing w:val="-10"/>
          <w:lang w:val="en-GB"/>
        </w:rPr>
        <w:t xml:space="preserve"> </w:t>
      </w:r>
      <w:r w:rsidR="000510A3" w:rsidRPr="00346FE6">
        <w:rPr>
          <w:rFonts w:ascii="Arial" w:hAnsi="Arial"/>
          <w:lang w:val="en-GB"/>
        </w:rPr>
        <w:t>9.</w:t>
      </w:r>
      <w:r w:rsidR="00DA3391">
        <w:rPr>
          <w:rFonts w:ascii="Arial" w:hAnsi="Arial"/>
          <w:lang w:val="en-GB"/>
        </w:rPr>
        <w:t xml:space="preserve"> </w:t>
      </w:r>
      <w:r w:rsidR="000A4403" w:rsidRPr="00346FE6">
        <w:rPr>
          <w:rFonts w:ascii="Arial" w:hAnsi="Arial"/>
          <w:lang w:val="en-GB"/>
        </w:rPr>
        <w:t xml:space="preserve">Consequently, </w:t>
      </w:r>
      <w:r w:rsidR="00605B97" w:rsidRPr="00346FE6">
        <w:rPr>
          <w:rFonts w:ascii="Arial" w:hAnsi="Arial"/>
          <w:lang w:val="en-GB"/>
        </w:rPr>
        <w:t xml:space="preserve">the Committee declares the communication admissible </w:t>
      </w:r>
      <w:r w:rsidR="00397CFC" w:rsidRPr="00346FE6">
        <w:rPr>
          <w:rFonts w:ascii="Arial" w:hAnsi="Arial"/>
          <w:lang w:val="en-GB"/>
        </w:rPr>
        <w:t>regarding</w:t>
      </w:r>
      <w:r w:rsidR="00605B97" w:rsidRPr="00346FE6">
        <w:rPr>
          <w:rFonts w:ascii="Arial" w:hAnsi="Arial"/>
          <w:lang w:val="en-GB"/>
        </w:rPr>
        <w:t xml:space="preserve"> the author’s claims under </w:t>
      </w:r>
      <w:r w:rsidR="00DA3391">
        <w:rPr>
          <w:rFonts w:ascii="Arial" w:hAnsi="Arial"/>
          <w:lang w:val="en-GB"/>
        </w:rPr>
        <w:t>those artic</w:t>
      </w:r>
      <w:r w:rsidR="00901ED0">
        <w:rPr>
          <w:rFonts w:ascii="Arial" w:hAnsi="Arial"/>
          <w:lang w:val="en-GB"/>
        </w:rPr>
        <w:t>l</w:t>
      </w:r>
      <w:r w:rsidR="00DA3391">
        <w:rPr>
          <w:rFonts w:ascii="Arial" w:hAnsi="Arial"/>
          <w:lang w:val="en-GB"/>
        </w:rPr>
        <w:t>es.</w:t>
      </w:r>
    </w:p>
    <w:p w14:paraId="3CDC39DF" w14:textId="77777777" w:rsidR="003B4253" w:rsidRPr="00346FE6" w:rsidRDefault="003B4253" w:rsidP="0073020E">
      <w:pPr>
        <w:spacing w:after="120"/>
        <w:jc w:val="both"/>
        <w:outlineLvl w:val="0"/>
        <w:rPr>
          <w:rFonts w:ascii="Arial" w:hAnsi="Arial" w:cs="Arial"/>
          <w:sz w:val="28"/>
          <w:szCs w:val="28"/>
          <w:lang w:val="en-GB"/>
        </w:rPr>
      </w:pPr>
      <w:r w:rsidRPr="00346FE6">
        <w:rPr>
          <w:rFonts w:ascii="Arial" w:hAnsi="Arial" w:cs="Arial"/>
          <w:sz w:val="28"/>
          <w:szCs w:val="28"/>
          <w:lang w:val="en-GB"/>
        </w:rPr>
        <w:t>Consideration of the merits</w:t>
      </w:r>
    </w:p>
    <w:bookmarkEnd w:id="1"/>
    <w:p w14:paraId="64BFB5E5" w14:textId="2D225701" w:rsidR="008661AA" w:rsidRPr="00346FE6" w:rsidRDefault="00D13823" w:rsidP="001777E5">
      <w:pPr>
        <w:spacing w:after="120"/>
        <w:jc w:val="both"/>
        <w:rPr>
          <w:rFonts w:ascii="Arial" w:hAnsi="Arial"/>
          <w:lang w:val="en-GB"/>
        </w:rPr>
      </w:pPr>
      <w:r w:rsidRPr="00346FE6">
        <w:rPr>
          <w:rFonts w:ascii="Arial" w:hAnsi="Arial"/>
          <w:u w:val="single"/>
          <w:lang w:val="en-GB"/>
        </w:rPr>
        <w:t xml:space="preserve">Regarding article </w:t>
      </w:r>
      <w:r w:rsidR="008661AA" w:rsidRPr="00346FE6">
        <w:rPr>
          <w:rFonts w:ascii="Arial" w:hAnsi="Arial"/>
          <w:u w:val="single"/>
          <w:lang w:val="en-GB"/>
        </w:rPr>
        <w:t>29 (a) (i) and (ii)</w:t>
      </w:r>
      <w:r w:rsidRPr="00346FE6">
        <w:rPr>
          <w:rFonts w:ascii="Arial" w:hAnsi="Arial"/>
          <w:lang w:val="en-GB"/>
        </w:rPr>
        <w:t xml:space="preserve">, </w:t>
      </w:r>
      <w:r w:rsidR="00AA2BD2" w:rsidRPr="00346FE6">
        <w:rPr>
          <w:rFonts w:ascii="Arial" w:hAnsi="Arial"/>
          <w:lang w:val="en-GB"/>
        </w:rPr>
        <w:t>t</w:t>
      </w:r>
      <w:r w:rsidRPr="00346FE6">
        <w:rPr>
          <w:rFonts w:ascii="Arial" w:hAnsi="Arial"/>
          <w:lang w:val="en-GB"/>
        </w:rPr>
        <w:t xml:space="preserve">he issue before the Committee is to assess </w:t>
      </w:r>
      <w:r w:rsidR="008661AA" w:rsidRPr="00346FE6">
        <w:rPr>
          <w:rFonts w:ascii="Arial" w:hAnsi="Arial"/>
          <w:lang w:val="en-GB"/>
        </w:rPr>
        <w:t xml:space="preserve">whether the State violated </w:t>
      </w:r>
      <w:r w:rsidR="00967969" w:rsidRPr="00346FE6">
        <w:rPr>
          <w:rFonts w:ascii="Arial" w:hAnsi="Arial"/>
          <w:lang w:val="en-GB"/>
        </w:rPr>
        <w:t>the author’s</w:t>
      </w:r>
      <w:r w:rsidR="008661AA" w:rsidRPr="00346FE6">
        <w:rPr>
          <w:rFonts w:ascii="Arial" w:hAnsi="Arial"/>
          <w:lang w:val="en-GB"/>
        </w:rPr>
        <w:t xml:space="preserve"> rights by failing to provide her with accessible voting procedures and facilities, including through the use of assistive technology.</w:t>
      </w:r>
      <w:r w:rsidR="006342E4" w:rsidRPr="00346FE6">
        <w:rPr>
          <w:rFonts w:ascii="Arial" w:hAnsi="Arial"/>
          <w:lang w:val="en-GB"/>
        </w:rPr>
        <w:t xml:space="preserve"> The Committee recalls that, under article 29, a State is required to adapt its voting procedures, by ensuring that they are appropriate, accessible and easy to understand and use. As concerns the accessibility of voting procedures, the Committee recalls that accessibility is related to groups, whereas reasonable accommodation is related to individuals. This means that the duty to provide ac</w:t>
      </w:r>
      <w:r w:rsidR="00807A50" w:rsidRPr="00346FE6">
        <w:rPr>
          <w:rFonts w:ascii="Arial" w:hAnsi="Arial"/>
          <w:lang w:val="en-GB"/>
        </w:rPr>
        <w:t xml:space="preserve">cessibility is an </w:t>
      </w:r>
      <w:r w:rsidR="00807A50" w:rsidRPr="00184C92">
        <w:rPr>
          <w:rFonts w:ascii="Arial" w:hAnsi="Arial"/>
          <w:i/>
          <w:lang w:val="en-GB"/>
        </w:rPr>
        <w:t>ex ante</w:t>
      </w:r>
      <w:r w:rsidR="00807A50" w:rsidRPr="00346FE6">
        <w:rPr>
          <w:rFonts w:ascii="Arial" w:hAnsi="Arial"/>
          <w:lang w:val="en-GB"/>
        </w:rPr>
        <w:t xml:space="preserve"> duty.</w:t>
      </w:r>
    </w:p>
    <w:p w14:paraId="2A42BA5F" w14:textId="3EB0B2AF" w:rsidR="008661AA" w:rsidRPr="00346FE6" w:rsidRDefault="00563847" w:rsidP="001777E5">
      <w:pPr>
        <w:spacing w:after="120"/>
        <w:jc w:val="both"/>
        <w:rPr>
          <w:rFonts w:ascii="Arial" w:hAnsi="Arial"/>
          <w:lang w:val="en-GB"/>
        </w:rPr>
      </w:pPr>
      <w:r w:rsidRPr="00346FE6">
        <w:rPr>
          <w:rFonts w:ascii="Arial" w:hAnsi="Arial"/>
          <w:lang w:val="en-GB"/>
        </w:rPr>
        <w:t xml:space="preserve">The Committee notes that none of the options available to the author in the 2013 federal election could have enabled her to exercise her right to vote in the way she wanted, namely without having to reveal her political choice to the person accompanying her. The Committee further notes that access to the use of an electronic voting system would have enabled the author to </w:t>
      </w:r>
      <w:r w:rsidR="006969C2" w:rsidRPr="00346FE6">
        <w:rPr>
          <w:rFonts w:ascii="Arial" w:hAnsi="Arial"/>
          <w:lang w:val="en-GB"/>
        </w:rPr>
        <w:t>achieve that</w:t>
      </w:r>
      <w:r w:rsidRPr="00346FE6">
        <w:rPr>
          <w:rFonts w:ascii="Arial" w:hAnsi="Arial"/>
          <w:lang w:val="en-GB"/>
        </w:rPr>
        <w:t>, on equal basis with others.</w:t>
      </w:r>
    </w:p>
    <w:p w14:paraId="5816450F" w14:textId="442E10A5" w:rsidR="0070781A" w:rsidRPr="00346FE6" w:rsidRDefault="00D312A0" w:rsidP="00184C92">
      <w:pPr>
        <w:spacing w:after="120"/>
        <w:jc w:val="both"/>
        <w:rPr>
          <w:rFonts w:ascii="Arial" w:hAnsi="Arial" w:cs="Arial"/>
          <w:lang w:val="en-GB"/>
        </w:rPr>
      </w:pPr>
      <w:r w:rsidRPr="00346FE6">
        <w:rPr>
          <w:rFonts w:ascii="Arial" w:hAnsi="Arial"/>
          <w:lang w:val="en-GB"/>
        </w:rPr>
        <w:t>As to the argument of the State that barriers to accessing existing objects and services should be removed gradually, taking into account limited resources, and that significant increase in cost can constitute a disproportionate burden, the Committee recalls that the obligation to implement accessibility is unconditional.</w:t>
      </w:r>
      <w:r w:rsidR="00C340BB" w:rsidRPr="00346FE6">
        <w:rPr>
          <w:rFonts w:ascii="Arial" w:hAnsi="Arial"/>
          <w:lang w:val="en-GB"/>
        </w:rPr>
        <w:t xml:space="preserve"> </w:t>
      </w:r>
      <w:r w:rsidR="00DE3AED" w:rsidRPr="00346FE6">
        <w:rPr>
          <w:rFonts w:ascii="Arial" w:hAnsi="Arial"/>
          <w:lang w:val="en-GB"/>
        </w:rPr>
        <w:t xml:space="preserve">In </w:t>
      </w:r>
      <w:r w:rsidR="00C340BB" w:rsidRPr="00346FE6">
        <w:rPr>
          <w:rFonts w:ascii="Arial" w:hAnsi="Arial"/>
          <w:lang w:val="en-GB"/>
        </w:rPr>
        <w:t>this</w:t>
      </w:r>
      <w:r w:rsidR="00DE3AED" w:rsidRPr="00346FE6">
        <w:rPr>
          <w:rFonts w:ascii="Arial" w:hAnsi="Arial"/>
          <w:lang w:val="en-GB"/>
        </w:rPr>
        <w:t xml:space="preserve"> case, the Committee </w:t>
      </w:r>
      <w:r w:rsidR="00CE370E" w:rsidRPr="00346FE6">
        <w:rPr>
          <w:rFonts w:ascii="Arial" w:hAnsi="Arial"/>
          <w:lang w:val="en-GB"/>
        </w:rPr>
        <w:t>notes</w:t>
      </w:r>
      <w:r w:rsidR="00DE3AED" w:rsidRPr="00346FE6">
        <w:rPr>
          <w:rFonts w:ascii="Arial" w:hAnsi="Arial"/>
          <w:lang w:val="en-GB"/>
        </w:rPr>
        <w:t xml:space="preserve"> that the electronic voting option has been widely used for persons with visual impairments in New South Wales State elections since 2011. It also notes that the State has not provided any information that could justify the claim that the use of such an electronic voting option would have constituted a disproportionate burden, so as to prevent its use in the 2013 federal election for the author and for all persons requiring such accommodation.</w:t>
      </w:r>
    </w:p>
    <w:p w14:paraId="17952BB1" w14:textId="77777777" w:rsidR="001021CE" w:rsidRPr="00346FE6" w:rsidRDefault="001021CE" w:rsidP="0073020E">
      <w:pPr>
        <w:spacing w:after="120"/>
        <w:jc w:val="both"/>
        <w:outlineLvl w:val="0"/>
        <w:rPr>
          <w:rFonts w:ascii="Arial" w:hAnsi="Arial" w:cs="Arial"/>
          <w:sz w:val="28"/>
          <w:szCs w:val="28"/>
          <w:lang w:val="en-GB"/>
        </w:rPr>
      </w:pPr>
      <w:r w:rsidRPr="00346FE6">
        <w:rPr>
          <w:rFonts w:ascii="Arial" w:hAnsi="Arial" w:cs="Arial"/>
          <w:sz w:val="28"/>
          <w:szCs w:val="28"/>
          <w:lang w:val="en-GB"/>
        </w:rPr>
        <w:t>Conclusion</w:t>
      </w:r>
    </w:p>
    <w:p w14:paraId="129C03A2" w14:textId="79B1D6CC" w:rsidR="00A2436A" w:rsidRPr="00346FE6" w:rsidRDefault="00972FDB" w:rsidP="001777E5">
      <w:pPr>
        <w:spacing w:after="120"/>
        <w:jc w:val="both"/>
        <w:rPr>
          <w:rFonts w:ascii="Arial" w:hAnsi="Arial" w:cs="Verdana"/>
          <w:lang w:val="en-GB" w:eastAsia="fr-FR"/>
        </w:rPr>
      </w:pPr>
      <w:r w:rsidRPr="00346FE6">
        <w:rPr>
          <w:rFonts w:ascii="Arial" w:hAnsi="Arial" w:cs="Arial"/>
          <w:lang w:val="en-GB"/>
        </w:rPr>
        <w:t xml:space="preserve">In the light of the above, the Committee concludes that the State has failed to fulfil its obligations </w:t>
      </w:r>
      <w:r w:rsidR="00343FEB" w:rsidRPr="00346FE6">
        <w:rPr>
          <w:rFonts w:ascii="Arial" w:hAnsi="Arial" w:cs="Arial"/>
          <w:lang w:val="en-GB"/>
        </w:rPr>
        <w:t>under article 29 (a) (i) and (ii), read alone and in conjunction with articles 5 (2), 4 (1) (a), (b), (d), (e) and (g) and 9 (1) and (2) (g) of the Convention</w:t>
      </w:r>
      <w:r w:rsidR="000247AE" w:rsidRPr="00346FE6">
        <w:rPr>
          <w:rFonts w:ascii="Arial" w:hAnsi="Arial" w:cs="Verdana"/>
          <w:lang w:val="en-GB" w:eastAsia="fr-FR"/>
        </w:rPr>
        <w:t>, and recommends</w:t>
      </w:r>
      <w:r w:rsidR="000A772F" w:rsidRPr="00346FE6">
        <w:rPr>
          <w:rFonts w:ascii="Arial" w:hAnsi="Arial" w:cs="Verdana"/>
          <w:lang w:val="en-GB" w:eastAsia="fr-FR"/>
        </w:rPr>
        <w:t>:</w:t>
      </w:r>
    </w:p>
    <w:p w14:paraId="09EA5678" w14:textId="7A7AFEE0" w:rsidR="00BC5609" w:rsidRPr="00346FE6" w:rsidRDefault="00C64652" w:rsidP="001777E5">
      <w:pPr>
        <w:spacing w:after="120"/>
        <w:jc w:val="both"/>
        <w:rPr>
          <w:rFonts w:ascii="Arial" w:hAnsi="Arial" w:cs="Verdana"/>
          <w:lang w:val="en-GB" w:eastAsia="fr-FR"/>
        </w:rPr>
      </w:pPr>
      <w:r w:rsidRPr="00346FE6">
        <w:rPr>
          <w:rFonts w:ascii="Arial" w:hAnsi="Arial" w:cs="Verdana"/>
          <w:u w:val="single"/>
          <w:lang w:val="en-GB" w:eastAsia="fr-FR"/>
        </w:rPr>
        <w:t>Regarding the author</w:t>
      </w:r>
      <w:r w:rsidRPr="00346FE6">
        <w:rPr>
          <w:rFonts w:ascii="Arial" w:hAnsi="Arial" w:cs="Verdana"/>
          <w:lang w:val="en-GB" w:eastAsia="fr-FR"/>
        </w:rPr>
        <w:t>:</w:t>
      </w:r>
      <w:r w:rsidR="00522698" w:rsidRPr="00346FE6">
        <w:rPr>
          <w:rFonts w:ascii="Arial" w:hAnsi="Arial" w:cs="Verdana"/>
          <w:lang w:val="en-GB" w:eastAsia="fr-FR"/>
        </w:rPr>
        <w:t xml:space="preserve"> </w:t>
      </w:r>
      <w:r w:rsidR="000247AE" w:rsidRPr="00346FE6">
        <w:rPr>
          <w:rFonts w:ascii="Arial" w:hAnsi="Arial" w:cs="Verdana"/>
          <w:lang w:val="en-GB" w:eastAsia="fr-FR"/>
        </w:rPr>
        <w:t>t</w:t>
      </w:r>
      <w:r w:rsidR="00A2436A" w:rsidRPr="00346FE6">
        <w:rPr>
          <w:rFonts w:ascii="Arial" w:hAnsi="Arial" w:cs="Verdana"/>
          <w:lang w:val="en-GB" w:eastAsia="fr-FR"/>
        </w:rPr>
        <w:t xml:space="preserve">o provide </w:t>
      </w:r>
      <w:r w:rsidR="00715D24" w:rsidRPr="00346FE6">
        <w:rPr>
          <w:rFonts w:ascii="Arial" w:hAnsi="Arial" w:cs="Verdana"/>
          <w:lang w:val="en-GB" w:eastAsia="fr-FR"/>
        </w:rPr>
        <w:t>her</w:t>
      </w:r>
      <w:r w:rsidR="00A2436A" w:rsidRPr="00346FE6">
        <w:rPr>
          <w:rFonts w:ascii="Arial" w:hAnsi="Arial" w:cs="Verdana"/>
          <w:lang w:val="en-GB" w:eastAsia="fr-FR"/>
        </w:rPr>
        <w:t xml:space="preserve"> with an effective remedy, including </w:t>
      </w:r>
      <w:r w:rsidR="00C21447" w:rsidRPr="00346FE6">
        <w:rPr>
          <w:rFonts w:ascii="Arial" w:hAnsi="Arial" w:cs="Verdana"/>
          <w:lang w:val="en-GB" w:eastAsia="fr-FR"/>
        </w:rPr>
        <w:t xml:space="preserve">compensation for </w:t>
      </w:r>
      <w:r w:rsidR="00261A26" w:rsidRPr="00346FE6">
        <w:rPr>
          <w:rFonts w:ascii="Arial" w:hAnsi="Arial" w:cs="Verdana"/>
          <w:lang w:val="en-GB" w:eastAsia="fr-FR"/>
        </w:rPr>
        <w:t xml:space="preserve">any </w:t>
      </w:r>
      <w:r w:rsidR="00A2436A" w:rsidRPr="00346FE6">
        <w:rPr>
          <w:rFonts w:ascii="Arial" w:hAnsi="Arial" w:cs="Verdana"/>
          <w:lang w:val="en-GB" w:eastAsia="fr-FR"/>
        </w:rPr>
        <w:t xml:space="preserve">legal costs </w:t>
      </w:r>
      <w:r w:rsidR="00261A26" w:rsidRPr="00346FE6">
        <w:rPr>
          <w:rFonts w:ascii="Arial" w:hAnsi="Arial" w:cs="Verdana"/>
          <w:lang w:val="en-GB" w:eastAsia="fr-FR"/>
        </w:rPr>
        <w:t>incurred</w:t>
      </w:r>
      <w:r w:rsidR="00C21447" w:rsidRPr="00346FE6">
        <w:rPr>
          <w:rFonts w:ascii="Arial" w:hAnsi="Arial" w:cs="Verdana"/>
          <w:lang w:val="en-GB" w:eastAsia="fr-FR"/>
        </w:rPr>
        <w:t>;</w:t>
      </w:r>
      <w:r w:rsidR="000247AE" w:rsidRPr="00346FE6">
        <w:rPr>
          <w:rFonts w:ascii="Arial" w:hAnsi="Arial" w:cs="Verdana"/>
          <w:lang w:val="en-GB" w:eastAsia="fr-FR"/>
        </w:rPr>
        <w:t xml:space="preserve"> </w:t>
      </w:r>
      <w:r w:rsidR="0065246E" w:rsidRPr="00346FE6">
        <w:rPr>
          <w:rFonts w:ascii="Arial" w:hAnsi="Arial" w:cs="Verdana"/>
          <w:lang w:val="en-GB" w:eastAsia="fr-FR"/>
        </w:rPr>
        <w:t xml:space="preserve">and </w:t>
      </w:r>
      <w:r w:rsidR="000247AE" w:rsidRPr="00346FE6">
        <w:rPr>
          <w:rFonts w:ascii="Arial" w:hAnsi="Arial" w:cs="Verdana"/>
          <w:lang w:val="en-GB" w:eastAsia="fr-FR"/>
        </w:rPr>
        <w:t>to take adequate measures to ensure that the author has access to voting procedures and facilities that will enable her to vote by secret ballot without having to reveal her voting intention in all future elections and referendums in the State</w:t>
      </w:r>
      <w:r w:rsidR="00715D24" w:rsidRPr="00346FE6">
        <w:rPr>
          <w:rFonts w:ascii="Arial" w:hAnsi="Arial" w:cs="Verdana"/>
          <w:lang w:val="en-GB" w:eastAsia="fr-FR"/>
        </w:rPr>
        <w:t>.</w:t>
      </w:r>
    </w:p>
    <w:p w14:paraId="1F02265E" w14:textId="32628050" w:rsidR="00901ED0" w:rsidRDefault="007C2096" w:rsidP="00072FE5">
      <w:pPr>
        <w:spacing w:after="0"/>
        <w:jc w:val="both"/>
        <w:rPr>
          <w:rFonts w:ascii="Arial" w:hAnsi="Arial" w:cs="Verdana"/>
          <w:lang w:val="en-GB" w:eastAsia="fr-FR"/>
        </w:rPr>
      </w:pPr>
      <w:r w:rsidRPr="00901ED0">
        <w:rPr>
          <w:rFonts w:ascii="Arial" w:hAnsi="Arial" w:cs="Verdana"/>
          <w:u w:val="single"/>
          <w:lang w:val="en-GB" w:eastAsia="fr-FR"/>
        </w:rPr>
        <w:t>As general measures</w:t>
      </w:r>
      <w:r w:rsidRPr="00184C92">
        <w:rPr>
          <w:rFonts w:ascii="Arial" w:hAnsi="Arial" w:cs="Verdana"/>
          <w:u w:val="single"/>
          <w:lang w:val="en-GB" w:eastAsia="fr-FR"/>
        </w:rPr>
        <w:t xml:space="preserve"> </w:t>
      </w:r>
      <w:r w:rsidR="000247AE" w:rsidRPr="00184C92">
        <w:rPr>
          <w:rFonts w:ascii="Arial" w:hAnsi="Arial" w:cs="Verdana"/>
          <w:u w:val="single"/>
          <w:lang w:val="en-GB" w:eastAsia="fr-FR"/>
        </w:rPr>
        <w:t>t</w:t>
      </w:r>
      <w:r w:rsidRPr="00184C92">
        <w:rPr>
          <w:rFonts w:ascii="Arial" w:hAnsi="Arial" w:cs="Verdana"/>
          <w:u w:val="single"/>
          <w:lang w:val="en-GB" w:eastAsia="fr-FR"/>
        </w:rPr>
        <w:t xml:space="preserve">o </w:t>
      </w:r>
      <w:r w:rsidR="00A2436A" w:rsidRPr="00184C92">
        <w:rPr>
          <w:rFonts w:ascii="Arial" w:hAnsi="Arial" w:cs="Verdana"/>
          <w:u w:val="single"/>
          <w:lang w:val="en-GB" w:eastAsia="fr-FR"/>
        </w:rPr>
        <w:t>prevent similar violations in the future</w:t>
      </w:r>
      <w:r w:rsidR="00901ED0">
        <w:rPr>
          <w:rFonts w:ascii="Arial" w:hAnsi="Arial" w:cs="Verdana"/>
          <w:lang w:val="en-GB" w:eastAsia="fr-FR"/>
        </w:rPr>
        <w:t>:</w:t>
      </w:r>
      <w:r w:rsidR="00A2436A" w:rsidRPr="00346FE6">
        <w:rPr>
          <w:rFonts w:ascii="Arial" w:hAnsi="Arial" w:cs="Verdana"/>
          <w:lang w:val="en-GB" w:eastAsia="fr-FR"/>
        </w:rPr>
        <w:t xml:space="preserve"> </w:t>
      </w:r>
    </w:p>
    <w:p w14:paraId="63463E6C" w14:textId="6B25E9B5" w:rsidR="00901ED0" w:rsidRDefault="00905B20" w:rsidP="00072FE5">
      <w:pPr>
        <w:spacing w:after="0"/>
        <w:jc w:val="both"/>
        <w:rPr>
          <w:rFonts w:ascii="Arial" w:hAnsi="Arial" w:cs="Verdana"/>
          <w:lang w:val="en-GB" w:eastAsia="fr-FR"/>
        </w:rPr>
      </w:pPr>
      <w:r w:rsidRPr="00346FE6">
        <w:rPr>
          <w:rFonts w:ascii="Arial" w:hAnsi="Arial" w:cs="Verdana"/>
          <w:lang w:val="en-GB" w:eastAsia="fr-FR"/>
        </w:rPr>
        <w:t xml:space="preserve">(i) to </w:t>
      </w:r>
      <w:r w:rsidR="000C5EC4" w:rsidRPr="00346FE6">
        <w:rPr>
          <w:rFonts w:ascii="Arial" w:hAnsi="Arial" w:cs="Verdana"/>
          <w:lang w:val="en-GB" w:eastAsia="fr-FR"/>
        </w:rPr>
        <w:t>consider amending the Electoral Act in order to ensure that electronic voting options are available and accessible to all people with disabilities, whatever the types of impairment</w:t>
      </w:r>
      <w:r w:rsidR="00A93881" w:rsidRPr="00346FE6">
        <w:rPr>
          <w:rFonts w:ascii="Arial" w:hAnsi="Arial" w:cs="Verdana"/>
          <w:lang w:val="en-GB" w:eastAsia="fr-FR"/>
        </w:rPr>
        <w:t xml:space="preserve">; </w:t>
      </w:r>
    </w:p>
    <w:p w14:paraId="26226081" w14:textId="60CECC45" w:rsidR="00901ED0" w:rsidRDefault="00A93881" w:rsidP="00072FE5">
      <w:pPr>
        <w:spacing w:after="0"/>
        <w:jc w:val="both"/>
        <w:rPr>
          <w:rFonts w:ascii="Arial" w:hAnsi="Arial" w:cs="Verdana"/>
          <w:lang w:val="en-GB" w:eastAsia="fr-FR"/>
        </w:rPr>
      </w:pPr>
      <w:r w:rsidRPr="00346FE6">
        <w:rPr>
          <w:rFonts w:ascii="Arial" w:hAnsi="Arial" w:cs="Verdana"/>
          <w:lang w:val="en-GB" w:eastAsia="fr-FR"/>
        </w:rPr>
        <w:t xml:space="preserve">(ii) </w:t>
      </w:r>
      <w:r w:rsidR="00905B20" w:rsidRPr="00346FE6">
        <w:rPr>
          <w:rFonts w:ascii="Arial" w:hAnsi="Arial" w:cs="Verdana"/>
          <w:lang w:val="en-GB" w:eastAsia="fr-FR"/>
        </w:rPr>
        <w:t xml:space="preserve">to </w:t>
      </w:r>
      <w:r w:rsidRPr="00346FE6">
        <w:rPr>
          <w:rFonts w:ascii="Arial" w:hAnsi="Arial" w:cs="Verdana"/>
          <w:lang w:val="en-GB" w:eastAsia="fr-FR"/>
        </w:rPr>
        <w:t>uphold, and guarantee in practice, the right to vote for persons with disabilities, on an equal basis with others</w:t>
      </w:r>
      <w:r w:rsidR="00236268" w:rsidRPr="00346FE6">
        <w:rPr>
          <w:rFonts w:ascii="Arial" w:hAnsi="Arial" w:cs="Verdana"/>
          <w:lang w:val="en-GB" w:eastAsia="fr-FR"/>
        </w:rPr>
        <w:t xml:space="preserve"> by ensuring that voting procedures, facilities and materials are appropriate, accessible and easy to understand and use, and protect the</w:t>
      </w:r>
      <w:r w:rsidR="00901ED0">
        <w:rPr>
          <w:rFonts w:ascii="Arial" w:hAnsi="Arial" w:cs="Verdana"/>
          <w:lang w:val="en-GB" w:eastAsia="fr-FR"/>
        </w:rPr>
        <w:t>ir</w:t>
      </w:r>
      <w:r w:rsidR="00236268" w:rsidRPr="00346FE6">
        <w:rPr>
          <w:rFonts w:ascii="Arial" w:hAnsi="Arial" w:cs="Verdana"/>
          <w:lang w:val="en-GB" w:eastAsia="fr-FR"/>
        </w:rPr>
        <w:t xml:space="preserve"> right to vote by secret ballot through the use of assistive technologies; and </w:t>
      </w:r>
    </w:p>
    <w:p w14:paraId="5838E631" w14:textId="0FDCEE30" w:rsidR="000C5EC4" w:rsidRDefault="00236268" w:rsidP="00072FE5">
      <w:pPr>
        <w:spacing w:after="0"/>
        <w:jc w:val="both"/>
        <w:rPr>
          <w:rFonts w:ascii="Arial" w:hAnsi="Arial" w:cs="Verdana"/>
          <w:lang w:val="en-GB" w:eastAsia="fr-FR"/>
        </w:rPr>
      </w:pPr>
      <w:r w:rsidRPr="00346FE6">
        <w:rPr>
          <w:rFonts w:ascii="Arial" w:hAnsi="Arial" w:cs="Verdana"/>
          <w:lang w:val="en-GB" w:eastAsia="fr-FR"/>
        </w:rPr>
        <w:t xml:space="preserve">(iii) </w:t>
      </w:r>
      <w:r w:rsidR="008D7571" w:rsidRPr="00346FE6">
        <w:rPr>
          <w:rFonts w:ascii="Arial" w:hAnsi="Arial" w:cs="Verdana"/>
          <w:lang w:val="en-GB" w:eastAsia="fr-FR"/>
        </w:rPr>
        <w:t xml:space="preserve">to </w:t>
      </w:r>
      <w:r w:rsidRPr="00346FE6">
        <w:rPr>
          <w:rFonts w:ascii="Arial" w:hAnsi="Arial" w:cs="Verdana"/>
          <w:lang w:val="en-GB" w:eastAsia="fr-FR"/>
        </w:rPr>
        <w:t>consider amending the Electoral Act in order to ensure that, in cases where assistance by another person may be necessary to enable a voter to cast his or her vote, the person providing such assistance is under an obligation to maintain the confidentiality of that vote.</w:t>
      </w:r>
    </w:p>
    <w:p w14:paraId="1AE90683" w14:textId="77777777" w:rsidR="00C15E3A" w:rsidRDefault="00C15E3A" w:rsidP="00072FE5">
      <w:pPr>
        <w:spacing w:after="0"/>
        <w:jc w:val="both"/>
        <w:rPr>
          <w:rFonts w:ascii="Arial" w:hAnsi="Arial" w:cs="Verdana"/>
          <w:lang w:val="en-GB" w:eastAsia="fr-FR"/>
        </w:rPr>
      </w:pPr>
    </w:p>
    <w:p w14:paraId="78AB99D7" w14:textId="77777777" w:rsidR="00C15E3A" w:rsidRPr="00B33DE6" w:rsidRDefault="00C15E3A" w:rsidP="00072FE5">
      <w:pPr>
        <w:spacing w:after="0"/>
        <w:jc w:val="both"/>
        <w:rPr>
          <w:rFonts w:ascii="Arial" w:hAnsi="Arial" w:cs="Verdana"/>
          <w:lang w:val="en-GB" w:eastAsia="fr-FR"/>
        </w:rPr>
      </w:pPr>
    </w:p>
    <w:sectPr w:rsidR="00C15E3A" w:rsidRPr="00B33DE6" w:rsidSect="001021CE">
      <w:footerReference w:type="defaul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A48B" w14:textId="77777777" w:rsidR="00A026A6" w:rsidRDefault="00A026A6" w:rsidP="001021CE">
      <w:pPr>
        <w:spacing w:after="0" w:line="240" w:lineRule="auto"/>
      </w:pPr>
      <w:r>
        <w:separator/>
      </w:r>
    </w:p>
  </w:endnote>
  <w:endnote w:type="continuationSeparator" w:id="0">
    <w:p w14:paraId="6F846C78" w14:textId="77777777" w:rsidR="00A026A6" w:rsidRDefault="00A026A6" w:rsidP="001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6F0F" w14:textId="77777777" w:rsidR="00A46CA3" w:rsidRPr="00CE7185" w:rsidRDefault="00A46CA3">
    <w:pPr>
      <w:pStyle w:val="Footer"/>
      <w:jc w:val="right"/>
      <w:rPr>
        <w:rFonts w:ascii="Arial" w:hAnsi="Arial" w:cs="Arial"/>
        <w:sz w:val="18"/>
        <w:szCs w:val="18"/>
      </w:rPr>
    </w:pPr>
    <w:r w:rsidRPr="00522698">
      <w:rPr>
        <w:rFonts w:ascii="Arial" w:hAnsi="Arial" w:cs="Arial"/>
        <w:sz w:val="18"/>
        <w:szCs w:val="18"/>
      </w:rPr>
      <w:fldChar w:fldCharType="begin"/>
    </w:r>
    <w:r w:rsidRPr="00522698">
      <w:rPr>
        <w:rFonts w:ascii="Arial" w:hAnsi="Arial" w:cs="Arial"/>
        <w:sz w:val="18"/>
        <w:szCs w:val="18"/>
      </w:rPr>
      <w:instrText>PAGE   \* MERGEFORMAT</w:instrText>
    </w:r>
    <w:r w:rsidRPr="00522698">
      <w:rPr>
        <w:rFonts w:ascii="Arial" w:hAnsi="Arial" w:cs="Arial"/>
        <w:sz w:val="18"/>
        <w:szCs w:val="18"/>
      </w:rPr>
      <w:fldChar w:fldCharType="separate"/>
    </w:r>
    <w:r w:rsidR="00A026A6">
      <w:rPr>
        <w:rFonts w:ascii="Arial" w:hAnsi="Arial" w:cs="Arial"/>
        <w:noProof/>
        <w:sz w:val="18"/>
        <w:szCs w:val="18"/>
      </w:rPr>
      <w:t>1</w:t>
    </w:r>
    <w:r w:rsidRPr="00522698">
      <w:rPr>
        <w:rFonts w:ascii="Arial" w:hAnsi="Arial" w:cs="Arial"/>
        <w:sz w:val="18"/>
        <w:szCs w:val="18"/>
      </w:rPr>
      <w:fldChar w:fldCharType="end"/>
    </w:r>
  </w:p>
  <w:p w14:paraId="0F695D3B" w14:textId="77777777" w:rsidR="00A46CA3" w:rsidRDefault="00A46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63B2" w14:textId="77777777" w:rsidR="00A026A6" w:rsidRDefault="00A026A6" w:rsidP="001021CE">
      <w:pPr>
        <w:spacing w:after="0" w:line="240" w:lineRule="auto"/>
      </w:pPr>
      <w:r>
        <w:separator/>
      </w:r>
    </w:p>
  </w:footnote>
  <w:footnote w:type="continuationSeparator" w:id="0">
    <w:p w14:paraId="30F07291" w14:textId="77777777" w:rsidR="00A026A6" w:rsidRDefault="00A026A6" w:rsidP="001021CE">
      <w:pPr>
        <w:spacing w:after="0" w:line="240" w:lineRule="auto"/>
      </w:pPr>
      <w:r>
        <w:continuationSeparator/>
      </w:r>
    </w:p>
  </w:footnote>
  <w:footnote w:id="1">
    <w:p w14:paraId="21E9304B" w14:textId="741E7F83" w:rsidR="00A46CA3" w:rsidRPr="00575A24" w:rsidRDefault="00A46CA3" w:rsidP="001021CE">
      <w:pPr>
        <w:spacing w:after="0"/>
        <w:jc w:val="both"/>
        <w:rPr>
          <w:rFonts w:ascii="Arial" w:hAnsi="Arial" w:cs="Arial"/>
          <w:sz w:val="18"/>
          <w:szCs w:val="18"/>
          <w:lang w:val="en-GB"/>
        </w:rPr>
      </w:pPr>
      <w:r w:rsidRPr="000E3E18">
        <w:rPr>
          <w:rStyle w:val="FootnoteReference"/>
          <w:rFonts w:ascii="Arial" w:hAnsi="Arial"/>
          <w:sz w:val="16"/>
          <w:szCs w:val="16"/>
        </w:rPr>
        <w:footnoteRef/>
      </w:r>
      <w:r w:rsidRPr="000E3E18">
        <w:rPr>
          <w:rFonts w:ascii="Arial" w:hAnsi="Arial"/>
          <w:sz w:val="16"/>
          <w:szCs w:val="16"/>
          <w:lang w:val="en-US"/>
        </w:rPr>
        <w:t xml:space="preserve"> </w:t>
      </w:r>
      <w:r w:rsidRPr="000E3E18">
        <w:rPr>
          <w:rFonts w:ascii="Arial" w:hAnsi="Arial" w:cs="Arial"/>
          <w:sz w:val="16"/>
          <w:szCs w:val="16"/>
          <w:lang w:val="en-GB"/>
        </w:rPr>
        <w:t>T</w:t>
      </w:r>
      <w:r w:rsidRPr="00FD4FA3">
        <w:rPr>
          <w:rFonts w:ascii="Arial" w:hAnsi="Arial" w:cs="Arial"/>
          <w:sz w:val="16"/>
          <w:szCs w:val="16"/>
          <w:lang w:val="en-GB"/>
        </w:rPr>
        <w:t xml:space="preserve">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2000"/>
    <w:multiLevelType w:val="hybridMultilevel"/>
    <w:tmpl w:val="F46C8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464E15"/>
    <w:multiLevelType w:val="hybridMultilevel"/>
    <w:tmpl w:val="598A71E0"/>
    <w:lvl w:ilvl="0" w:tplc="D82C95D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853CC9"/>
    <w:multiLevelType w:val="hybridMultilevel"/>
    <w:tmpl w:val="3200A0BA"/>
    <w:lvl w:ilvl="0" w:tplc="C624C9BA">
      <w:start w:val="1"/>
      <w:numFmt w:val="bullet"/>
      <w:lvlText w:val=""/>
      <w:lvlJc w:val="left"/>
      <w:pPr>
        <w:ind w:left="720" w:hanging="360"/>
      </w:pPr>
      <w:rPr>
        <w:rFonts w:ascii="Symbol" w:hAnsi="Symbol" w:hint="default"/>
        <w:sz w:val="22"/>
        <w:szCs w:val="22"/>
      </w:rPr>
    </w:lvl>
    <w:lvl w:ilvl="1" w:tplc="9342B6B8">
      <w:start w:val="1"/>
      <w:numFmt w:val="bullet"/>
      <w:lvlText w:val="o"/>
      <w:lvlJc w:val="left"/>
      <w:pPr>
        <w:ind w:left="1440" w:hanging="360"/>
      </w:pPr>
      <w:rPr>
        <w:rFonts w:ascii="Courier New" w:hAnsi="Courier New" w:cs="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B1"/>
    <w:rsid w:val="0000161F"/>
    <w:rsid w:val="00006564"/>
    <w:rsid w:val="000072FB"/>
    <w:rsid w:val="0001112B"/>
    <w:rsid w:val="0001181D"/>
    <w:rsid w:val="00013F78"/>
    <w:rsid w:val="00016209"/>
    <w:rsid w:val="000178E3"/>
    <w:rsid w:val="00021F81"/>
    <w:rsid w:val="00022A87"/>
    <w:rsid w:val="000247AE"/>
    <w:rsid w:val="000510A3"/>
    <w:rsid w:val="000513AD"/>
    <w:rsid w:val="00072893"/>
    <w:rsid w:val="00072FE5"/>
    <w:rsid w:val="00074F6E"/>
    <w:rsid w:val="00075D60"/>
    <w:rsid w:val="00077A65"/>
    <w:rsid w:val="0008091D"/>
    <w:rsid w:val="0008243F"/>
    <w:rsid w:val="00084BF0"/>
    <w:rsid w:val="00086C1A"/>
    <w:rsid w:val="00094D46"/>
    <w:rsid w:val="00094E7A"/>
    <w:rsid w:val="000A04F0"/>
    <w:rsid w:val="000A3E28"/>
    <w:rsid w:val="000A4403"/>
    <w:rsid w:val="000A4FE6"/>
    <w:rsid w:val="000A728D"/>
    <w:rsid w:val="000A772F"/>
    <w:rsid w:val="000B5D46"/>
    <w:rsid w:val="000B6AB7"/>
    <w:rsid w:val="000C33D4"/>
    <w:rsid w:val="000C4913"/>
    <w:rsid w:val="000C5EC4"/>
    <w:rsid w:val="000C796F"/>
    <w:rsid w:val="000E18A6"/>
    <w:rsid w:val="000E3E18"/>
    <w:rsid w:val="000F34C8"/>
    <w:rsid w:val="000F5631"/>
    <w:rsid w:val="000F5C4F"/>
    <w:rsid w:val="000F7004"/>
    <w:rsid w:val="00100B4B"/>
    <w:rsid w:val="001021CE"/>
    <w:rsid w:val="00106BF6"/>
    <w:rsid w:val="0010718F"/>
    <w:rsid w:val="001108F3"/>
    <w:rsid w:val="00112DE2"/>
    <w:rsid w:val="00112F58"/>
    <w:rsid w:val="0011364C"/>
    <w:rsid w:val="00116F6C"/>
    <w:rsid w:val="0011799A"/>
    <w:rsid w:val="00121956"/>
    <w:rsid w:val="001252BA"/>
    <w:rsid w:val="00126333"/>
    <w:rsid w:val="00127054"/>
    <w:rsid w:val="00134C3E"/>
    <w:rsid w:val="00135BE6"/>
    <w:rsid w:val="001406E9"/>
    <w:rsid w:val="00151EDD"/>
    <w:rsid w:val="0015649E"/>
    <w:rsid w:val="00167C98"/>
    <w:rsid w:val="00167DCE"/>
    <w:rsid w:val="00173FCA"/>
    <w:rsid w:val="001777E5"/>
    <w:rsid w:val="00177A49"/>
    <w:rsid w:val="001811BA"/>
    <w:rsid w:val="0018203D"/>
    <w:rsid w:val="00182E96"/>
    <w:rsid w:val="001830DF"/>
    <w:rsid w:val="00183F6E"/>
    <w:rsid w:val="00184C92"/>
    <w:rsid w:val="00185811"/>
    <w:rsid w:val="00187328"/>
    <w:rsid w:val="00191F02"/>
    <w:rsid w:val="0019467E"/>
    <w:rsid w:val="001A0B25"/>
    <w:rsid w:val="001A33E4"/>
    <w:rsid w:val="001A3EF7"/>
    <w:rsid w:val="001B0577"/>
    <w:rsid w:val="001C02B2"/>
    <w:rsid w:val="001D59C4"/>
    <w:rsid w:val="001E20BF"/>
    <w:rsid w:val="001E657C"/>
    <w:rsid w:val="001F504D"/>
    <w:rsid w:val="002029C5"/>
    <w:rsid w:val="00207F10"/>
    <w:rsid w:val="002105A9"/>
    <w:rsid w:val="0022632D"/>
    <w:rsid w:val="002315D4"/>
    <w:rsid w:val="002322A4"/>
    <w:rsid w:val="002339E1"/>
    <w:rsid w:val="00236268"/>
    <w:rsid w:val="00241562"/>
    <w:rsid w:val="002430B3"/>
    <w:rsid w:val="002443DD"/>
    <w:rsid w:val="002475DD"/>
    <w:rsid w:val="00252764"/>
    <w:rsid w:val="0025299B"/>
    <w:rsid w:val="00253EE3"/>
    <w:rsid w:val="00261A26"/>
    <w:rsid w:val="00270A25"/>
    <w:rsid w:val="0027505E"/>
    <w:rsid w:val="00276A4B"/>
    <w:rsid w:val="002827B6"/>
    <w:rsid w:val="00295E7B"/>
    <w:rsid w:val="002A1459"/>
    <w:rsid w:val="002A4EFC"/>
    <w:rsid w:val="002B03AF"/>
    <w:rsid w:val="002B2E2D"/>
    <w:rsid w:val="002B56CB"/>
    <w:rsid w:val="002B7A33"/>
    <w:rsid w:val="002C5326"/>
    <w:rsid w:val="002D143D"/>
    <w:rsid w:val="002D249C"/>
    <w:rsid w:val="002D3FF4"/>
    <w:rsid w:val="002D5079"/>
    <w:rsid w:val="002E42D2"/>
    <w:rsid w:val="002E636B"/>
    <w:rsid w:val="002E7D35"/>
    <w:rsid w:val="003011A5"/>
    <w:rsid w:val="0030288F"/>
    <w:rsid w:val="00304AA5"/>
    <w:rsid w:val="00306238"/>
    <w:rsid w:val="00316601"/>
    <w:rsid w:val="00317AC1"/>
    <w:rsid w:val="00320A5C"/>
    <w:rsid w:val="00324A29"/>
    <w:rsid w:val="00333E5A"/>
    <w:rsid w:val="00343FEB"/>
    <w:rsid w:val="00346FE6"/>
    <w:rsid w:val="0034727F"/>
    <w:rsid w:val="00350803"/>
    <w:rsid w:val="00356A35"/>
    <w:rsid w:val="00365327"/>
    <w:rsid w:val="00372AC3"/>
    <w:rsid w:val="00374294"/>
    <w:rsid w:val="0038097C"/>
    <w:rsid w:val="00381004"/>
    <w:rsid w:val="0038176D"/>
    <w:rsid w:val="00385C90"/>
    <w:rsid w:val="00397CFC"/>
    <w:rsid w:val="003A3A94"/>
    <w:rsid w:val="003A508C"/>
    <w:rsid w:val="003A6287"/>
    <w:rsid w:val="003A674C"/>
    <w:rsid w:val="003B1FF5"/>
    <w:rsid w:val="003B4253"/>
    <w:rsid w:val="003B46BB"/>
    <w:rsid w:val="003C2147"/>
    <w:rsid w:val="003C4598"/>
    <w:rsid w:val="003D26B1"/>
    <w:rsid w:val="003D509D"/>
    <w:rsid w:val="003D7895"/>
    <w:rsid w:val="003E2639"/>
    <w:rsid w:val="003E585D"/>
    <w:rsid w:val="003E7091"/>
    <w:rsid w:val="003F1E21"/>
    <w:rsid w:val="003F50C7"/>
    <w:rsid w:val="00406241"/>
    <w:rsid w:val="00410A46"/>
    <w:rsid w:val="00413FFA"/>
    <w:rsid w:val="00420706"/>
    <w:rsid w:val="00421DB7"/>
    <w:rsid w:val="00422F2F"/>
    <w:rsid w:val="004250AB"/>
    <w:rsid w:val="00432059"/>
    <w:rsid w:val="00432B5F"/>
    <w:rsid w:val="0043367A"/>
    <w:rsid w:val="004350CD"/>
    <w:rsid w:val="00440A01"/>
    <w:rsid w:val="00443576"/>
    <w:rsid w:val="00444987"/>
    <w:rsid w:val="00450884"/>
    <w:rsid w:val="00454B93"/>
    <w:rsid w:val="00467A65"/>
    <w:rsid w:val="00467E34"/>
    <w:rsid w:val="0047377E"/>
    <w:rsid w:val="00486EF9"/>
    <w:rsid w:val="004875C1"/>
    <w:rsid w:val="004A1D19"/>
    <w:rsid w:val="004A2E9C"/>
    <w:rsid w:val="004A4973"/>
    <w:rsid w:val="004A7E7B"/>
    <w:rsid w:val="004B310B"/>
    <w:rsid w:val="004B4C72"/>
    <w:rsid w:val="004C0066"/>
    <w:rsid w:val="004C1BD7"/>
    <w:rsid w:val="004C2CF1"/>
    <w:rsid w:val="004C4E79"/>
    <w:rsid w:val="004C59AD"/>
    <w:rsid w:val="004C72EF"/>
    <w:rsid w:val="004E04E8"/>
    <w:rsid w:val="004E2DC7"/>
    <w:rsid w:val="004E2E0D"/>
    <w:rsid w:val="004F0670"/>
    <w:rsid w:val="004F0F9C"/>
    <w:rsid w:val="004F177D"/>
    <w:rsid w:val="004F1D3F"/>
    <w:rsid w:val="00501D91"/>
    <w:rsid w:val="005052AD"/>
    <w:rsid w:val="00505B0F"/>
    <w:rsid w:val="00506430"/>
    <w:rsid w:val="00510EFD"/>
    <w:rsid w:val="00513470"/>
    <w:rsid w:val="00517E00"/>
    <w:rsid w:val="00522698"/>
    <w:rsid w:val="005257B0"/>
    <w:rsid w:val="00531871"/>
    <w:rsid w:val="0053456F"/>
    <w:rsid w:val="0053491C"/>
    <w:rsid w:val="00540728"/>
    <w:rsid w:val="00550653"/>
    <w:rsid w:val="00557987"/>
    <w:rsid w:val="00563847"/>
    <w:rsid w:val="005673F4"/>
    <w:rsid w:val="00567A9F"/>
    <w:rsid w:val="00573180"/>
    <w:rsid w:val="005736C7"/>
    <w:rsid w:val="005745D6"/>
    <w:rsid w:val="0058730E"/>
    <w:rsid w:val="00592680"/>
    <w:rsid w:val="005935F1"/>
    <w:rsid w:val="00593D27"/>
    <w:rsid w:val="00595B52"/>
    <w:rsid w:val="005A0EFD"/>
    <w:rsid w:val="005A304B"/>
    <w:rsid w:val="005A7E48"/>
    <w:rsid w:val="005B5761"/>
    <w:rsid w:val="005B5AB0"/>
    <w:rsid w:val="005C0322"/>
    <w:rsid w:val="005C43E1"/>
    <w:rsid w:val="005C6B2E"/>
    <w:rsid w:val="005D03B9"/>
    <w:rsid w:val="005D2D4F"/>
    <w:rsid w:val="005D5A65"/>
    <w:rsid w:val="005E0306"/>
    <w:rsid w:val="005E1E88"/>
    <w:rsid w:val="005F6334"/>
    <w:rsid w:val="005F690A"/>
    <w:rsid w:val="00602496"/>
    <w:rsid w:val="00605B97"/>
    <w:rsid w:val="00611BF9"/>
    <w:rsid w:val="006174CE"/>
    <w:rsid w:val="00621C8A"/>
    <w:rsid w:val="00625EAF"/>
    <w:rsid w:val="00626D84"/>
    <w:rsid w:val="006342E4"/>
    <w:rsid w:val="0065112E"/>
    <w:rsid w:val="0065246E"/>
    <w:rsid w:val="00662056"/>
    <w:rsid w:val="006629D4"/>
    <w:rsid w:val="00663FE7"/>
    <w:rsid w:val="00664151"/>
    <w:rsid w:val="00664A81"/>
    <w:rsid w:val="00667A2A"/>
    <w:rsid w:val="00667F69"/>
    <w:rsid w:val="00671F4B"/>
    <w:rsid w:val="006736B3"/>
    <w:rsid w:val="0067439F"/>
    <w:rsid w:val="00674E49"/>
    <w:rsid w:val="006759B0"/>
    <w:rsid w:val="00676F9D"/>
    <w:rsid w:val="006844F6"/>
    <w:rsid w:val="00684A11"/>
    <w:rsid w:val="00687989"/>
    <w:rsid w:val="00687BC4"/>
    <w:rsid w:val="00691C30"/>
    <w:rsid w:val="00692249"/>
    <w:rsid w:val="00693B0B"/>
    <w:rsid w:val="006969C2"/>
    <w:rsid w:val="006A112A"/>
    <w:rsid w:val="006A2CE2"/>
    <w:rsid w:val="006A44A9"/>
    <w:rsid w:val="006B17CD"/>
    <w:rsid w:val="006B6F98"/>
    <w:rsid w:val="006B74C1"/>
    <w:rsid w:val="006C1BA6"/>
    <w:rsid w:val="006C788A"/>
    <w:rsid w:val="006D3C3F"/>
    <w:rsid w:val="006D726C"/>
    <w:rsid w:val="006E0A40"/>
    <w:rsid w:val="006E3546"/>
    <w:rsid w:val="006F04A7"/>
    <w:rsid w:val="006F0E00"/>
    <w:rsid w:val="006F202F"/>
    <w:rsid w:val="006F30E3"/>
    <w:rsid w:val="006F759B"/>
    <w:rsid w:val="00700B27"/>
    <w:rsid w:val="00700C62"/>
    <w:rsid w:val="00702547"/>
    <w:rsid w:val="00702EFC"/>
    <w:rsid w:val="0070781A"/>
    <w:rsid w:val="00715D24"/>
    <w:rsid w:val="00723152"/>
    <w:rsid w:val="00725D30"/>
    <w:rsid w:val="00725DC7"/>
    <w:rsid w:val="00725DD0"/>
    <w:rsid w:val="007279B2"/>
    <w:rsid w:val="00727B8E"/>
    <w:rsid w:val="0073020E"/>
    <w:rsid w:val="0073253B"/>
    <w:rsid w:val="00737F59"/>
    <w:rsid w:val="00740B02"/>
    <w:rsid w:val="00741033"/>
    <w:rsid w:val="00741BEE"/>
    <w:rsid w:val="00741F77"/>
    <w:rsid w:val="0074405F"/>
    <w:rsid w:val="00745265"/>
    <w:rsid w:val="00747842"/>
    <w:rsid w:val="0075556A"/>
    <w:rsid w:val="007569EE"/>
    <w:rsid w:val="00756B92"/>
    <w:rsid w:val="00757CBE"/>
    <w:rsid w:val="0076515E"/>
    <w:rsid w:val="00766290"/>
    <w:rsid w:val="0077057D"/>
    <w:rsid w:val="00772BD4"/>
    <w:rsid w:val="00781295"/>
    <w:rsid w:val="00782223"/>
    <w:rsid w:val="00783A10"/>
    <w:rsid w:val="00792496"/>
    <w:rsid w:val="00794E79"/>
    <w:rsid w:val="00795766"/>
    <w:rsid w:val="0079714E"/>
    <w:rsid w:val="00797718"/>
    <w:rsid w:val="007B56E4"/>
    <w:rsid w:val="007C2096"/>
    <w:rsid w:val="007D36E3"/>
    <w:rsid w:val="007D6A55"/>
    <w:rsid w:val="007E5C57"/>
    <w:rsid w:val="007E74E7"/>
    <w:rsid w:val="007E7971"/>
    <w:rsid w:val="00804ECD"/>
    <w:rsid w:val="00807A50"/>
    <w:rsid w:val="00807F9F"/>
    <w:rsid w:val="00810C6F"/>
    <w:rsid w:val="00814A03"/>
    <w:rsid w:val="00816B3F"/>
    <w:rsid w:val="0082133D"/>
    <w:rsid w:val="008252D6"/>
    <w:rsid w:val="00843E70"/>
    <w:rsid w:val="00847F20"/>
    <w:rsid w:val="00854145"/>
    <w:rsid w:val="0085522E"/>
    <w:rsid w:val="0085654E"/>
    <w:rsid w:val="008661AA"/>
    <w:rsid w:val="00866D4A"/>
    <w:rsid w:val="00877E04"/>
    <w:rsid w:val="008803FA"/>
    <w:rsid w:val="00880C11"/>
    <w:rsid w:val="008841B0"/>
    <w:rsid w:val="00894CFB"/>
    <w:rsid w:val="00896C5B"/>
    <w:rsid w:val="00896F90"/>
    <w:rsid w:val="008A2D5D"/>
    <w:rsid w:val="008A4832"/>
    <w:rsid w:val="008A59F5"/>
    <w:rsid w:val="008A6228"/>
    <w:rsid w:val="008A64F2"/>
    <w:rsid w:val="008A7237"/>
    <w:rsid w:val="008B23E3"/>
    <w:rsid w:val="008B377D"/>
    <w:rsid w:val="008B6E7A"/>
    <w:rsid w:val="008C071D"/>
    <w:rsid w:val="008C6211"/>
    <w:rsid w:val="008D7571"/>
    <w:rsid w:val="008E123D"/>
    <w:rsid w:val="008E45AF"/>
    <w:rsid w:val="008E501B"/>
    <w:rsid w:val="008E7474"/>
    <w:rsid w:val="008E7E6F"/>
    <w:rsid w:val="008F11E2"/>
    <w:rsid w:val="008F3C82"/>
    <w:rsid w:val="008F60E7"/>
    <w:rsid w:val="008F7924"/>
    <w:rsid w:val="008F7AFB"/>
    <w:rsid w:val="00901ED0"/>
    <w:rsid w:val="00905B20"/>
    <w:rsid w:val="009141BA"/>
    <w:rsid w:val="0091571B"/>
    <w:rsid w:val="0092107A"/>
    <w:rsid w:val="0092478B"/>
    <w:rsid w:val="00932C9F"/>
    <w:rsid w:val="009345E2"/>
    <w:rsid w:val="00940C31"/>
    <w:rsid w:val="00943659"/>
    <w:rsid w:val="00947904"/>
    <w:rsid w:val="00955C06"/>
    <w:rsid w:val="00956629"/>
    <w:rsid w:val="0096227F"/>
    <w:rsid w:val="00967969"/>
    <w:rsid w:val="00971395"/>
    <w:rsid w:val="00971DCD"/>
    <w:rsid w:val="00972FDB"/>
    <w:rsid w:val="009752E7"/>
    <w:rsid w:val="009756E8"/>
    <w:rsid w:val="00976DB3"/>
    <w:rsid w:val="009771CC"/>
    <w:rsid w:val="00984318"/>
    <w:rsid w:val="00993339"/>
    <w:rsid w:val="009A12BF"/>
    <w:rsid w:val="009A2056"/>
    <w:rsid w:val="009A21EC"/>
    <w:rsid w:val="009A6AC1"/>
    <w:rsid w:val="009A6CCB"/>
    <w:rsid w:val="009B4CB3"/>
    <w:rsid w:val="009C2FBB"/>
    <w:rsid w:val="009C69CC"/>
    <w:rsid w:val="009C7AAE"/>
    <w:rsid w:val="009D1691"/>
    <w:rsid w:val="009D2B68"/>
    <w:rsid w:val="009D2E1E"/>
    <w:rsid w:val="009D64BF"/>
    <w:rsid w:val="009F3280"/>
    <w:rsid w:val="009F42E6"/>
    <w:rsid w:val="009F6A01"/>
    <w:rsid w:val="009F6E8F"/>
    <w:rsid w:val="00A026A6"/>
    <w:rsid w:val="00A048B2"/>
    <w:rsid w:val="00A108B5"/>
    <w:rsid w:val="00A12CE8"/>
    <w:rsid w:val="00A164FC"/>
    <w:rsid w:val="00A229FF"/>
    <w:rsid w:val="00A2436A"/>
    <w:rsid w:val="00A26AF3"/>
    <w:rsid w:val="00A318BA"/>
    <w:rsid w:val="00A36BB0"/>
    <w:rsid w:val="00A36CA8"/>
    <w:rsid w:val="00A379EF"/>
    <w:rsid w:val="00A37DEE"/>
    <w:rsid w:val="00A41BB3"/>
    <w:rsid w:val="00A4599D"/>
    <w:rsid w:val="00A46C4D"/>
    <w:rsid w:val="00A46CA3"/>
    <w:rsid w:val="00A470AF"/>
    <w:rsid w:val="00A47EA2"/>
    <w:rsid w:val="00A53392"/>
    <w:rsid w:val="00A5458E"/>
    <w:rsid w:val="00A54EA4"/>
    <w:rsid w:val="00A54EE4"/>
    <w:rsid w:val="00A55DD9"/>
    <w:rsid w:val="00A56A6C"/>
    <w:rsid w:val="00A5781B"/>
    <w:rsid w:val="00A66335"/>
    <w:rsid w:val="00A67DDF"/>
    <w:rsid w:val="00A706DC"/>
    <w:rsid w:val="00A7128D"/>
    <w:rsid w:val="00A770E9"/>
    <w:rsid w:val="00A845EE"/>
    <w:rsid w:val="00A92846"/>
    <w:rsid w:val="00A928AB"/>
    <w:rsid w:val="00A93881"/>
    <w:rsid w:val="00A9465F"/>
    <w:rsid w:val="00A96816"/>
    <w:rsid w:val="00AA2BD2"/>
    <w:rsid w:val="00AA3F68"/>
    <w:rsid w:val="00AA41D9"/>
    <w:rsid w:val="00AA7270"/>
    <w:rsid w:val="00AB003D"/>
    <w:rsid w:val="00AB4178"/>
    <w:rsid w:val="00AB4C06"/>
    <w:rsid w:val="00AC286F"/>
    <w:rsid w:val="00AC598C"/>
    <w:rsid w:val="00AC7736"/>
    <w:rsid w:val="00AC7752"/>
    <w:rsid w:val="00AD63C5"/>
    <w:rsid w:val="00AE4B17"/>
    <w:rsid w:val="00AE6E77"/>
    <w:rsid w:val="00AF78B7"/>
    <w:rsid w:val="00B04E8E"/>
    <w:rsid w:val="00B06029"/>
    <w:rsid w:val="00B06C82"/>
    <w:rsid w:val="00B108EE"/>
    <w:rsid w:val="00B174CB"/>
    <w:rsid w:val="00B201B1"/>
    <w:rsid w:val="00B20C37"/>
    <w:rsid w:val="00B273E2"/>
    <w:rsid w:val="00B31673"/>
    <w:rsid w:val="00B318C5"/>
    <w:rsid w:val="00B33DE6"/>
    <w:rsid w:val="00B340D6"/>
    <w:rsid w:val="00B435DD"/>
    <w:rsid w:val="00B45000"/>
    <w:rsid w:val="00B47753"/>
    <w:rsid w:val="00B5688C"/>
    <w:rsid w:val="00B57239"/>
    <w:rsid w:val="00B605C7"/>
    <w:rsid w:val="00B655BF"/>
    <w:rsid w:val="00B6573E"/>
    <w:rsid w:val="00B6752A"/>
    <w:rsid w:val="00B70B34"/>
    <w:rsid w:val="00B97727"/>
    <w:rsid w:val="00BA00AC"/>
    <w:rsid w:val="00BB79BE"/>
    <w:rsid w:val="00BC2CDB"/>
    <w:rsid w:val="00BC4DD8"/>
    <w:rsid w:val="00BC5609"/>
    <w:rsid w:val="00BD232A"/>
    <w:rsid w:val="00BD45CF"/>
    <w:rsid w:val="00BE2A5C"/>
    <w:rsid w:val="00BE4017"/>
    <w:rsid w:val="00BE4706"/>
    <w:rsid w:val="00BE4762"/>
    <w:rsid w:val="00BE7BCE"/>
    <w:rsid w:val="00BF1C0A"/>
    <w:rsid w:val="00BF53D1"/>
    <w:rsid w:val="00C02D6C"/>
    <w:rsid w:val="00C05A21"/>
    <w:rsid w:val="00C15E3A"/>
    <w:rsid w:val="00C21447"/>
    <w:rsid w:val="00C24A47"/>
    <w:rsid w:val="00C2694B"/>
    <w:rsid w:val="00C27EC1"/>
    <w:rsid w:val="00C340BB"/>
    <w:rsid w:val="00C46DCE"/>
    <w:rsid w:val="00C5021F"/>
    <w:rsid w:val="00C554D8"/>
    <w:rsid w:val="00C62CAB"/>
    <w:rsid w:val="00C64652"/>
    <w:rsid w:val="00C67E32"/>
    <w:rsid w:val="00C73868"/>
    <w:rsid w:val="00C7420B"/>
    <w:rsid w:val="00C74328"/>
    <w:rsid w:val="00C76A94"/>
    <w:rsid w:val="00C85062"/>
    <w:rsid w:val="00C9711D"/>
    <w:rsid w:val="00CA1BE2"/>
    <w:rsid w:val="00CA52E9"/>
    <w:rsid w:val="00CA5602"/>
    <w:rsid w:val="00CA739C"/>
    <w:rsid w:val="00CB16A2"/>
    <w:rsid w:val="00CB6411"/>
    <w:rsid w:val="00CB6EB6"/>
    <w:rsid w:val="00CC3D44"/>
    <w:rsid w:val="00CC60C4"/>
    <w:rsid w:val="00CC6D73"/>
    <w:rsid w:val="00CC7E1C"/>
    <w:rsid w:val="00CD0265"/>
    <w:rsid w:val="00CD0939"/>
    <w:rsid w:val="00CD28FF"/>
    <w:rsid w:val="00CD4EA5"/>
    <w:rsid w:val="00CE1205"/>
    <w:rsid w:val="00CE370E"/>
    <w:rsid w:val="00CF08D2"/>
    <w:rsid w:val="00CF503C"/>
    <w:rsid w:val="00D00CAB"/>
    <w:rsid w:val="00D02C8F"/>
    <w:rsid w:val="00D037D4"/>
    <w:rsid w:val="00D06CEB"/>
    <w:rsid w:val="00D13823"/>
    <w:rsid w:val="00D16E8F"/>
    <w:rsid w:val="00D25192"/>
    <w:rsid w:val="00D312A0"/>
    <w:rsid w:val="00D31697"/>
    <w:rsid w:val="00D56EF3"/>
    <w:rsid w:val="00D57132"/>
    <w:rsid w:val="00D6181F"/>
    <w:rsid w:val="00D84BF2"/>
    <w:rsid w:val="00D85066"/>
    <w:rsid w:val="00D91F42"/>
    <w:rsid w:val="00D932DE"/>
    <w:rsid w:val="00D93779"/>
    <w:rsid w:val="00D979EE"/>
    <w:rsid w:val="00DA3391"/>
    <w:rsid w:val="00DA5005"/>
    <w:rsid w:val="00DA706E"/>
    <w:rsid w:val="00DB59CA"/>
    <w:rsid w:val="00DC1DCE"/>
    <w:rsid w:val="00DC7176"/>
    <w:rsid w:val="00DD2B2F"/>
    <w:rsid w:val="00DD462D"/>
    <w:rsid w:val="00DD55C6"/>
    <w:rsid w:val="00DD590A"/>
    <w:rsid w:val="00DD7F80"/>
    <w:rsid w:val="00DE3AED"/>
    <w:rsid w:val="00DE6E29"/>
    <w:rsid w:val="00DF5251"/>
    <w:rsid w:val="00DF660E"/>
    <w:rsid w:val="00E12471"/>
    <w:rsid w:val="00E1641C"/>
    <w:rsid w:val="00E20F28"/>
    <w:rsid w:val="00E21A1A"/>
    <w:rsid w:val="00E27565"/>
    <w:rsid w:val="00E43941"/>
    <w:rsid w:val="00E45723"/>
    <w:rsid w:val="00E46DD7"/>
    <w:rsid w:val="00E50ED6"/>
    <w:rsid w:val="00E526ED"/>
    <w:rsid w:val="00E56B1F"/>
    <w:rsid w:val="00E57B9F"/>
    <w:rsid w:val="00E7518D"/>
    <w:rsid w:val="00E75C9E"/>
    <w:rsid w:val="00E8143D"/>
    <w:rsid w:val="00E85B75"/>
    <w:rsid w:val="00E871F0"/>
    <w:rsid w:val="00E87D7F"/>
    <w:rsid w:val="00E90B31"/>
    <w:rsid w:val="00E9471F"/>
    <w:rsid w:val="00E9530E"/>
    <w:rsid w:val="00E97422"/>
    <w:rsid w:val="00EA008F"/>
    <w:rsid w:val="00EA06E1"/>
    <w:rsid w:val="00EA163E"/>
    <w:rsid w:val="00EA3ADF"/>
    <w:rsid w:val="00EA4854"/>
    <w:rsid w:val="00EA4FF9"/>
    <w:rsid w:val="00EA5E2A"/>
    <w:rsid w:val="00EB2CEC"/>
    <w:rsid w:val="00EB58BA"/>
    <w:rsid w:val="00EB5D61"/>
    <w:rsid w:val="00EB6C86"/>
    <w:rsid w:val="00EB7A5F"/>
    <w:rsid w:val="00EB7BC6"/>
    <w:rsid w:val="00EC06D4"/>
    <w:rsid w:val="00EC10E7"/>
    <w:rsid w:val="00EC4E64"/>
    <w:rsid w:val="00ED3149"/>
    <w:rsid w:val="00ED4DC3"/>
    <w:rsid w:val="00ED5975"/>
    <w:rsid w:val="00ED709D"/>
    <w:rsid w:val="00ED76A2"/>
    <w:rsid w:val="00EE6A50"/>
    <w:rsid w:val="00EF5238"/>
    <w:rsid w:val="00F002AB"/>
    <w:rsid w:val="00F00EB0"/>
    <w:rsid w:val="00F01918"/>
    <w:rsid w:val="00F14C51"/>
    <w:rsid w:val="00F14C87"/>
    <w:rsid w:val="00F25FFA"/>
    <w:rsid w:val="00F3445E"/>
    <w:rsid w:val="00F35BFE"/>
    <w:rsid w:val="00F40F7C"/>
    <w:rsid w:val="00F41CED"/>
    <w:rsid w:val="00F41D93"/>
    <w:rsid w:val="00F426E9"/>
    <w:rsid w:val="00F43D1D"/>
    <w:rsid w:val="00F46DC0"/>
    <w:rsid w:val="00F52A3D"/>
    <w:rsid w:val="00F52EE9"/>
    <w:rsid w:val="00F54100"/>
    <w:rsid w:val="00F54BD9"/>
    <w:rsid w:val="00F54C30"/>
    <w:rsid w:val="00F60F29"/>
    <w:rsid w:val="00F61120"/>
    <w:rsid w:val="00F644A2"/>
    <w:rsid w:val="00F66B17"/>
    <w:rsid w:val="00F66D02"/>
    <w:rsid w:val="00F70D43"/>
    <w:rsid w:val="00F76DED"/>
    <w:rsid w:val="00F820CC"/>
    <w:rsid w:val="00F83D04"/>
    <w:rsid w:val="00F83D69"/>
    <w:rsid w:val="00FA1100"/>
    <w:rsid w:val="00FB0200"/>
    <w:rsid w:val="00FB5EB3"/>
    <w:rsid w:val="00FB6078"/>
    <w:rsid w:val="00FB685B"/>
    <w:rsid w:val="00FB6DFC"/>
    <w:rsid w:val="00FD16BB"/>
    <w:rsid w:val="00FD2317"/>
    <w:rsid w:val="00FE4628"/>
    <w:rsid w:val="00FF00A5"/>
    <w:rsid w:val="00FF33C1"/>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E70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64"/>
    <w:rPr>
      <w:color w:val="0000FF"/>
      <w:u w:val="single"/>
    </w:rPr>
  </w:style>
  <w:style w:type="character" w:styleId="FootnoteReference">
    <w:name w:val="footnote reference"/>
    <w:aliases w:val="4_G,Footnote number"/>
    <w:uiPriority w:val="99"/>
    <w:rsid w:val="004B3C3C"/>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4B3C3C"/>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4B3C3C"/>
    <w:rPr>
      <w:rFonts w:ascii="Times New Roman" w:eastAsia="Times New Roman" w:hAnsi="Times New Roman"/>
      <w:sz w:val="18"/>
      <w:lang w:val="en-GB" w:eastAsia="en-US"/>
    </w:rPr>
  </w:style>
  <w:style w:type="paragraph" w:customStyle="1" w:styleId="SingleTxtG">
    <w:name w:val="_ Single Txt_G"/>
    <w:basedOn w:val="Normal"/>
    <w:link w:val="SingleTxtGChar"/>
    <w:rsid w:val="00533D59"/>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533D59"/>
    <w:rPr>
      <w:rFonts w:ascii="Times New Roman" w:eastAsia="Times New Roman" w:hAnsi="Times New Roman"/>
      <w:lang w:val="x-none" w:eastAsia="en-US"/>
    </w:rPr>
  </w:style>
  <w:style w:type="paragraph" w:styleId="Header">
    <w:name w:val="header"/>
    <w:basedOn w:val="Normal"/>
    <w:link w:val="HeaderChar"/>
    <w:uiPriority w:val="99"/>
    <w:unhideWhenUsed/>
    <w:rsid w:val="00CE7185"/>
    <w:pPr>
      <w:tabs>
        <w:tab w:val="center" w:pos="4536"/>
        <w:tab w:val="right" w:pos="9072"/>
      </w:tabs>
    </w:pPr>
    <w:rPr>
      <w:lang w:val="x-none"/>
    </w:rPr>
  </w:style>
  <w:style w:type="character" w:customStyle="1" w:styleId="HeaderChar">
    <w:name w:val="Header Char"/>
    <w:link w:val="Header"/>
    <w:uiPriority w:val="99"/>
    <w:rsid w:val="00CE7185"/>
    <w:rPr>
      <w:sz w:val="22"/>
      <w:szCs w:val="22"/>
      <w:lang w:eastAsia="en-US"/>
    </w:rPr>
  </w:style>
  <w:style w:type="paragraph" w:styleId="Footer">
    <w:name w:val="footer"/>
    <w:basedOn w:val="Normal"/>
    <w:link w:val="FooterChar"/>
    <w:uiPriority w:val="99"/>
    <w:unhideWhenUsed/>
    <w:rsid w:val="00CE7185"/>
    <w:pPr>
      <w:tabs>
        <w:tab w:val="center" w:pos="4536"/>
        <w:tab w:val="right" w:pos="9072"/>
      </w:tabs>
    </w:pPr>
    <w:rPr>
      <w:lang w:val="x-none"/>
    </w:rPr>
  </w:style>
  <w:style w:type="character" w:customStyle="1" w:styleId="FooterChar">
    <w:name w:val="Footer Char"/>
    <w:link w:val="Footer"/>
    <w:uiPriority w:val="99"/>
    <w:rsid w:val="00CE7185"/>
    <w:rPr>
      <w:sz w:val="22"/>
      <w:szCs w:val="22"/>
      <w:lang w:eastAsia="en-US"/>
    </w:rPr>
  </w:style>
  <w:style w:type="character" w:styleId="FollowedHyperlink">
    <w:name w:val="FollowedHyperlink"/>
    <w:uiPriority w:val="99"/>
    <w:semiHidden/>
    <w:unhideWhenUsed/>
    <w:rsid w:val="00EA215D"/>
    <w:rPr>
      <w:color w:val="800080"/>
      <w:u w:val="single"/>
    </w:rPr>
  </w:style>
  <w:style w:type="paragraph" w:customStyle="1" w:styleId="H23G">
    <w:name w:val="_ H_2/3_G"/>
    <w:basedOn w:val="Normal"/>
    <w:next w:val="Normal"/>
    <w:rsid w:val="00DB1A4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apple-converted-space">
    <w:name w:val="apple-converted-space"/>
    <w:basedOn w:val="DefaultParagraphFont"/>
    <w:rsid w:val="00533DE0"/>
  </w:style>
  <w:style w:type="paragraph" w:styleId="ListParagraph">
    <w:name w:val="List Paragraph"/>
    <w:basedOn w:val="Normal"/>
    <w:rsid w:val="00AB4C06"/>
    <w:pPr>
      <w:ind w:left="720"/>
      <w:contextualSpacing/>
    </w:pPr>
  </w:style>
  <w:style w:type="paragraph" w:styleId="BalloonText">
    <w:name w:val="Balloon Text"/>
    <w:basedOn w:val="Normal"/>
    <w:link w:val="BalloonTextChar"/>
    <w:semiHidden/>
    <w:unhideWhenUsed/>
    <w:rsid w:val="00F00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F002AB"/>
    <w:rPr>
      <w:rFonts w:ascii="Times New Roman" w:hAnsi="Times New Roman"/>
      <w:sz w:val="18"/>
      <w:szCs w:val="18"/>
      <w:lang w:val="fr-FR"/>
    </w:rPr>
  </w:style>
  <w:style w:type="paragraph" w:styleId="DocumentMap">
    <w:name w:val="Document Map"/>
    <w:basedOn w:val="Normal"/>
    <w:link w:val="DocumentMapChar"/>
    <w:semiHidden/>
    <w:unhideWhenUsed/>
    <w:rsid w:val="0073020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73020E"/>
    <w:rPr>
      <w:rFonts w:ascii="Times New Roman" w:hAnsi="Times New Roman"/>
      <w:sz w:val="24"/>
      <w:szCs w:val="24"/>
      <w:lang w:val="fr-FR"/>
    </w:rPr>
  </w:style>
  <w:style w:type="paragraph" w:styleId="Revision">
    <w:name w:val="Revision"/>
    <w:hidden/>
    <w:semiHidden/>
    <w:rsid w:val="0073020E"/>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74">
      <w:bodyDiv w:val="1"/>
      <w:marLeft w:val="0"/>
      <w:marRight w:val="0"/>
      <w:marTop w:val="0"/>
      <w:marBottom w:val="0"/>
      <w:divBdr>
        <w:top w:val="none" w:sz="0" w:space="0" w:color="auto"/>
        <w:left w:val="none" w:sz="0" w:space="0" w:color="auto"/>
        <w:bottom w:val="none" w:sz="0" w:space="0" w:color="auto"/>
        <w:right w:val="none" w:sz="0" w:space="0" w:color="auto"/>
      </w:divBdr>
    </w:div>
    <w:div w:id="504126750">
      <w:bodyDiv w:val="1"/>
      <w:marLeft w:val="0"/>
      <w:marRight w:val="0"/>
      <w:marTop w:val="0"/>
      <w:marBottom w:val="0"/>
      <w:divBdr>
        <w:top w:val="none" w:sz="0" w:space="0" w:color="auto"/>
        <w:left w:val="none" w:sz="0" w:space="0" w:color="auto"/>
        <w:bottom w:val="none" w:sz="0" w:space="0" w:color="auto"/>
        <w:right w:val="none" w:sz="0" w:space="0" w:color="auto"/>
      </w:divBdr>
    </w:div>
    <w:div w:id="1491871639">
      <w:bodyDiv w:val="1"/>
      <w:marLeft w:val="0"/>
      <w:marRight w:val="0"/>
      <w:marTop w:val="0"/>
      <w:marBottom w:val="0"/>
      <w:divBdr>
        <w:top w:val="none" w:sz="0" w:space="0" w:color="auto"/>
        <w:left w:val="none" w:sz="0" w:space="0" w:color="auto"/>
        <w:bottom w:val="none" w:sz="0" w:space="0" w:color="auto"/>
        <w:right w:val="none" w:sz="0" w:space="0" w:color="auto"/>
      </w:divBdr>
    </w:div>
    <w:div w:id="183837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hchr.org/EN/HRBodies/CRPD/Pages/ConventionRightsPersonsWithDisabilities.aspx" TargetMode="External"/><Relationship Id="rId20" Type="http://schemas.openxmlformats.org/officeDocument/2006/relationships/hyperlink" Target="http://www.ohchr.org/EN/HRBodies/CRPD/Pages/OptionalProtocolRightsPersonsWithDisabilities.aspx"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OptionalProtocol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www.ohchr.org/EN/HRBodies/CRPD/Pages/ConventionRightsPersonsWithDisabilities.aspx" TargetMode="External"/><Relationship Id="rId16" Type="http://schemas.openxmlformats.org/officeDocument/2006/relationships/hyperlink" Target="https://documents-dds-ny.un.org/doc/UNDOC/GEN/G18/080/99/pdf/G1808099.pdf?OpenElement" TargetMode="External"/><Relationship Id="rId17" Type="http://schemas.openxmlformats.org/officeDocument/2006/relationships/hyperlink" Target="https://documents-dds-ny.un.org/doc/UNDOC/GEN/G18/081/01/pdf/G1808101.pdf?OpenElement" TargetMode="External"/><Relationship Id="rId18" Type="http://schemas.openxmlformats.org/officeDocument/2006/relationships/hyperlink" Target="https://documents-dds-ny.un.org/doc/UNDOC/GEN/G18/081/02/pdf/G1808102.pdf?OpenElement" TargetMode="External"/><Relationship Id="rId19" Type="http://schemas.openxmlformats.org/officeDocument/2006/relationships/hyperlink" Target="https://documents.un.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2738</Words>
  <Characters>15607</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Case summary:  Fiona Given v Australia</vt:lpstr>
      <vt:lpstr>CRPD/C/19/D/19/2014</vt:lpstr>
      <vt:lpstr>Communication no 19/2014</vt:lpstr>
      <vt:lpstr>Facts</vt:lpstr>
      <vt:lpstr>The complaint submitted to the Committee</vt:lpstr>
      <vt:lpstr>State party’s observations on the admissibility and merits</vt:lpstr>
      <vt:lpstr>The author’s comments on the State party’s observations</vt:lpstr>
      <vt:lpstr>State party’s additional observations</vt:lpstr>
      <vt:lpstr>Issues and proceedings before the Committee</vt:lpstr>
      <vt:lpstr>Consideration of admissibility</vt:lpstr>
      <vt:lpstr>Consideration of the merits</vt:lpstr>
      <vt:lpstr>Conclusion</vt:lpstr>
    </vt:vector>
  </TitlesOfParts>
  <Company/>
  <LinksUpToDate>false</LinksUpToDate>
  <CharactersWithSpaces>18309</CharactersWithSpaces>
  <SharedDoc>false</SharedDoc>
  <HLinks>
    <vt:vector size="180" baseType="variant">
      <vt:variant>
        <vt:i4>3211372</vt:i4>
      </vt:variant>
      <vt:variant>
        <vt:i4>81</vt:i4>
      </vt:variant>
      <vt:variant>
        <vt:i4>0</vt:i4>
      </vt:variant>
      <vt:variant>
        <vt:i4>5</vt:i4>
      </vt:variant>
      <vt:variant>
        <vt:lpwstr>http://www.ohchr.org/EN/HRBodies/CRPD/Pages/OptionalProtocolRightsPersonsWithDisabilities.aspx</vt:lpwstr>
      </vt:variant>
      <vt:variant>
        <vt:lpwstr/>
      </vt:variant>
      <vt:variant>
        <vt:i4>3211372</vt:i4>
      </vt:variant>
      <vt:variant>
        <vt:i4>78</vt:i4>
      </vt:variant>
      <vt:variant>
        <vt:i4>0</vt:i4>
      </vt:variant>
      <vt:variant>
        <vt:i4>5</vt:i4>
      </vt:variant>
      <vt:variant>
        <vt:lpwstr>http://www.ohchr.org/EN/HRBodies/CRPD/Pages/OptionalProtocolRightsPersonsWithDisabilities.aspx</vt:lpwstr>
      </vt:variant>
      <vt:variant>
        <vt:lpwstr/>
      </vt:variant>
      <vt:variant>
        <vt:i4>3211372</vt:i4>
      </vt:variant>
      <vt:variant>
        <vt:i4>75</vt:i4>
      </vt:variant>
      <vt:variant>
        <vt:i4>0</vt:i4>
      </vt:variant>
      <vt:variant>
        <vt:i4>5</vt:i4>
      </vt:variant>
      <vt:variant>
        <vt:lpwstr>http://www.ohchr.org/EN/HRBodies/CRPD/Pages/OptionalProtocolRightsPersonsWithDisabilities.aspx</vt:lpwstr>
      </vt:variant>
      <vt:variant>
        <vt:lpwstr/>
      </vt:variant>
      <vt:variant>
        <vt:i4>3211372</vt:i4>
      </vt:variant>
      <vt:variant>
        <vt:i4>72</vt:i4>
      </vt:variant>
      <vt:variant>
        <vt:i4>0</vt:i4>
      </vt:variant>
      <vt:variant>
        <vt:i4>5</vt:i4>
      </vt:variant>
      <vt:variant>
        <vt:lpwstr>http://www.ohchr.org/EN/HRBodies/CRPD/Pages/OptionalProtocolRightsPersonsWithDisabilities.aspx</vt:lpwstr>
      </vt:variant>
      <vt:variant>
        <vt:lpwstr/>
      </vt:variant>
      <vt:variant>
        <vt:i4>3735657</vt:i4>
      </vt:variant>
      <vt:variant>
        <vt:i4>69</vt:i4>
      </vt:variant>
      <vt:variant>
        <vt:i4>0</vt:i4>
      </vt:variant>
      <vt:variant>
        <vt:i4>5</vt:i4>
      </vt:variant>
      <vt:variant>
        <vt:lpwstr>http://www.oas.org/juridico/english/treaties/a-65.html</vt:lpwstr>
      </vt:variant>
      <vt:variant>
        <vt:lpwstr/>
      </vt:variant>
      <vt:variant>
        <vt:i4>5439521</vt:i4>
      </vt:variant>
      <vt:variant>
        <vt:i4>66</vt:i4>
      </vt:variant>
      <vt:variant>
        <vt:i4>0</vt:i4>
      </vt:variant>
      <vt:variant>
        <vt:i4>5</vt:i4>
      </vt:variant>
      <vt:variant>
        <vt:lpwstr>http://www.ohchr.org/EN/HRBodies/CRPD/Pages/ConventionRightsPersonsWithDisabilities.aspx</vt:lpwstr>
      </vt:variant>
      <vt:variant>
        <vt:lpwstr>4</vt:lpwstr>
      </vt:variant>
      <vt:variant>
        <vt:i4>5439524</vt:i4>
      </vt:variant>
      <vt:variant>
        <vt:i4>63</vt:i4>
      </vt:variant>
      <vt:variant>
        <vt:i4>0</vt:i4>
      </vt:variant>
      <vt:variant>
        <vt:i4>5</vt:i4>
      </vt:variant>
      <vt:variant>
        <vt:lpwstr>http://www.ohchr.org/EN/HRBodies/CRPD/Pages/ConventionRightsPersonsWithDisabilities.aspx</vt:lpwstr>
      </vt:variant>
      <vt:variant>
        <vt:lpwstr>1</vt:lpwstr>
      </vt:variant>
      <vt:variant>
        <vt:i4>5439524</vt:i4>
      </vt:variant>
      <vt:variant>
        <vt:i4>60</vt:i4>
      </vt:variant>
      <vt:variant>
        <vt:i4>0</vt:i4>
      </vt:variant>
      <vt:variant>
        <vt:i4>5</vt:i4>
      </vt:variant>
      <vt:variant>
        <vt:lpwstr>http://www.ohchr.org/EN/HRBodies/CRPD/Pages/ConventionRightsPersonsWithDisabilities.aspx</vt:lpwstr>
      </vt:variant>
      <vt:variant>
        <vt:lpwstr>1</vt:lpwstr>
      </vt:variant>
      <vt:variant>
        <vt:i4>4128873</vt:i4>
      </vt:variant>
      <vt:variant>
        <vt:i4>57</vt:i4>
      </vt:variant>
      <vt:variant>
        <vt:i4>0</vt:i4>
      </vt:variant>
      <vt:variant>
        <vt:i4>5</vt:i4>
      </vt:variant>
      <vt:variant>
        <vt:lpwstr>http://tbinternet.ohchr.org/_layouts/treatybodyexternal/Download.aspx?symbolno=CRPD%2fC%2f1&amp;Lang=en</vt:lpwstr>
      </vt:variant>
      <vt:variant>
        <vt:lpwstr/>
      </vt:variant>
      <vt:variant>
        <vt:i4>5439524</vt:i4>
      </vt:variant>
      <vt:variant>
        <vt:i4>54</vt:i4>
      </vt:variant>
      <vt:variant>
        <vt:i4>0</vt:i4>
      </vt:variant>
      <vt:variant>
        <vt:i4>5</vt:i4>
      </vt:variant>
      <vt:variant>
        <vt:lpwstr>http://www.ohchr.org/EN/HRBodies/CRPD/Pages/ConventionRightsPersonsWithDisabilities.aspx</vt:lpwstr>
      </vt:variant>
      <vt:variant>
        <vt:lpwstr>1</vt:lpwstr>
      </vt:variant>
      <vt:variant>
        <vt:i4>5439524</vt:i4>
      </vt:variant>
      <vt:variant>
        <vt:i4>51</vt:i4>
      </vt:variant>
      <vt:variant>
        <vt:i4>0</vt:i4>
      </vt:variant>
      <vt:variant>
        <vt:i4>5</vt:i4>
      </vt:variant>
      <vt:variant>
        <vt:lpwstr>http://www.ohchr.org/EN/HRBodies/CRPD/Pages/ConventionRightsPersonsWithDisabilities.aspx</vt:lpwstr>
      </vt:variant>
      <vt:variant>
        <vt:lpwstr>1</vt:lpwstr>
      </vt:variant>
      <vt:variant>
        <vt:i4>5439521</vt:i4>
      </vt:variant>
      <vt:variant>
        <vt:i4>48</vt:i4>
      </vt:variant>
      <vt:variant>
        <vt:i4>0</vt:i4>
      </vt:variant>
      <vt:variant>
        <vt:i4>5</vt:i4>
      </vt:variant>
      <vt:variant>
        <vt:lpwstr>http://www.ohchr.org/EN/HRBodies/CRPD/Pages/ConventionRightsPersonsWithDisabilities.aspx</vt:lpwstr>
      </vt:variant>
      <vt:variant>
        <vt:lpwstr>4</vt:lpwstr>
      </vt:variant>
      <vt:variant>
        <vt:i4>6553639</vt:i4>
      </vt:variant>
      <vt:variant>
        <vt:i4>45</vt:i4>
      </vt:variant>
      <vt:variant>
        <vt:i4>0</vt:i4>
      </vt:variant>
      <vt:variant>
        <vt:i4>5</vt:i4>
      </vt:variant>
      <vt:variant>
        <vt:lpwstr>http://www.ohchr.org/EN/HRBodies/CRPD/Pages/ConventionRightsPersonsWithDisabilities.aspx</vt:lpwstr>
      </vt:variant>
      <vt:variant>
        <vt:lpwstr>27</vt:lpwstr>
      </vt:variant>
      <vt:variant>
        <vt:i4>6553639</vt:i4>
      </vt:variant>
      <vt:variant>
        <vt:i4>42</vt:i4>
      </vt:variant>
      <vt:variant>
        <vt:i4>0</vt:i4>
      </vt:variant>
      <vt:variant>
        <vt:i4>5</vt:i4>
      </vt:variant>
      <vt:variant>
        <vt:lpwstr>http://www.ohchr.org/EN/HRBodies/CRPD/Pages/ConventionRightsPersonsWithDisabilities.aspx</vt:lpwstr>
      </vt:variant>
      <vt:variant>
        <vt:lpwstr>27</vt:lpwstr>
      </vt:variant>
      <vt:variant>
        <vt:i4>5439521</vt:i4>
      </vt:variant>
      <vt:variant>
        <vt:i4>39</vt:i4>
      </vt:variant>
      <vt:variant>
        <vt:i4>0</vt:i4>
      </vt:variant>
      <vt:variant>
        <vt:i4>5</vt:i4>
      </vt:variant>
      <vt:variant>
        <vt:lpwstr>http://www.ohchr.org/EN/HRBodies/CRPD/Pages/ConventionRightsPersonsWithDisabilities.aspx</vt:lpwstr>
      </vt:variant>
      <vt:variant>
        <vt:lpwstr>4</vt:lpwstr>
      </vt:variant>
      <vt:variant>
        <vt:i4>5439520</vt:i4>
      </vt:variant>
      <vt:variant>
        <vt:i4>36</vt:i4>
      </vt:variant>
      <vt:variant>
        <vt:i4>0</vt:i4>
      </vt:variant>
      <vt:variant>
        <vt:i4>5</vt:i4>
      </vt:variant>
      <vt:variant>
        <vt:lpwstr>http://www.ohchr.org/EN/HRBodies/CRPD/Pages/ConventionRightsPersonsWithDisabilities.aspx</vt:lpwstr>
      </vt:variant>
      <vt:variant>
        <vt:lpwstr>5</vt:lpwstr>
      </vt:variant>
      <vt:variant>
        <vt:i4>5439526</vt:i4>
      </vt:variant>
      <vt:variant>
        <vt:i4>33</vt:i4>
      </vt:variant>
      <vt:variant>
        <vt:i4>0</vt:i4>
      </vt:variant>
      <vt:variant>
        <vt:i4>5</vt:i4>
      </vt:variant>
      <vt:variant>
        <vt:lpwstr>http://www.ohchr.org/EN/HRBodies/CRPD/Pages/ConventionRightsPersonsWithDisabilities.aspx</vt:lpwstr>
      </vt:variant>
      <vt:variant>
        <vt:lpwstr>3</vt:lpwstr>
      </vt:variant>
      <vt:variant>
        <vt:i4>6553639</vt:i4>
      </vt:variant>
      <vt:variant>
        <vt:i4>30</vt:i4>
      </vt:variant>
      <vt:variant>
        <vt:i4>0</vt:i4>
      </vt:variant>
      <vt:variant>
        <vt:i4>5</vt:i4>
      </vt:variant>
      <vt:variant>
        <vt:lpwstr>http://www.ohchr.org/EN/HRBodies/CRPD/Pages/ConventionRightsPersonsWithDisabilities.aspx</vt:lpwstr>
      </vt:variant>
      <vt:variant>
        <vt:lpwstr>27</vt:lpwstr>
      </vt:variant>
      <vt:variant>
        <vt:i4>5439520</vt:i4>
      </vt:variant>
      <vt:variant>
        <vt:i4>27</vt:i4>
      </vt:variant>
      <vt:variant>
        <vt:i4>0</vt:i4>
      </vt:variant>
      <vt:variant>
        <vt:i4>5</vt:i4>
      </vt:variant>
      <vt:variant>
        <vt:lpwstr>http://www.ohchr.org/EN/HRBodies/CRPD/Pages/ConventionRightsPersonsWithDisabilities.aspx</vt:lpwstr>
      </vt:variant>
      <vt:variant>
        <vt:lpwstr>5</vt:lpwstr>
      </vt:variant>
      <vt:variant>
        <vt:i4>5439521</vt:i4>
      </vt:variant>
      <vt:variant>
        <vt:i4>24</vt:i4>
      </vt:variant>
      <vt:variant>
        <vt:i4>0</vt:i4>
      </vt:variant>
      <vt:variant>
        <vt:i4>5</vt:i4>
      </vt:variant>
      <vt:variant>
        <vt:lpwstr>http://www.ohchr.org/EN/HRBodies/CRPD/Pages/ConventionRightsPersonsWithDisabilities.aspx</vt:lpwstr>
      </vt:variant>
      <vt:variant>
        <vt:lpwstr>4</vt:lpwstr>
      </vt:variant>
      <vt:variant>
        <vt:i4>5439526</vt:i4>
      </vt:variant>
      <vt:variant>
        <vt:i4>21</vt:i4>
      </vt:variant>
      <vt:variant>
        <vt:i4>0</vt:i4>
      </vt:variant>
      <vt:variant>
        <vt:i4>5</vt:i4>
      </vt:variant>
      <vt:variant>
        <vt:lpwstr>http://www.ohchr.org/EN/HRBodies/CRPD/Pages/ConventionRightsPersonsWithDisabilities.aspx</vt:lpwstr>
      </vt:variant>
      <vt:variant>
        <vt:lpwstr>3</vt:lpwstr>
      </vt:variant>
      <vt:variant>
        <vt:i4>7798825</vt:i4>
      </vt:variant>
      <vt:variant>
        <vt:i4>18</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15</vt:i4>
      </vt:variant>
      <vt:variant>
        <vt:i4>0</vt:i4>
      </vt:variant>
      <vt:variant>
        <vt:i4>5</vt:i4>
      </vt:variant>
      <vt:variant>
        <vt:lpwstr>http://www.ohchr.org/EN/HRBodies/CRPD/Pages/OptionalProtocolRightsPersonsWithDisabilities.aspx</vt:lpwstr>
      </vt:variant>
      <vt:variant>
        <vt:lpwstr/>
      </vt:variant>
      <vt:variant>
        <vt:i4>6553639</vt:i4>
      </vt:variant>
      <vt:variant>
        <vt:i4>12</vt:i4>
      </vt:variant>
      <vt:variant>
        <vt:i4>0</vt:i4>
      </vt:variant>
      <vt:variant>
        <vt:i4>5</vt:i4>
      </vt:variant>
      <vt:variant>
        <vt:lpwstr>http://www.ohchr.org/EN/HRBodies/CRPD/Pages/ConventionRightsPersonsWithDisabilities.aspx</vt:lpwstr>
      </vt:variant>
      <vt:variant>
        <vt:lpwstr>27</vt:lpwstr>
      </vt:variant>
      <vt:variant>
        <vt:i4>5439520</vt:i4>
      </vt:variant>
      <vt:variant>
        <vt:i4>9</vt:i4>
      </vt:variant>
      <vt:variant>
        <vt:i4>0</vt:i4>
      </vt:variant>
      <vt:variant>
        <vt:i4>5</vt:i4>
      </vt:variant>
      <vt:variant>
        <vt:lpwstr>http://www.ohchr.org/EN/HRBodies/CRPD/Pages/ConventionRightsPersonsWithDisabilities.aspx</vt:lpwstr>
      </vt:variant>
      <vt:variant>
        <vt:lpwstr>5</vt:lpwstr>
      </vt:variant>
      <vt:variant>
        <vt:i4>5439521</vt:i4>
      </vt:variant>
      <vt:variant>
        <vt:i4>6</vt:i4>
      </vt:variant>
      <vt:variant>
        <vt:i4>0</vt:i4>
      </vt:variant>
      <vt:variant>
        <vt:i4>5</vt:i4>
      </vt:variant>
      <vt:variant>
        <vt:lpwstr>http://www.ohchr.org/EN/HRBodies/CRPD/Pages/ConventionRightsPersonsWithDisabilities.aspx</vt:lpwstr>
      </vt:variant>
      <vt:variant>
        <vt:lpwstr>4</vt:lpwstr>
      </vt:variant>
      <vt:variant>
        <vt:i4>5439526</vt:i4>
      </vt:variant>
      <vt:variant>
        <vt:i4>3</vt:i4>
      </vt:variant>
      <vt:variant>
        <vt:i4>0</vt:i4>
      </vt:variant>
      <vt:variant>
        <vt:i4>5</vt:i4>
      </vt:variant>
      <vt:variant>
        <vt:lpwstr>http://www.ohchr.org/EN/HRBodies/CRPD/Pages/ConventionRightsPersonsWithDisabilities.aspx</vt:lpwstr>
      </vt:variant>
      <vt:variant>
        <vt:lpwstr>3</vt:lpwstr>
      </vt:variant>
      <vt:variant>
        <vt:i4>7798825</vt:i4>
      </vt:variant>
      <vt:variant>
        <vt:i4>0</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3</vt:i4>
      </vt:variant>
      <vt:variant>
        <vt:i4>0</vt:i4>
      </vt:variant>
      <vt:variant>
        <vt:i4>5</vt:i4>
      </vt:variant>
      <vt:variant>
        <vt:lpwstr>http://www.ohchr.org/EN/HRBodies/CRPD/Pages/OptionalProtocolRightsPersonsWithDisabilities.aspx</vt:lpwstr>
      </vt:variant>
      <vt:variant>
        <vt:lpwstr/>
      </vt:variant>
      <vt:variant>
        <vt:i4>7077955</vt:i4>
      </vt:variant>
      <vt:variant>
        <vt:i4>0</vt:i4>
      </vt:variant>
      <vt:variant>
        <vt:i4>0</vt:i4>
      </vt:variant>
      <vt:variant>
        <vt:i4>5</vt:i4>
      </vt:variant>
      <vt:variant>
        <vt:lpwstr>http://www.internationaldisabilityalliance.org/en/disability-rights-litigationhttp:/www.internationaldisabilityalliance.org/en/disability-rights-litigation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2</cp:revision>
  <dcterms:created xsi:type="dcterms:W3CDTF">2018-04-17T14:18:00Z</dcterms:created>
  <dcterms:modified xsi:type="dcterms:W3CDTF">2018-04-17T14:18:00Z</dcterms:modified>
</cp:coreProperties>
</file>