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B52E" w14:textId="60347FD5" w:rsidR="00DF7F7A" w:rsidRPr="009B0A51" w:rsidRDefault="009B0A51" w:rsidP="00566D7A">
      <w:pPr>
        <w:pStyle w:val="Default"/>
        <w:jc w:val="both"/>
      </w:pPr>
      <w:r w:rsidRPr="009B0A51">
        <w:rPr>
          <w:rFonts w:ascii="Arial" w:eastAsia="Calibri" w:hAnsi="Arial" w:cs="Arial"/>
        </w:rPr>
        <w:t>Case summary:</w:t>
      </w:r>
      <w:r w:rsidRPr="009B0A51">
        <w:rPr>
          <w:rFonts w:ascii="Arial" w:eastAsia="Calibri" w:hAnsi="Arial" w:cs="Arial"/>
          <w:vertAlign w:val="superscript"/>
        </w:rPr>
        <w:footnoteReference w:id="1"/>
      </w:r>
      <w:r w:rsidRPr="009B0A51">
        <w:rPr>
          <w:rFonts w:ascii="Arial" w:eastAsia="Calibri" w:hAnsi="Arial" w:cs="Arial"/>
        </w:rPr>
        <w:t xml:space="preserve">  </w:t>
      </w:r>
      <w:r w:rsidRPr="009B0A51">
        <w:rPr>
          <w:rFonts w:ascii="Arial" w:hAnsi="Arial" w:cstheme="minorBidi"/>
          <w:i/>
          <w:color w:val="auto"/>
          <w:sz w:val="22"/>
          <w:szCs w:val="22"/>
        </w:rPr>
        <w:t>Mr. Y (represented by counsel [anonymity requested]) v. United Republic of Tanzania</w:t>
      </w:r>
    </w:p>
    <w:p w14:paraId="253454A1" w14:textId="77777777" w:rsidR="00B31C13" w:rsidRDefault="00B31C13" w:rsidP="00E86808">
      <w:pPr>
        <w:pStyle w:val="Default"/>
        <w:jc w:val="both"/>
      </w:pPr>
    </w:p>
    <w:p w14:paraId="639F7CE7" w14:textId="79342C1C" w:rsidR="009B0A51" w:rsidRPr="009125E4" w:rsidRDefault="009125E4" w:rsidP="00566D7A">
      <w:pPr>
        <w:jc w:val="both"/>
        <w:rPr>
          <w:rStyle w:val="Hyperlink"/>
          <w:sz w:val="20"/>
          <w:szCs w:val="20"/>
        </w:rPr>
      </w:pPr>
      <w:r>
        <w:rPr>
          <w:rFonts w:ascii="Arial" w:hAnsi="Arial"/>
        </w:rPr>
        <w:fldChar w:fldCharType="begin"/>
      </w:r>
      <w:r>
        <w:rPr>
          <w:rFonts w:ascii="Arial" w:hAnsi="Arial"/>
        </w:rPr>
        <w:instrText xml:space="preserve"> HYPERLINK "https://documents-dds-ny.un.org/doc/UNDOC/GEN/G18/327/11/pdf/G1832711.pdf?OpenElement" </w:instrText>
      </w:r>
      <w:r>
        <w:rPr>
          <w:rFonts w:ascii="Arial" w:hAnsi="Arial"/>
        </w:rPr>
        <w:fldChar w:fldCharType="separate"/>
      </w:r>
      <w:r w:rsidR="009B0A51" w:rsidRPr="009125E4">
        <w:rPr>
          <w:rStyle w:val="Hyperlink"/>
          <w:rFonts w:ascii="Arial" w:hAnsi="Arial"/>
        </w:rPr>
        <w:t>Communication No. 23/2014</w:t>
      </w:r>
    </w:p>
    <w:p w14:paraId="788790A4" w14:textId="42778BFA" w:rsidR="009B0A51" w:rsidRPr="009B0A51" w:rsidRDefault="009125E4" w:rsidP="00566D7A">
      <w:pPr>
        <w:spacing w:after="0" w:line="276" w:lineRule="auto"/>
        <w:jc w:val="both"/>
        <w:rPr>
          <w:rFonts w:ascii="Arial" w:eastAsia="Calibri" w:hAnsi="Arial" w:cs="Arial"/>
        </w:rPr>
      </w:pPr>
      <w:r>
        <w:rPr>
          <w:rFonts w:ascii="Arial" w:hAnsi="Arial"/>
        </w:rPr>
        <w:fldChar w:fldCharType="end"/>
      </w:r>
      <w:r w:rsidR="009B0A51" w:rsidRPr="009B0A51">
        <w:rPr>
          <w:rFonts w:ascii="Arial" w:eastAsia="Calibri" w:hAnsi="Arial" w:cs="Arial"/>
        </w:rPr>
        <w:t>Date of communication (initial submission):</w:t>
      </w:r>
      <w:r w:rsidR="009B0A51" w:rsidRPr="009B0A51">
        <w:rPr>
          <w:rFonts w:ascii="Arial" w:eastAsia="Calibri" w:hAnsi="Arial" w:cs="Arial"/>
        </w:rPr>
        <w:tab/>
      </w:r>
      <w:r w:rsidR="009B0A51" w:rsidRPr="009B0A51">
        <w:rPr>
          <w:rFonts w:ascii="Arial" w:eastAsia="Calibri" w:hAnsi="Arial" w:cs="Arial"/>
        </w:rPr>
        <w:tab/>
      </w:r>
      <w:r w:rsidR="009B0A51">
        <w:rPr>
          <w:rFonts w:ascii="Arial" w:eastAsia="Calibri" w:hAnsi="Arial" w:cs="Arial"/>
        </w:rPr>
        <w:t>23 June 2014</w:t>
      </w:r>
      <w:r w:rsidR="009B0A51" w:rsidRPr="009B0A51">
        <w:rPr>
          <w:rFonts w:ascii="Arial" w:eastAsia="Calibri" w:hAnsi="Arial" w:cs="Arial"/>
        </w:rPr>
        <w:t xml:space="preserve"> </w:t>
      </w:r>
    </w:p>
    <w:p w14:paraId="03C4E4E9" w14:textId="77777777" w:rsidR="009B0A51" w:rsidRPr="009B0A51" w:rsidRDefault="009B0A51" w:rsidP="00566D7A">
      <w:pPr>
        <w:spacing w:after="0" w:line="276" w:lineRule="auto"/>
        <w:jc w:val="both"/>
        <w:rPr>
          <w:rFonts w:ascii="Arial" w:eastAsia="Calibri" w:hAnsi="Arial" w:cs="Arial"/>
        </w:rPr>
      </w:pPr>
      <w:r w:rsidRPr="009B0A51">
        <w:rPr>
          <w:rFonts w:ascii="Arial" w:eastAsia="Calibri" w:hAnsi="Arial" w:cs="Arial"/>
        </w:rPr>
        <w:t>Date of adoption of Views:</w:t>
      </w:r>
      <w:r w:rsidRPr="009B0A51">
        <w:rPr>
          <w:rFonts w:ascii="Arial" w:eastAsia="Calibri" w:hAnsi="Arial" w:cs="Arial"/>
        </w:rPr>
        <w:tab/>
      </w:r>
      <w:r w:rsidRPr="009B0A51">
        <w:rPr>
          <w:rFonts w:ascii="Arial" w:eastAsia="Calibri" w:hAnsi="Arial" w:cs="Arial"/>
        </w:rPr>
        <w:tab/>
      </w:r>
      <w:r w:rsidRPr="009B0A51">
        <w:rPr>
          <w:rFonts w:ascii="Arial" w:eastAsia="Calibri" w:hAnsi="Arial" w:cs="Arial"/>
        </w:rPr>
        <w:tab/>
      </w:r>
      <w:r w:rsidRPr="009B0A51">
        <w:rPr>
          <w:rFonts w:ascii="Arial" w:eastAsia="Calibri" w:hAnsi="Arial" w:cs="Arial"/>
        </w:rPr>
        <w:tab/>
      </w:r>
      <w:r>
        <w:rPr>
          <w:rFonts w:ascii="Arial" w:eastAsia="Calibri" w:hAnsi="Arial" w:cs="Arial"/>
        </w:rPr>
        <w:t>31 August</w:t>
      </w:r>
      <w:r w:rsidRPr="009B0A51">
        <w:rPr>
          <w:rFonts w:ascii="Arial" w:eastAsia="Calibri" w:hAnsi="Arial" w:cs="Arial"/>
        </w:rPr>
        <w:t xml:space="preserve"> 2018</w:t>
      </w:r>
    </w:p>
    <w:p w14:paraId="338E5F8A" w14:textId="77777777" w:rsidR="009B0A51" w:rsidRPr="009B0A51" w:rsidRDefault="009B0A51" w:rsidP="00566D7A">
      <w:pPr>
        <w:spacing w:after="0" w:line="276" w:lineRule="auto"/>
        <w:jc w:val="both"/>
        <w:rPr>
          <w:rFonts w:ascii="Arial" w:eastAsia="Calibri" w:hAnsi="Arial" w:cs="Arial"/>
        </w:rPr>
      </w:pPr>
      <w:r w:rsidRPr="009B0A51">
        <w:rPr>
          <w:rFonts w:ascii="Arial" w:eastAsia="Calibri" w:hAnsi="Arial" w:cs="Arial"/>
        </w:rPr>
        <w:t>Invoked provisions of the Convention:</w:t>
      </w:r>
      <w:r w:rsidRPr="009B0A51">
        <w:rPr>
          <w:rFonts w:ascii="Arial" w:eastAsia="Calibri" w:hAnsi="Arial" w:cs="Arial"/>
        </w:rPr>
        <w:tab/>
        <w:t xml:space="preserve">            </w:t>
      </w:r>
      <w:hyperlink r:id="rId6" w:anchor="1" w:history="1">
        <w:r w:rsidRPr="00A24F00">
          <w:rPr>
            <w:rStyle w:val="Hyperlink"/>
            <w:rFonts w:ascii="Arial" w:eastAsia="Calibri" w:hAnsi="Arial" w:cs="Arial"/>
          </w:rPr>
          <w:t>1</w:t>
        </w:r>
      </w:hyperlink>
      <w:r w:rsidRPr="00B31C13">
        <w:rPr>
          <w:rFonts w:ascii="Arial" w:eastAsia="Calibri" w:hAnsi="Arial" w:cs="Arial"/>
        </w:rPr>
        <w:t xml:space="preserve">, </w:t>
      </w:r>
      <w:hyperlink r:id="rId7" w:anchor="4" w:history="1">
        <w:r w:rsidRPr="00A24F00">
          <w:rPr>
            <w:rStyle w:val="Hyperlink"/>
            <w:rFonts w:ascii="Arial" w:eastAsia="Calibri" w:hAnsi="Arial" w:cs="Arial"/>
          </w:rPr>
          <w:t>4</w:t>
        </w:r>
      </w:hyperlink>
      <w:r w:rsidRPr="00B31C13">
        <w:rPr>
          <w:rFonts w:ascii="Arial" w:eastAsia="Calibri" w:hAnsi="Arial" w:cs="Arial"/>
        </w:rPr>
        <w:t xml:space="preserve">, </w:t>
      </w:r>
      <w:hyperlink r:id="rId8" w:anchor="5" w:history="1">
        <w:r w:rsidRPr="00A24F00">
          <w:rPr>
            <w:rStyle w:val="Hyperlink"/>
            <w:rFonts w:ascii="Arial" w:eastAsia="Calibri" w:hAnsi="Arial" w:cs="Arial"/>
          </w:rPr>
          <w:t>5</w:t>
        </w:r>
      </w:hyperlink>
      <w:r w:rsidRPr="00B31C13">
        <w:rPr>
          <w:rFonts w:ascii="Arial" w:eastAsia="Calibri" w:hAnsi="Arial" w:cs="Arial"/>
        </w:rPr>
        <w:t xml:space="preserve">, </w:t>
      </w:r>
      <w:hyperlink r:id="rId9" w:anchor="7" w:history="1">
        <w:r w:rsidRPr="00A24F00">
          <w:rPr>
            <w:rStyle w:val="Hyperlink"/>
            <w:rFonts w:ascii="Arial" w:eastAsia="Calibri" w:hAnsi="Arial" w:cs="Arial"/>
          </w:rPr>
          <w:t>7</w:t>
        </w:r>
      </w:hyperlink>
      <w:r w:rsidRPr="00B31C13">
        <w:rPr>
          <w:rFonts w:ascii="Arial" w:eastAsia="Calibri" w:hAnsi="Arial" w:cs="Arial"/>
        </w:rPr>
        <w:t xml:space="preserve">, </w:t>
      </w:r>
      <w:hyperlink r:id="rId10" w:anchor="8" w:history="1">
        <w:r w:rsidRPr="00A24F00">
          <w:rPr>
            <w:rStyle w:val="Hyperlink"/>
            <w:rFonts w:ascii="Arial" w:eastAsia="Calibri" w:hAnsi="Arial" w:cs="Arial"/>
          </w:rPr>
          <w:t>8</w:t>
        </w:r>
      </w:hyperlink>
      <w:r w:rsidRPr="00B31C13">
        <w:rPr>
          <w:rFonts w:ascii="Arial" w:eastAsia="Calibri" w:hAnsi="Arial" w:cs="Arial"/>
        </w:rPr>
        <w:t xml:space="preserve">, </w:t>
      </w:r>
      <w:hyperlink r:id="rId11" w:anchor="14" w:history="1">
        <w:r w:rsidRPr="00A24F00">
          <w:rPr>
            <w:rStyle w:val="Hyperlink"/>
            <w:rFonts w:ascii="Arial" w:eastAsia="Calibri" w:hAnsi="Arial" w:cs="Arial"/>
          </w:rPr>
          <w:t>14</w:t>
        </w:r>
      </w:hyperlink>
      <w:r w:rsidRPr="00B31C13">
        <w:rPr>
          <w:rFonts w:ascii="Arial" w:eastAsia="Calibri" w:hAnsi="Arial" w:cs="Arial"/>
        </w:rPr>
        <w:t xml:space="preserve">, </w:t>
      </w:r>
      <w:hyperlink r:id="rId12" w:anchor="15" w:history="1">
        <w:r w:rsidRPr="00A24F00">
          <w:rPr>
            <w:rStyle w:val="Hyperlink"/>
            <w:rFonts w:ascii="Arial" w:eastAsia="Calibri" w:hAnsi="Arial" w:cs="Arial"/>
          </w:rPr>
          <w:t>15</w:t>
        </w:r>
      </w:hyperlink>
      <w:r w:rsidRPr="00B31C13">
        <w:rPr>
          <w:rFonts w:ascii="Arial" w:eastAsia="Calibri" w:hAnsi="Arial" w:cs="Arial"/>
        </w:rPr>
        <w:t xml:space="preserve">, </w:t>
      </w:r>
      <w:hyperlink r:id="rId13" w:anchor="16" w:history="1">
        <w:r w:rsidRPr="00A24F00">
          <w:rPr>
            <w:rStyle w:val="Hyperlink"/>
            <w:rFonts w:ascii="Arial" w:eastAsia="Calibri" w:hAnsi="Arial" w:cs="Arial"/>
          </w:rPr>
          <w:t>16</w:t>
        </w:r>
      </w:hyperlink>
      <w:r w:rsidRPr="00B31C13">
        <w:rPr>
          <w:rFonts w:ascii="Arial" w:eastAsia="Calibri" w:hAnsi="Arial" w:cs="Arial"/>
        </w:rPr>
        <w:t xml:space="preserve">, </w:t>
      </w:r>
      <w:hyperlink r:id="rId14" w:anchor="17" w:history="1">
        <w:r w:rsidRPr="00A24F00">
          <w:rPr>
            <w:rStyle w:val="Hyperlink"/>
            <w:rFonts w:ascii="Arial" w:eastAsia="Calibri" w:hAnsi="Arial" w:cs="Arial"/>
          </w:rPr>
          <w:t>17</w:t>
        </w:r>
      </w:hyperlink>
      <w:r w:rsidRPr="00B31C13">
        <w:rPr>
          <w:rFonts w:ascii="Arial" w:eastAsia="Calibri" w:hAnsi="Arial" w:cs="Arial"/>
        </w:rPr>
        <w:t xml:space="preserve"> and </w:t>
      </w:r>
      <w:hyperlink r:id="rId15" w:anchor="24" w:history="1">
        <w:r w:rsidRPr="00A24F00">
          <w:rPr>
            <w:rStyle w:val="Hyperlink"/>
            <w:rFonts w:ascii="Arial" w:eastAsia="Calibri" w:hAnsi="Arial" w:cs="Arial"/>
          </w:rPr>
          <w:t>24</w:t>
        </w:r>
      </w:hyperlink>
    </w:p>
    <w:p w14:paraId="77F40101" w14:textId="77777777" w:rsidR="009B0A51" w:rsidRPr="009B0A51" w:rsidRDefault="009B0A51" w:rsidP="00566D7A">
      <w:pPr>
        <w:spacing w:after="0" w:line="276" w:lineRule="auto"/>
        <w:jc w:val="both"/>
      </w:pPr>
      <w:r w:rsidRPr="009B0A51">
        <w:rPr>
          <w:rFonts w:ascii="Arial" w:eastAsia="Calibri" w:hAnsi="Arial" w:cs="Arial"/>
        </w:rPr>
        <w:t>Provisions of the Optional Protocol:</w:t>
      </w:r>
      <w:r w:rsidRPr="009B0A51">
        <w:rPr>
          <w:rFonts w:ascii="Arial" w:eastAsia="Calibri" w:hAnsi="Arial" w:cs="Arial"/>
        </w:rPr>
        <w:tab/>
      </w:r>
      <w:r w:rsidRPr="009B0A51">
        <w:rPr>
          <w:rFonts w:ascii="Arial" w:eastAsia="Calibri" w:hAnsi="Arial" w:cs="Arial"/>
        </w:rPr>
        <w:tab/>
      </w:r>
      <w:r w:rsidRPr="009B0A51">
        <w:rPr>
          <w:rFonts w:ascii="Arial" w:eastAsia="Calibri" w:hAnsi="Arial" w:cs="Arial"/>
        </w:rPr>
        <w:tab/>
      </w:r>
      <w:hyperlink r:id="rId16" w:anchor="2" w:history="1">
        <w:r w:rsidRPr="00A24F00">
          <w:rPr>
            <w:rStyle w:val="Hyperlink"/>
            <w:rFonts w:ascii="Arial" w:eastAsia="Calibri" w:hAnsi="Arial" w:cs="Arial"/>
          </w:rPr>
          <w:t>2</w:t>
        </w:r>
      </w:hyperlink>
    </w:p>
    <w:p w14:paraId="66D77554" w14:textId="77777777" w:rsidR="009B0A51" w:rsidRPr="009B0A51" w:rsidRDefault="009B0A51" w:rsidP="00566D7A">
      <w:pPr>
        <w:spacing w:after="0" w:line="276" w:lineRule="auto"/>
        <w:jc w:val="both"/>
      </w:pPr>
    </w:p>
    <w:p w14:paraId="72BCFBFE" w14:textId="4A2D3328" w:rsidR="009B0A51" w:rsidRPr="009B0A51" w:rsidRDefault="009B0A51" w:rsidP="00BE376D">
      <w:pPr>
        <w:autoSpaceDE w:val="0"/>
        <w:autoSpaceDN w:val="0"/>
        <w:adjustRightInd w:val="0"/>
        <w:spacing w:after="0" w:line="240" w:lineRule="auto"/>
        <w:ind w:left="2160" w:hanging="2160"/>
        <w:jc w:val="both"/>
        <w:rPr>
          <w:rFonts w:ascii="Arial" w:eastAsia="Calibri" w:hAnsi="Arial" w:cs="Arial"/>
        </w:rPr>
      </w:pPr>
      <w:r w:rsidRPr="009B0A51">
        <w:rPr>
          <w:rFonts w:ascii="Arial" w:eastAsia="Calibri" w:hAnsi="Arial" w:cs="Arial"/>
        </w:rPr>
        <w:t xml:space="preserve">Keywords: </w:t>
      </w:r>
      <w:r w:rsidRPr="009B0A51">
        <w:rPr>
          <w:rFonts w:ascii="Arial" w:eastAsia="Calibri" w:hAnsi="Arial" w:cs="Arial"/>
        </w:rPr>
        <w:tab/>
      </w:r>
      <w:r w:rsidR="00BE376D">
        <w:rPr>
          <w:rFonts w:ascii="Arial" w:eastAsia="Calibri" w:hAnsi="Arial" w:cs="Arial"/>
        </w:rPr>
        <w:t>Disability; t</w:t>
      </w:r>
      <w:r>
        <w:rPr>
          <w:rFonts w:ascii="Arial" w:eastAsia="Calibri" w:hAnsi="Arial" w:cs="Arial"/>
        </w:rPr>
        <w:t xml:space="preserve">orture, </w:t>
      </w:r>
      <w:r w:rsidRPr="009B0A51">
        <w:rPr>
          <w:rFonts w:ascii="Arial" w:eastAsia="Calibri" w:hAnsi="Arial" w:cs="Arial"/>
        </w:rPr>
        <w:t>inhumane and degrading treatment and discrimination against a person with albinism</w:t>
      </w:r>
      <w:r>
        <w:rPr>
          <w:rFonts w:ascii="Arial" w:eastAsia="Calibri" w:hAnsi="Arial" w:cs="Arial"/>
        </w:rPr>
        <w:t xml:space="preserve">; </w:t>
      </w:r>
      <w:r w:rsidRPr="009B0A51">
        <w:rPr>
          <w:rFonts w:ascii="Arial" w:eastAsia="Calibri" w:hAnsi="Arial" w:cs="Arial"/>
        </w:rPr>
        <w:t>Albinism; discrimination based on disability; violation of the right to respect for intellectual and mental integrity</w:t>
      </w:r>
      <w:r w:rsidR="00B31C13">
        <w:rPr>
          <w:rFonts w:ascii="Arial" w:eastAsia="Calibri" w:hAnsi="Arial" w:cs="Arial"/>
        </w:rPr>
        <w:t xml:space="preserve">; </w:t>
      </w:r>
      <w:r w:rsidR="00B31C13" w:rsidRPr="00B31C13">
        <w:rPr>
          <w:rFonts w:ascii="Arial" w:eastAsia="Calibri" w:hAnsi="Arial" w:cs="Arial"/>
        </w:rPr>
        <w:t>exhaustion of domestic remedies</w:t>
      </w:r>
      <w:r w:rsidR="00B31C13">
        <w:rPr>
          <w:rFonts w:ascii="Arial" w:eastAsia="Calibri" w:hAnsi="Arial" w:cs="Arial"/>
        </w:rPr>
        <w:t>;</w:t>
      </w:r>
      <w:r w:rsidR="00BE376D">
        <w:rPr>
          <w:rFonts w:ascii="Arial" w:eastAsia="Calibri" w:hAnsi="Arial" w:cs="Arial"/>
        </w:rPr>
        <w:t xml:space="preserve"> </w:t>
      </w:r>
      <w:r w:rsidR="00B31C13" w:rsidRPr="00B31C13">
        <w:rPr>
          <w:rFonts w:ascii="Arial" w:eastAsia="Calibri" w:hAnsi="Arial" w:cs="Arial"/>
        </w:rPr>
        <w:t xml:space="preserve">competence </w:t>
      </w:r>
      <w:proofErr w:type="spellStart"/>
      <w:r w:rsidR="00B31C13" w:rsidRPr="00BE376D">
        <w:rPr>
          <w:rFonts w:ascii="Arial" w:eastAsia="Calibri" w:hAnsi="Arial" w:cs="Arial"/>
          <w:i/>
        </w:rPr>
        <w:t>ratione</w:t>
      </w:r>
      <w:proofErr w:type="spellEnd"/>
      <w:r w:rsidR="00B31C13" w:rsidRPr="00BE376D">
        <w:rPr>
          <w:rFonts w:ascii="Arial" w:eastAsia="Calibri" w:hAnsi="Arial" w:cs="Arial"/>
          <w:i/>
        </w:rPr>
        <w:t xml:space="preserve"> </w:t>
      </w:r>
      <w:proofErr w:type="spellStart"/>
      <w:r w:rsidR="00B31C13" w:rsidRPr="00BE376D">
        <w:rPr>
          <w:rFonts w:ascii="Arial" w:eastAsia="Calibri" w:hAnsi="Arial" w:cs="Arial"/>
          <w:i/>
        </w:rPr>
        <w:t>materiae</w:t>
      </w:r>
      <w:proofErr w:type="spellEnd"/>
    </w:p>
    <w:p w14:paraId="571C2F5D" w14:textId="77777777" w:rsidR="009B0A51" w:rsidRPr="009B0A51" w:rsidRDefault="009B0A51" w:rsidP="00566D7A">
      <w:pPr>
        <w:autoSpaceDE w:val="0"/>
        <w:autoSpaceDN w:val="0"/>
        <w:adjustRightInd w:val="0"/>
        <w:spacing w:after="0" w:line="240" w:lineRule="auto"/>
        <w:jc w:val="both"/>
        <w:rPr>
          <w:rFonts w:ascii="Arial" w:eastAsia="Calibri" w:hAnsi="Arial" w:cs="Arial"/>
        </w:rPr>
      </w:pPr>
    </w:p>
    <w:p w14:paraId="6F51F8CB" w14:textId="0CF38DB8" w:rsidR="009B0A51" w:rsidRPr="009B0A51" w:rsidRDefault="009B0A51" w:rsidP="00566D7A">
      <w:pPr>
        <w:autoSpaceDE w:val="0"/>
        <w:autoSpaceDN w:val="0"/>
        <w:adjustRightInd w:val="0"/>
        <w:spacing w:after="0" w:line="240" w:lineRule="auto"/>
        <w:jc w:val="both"/>
        <w:rPr>
          <w:rFonts w:ascii="Arial" w:eastAsia="Calibri" w:hAnsi="Arial" w:cs="Arial"/>
        </w:rPr>
      </w:pPr>
      <w:r w:rsidRPr="009B0A51">
        <w:rPr>
          <w:rFonts w:ascii="Arial" w:eastAsia="Calibri" w:hAnsi="Arial" w:cs="Arial"/>
        </w:rPr>
        <w:t xml:space="preserve">Decision: </w:t>
      </w:r>
      <w:r w:rsidRPr="009B0A51">
        <w:rPr>
          <w:rFonts w:ascii="Arial" w:eastAsia="Calibri" w:hAnsi="Arial" w:cs="Arial"/>
        </w:rPr>
        <w:tab/>
      </w:r>
      <w:r w:rsidRPr="009B0A51">
        <w:rPr>
          <w:rFonts w:ascii="Arial" w:eastAsia="Calibri" w:hAnsi="Arial" w:cs="Arial"/>
        </w:rPr>
        <w:tab/>
        <w:t xml:space="preserve">The State party has failed to fulfil its obligations under articles 5, 7, 8, 15, 16, </w:t>
      </w:r>
      <w:r>
        <w:rPr>
          <w:rFonts w:ascii="Arial" w:eastAsia="Calibri" w:hAnsi="Arial" w:cs="Arial"/>
        </w:rPr>
        <w:tab/>
      </w:r>
      <w:r>
        <w:rPr>
          <w:rFonts w:ascii="Arial" w:eastAsia="Calibri" w:hAnsi="Arial" w:cs="Arial"/>
        </w:rPr>
        <w:tab/>
      </w:r>
      <w:r>
        <w:rPr>
          <w:rFonts w:ascii="Arial" w:eastAsia="Calibri" w:hAnsi="Arial" w:cs="Arial"/>
        </w:rPr>
        <w:tab/>
      </w:r>
      <w:r w:rsidRPr="009B0A51">
        <w:rPr>
          <w:rFonts w:ascii="Arial" w:eastAsia="Calibri" w:hAnsi="Arial" w:cs="Arial"/>
        </w:rPr>
        <w:t>and 17 read alone and in conjunction with article</w:t>
      </w:r>
      <w:r w:rsidR="00BE376D">
        <w:rPr>
          <w:rFonts w:ascii="Arial" w:eastAsia="Calibri" w:hAnsi="Arial" w:cs="Arial"/>
        </w:rPr>
        <w:t>s</w:t>
      </w:r>
      <w:r w:rsidRPr="009B0A51">
        <w:rPr>
          <w:rFonts w:ascii="Arial" w:eastAsia="Calibri" w:hAnsi="Arial" w:cs="Arial"/>
        </w:rPr>
        <w:t xml:space="preserve"> 4, and 24 of the</w:t>
      </w:r>
      <w:r w:rsidR="00BE376D">
        <w:rPr>
          <w:rFonts w:ascii="Arial" w:eastAsia="Calibri" w:hAnsi="Arial" w:cs="Arial"/>
        </w:rPr>
        <w:t xml:space="preserve"> Convention.</w:t>
      </w:r>
    </w:p>
    <w:p w14:paraId="36C2872C" w14:textId="77777777" w:rsidR="008043DD" w:rsidRDefault="008043DD" w:rsidP="00566D7A">
      <w:pPr>
        <w:autoSpaceDE w:val="0"/>
        <w:autoSpaceDN w:val="0"/>
        <w:adjustRightInd w:val="0"/>
        <w:spacing w:after="0" w:line="240" w:lineRule="auto"/>
        <w:jc w:val="both"/>
        <w:rPr>
          <w:rFonts w:ascii="Arial" w:eastAsia="Calibri" w:hAnsi="Arial" w:cs="Arial"/>
        </w:rPr>
      </w:pPr>
    </w:p>
    <w:p w14:paraId="3A34F180" w14:textId="053B4142" w:rsidR="003C06B3" w:rsidRDefault="003C06B3" w:rsidP="003C06B3">
      <w:pPr>
        <w:spacing w:after="0"/>
        <w:jc w:val="both"/>
        <w:rPr>
          <w:rFonts w:ascii="Arial" w:hAnsi="Arial" w:cs="Arial"/>
          <w:szCs w:val="20"/>
        </w:rPr>
      </w:pPr>
      <w:r w:rsidRPr="00F176E0">
        <w:rPr>
          <w:rFonts w:ascii="Arial" w:hAnsi="Arial" w:cs="Arial"/>
          <w:szCs w:val="20"/>
        </w:rPr>
        <w:t xml:space="preserve">Full decision in </w:t>
      </w:r>
      <w:r>
        <w:rPr>
          <w:rFonts w:ascii="Arial" w:hAnsi="Arial" w:cs="Arial"/>
          <w:szCs w:val="20"/>
        </w:rPr>
        <w:t>PDF format</w:t>
      </w:r>
      <w:r w:rsidRPr="00F176E0">
        <w:rPr>
          <w:rFonts w:ascii="Arial" w:hAnsi="Arial" w:cs="Arial"/>
          <w:szCs w:val="20"/>
        </w:rPr>
        <w:t xml:space="preserve">: </w:t>
      </w:r>
      <w:hyperlink r:id="rId17" w:history="1">
        <w:r w:rsidRPr="000679CD">
          <w:rPr>
            <w:rStyle w:val="Hyperlink"/>
            <w:rFonts w:ascii="Arial" w:hAnsi="Arial" w:cs="Arial"/>
            <w:szCs w:val="20"/>
          </w:rPr>
          <w:t>Arabic</w:t>
        </w:r>
      </w:hyperlink>
      <w:r w:rsidRPr="00021A10">
        <w:rPr>
          <w:rFonts w:ascii="Arial" w:hAnsi="Arial" w:cs="Arial"/>
          <w:szCs w:val="20"/>
        </w:rPr>
        <w:t xml:space="preserve">, </w:t>
      </w:r>
      <w:hyperlink r:id="rId18" w:history="1">
        <w:r w:rsidRPr="00021A10">
          <w:rPr>
            <w:rStyle w:val="Hyperlink"/>
            <w:rFonts w:ascii="Arial" w:hAnsi="Arial" w:cs="Arial"/>
            <w:szCs w:val="20"/>
          </w:rPr>
          <w:t>English</w:t>
        </w:r>
      </w:hyperlink>
      <w:r>
        <w:rPr>
          <w:rFonts w:ascii="Arial" w:hAnsi="Arial" w:cs="Arial"/>
          <w:szCs w:val="20"/>
        </w:rPr>
        <w:t>,</w:t>
      </w:r>
      <w:r w:rsidRPr="00910967">
        <w:t xml:space="preserve"> </w:t>
      </w:r>
      <w:hyperlink r:id="rId19" w:history="1">
        <w:r w:rsidRPr="000679CD">
          <w:rPr>
            <w:rStyle w:val="Hyperlink"/>
            <w:rFonts w:ascii="Arial" w:hAnsi="Arial" w:cs="Arial"/>
            <w:szCs w:val="20"/>
          </w:rPr>
          <w:t>Russian</w:t>
        </w:r>
      </w:hyperlink>
      <w:r w:rsidRPr="00021A10">
        <w:rPr>
          <w:rFonts w:ascii="Arial" w:hAnsi="Arial" w:cs="Arial"/>
          <w:szCs w:val="20"/>
        </w:rPr>
        <w:t xml:space="preserve"> and </w:t>
      </w:r>
      <w:hyperlink r:id="rId20" w:history="1">
        <w:r w:rsidRPr="000679CD">
          <w:rPr>
            <w:rStyle w:val="Hyperlink"/>
            <w:rFonts w:ascii="Arial" w:hAnsi="Arial" w:cs="Arial"/>
            <w:szCs w:val="20"/>
          </w:rPr>
          <w:t>Spanish</w:t>
        </w:r>
      </w:hyperlink>
      <w:r w:rsidRPr="00021A10">
        <w:rPr>
          <w:rFonts w:ascii="Arial" w:hAnsi="Arial" w:cs="Arial"/>
          <w:szCs w:val="20"/>
        </w:rPr>
        <w:t xml:space="preserve"> </w:t>
      </w:r>
    </w:p>
    <w:p w14:paraId="271F16B5" w14:textId="77777777" w:rsidR="009B0A51" w:rsidRDefault="009B0A51" w:rsidP="00566D7A">
      <w:pPr>
        <w:autoSpaceDE w:val="0"/>
        <w:autoSpaceDN w:val="0"/>
        <w:adjustRightInd w:val="0"/>
        <w:spacing w:after="0" w:line="240" w:lineRule="auto"/>
        <w:jc w:val="both"/>
        <w:rPr>
          <w:rFonts w:ascii="Arial" w:eastAsia="Calibri" w:hAnsi="Arial" w:cs="Arial"/>
        </w:rPr>
      </w:pPr>
    </w:p>
    <w:p w14:paraId="6EB6F3D8" w14:textId="77777777" w:rsidR="009B0A51" w:rsidRPr="00DB2F25" w:rsidRDefault="009B0A51" w:rsidP="00566D7A">
      <w:pPr>
        <w:autoSpaceDE w:val="0"/>
        <w:autoSpaceDN w:val="0"/>
        <w:adjustRightInd w:val="0"/>
        <w:spacing w:after="0" w:line="240" w:lineRule="auto"/>
        <w:jc w:val="both"/>
        <w:rPr>
          <w:rFonts w:ascii="Arial" w:eastAsia="Calibri" w:hAnsi="Arial" w:cs="Arial"/>
          <w:b/>
          <w:sz w:val="24"/>
        </w:rPr>
      </w:pPr>
      <w:r w:rsidRPr="00DB2F25">
        <w:rPr>
          <w:rFonts w:ascii="Arial" w:eastAsia="Calibri" w:hAnsi="Arial" w:cs="Arial"/>
          <w:b/>
          <w:sz w:val="24"/>
        </w:rPr>
        <w:t>The facts</w:t>
      </w:r>
    </w:p>
    <w:p w14:paraId="7BB59A5B" w14:textId="76907221" w:rsidR="009B0A51" w:rsidRDefault="009B0A51" w:rsidP="00566D7A">
      <w:pPr>
        <w:autoSpaceDE w:val="0"/>
        <w:autoSpaceDN w:val="0"/>
        <w:adjustRightInd w:val="0"/>
        <w:spacing w:after="0" w:line="240" w:lineRule="auto"/>
        <w:jc w:val="both"/>
        <w:rPr>
          <w:rFonts w:ascii="Arial" w:eastAsia="Calibri" w:hAnsi="Arial" w:cs="Arial"/>
        </w:rPr>
      </w:pPr>
      <w:r w:rsidRPr="009B0A51">
        <w:rPr>
          <w:rFonts w:ascii="Arial" w:eastAsia="Calibri" w:hAnsi="Arial" w:cs="Arial"/>
        </w:rPr>
        <w:t>The author is Mr. Y, a Tanzanian national with albinism born on 24 May 1999</w:t>
      </w:r>
      <w:r>
        <w:rPr>
          <w:rFonts w:ascii="Arial" w:eastAsia="Calibri" w:hAnsi="Arial" w:cs="Arial"/>
        </w:rPr>
        <w:t>, represented by Mr. AP.</w:t>
      </w:r>
      <w:r w:rsidRPr="009B0A51">
        <w:rPr>
          <w:rFonts w:ascii="Arial" w:eastAsia="Calibri" w:hAnsi="Arial" w:cs="Arial"/>
        </w:rPr>
        <w:t xml:space="preserve"> The author claims to be victim of violations by Tanzania of his rights under articles </w:t>
      </w:r>
      <w:hyperlink r:id="rId21" w:anchor="4" w:history="1">
        <w:r w:rsidR="00A24F00" w:rsidRPr="00A24F00">
          <w:rPr>
            <w:rStyle w:val="Hyperlink"/>
            <w:rFonts w:ascii="Arial" w:eastAsia="Calibri" w:hAnsi="Arial" w:cs="Arial"/>
          </w:rPr>
          <w:t>4</w:t>
        </w:r>
      </w:hyperlink>
      <w:r w:rsidRPr="009B0A51">
        <w:rPr>
          <w:rFonts w:ascii="Arial" w:eastAsia="Calibri" w:hAnsi="Arial" w:cs="Arial"/>
        </w:rPr>
        <w:t xml:space="preserve">, </w:t>
      </w:r>
      <w:hyperlink r:id="rId22" w:anchor="5" w:history="1">
        <w:r w:rsidR="00A24F00" w:rsidRPr="00A24F00">
          <w:rPr>
            <w:rStyle w:val="Hyperlink"/>
            <w:rFonts w:ascii="Arial" w:eastAsia="Calibri" w:hAnsi="Arial" w:cs="Arial"/>
          </w:rPr>
          <w:t>5</w:t>
        </w:r>
      </w:hyperlink>
      <w:r w:rsidRPr="009B0A51">
        <w:rPr>
          <w:rFonts w:ascii="Arial" w:eastAsia="Calibri" w:hAnsi="Arial" w:cs="Arial"/>
        </w:rPr>
        <w:t xml:space="preserve">, </w:t>
      </w:r>
      <w:hyperlink r:id="rId23" w:anchor="7" w:history="1">
        <w:r w:rsidR="00A24F00" w:rsidRPr="00A24F00">
          <w:rPr>
            <w:rStyle w:val="Hyperlink"/>
            <w:rFonts w:ascii="Arial" w:eastAsia="Calibri" w:hAnsi="Arial" w:cs="Arial"/>
          </w:rPr>
          <w:t>7</w:t>
        </w:r>
      </w:hyperlink>
      <w:r w:rsidRPr="009B0A51">
        <w:rPr>
          <w:rFonts w:ascii="Arial" w:eastAsia="Calibri" w:hAnsi="Arial" w:cs="Arial"/>
        </w:rPr>
        <w:t xml:space="preserve">, </w:t>
      </w:r>
      <w:hyperlink r:id="rId24" w:anchor="8" w:history="1">
        <w:r w:rsidR="00A24F00" w:rsidRPr="00A24F00">
          <w:rPr>
            <w:rStyle w:val="Hyperlink"/>
            <w:rFonts w:ascii="Arial" w:eastAsia="Calibri" w:hAnsi="Arial" w:cs="Arial"/>
          </w:rPr>
          <w:t>8</w:t>
        </w:r>
      </w:hyperlink>
      <w:r w:rsidRPr="009B0A51">
        <w:rPr>
          <w:rFonts w:ascii="Arial" w:eastAsia="Calibri" w:hAnsi="Arial" w:cs="Arial"/>
        </w:rPr>
        <w:t xml:space="preserve">, </w:t>
      </w:r>
      <w:hyperlink r:id="rId25" w:anchor="14" w:history="1">
        <w:r w:rsidR="00A24F00" w:rsidRPr="00A24F00">
          <w:rPr>
            <w:rStyle w:val="Hyperlink"/>
            <w:rFonts w:ascii="Arial" w:eastAsia="Calibri" w:hAnsi="Arial" w:cs="Arial"/>
          </w:rPr>
          <w:t>14</w:t>
        </w:r>
      </w:hyperlink>
      <w:r w:rsidRPr="009B0A51">
        <w:rPr>
          <w:rFonts w:ascii="Arial" w:eastAsia="Calibri" w:hAnsi="Arial" w:cs="Arial"/>
        </w:rPr>
        <w:t xml:space="preserve">, </w:t>
      </w:r>
      <w:hyperlink r:id="rId26" w:anchor="15" w:history="1">
        <w:r w:rsidR="00A24F00" w:rsidRPr="00A24F00">
          <w:rPr>
            <w:rStyle w:val="Hyperlink"/>
            <w:rFonts w:ascii="Arial" w:eastAsia="Calibri" w:hAnsi="Arial" w:cs="Arial"/>
          </w:rPr>
          <w:t>15</w:t>
        </w:r>
      </w:hyperlink>
      <w:r w:rsidR="00A24F00" w:rsidRPr="00B31C13">
        <w:rPr>
          <w:rFonts w:ascii="Arial" w:eastAsia="Calibri" w:hAnsi="Arial" w:cs="Arial"/>
        </w:rPr>
        <w:t xml:space="preserve">, </w:t>
      </w:r>
      <w:hyperlink r:id="rId27" w:anchor="16" w:history="1">
        <w:r w:rsidR="00A24F00" w:rsidRPr="00A24F00">
          <w:rPr>
            <w:rStyle w:val="Hyperlink"/>
            <w:rFonts w:ascii="Arial" w:eastAsia="Calibri" w:hAnsi="Arial" w:cs="Arial"/>
          </w:rPr>
          <w:t>16</w:t>
        </w:r>
      </w:hyperlink>
      <w:r w:rsidR="00A24F00" w:rsidRPr="00B31C13">
        <w:rPr>
          <w:rFonts w:ascii="Arial" w:eastAsia="Calibri" w:hAnsi="Arial" w:cs="Arial"/>
        </w:rPr>
        <w:t xml:space="preserve">, </w:t>
      </w:r>
      <w:hyperlink r:id="rId28" w:anchor="17" w:history="1">
        <w:r w:rsidR="00A24F00" w:rsidRPr="00A24F00">
          <w:rPr>
            <w:rStyle w:val="Hyperlink"/>
            <w:rFonts w:ascii="Arial" w:eastAsia="Calibri" w:hAnsi="Arial" w:cs="Arial"/>
          </w:rPr>
          <w:t>17</w:t>
        </w:r>
      </w:hyperlink>
      <w:r w:rsidR="00A24F00">
        <w:rPr>
          <w:rFonts w:ascii="Arial" w:eastAsia="Calibri" w:hAnsi="Arial" w:cs="Arial"/>
        </w:rPr>
        <w:t xml:space="preserve"> </w:t>
      </w:r>
      <w:r w:rsidRPr="009B0A51">
        <w:rPr>
          <w:rFonts w:ascii="Arial" w:eastAsia="Calibri" w:hAnsi="Arial" w:cs="Arial"/>
        </w:rPr>
        <w:t xml:space="preserve">and </w:t>
      </w:r>
      <w:hyperlink r:id="rId29" w:anchor="24" w:history="1">
        <w:r w:rsidR="00A24F00" w:rsidRPr="00A24F00">
          <w:rPr>
            <w:rStyle w:val="Hyperlink"/>
            <w:rFonts w:ascii="Arial" w:eastAsia="Calibri" w:hAnsi="Arial" w:cs="Arial"/>
          </w:rPr>
          <w:t>24</w:t>
        </w:r>
      </w:hyperlink>
      <w:r w:rsidRPr="009B0A51">
        <w:rPr>
          <w:rFonts w:ascii="Arial" w:eastAsia="Calibri" w:hAnsi="Arial" w:cs="Arial"/>
        </w:rPr>
        <w:t xml:space="preserve"> of the </w:t>
      </w:r>
      <w:r w:rsidR="00B31C13">
        <w:rPr>
          <w:rFonts w:ascii="Arial" w:eastAsia="Calibri" w:hAnsi="Arial" w:cs="Arial"/>
        </w:rPr>
        <w:t>CRPD</w:t>
      </w:r>
      <w:r w:rsidRPr="009B0A51">
        <w:rPr>
          <w:rFonts w:ascii="Arial" w:eastAsia="Calibri" w:hAnsi="Arial" w:cs="Arial"/>
        </w:rPr>
        <w:t>. The United Republic of Tanzania ratified the OP</w:t>
      </w:r>
      <w:r w:rsidR="00A24F00">
        <w:rPr>
          <w:rFonts w:ascii="Arial" w:eastAsia="Calibri" w:hAnsi="Arial" w:cs="Arial"/>
        </w:rPr>
        <w:t xml:space="preserve"> </w:t>
      </w:r>
      <w:r w:rsidR="00CB600F">
        <w:rPr>
          <w:rFonts w:ascii="Arial" w:eastAsia="Calibri" w:hAnsi="Arial" w:cs="Arial"/>
        </w:rPr>
        <w:t>in</w:t>
      </w:r>
      <w:r w:rsidRPr="009B0A51">
        <w:rPr>
          <w:rFonts w:ascii="Arial" w:eastAsia="Calibri" w:hAnsi="Arial" w:cs="Arial"/>
        </w:rPr>
        <w:t xml:space="preserve"> 2009.</w:t>
      </w:r>
    </w:p>
    <w:p w14:paraId="00EF7CB0" w14:textId="77777777" w:rsidR="009B0A51" w:rsidRDefault="009B0A51" w:rsidP="00566D7A">
      <w:pPr>
        <w:autoSpaceDE w:val="0"/>
        <w:autoSpaceDN w:val="0"/>
        <w:adjustRightInd w:val="0"/>
        <w:spacing w:after="0" w:line="240" w:lineRule="auto"/>
        <w:jc w:val="both"/>
        <w:rPr>
          <w:rFonts w:ascii="Arial" w:eastAsia="Calibri" w:hAnsi="Arial" w:cs="Arial"/>
        </w:rPr>
      </w:pPr>
    </w:p>
    <w:p w14:paraId="7E8F2781" w14:textId="3DD5E1D0" w:rsidR="009B0A51" w:rsidRDefault="00FE1A52" w:rsidP="00566D7A">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The author and his brother </w:t>
      </w:r>
      <w:r w:rsidR="00BE376D">
        <w:rPr>
          <w:rFonts w:ascii="Arial" w:eastAsia="Calibri" w:hAnsi="Arial" w:cs="Arial"/>
        </w:rPr>
        <w:t>are persons with</w:t>
      </w:r>
      <w:r>
        <w:rPr>
          <w:rFonts w:ascii="Arial" w:eastAsia="Calibri" w:hAnsi="Arial" w:cs="Arial"/>
        </w:rPr>
        <w:t xml:space="preserve"> albinism and</w:t>
      </w:r>
      <w:r w:rsidR="00BE376D">
        <w:rPr>
          <w:rFonts w:ascii="Arial" w:eastAsia="Calibri" w:hAnsi="Arial" w:cs="Arial"/>
        </w:rPr>
        <w:t xml:space="preserve"> were abandoned by</w:t>
      </w:r>
      <w:r>
        <w:rPr>
          <w:rFonts w:ascii="Arial" w:eastAsia="Calibri" w:hAnsi="Arial" w:cs="Arial"/>
        </w:rPr>
        <w:t xml:space="preserve"> their family. In 2008, they stop</w:t>
      </w:r>
      <w:r w:rsidR="00181E8F">
        <w:rPr>
          <w:rFonts w:ascii="Arial" w:eastAsia="Calibri" w:hAnsi="Arial" w:cs="Arial"/>
        </w:rPr>
        <w:t>ped</w:t>
      </w:r>
      <w:r>
        <w:rPr>
          <w:rFonts w:ascii="Arial" w:eastAsia="Calibri" w:hAnsi="Arial" w:cs="Arial"/>
        </w:rPr>
        <w:t xml:space="preserve"> attending school as they</w:t>
      </w:r>
      <w:r w:rsidR="00181E8F">
        <w:rPr>
          <w:rFonts w:ascii="Arial" w:eastAsia="Calibri" w:hAnsi="Arial" w:cs="Arial"/>
        </w:rPr>
        <w:t xml:space="preserve"> feared</w:t>
      </w:r>
      <w:r>
        <w:rPr>
          <w:rFonts w:ascii="Arial" w:eastAsia="Calibri" w:hAnsi="Arial" w:cs="Arial"/>
        </w:rPr>
        <w:t xml:space="preserve"> be</w:t>
      </w:r>
      <w:r w:rsidR="00181E8F">
        <w:rPr>
          <w:rFonts w:ascii="Arial" w:eastAsia="Calibri" w:hAnsi="Arial" w:cs="Arial"/>
        </w:rPr>
        <w:t>ing</w:t>
      </w:r>
      <w:r>
        <w:rPr>
          <w:rFonts w:ascii="Arial" w:eastAsia="Calibri" w:hAnsi="Arial" w:cs="Arial"/>
        </w:rPr>
        <w:t xml:space="preserve"> attacked </w:t>
      </w:r>
      <w:r w:rsidR="00BE376D">
        <w:rPr>
          <w:rFonts w:ascii="Arial" w:eastAsia="Calibri" w:hAnsi="Arial" w:cs="Arial"/>
        </w:rPr>
        <w:t xml:space="preserve">in </w:t>
      </w:r>
      <w:r>
        <w:rPr>
          <w:rFonts w:ascii="Arial" w:eastAsia="Calibri" w:hAnsi="Arial" w:cs="Arial"/>
        </w:rPr>
        <w:t xml:space="preserve">the way to </w:t>
      </w:r>
      <w:r w:rsidR="00BE376D">
        <w:rPr>
          <w:rFonts w:ascii="Arial" w:eastAsia="Calibri" w:hAnsi="Arial" w:cs="Arial"/>
        </w:rPr>
        <w:t>school</w:t>
      </w:r>
      <w:r>
        <w:rPr>
          <w:rFonts w:ascii="Arial" w:eastAsia="Calibri" w:hAnsi="Arial" w:cs="Arial"/>
        </w:rPr>
        <w:t xml:space="preserve">, </w:t>
      </w:r>
      <w:r w:rsidR="004D79EE">
        <w:rPr>
          <w:rFonts w:ascii="Arial" w:eastAsia="Calibri" w:hAnsi="Arial" w:cs="Arial"/>
        </w:rPr>
        <w:t>given</w:t>
      </w:r>
      <w:r>
        <w:rPr>
          <w:rFonts w:ascii="Arial" w:eastAsia="Calibri" w:hAnsi="Arial" w:cs="Arial"/>
        </w:rPr>
        <w:t xml:space="preserve"> the </w:t>
      </w:r>
      <w:r w:rsidRPr="00FE1A52">
        <w:rPr>
          <w:rFonts w:ascii="Arial" w:eastAsia="Calibri" w:hAnsi="Arial" w:cs="Arial"/>
        </w:rPr>
        <w:t>escalation of killings and violence against persons with albinism</w:t>
      </w:r>
      <w:r>
        <w:rPr>
          <w:rFonts w:ascii="Arial" w:eastAsia="Calibri" w:hAnsi="Arial" w:cs="Arial"/>
        </w:rPr>
        <w:t xml:space="preserve">. In 2011, the 12 years-old author was attacked by a man with a machete, </w:t>
      </w:r>
      <w:r w:rsidR="0036434F">
        <w:rPr>
          <w:rFonts w:ascii="Arial" w:eastAsia="Calibri" w:hAnsi="Arial" w:cs="Arial"/>
        </w:rPr>
        <w:t xml:space="preserve">who injured </w:t>
      </w:r>
      <w:r>
        <w:rPr>
          <w:rFonts w:ascii="Arial" w:eastAsia="Calibri" w:hAnsi="Arial" w:cs="Arial"/>
        </w:rPr>
        <w:t>him</w:t>
      </w:r>
      <w:r w:rsidR="00BE376D">
        <w:rPr>
          <w:rFonts w:ascii="Arial" w:eastAsia="Calibri" w:hAnsi="Arial" w:cs="Arial"/>
        </w:rPr>
        <w:t xml:space="preserve"> in</w:t>
      </w:r>
      <w:r>
        <w:rPr>
          <w:rFonts w:ascii="Arial" w:eastAsia="Calibri" w:hAnsi="Arial" w:cs="Arial"/>
        </w:rPr>
        <w:t xml:space="preserve"> his left shoulder and </w:t>
      </w:r>
      <w:r w:rsidR="0036434F">
        <w:rPr>
          <w:rFonts w:ascii="Arial" w:eastAsia="Calibri" w:hAnsi="Arial" w:cs="Arial"/>
        </w:rPr>
        <w:t xml:space="preserve">stole </w:t>
      </w:r>
      <w:r>
        <w:rPr>
          <w:rFonts w:ascii="Arial" w:eastAsia="Calibri" w:hAnsi="Arial" w:cs="Arial"/>
        </w:rPr>
        <w:t xml:space="preserve">3 of his </w:t>
      </w:r>
      <w:r w:rsidR="00BE376D">
        <w:rPr>
          <w:rFonts w:ascii="Arial" w:eastAsia="Calibri" w:hAnsi="Arial" w:cs="Arial"/>
        </w:rPr>
        <w:t>right-hand</w:t>
      </w:r>
      <w:r>
        <w:rPr>
          <w:rFonts w:ascii="Arial" w:eastAsia="Calibri" w:hAnsi="Arial" w:cs="Arial"/>
        </w:rPr>
        <w:t xml:space="preserve"> fingers. The author was left wounded in front of his home</w:t>
      </w:r>
      <w:r w:rsidR="004D79EE">
        <w:rPr>
          <w:rFonts w:ascii="Arial" w:eastAsia="Calibri" w:hAnsi="Arial" w:cs="Arial"/>
        </w:rPr>
        <w:t>.</w:t>
      </w:r>
      <w:r>
        <w:rPr>
          <w:rFonts w:ascii="Arial" w:eastAsia="Calibri" w:hAnsi="Arial" w:cs="Arial"/>
        </w:rPr>
        <w:t xml:space="preserve"> </w:t>
      </w:r>
      <w:r w:rsidR="004D79EE">
        <w:rPr>
          <w:rFonts w:ascii="Arial" w:eastAsia="Calibri" w:hAnsi="Arial" w:cs="Arial"/>
        </w:rPr>
        <w:t>T</w:t>
      </w:r>
      <w:r>
        <w:rPr>
          <w:rFonts w:ascii="Arial" w:eastAsia="Calibri" w:hAnsi="Arial" w:cs="Arial"/>
        </w:rPr>
        <w:t xml:space="preserve">he </w:t>
      </w:r>
      <w:r w:rsidRPr="00FE1A52">
        <w:rPr>
          <w:rFonts w:ascii="Arial" w:eastAsia="Calibri" w:hAnsi="Arial" w:cs="Arial"/>
        </w:rPr>
        <w:t>State party did not provide him with any medical aid or rehabilitation.</w:t>
      </w:r>
      <w:r>
        <w:rPr>
          <w:rFonts w:ascii="Arial" w:eastAsia="Calibri" w:hAnsi="Arial" w:cs="Arial"/>
        </w:rPr>
        <w:t xml:space="preserve"> Later in 2012, a NGO brought the author back to school but, after 2 years of non-attendance, he faced difficulties and he is still unable to read or write properly. </w:t>
      </w:r>
    </w:p>
    <w:p w14:paraId="54EB6936" w14:textId="77777777" w:rsidR="00C13F53" w:rsidRDefault="00C13F53" w:rsidP="00566D7A">
      <w:pPr>
        <w:autoSpaceDE w:val="0"/>
        <w:autoSpaceDN w:val="0"/>
        <w:adjustRightInd w:val="0"/>
        <w:spacing w:after="0" w:line="240" w:lineRule="auto"/>
        <w:jc w:val="both"/>
        <w:rPr>
          <w:rFonts w:ascii="Arial" w:eastAsia="Calibri" w:hAnsi="Arial" w:cs="Arial"/>
        </w:rPr>
      </w:pPr>
    </w:p>
    <w:p w14:paraId="3D472940" w14:textId="1ABF7157" w:rsidR="00DB2F25" w:rsidRDefault="00C13F53" w:rsidP="00940D88">
      <w:pPr>
        <w:autoSpaceDE w:val="0"/>
        <w:autoSpaceDN w:val="0"/>
        <w:adjustRightInd w:val="0"/>
        <w:spacing w:after="0" w:line="240" w:lineRule="auto"/>
        <w:jc w:val="both"/>
        <w:rPr>
          <w:rFonts w:ascii="Arial" w:eastAsia="Calibri" w:hAnsi="Arial" w:cs="Arial"/>
        </w:rPr>
      </w:pPr>
      <w:r w:rsidRPr="00C13F53">
        <w:rPr>
          <w:rFonts w:ascii="Arial" w:eastAsia="Calibri" w:hAnsi="Arial" w:cs="Arial"/>
        </w:rPr>
        <w:t>The State party initiated an investigation on t</w:t>
      </w:r>
      <w:r>
        <w:rPr>
          <w:rFonts w:ascii="Arial" w:eastAsia="Calibri" w:hAnsi="Arial" w:cs="Arial"/>
        </w:rPr>
        <w:t>he crime</w:t>
      </w:r>
      <w:r w:rsidR="00F30B89">
        <w:rPr>
          <w:rFonts w:ascii="Arial" w:eastAsia="Calibri" w:hAnsi="Arial" w:cs="Arial"/>
        </w:rPr>
        <w:t>.</w:t>
      </w:r>
      <w:r>
        <w:rPr>
          <w:rFonts w:ascii="Arial" w:eastAsia="Calibri" w:hAnsi="Arial" w:cs="Arial"/>
        </w:rPr>
        <w:t xml:space="preserve"> </w:t>
      </w:r>
      <w:r w:rsidR="00F30B89">
        <w:rPr>
          <w:rFonts w:ascii="Arial" w:eastAsia="Calibri" w:hAnsi="Arial" w:cs="Arial"/>
        </w:rPr>
        <w:t>T</w:t>
      </w:r>
      <w:r w:rsidRPr="00C13F53">
        <w:rPr>
          <w:rFonts w:ascii="Arial" w:eastAsia="Calibri" w:hAnsi="Arial" w:cs="Arial"/>
        </w:rPr>
        <w:t>he aut</w:t>
      </w:r>
      <w:r>
        <w:rPr>
          <w:rFonts w:ascii="Arial" w:eastAsia="Calibri" w:hAnsi="Arial" w:cs="Arial"/>
        </w:rPr>
        <w:t>hor’s biological father</w:t>
      </w:r>
      <w:r w:rsidR="00F30B89">
        <w:rPr>
          <w:rFonts w:ascii="Arial" w:eastAsia="Calibri" w:hAnsi="Arial" w:cs="Arial"/>
        </w:rPr>
        <w:t>,</w:t>
      </w:r>
      <w:r>
        <w:rPr>
          <w:rFonts w:ascii="Arial" w:eastAsia="Calibri" w:hAnsi="Arial" w:cs="Arial"/>
        </w:rPr>
        <w:t xml:space="preserve"> his stepmother and</w:t>
      </w:r>
      <w:r w:rsidRPr="00C13F53">
        <w:rPr>
          <w:rFonts w:ascii="Arial" w:eastAsia="Calibri" w:hAnsi="Arial" w:cs="Arial"/>
        </w:rPr>
        <w:t xml:space="preserve"> his uncle</w:t>
      </w:r>
      <w:r>
        <w:rPr>
          <w:rFonts w:ascii="Arial" w:eastAsia="Calibri" w:hAnsi="Arial" w:cs="Arial"/>
        </w:rPr>
        <w:t xml:space="preserve"> were detained and taken to court</w:t>
      </w:r>
      <w:r w:rsidR="00B31C13">
        <w:rPr>
          <w:rFonts w:ascii="Arial" w:eastAsia="Calibri" w:hAnsi="Arial" w:cs="Arial"/>
        </w:rPr>
        <w:t xml:space="preserve"> for attempted murder </w:t>
      </w:r>
      <w:r w:rsidRPr="00C13F53">
        <w:rPr>
          <w:rFonts w:ascii="Arial" w:eastAsia="Calibri" w:hAnsi="Arial" w:cs="Arial"/>
        </w:rPr>
        <w:t>and acts of violence.</w:t>
      </w:r>
      <w:r w:rsidR="00F30B89">
        <w:rPr>
          <w:rFonts w:ascii="Arial" w:eastAsia="Calibri" w:hAnsi="Arial" w:cs="Arial"/>
        </w:rPr>
        <w:t xml:space="preserve"> I</w:t>
      </w:r>
      <w:r w:rsidRPr="00C13F53">
        <w:rPr>
          <w:rFonts w:ascii="Arial" w:eastAsia="Calibri" w:hAnsi="Arial" w:cs="Arial"/>
        </w:rPr>
        <w:t xml:space="preserve">n June 2012, the charges </w:t>
      </w:r>
      <w:r w:rsidR="00DB2F25">
        <w:rPr>
          <w:rFonts w:ascii="Arial" w:eastAsia="Calibri" w:hAnsi="Arial" w:cs="Arial"/>
        </w:rPr>
        <w:t xml:space="preserve">were dropped </w:t>
      </w:r>
      <w:r w:rsidRPr="00C13F53">
        <w:rPr>
          <w:rFonts w:ascii="Arial" w:eastAsia="Calibri" w:hAnsi="Arial" w:cs="Arial"/>
        </w:rPr>
        <w:t xml:space="preserve">for lack of evidence. The State prosecutor </w:t>
      </w:r>
      <w:r w:rsidR="00D437CF">
        <w:rPr>
          <w:rFonts w:ascii="Arial" w:eastAsia="Calibri" w:hAnsi="Arial" w:cs="Arial"/>
        </w:rPr>
        <w:t>required</w:t>
      </w:r>
      <w:r w:rsidRPr="00C13F53">
        <w:rPr>
          <w:rFonts w:ascii="Arial" w:eastAsia="Calibri" w:hAnsi="Arial" w:cs="Arial"/>
        </w:rPr>
        <w:t xml:space="preserve"> more time to finalize the investigation, but nothing has been done. The author waited two years before submitting his communication to the Committee without any prospect of redress from domestic authorities. </w:t>
      </w:r>
      <w:r w:rsidR="00940D88">
        <w:rPr>
          <w:rFonts w:ascii="Arial" w:eastAsia="Calibri" w:hAnsi="Arial" w:cs="Arial"/>
        </w:rPr>
        <w:t>He</w:t>
      </w:r>
      <w:r w:rsidR="00DB2F25" w:rsidRPr="00DB2F25">
        <w:rPr>
          <w:rFonts w:ascii="Arial" w:eastAsia="Calibri" w:hAnsi="Arial" w:cs="Arial"/>
        </w:rPr>
        <w:t xml:space="preserve"> submits that he was attacked because of the </w:t>
      </w:r>
      <w:r w:rsidR="00B043D7">
        <w:rPr>
          <w:rFonts w:ascii="Arial" w:eastAsia="Calibri" w:hAnsi="Arial" w:cs="Arial"/>
        </w:rPr>
        <w:t>widely-spread</w:t>
      </w:r>
      <w:r w:rsidR="00DB2F25">
        <w:rPr>
          <w:rFonts w:ascii="Arial" w:eastAsia="Calibri" w:hAnsi="Arial" w:cs="Arial"/>
        </w:rPr>
        <w:t xml:space="preserve"> </w:t>
      </w:r>
      <w:r w:rsidR="00DB2F25" w:rsidRPr="00DB2F25">
        <w:rPr>
          <w:rFonts w:ascii="Arial" w:eastAsia="Calibri" w:hAnsi="Arial" w:cs="Arial"/>
        </w:rPr>
        <w:t>belief that the body parts of a person with albinism provide wealth and prosperity</w:t>
      </w:r>
      <w:r w:rsidR="00B31C13">
        <w:rPr>
          <w:rFonts w:ascii="Arial" w:eastAsia="Calibri" w:hAnsi="Arial" w:cs="Arial"/>
        </w:rPr>
        <w:t xml:space="preserve">, a belief that </w:t>
      </w:r>
      <w:r w:rsidR="00940D88">
        <w:rPr>
          <w:rFonts w:ascii="Arial" w:eastAsia="Calibri" w:hAnsi="Arial" w:cs="Arial"/>
        </w:rPr>
        <w:t>led to</w:t>
      </w:r>
      <w:r w:rsidR="00DB2F25" w:rsidRPr="00DB2F25">
        <w:rPr>
          <w:rFonts w:ascii="Arial" w:eastAsia="Calibri" w:hAnsi="Arial" w:cs="Arial"/>
        </w:rPr>
        <w:t xml:space="preserve"> an increase of persecutions against persons with albinism to feed a black-market</w:t>
      </w:r>
      <w:r w:rsidR="00B31C13">
        <w:rPr>
          <w:rFonts w:ascii="Arial" w:eastAsia="Calibri" w:hAnsi="Arial" w:cs="Arial"/>
        </w:rPr>
        <w:t xml:space="preserve"> of</w:t>
      </w:r>
      <w:r w:rsidR="00DB2F25" w:rsidRPr="00DB2F25">
        <w:rPr>
          <w:rFonts w:ascii="Arial" w:eastAsia="Calibri" w:hAnsi="Arial" w:cs="Arial"/>
        </w:rPr>
        <w:t xml:space="preserve"> circulating body parts of persons with albinism</w:t>
      </w:r>
      <w:r w:rsidR="00940D88">
        <w:rPr>
          <w:rFonts w:ascii="Arial" w:eastAsia="Calibri" w:hAnsi="Arial" w:cs="Arial"/>
        </w:rPr>
        <w:t>.</w:t>
      </w:r>
    </w:p>
    <w:p w14:paraId="6E065B42" w14:textId="77777777" w:rsidR="00DB2F25" w:rsidRDefault="00DB2F25" w:rsidP="00566D7A">
      <w:pPr>
        <w:autoSpaceDE w:val="0"/>
        <w:autoSpaceDN w:val="0"/>
        <w:adjustRightInd w:val="0"/>
        <w:spacing w:after="0" w:line="240" w:lineRule="auto"/>
        <w:jc w:val="both"/>
        <w:rPr>
          <w:rFonts w:ascii="Arial" w:eastAsia="Calibri" w:hAnsi="Arial" w:cs="Arial"/>
        </w:rPr>
      </w:pPr>
    </w:p>
    <w:p w14:paraId="04E7D91C" w14:textId="77777777" w:rsidR="00DB2F25" w:rsidRPr="00DB2F25" w:rsidRDefault="00DB2F25" w:rsidP="00566D7A">
      <w:pPr>
        <w:autoSpaceDE w:val="0"/>
        <w:autoSpaceDN w:val="0"/>
        <w:adjustRightInd w:val="0"/>
        <w:spacing w:after="0" w:line="240" w:lineRule="auto"/>
        <w:jc w:val="both"/>
        <w:rPr>
          <w:rFonts w:ascii="Arial" w:eastAsia="Calibri" w:hAnsi="Arial" w:cs="Arial"/>
          <w:b/>
          <w:sz w:val="24"/>
        </w:rPr>
      </w:pPr>
      <w:r w:rsidRPr="00DB2F25">
        <w:rPr>
          <w:rFonts w:ascii="Arial" w:eastAsia="Calibri" w:hAnsi="Arial" w:cs="Arial"/>
          <w:b/>
          <w:sz w:val="24"/>
        </w:rPr>
        <w:t>The complaint</w:t>
      </w:r>
    </w:p>
    <w:p w14:paraId="4D80AA76" w14:textId="77777777" w:rsidR="00B31C13" w:rsidRDefault="00DB2F25" w:rsidP="00566D7A">
      <w:pPr>
        <w:autoSpaceDE w:val="0"/>
        <w:autoSpaceDN w:val="0"/>
        <w:adjustRightInd w:val="0"/>
        <w:spacing w:after="0" w:line="240" w:lineRule="auto"/>
        <w:jc w:val="both"/>
        <w:rPr>
          <w:rFonts w:ascii="Arial" w:eastAsia="Calibri" w:hAnsi="Arial" w:cs="Arial"/>
        </w:rPr>
      </w:pPr>
      <w:r w:rsidRPr="00DB2F25">
        <w:rPr>
          <w:rFonts w:ascii="Arial" w:eastAsia="Calibri" w:hAnsi="Arial" w:cs="Arial"/>
        </w:rPr>
        <w:t xml:space="preserve">The author alleges that the State party violated his rights under articles 4, 5, 7, 8, 14, 15, 16, 17 and 24 of the CRPD. </w:t>
      </w:r>
    </w:p>
    <w:p w14:paraId="5C185FE9" w14:textId="77777777" w:rsidR="00B31C13" w:rsidRDefault="00B31C13" w:rsidP="00566D7A">
      <w:pPr>
        <w:autoSpaceDE w:val="0"/>
        <w:autoSpaceDN w:val="0"/>
        <w:adjustRightInd w:val="0"/>
        <w:spacing w:after="0" w:line="240" w:lineRule="auto"/>
        <w:jc w:val="both"/>
        <w:rPr>
          <w:rFonts w:ascii="Arial" w:eastAsia="Calibri" w:hAnsi="Arial" w:cs="Arial"/>
        </w:rPr>
      </w:pPr>
    </w:p>
    <w:p w14:paraId="2E244ED4" w14:textId="77777777" w:rsidR="00DB2F25" w:rsidRPr="00DB2F25" w:rsidRDefault="00B31C13" w:rsidP="00566D7A">
      <w:pPr>
        <w:autoSpaceDE w:val="0"/>
        <w:autoSpaceDN w:val="0"/>
        <w:adjustRightInd w:val="0"/>
        <w:spacing w:after="0" w:line="240" w:lineRule="auto"/>
        <w:jc w:val="both"/>
        <w:rPr>
          <w:rFonts w:ascii="Arial" w:eastAsia="Calibri" w:hAnsi="Arial" w:cs="Arial"/>
        </w:rPr>
      </w:pPr>
      <w:r w:rsidRPr="00B31C13">
        <w:rPr>
          <w:rFonts w:ascii="Arial" w:eastAsia="Calibri" w:hAnsi="Arial" w:cs="Arial"/>
          <w:u w:val="single"/>
        </w:rPr>
        <w:t>With regard to article 4</w:t>
      </w:r>
      <w:r>
        <w:rPr>
          <w:rFonts w:ascii="Arial" w:eastAsia="Calibri" w:hAnsi="Arial" w:cs="Arial"/>
        </w:rPr>
        <w:t>, the author</w:t>
      </w:r>
      <w:r w:rsidR="00DB2F25" w:rsidRPr="00DB2F25">
        <w:rPr>
          <w:rFonts w:ascii="Arial" w:eastAsia="Calibri" w:hAnsi="Arial" w:cs="Arial"/>
        </w:rPr>
        <w:t xml:space="preserve"> claims that the State party has failed to provide him with the protection he has needed as a child with albinism, and has therefore put him under a permanent risk of being attacked.</w:t>
      </w:r>
    </w:p>
    <w:p w14:paraId="41F0E50C" w14:textId="77777777" w:rsidR="00DB2F25" w:rsidRDefault="00DB2F25" w:rsidP="00566D7A">
      <w:pPr>
        <w:autoSpaceDE w:val="0"/>
        <w:autoSpaceDN w:val="0"/>
        <w:adjustRightInd w:val="0"/>
        <w:spacing w:after="0" w:line="240" w:lineRule="auto"/>
        <w:jc w:val="both"/>
        <w:rPr>
          <w:rFonts w:ascii="Arial" w:eastAsia="Calibri" w:hAnsi="Arial" w:cs="Arial"/>
        </w:rPr>
      </w:pPr>
    </w:p>
    <w:p w14:paraId="38D0527E" w14:textId="21A1D327" w:rsidR="00DB2F25" w:rsidRDefault="00B31C13" w:rsidP="00566D7A">
      <w:pPr>
        <w:autoSpaceDE w:val="0"/>
        <w:autoSpaceDN w:val="0"/>
        <w:adjustRightInd w:val="0"/>
        <w:spacing w:after="0" w:line="240" w:lineRule="auto"/>
        <w:jc w:val="both"/>
        <w:rPr>
          <w:rFonts w:ascii="Arial" w:eastAsia="Calibri" w:hAnsi="Arial" w:cs="Arial"/>
        </w:rPr>
      </w:pPr>
      <w:r w:rsidRPr="00B31C13">
        <w:rPr>
          <w:rFonts w:ascii="Arial" w:eastAsia="Calibri" w:hAnsi="Arial" w:cs="Arial"/>
          <w:u w:val="single"/>
        </w:rPr>
        <w:lastRenderedPageBreak/>
        <w:t>With regard to article 5, para 2 and 3</w:t>
      </w:r>
      <w:r>
        <w:rPr>
          <w:rFonts w:ascii="Arial" w:eastAsia="Calibri" w:hAnsi="Arial" w:cs="Arial"/>
        </w:rPr>
        <w:t xml:space="preserve">, the </w:t>
      </w:r>
      <w:r w:rsidR="00DB2F25" w:rsidRPr="00DB2F25">
        <w:rPr>
          <w:rFonts w:ascii="Arial" w:eastAsia="Calibri" w:hAnsi="Arial" w:cs="Arial"/>
        </w:rPr>
        <w:t xml:space="preserve">author claims that the State party has not taken reasonable steps to ensure that people with albinism are not discriminated against on the basis of their impairment. The failure to effectively investigate </w:t>
      </w:r>
      <w:proofErr w:type="gramStart"/>
      <w:r w:rsidR="00DB2F25" w:rsidRPr="00DB2F25">
        <w:rPr>
          <w:rFonts w:ascii="Arial" w:eastAsia="Calibri" w:hAnsi="Arial" w:cs="Arial"/>
        </w:rPr>
        <w:t xml:space="preserve">his </w:t>
      </w:r>
      <w:r w:rsidR="00940D88">
        <w:rPr>
          <w:rFonts w:ascii="Arial" w:eastAsia="Calibri" w:hAnsi="Arial" w:cs="Arial"/>
        </w:rPr>
        <w:t xml:space="preserve"> and</w:t>
      </w:r>
      <w:proofErr w:type="gramEnd"/>
      <w:r w:rsidR="00940D88">
        <w:rPr>
          <w:rFonts w:ascii="Arial" w:eastAsia="Calibri" w:hAnsi="Arial" w:cs="Arial"/>
        </w:rPr>
        <w:t xml:space="preserve"> similar </w:t>
      </w:r>
      <w:r w:rsidR="00DB2F25" w:rsidRPr="00DB2F25">
        <w:rPr>
          <w:rFonts w:ascii="Arial" w:eastAsia="Calibri" w:hAnsi="Arial" w:cs="Arial"/>
        </w:rPr>
        <w:t>case</w:t>
      </w:r>
      <w:r w:rsidR="00940D88">
        <w:rPr>
          <w:rFonts w:ascii="Arial" w:eastAsia="Calibri" w:hAnsi="Arial" w:cs="Arial"/>
        </w:rPr>
        <w:t>s</w:t>
      </w:r>
      <w:r w:rsidR="00DB2F25" w:rsidRPr="00DB2F25">
        <w:rPr>
          <w:rFonts w:ascii="Arial" w:eastAsia="Calibri" w:hAnsi="Arial" w:cs="Arial"/>
        </w:rPr>
        <w:t>, and to prosecute the perpetrators, constitutes a violation of his rights to equality and non-discrimination.</w:t>
      </w:r>
      <w:r w:rsidR="00E278DD">
        <w:rPr>
          <w:rFonts w:ascii="Arial" w:eastAsia="Calibri" w:hAnsi="Arial" w:cs="Arial"/>
          <w:u w:val="single"/>
        </w:rPr>
        <w:t xml:space="preserve"> </w:t>
      </w:r>
      <w:r w:rsidR="002A7614">
        <w:rPr>
          <w:rFonts w:ascii="Arial" w:eastAsia="Calibri" w:hAnsi="Arial" w:cs="Arial"/>
          <w:u w:val="single"/>
        </w:rPr>
        <w:t>In relation to</w:t>
      </w:r>
      <w:r w:rsidRPr="00B31C13">
        <w:rPr>
          <w:rFonts w:ascii="Arial" w:eastAsia="Calibri" w:hAnsi="Arial" w:cs="Arial"/>
          <w:u w:val="single"/>
        </w:rPr>
        <w:t xml:space="preserve"> article 7</w:t>
      </w:r>
      <w:r>
        <w:rPr>
          <w:rFonts w:ascii="Arial" w:eastAsia="Calibri" w:hAnsi="Arial" w:cs="Arial"/>
        </w:rPr>
        <w:t>, t</w:t>
      </w:r>
      <w:r w:rsidR="00DB2F25" w:rsidRPr="00DB2F25">
        <w:rPr>
          <w:rFonts w:ascii="Arial" w:eastAsia="Calibri" w:hAnsi="Arial" w:cs="Arial"/>
        </w:rPr>
        <w:t>he author argues that the State party has failed to provide a safe and secure environment as it has not ensured that persons with albinism be protected from attacks, violence, threats and any other forms of intimidation</w:t>
      </w:r>
      <w:r w:rsidR="00940D88">
        <w:rPr>
          <w:rFonts w:ascii="Arial" w:eastAsia="Calibri" w:hAnsi="Arial" w:cs="Arial"/>
        </w:rPr>
        <w:t>.</w:t>
      </w:r>
      <w:r w:rsidR="00E278DD">
        <w:rPr>
          <w:rFonts w:ascii="Arial" w:eastAsia="Calibri" w:hAnsi="Arial" w:cs="Arial"/>
          <w:u w:val="single"/>
        </w:rPr>
        <w:t xml:space="preserve"> </w:t>
      </w:r>
      <w:r w:rsidR="002A7614">
        <w:rPr>
          <w:rFonts w:ascii="Arial" w:eastAsia="Calibri" w:hAnsi="Arial" w:cs="Arial"/>
          <w:u w:val="single"/>
        </w:rPr>
        <w:t>Regarding</w:t>
      </w:r>
      <w:r w:rsidRPr="00B31C13">
        <w:rPr>
          <w:rFonts w:ascii="Arial" w:eastAsia="Calibri" w:hAnsi="Arial" w:cs="Arial"/>
          <w:u w:val="single"/>
        </w:rPr>
        <w:t xml:space="preserve"> article 8</w:t>
      </w:r>
      <w:r>
        <w:rPr>
          <w:rFonts w:ascii="Arial" w:eastAsia="Calibri" w:hAnsi="Arial" w:cs="Arial"/>
        </w:rPr>
        <w:t>, t</w:t>
      </w:r>
      <w:r w:rsidR="00DB2F25" w:rsidRPr="00DB2F25">
        <w:rPr>
          <w:rFonts w:ascii="Arial" w:eastAsia="Calibri" w:hAnsi="Arial" w:cs="Arial"/>
        </w:rPr>
        <w:t xml:space="preserve">he author </w:t>
      </w:r>
      <w:r w:rsidR="002A7614">
        <w:rPr>
          <w:rFonts w:ascii="Arial" w:eastAsia="Calibri" w:hAnsi="Arial" w:cs="Arial"/>
        </w:rPr>
        <w:t>stressed</w:t>
      </w:r>
      <w:r w:rsidR="00DB2F25" w:rsidRPr="00DB2F25">
        <w:rPr>
          <w:rFonts w:ascii="Arial" w:eastAsia="Calibri" w:hAnsi="Arial" w:cs="Arial"/>
        </w:rPr>
        <w:t xml:space="preserve"> that the State party has not taken appropriate measures to raise awareness throughout society regarding persons with albinism</w:t>
      </w:r>
      <w:r w:rsidR="00DB2F25">
        <w:rPr>
          <w:rFonts w:ascii="Arial" w:eastAsia="Calibri" w:hAnsi="Arial" w:cs="Arial"/>
        </w:rPr>
        <w:t xml:space="preserve"> and</w:t>
      </w:r>
      <w:r w:rsidR="00DB2F25" w:rsidRPr="00DB2F25">
        <w:rPr>
          <w:rFonts w:ascii="Arial" w:eastAsia="Calibri" w:hAnsi="Arial" w:cs="Arial"/>
        </w:rPr>
        <w:t xml:space="preserve"> failed to provide </w:t>
      </w:r>
      <w:r w:rsidR="002A7614">
        <w:rPr>
          <w:rFonts w:ascii="Arial" w:eastAsia="Calibri" w:hAnsi="Arial" w:cs="Arial"/>
        </w:rPr>
        <w:t>him</w:t>
      </w:r>
      <w:r w:rsidR="00DB2F25" w:rsidRPr="00DB2F25">
        <w:rPr>
          <w:rFonts w:ascii="Arial" w:eastAsia="Calibri" w:hAnsi="Arial" w:cs="Arial"/>
        </w:rPr>
        <w:t xml:space="preserve"> with any form of medical assistance or rehabilitation</w:t>
      </w:r>
      <w:r w:rsidR="009117C8">
        <w:rPr>
          <w:rFonts w:ascii="Arial" w:eastAsia="Calibri" w:hAnsi="Arial" w:cs="Arial"/>
        </w:rPr>
        <w:t>.</w:t>
      </w:r>
    </w:p>
    <w:p w14:paraId="2AF9810C" w14:textId="77777777" w:rsidR="009117C8" w:rsidRDefault="009117C8" w:rsidP="00566D7A">
      <w:pPr>
        <w:autoSpaceDE w:val="0"/>
        <w:autoSpaceDN w:val="0"/>
        <w:adjustRightInd w:val="0"/>
        <w:spacing w:after="0" w:line="240" w:lineRule="auto"/>
        <w:jc w:val="both"/>
        <w:rPr>
          <w:rFonts w:ascii="Arial" w:eastAsia="Calibri" w:hAnsi="Arial" w:cs="Arial"/>
        </w:rPr>
      </w:pPr>
    </w:p>
    <w:p w14:paraId="48EB17E8" w14:textId="5E067AE4" w:rsidR="00E278DD" w:rsidRDefault="002A7614" w:rsidP="00566D7A">
      <w:pPr>
        <w:autoSpaceDE w:val="0"/>
        <w:autoSpaceDN w:val="0"/>
        <w:adjustRightInd w:val="0"/>
        <w:spacing w:after="0" w:line="240" w:lineRule="auto"/>
        <w:jc w:val="both"/>
        <w:rPr>
          <w:rFonts w:ascii="Arial" w:eastAsia="Calibri" w:hAnsi="Arial" w:cs="Arial"/>
          <w:u w:val="single"/>
        </w:rPr>
      </w:pPr>
      <w:r>
        <w:rPr>
          <w:rFonts w:ascii="Arial" w:eastAsia="Calibri" w:hAnsi="Arial" w:cs="Arial"/>
          <w:u w:val="single"/>
        </w:rPr>
        <w:t>On</w:t>
      </w:r>
      <w:r w:rsidR="009117C8" w:rsidRPr="009117C8">
        <w:rPr>
          <w:rFonts w:ascii="Arial" w:eastAsia="Calibri" w:hAnsi="Arial" w:cs="Arial"/>
          <w:u w:val="single"/>
        </w:rPr>
        <w:t xml:space="preserve"> article 24</w:t>
      </w:r>
      <w:r w:rsidR="009117C8">
        <w:rPr>
          <w:rFonts w:ascii="Arial" w:eastAsia="Calibri" w:hAnsi="Arial" w:cs="Arial"/>
        </w:rPr>
        <w:t>, t</w:t>
      </w:r>
      <w:r w:rsidR="00DB2F25" w:rsidRPr="00DB2F25">
        <w:rPr>
          <w:rFonts w:ascii="Arial" w:eastAsia="Calibri" w:hAnsi="Arial" w:cs="Arial"/>
        </w:rPr>
        <w:t xml:space="preserve">he author argues that that the permanent risk he is facing, and </w:t>
      </w:r>
      <w:r w:rsidR="009117C8">
        <w:rPr>
          <w:rFonts w:ascii="Arial" w:eastAsia="Calibri" w:hAnsi="Arial" w:cs="Arial"/>
        </w:rPr>
        <w:t>the lack of protection by the State party</w:t>
      </w:r>
      <w:r w:rsidR="00DB2F25" w:rsidRPr="00DB2F25">
        <w:rPr>
          <w:rFonts w:ascii="Arial" w:eastAsia="Calibri" w:hAnsi="Arial" w:cs="Arial"/>
        </w:rPr>
        <w:t xml:space="preserve">, has obliged him to stop attending school and </w:t>
      </w:r>
      <w:r>
        <w:rPr>
          <w:rFonts w:ascii="Arial" w:eastAsia="Calibri" w:hAnsi="Arial" w:cs="Arial"/>
        </w:rPr>
        <w:t>thus</w:t>
      </w:r>
      <w:r w:rsidR="00DB2F25" w:rsidRPr="00DB2F25">
        <w:rPr>
          <w:rFonts w:ascii="Arial" w:eastAsia="Calibri" w:hAnsi="Arial" w:cs="Arial"/>
        </w:rPr>
        <w:t xml:space="preserve"> prevented him from </w:t>
      </w:r>
      <w:r w:rsidR="009117C8">
        <w:rPr>
          <w:rFonts w:ascii="Arial" w:eastAsia="Calibri" w:hAnsi="Arial" w:cs="Arial"/>
        </w:rPr>
        <w:t>enjoying his right to education</w:t>
      </w:r>
      <w:r w:rsidR="00DB2F25" w:rsidRPr="00DB2F25">
        <w:rPr>
          <w:rFonts w:ascii="Arial" w:eastAsia="Calibri" w:hAnsi="Arial" w:cs="Arial"/>
        </w:rPr>
        <w:t>.</w:t>
      </w:r>
      <w:r w:rsidR="0008642E">
        <w:rPr>
          <w:rFonts w:ascii="Arial" w:eastAsia="Calibri" w:hAnsi="Arial" w:cs="Arial"/>
        </w:rPr>
        <w:t xml:space="preserve"> In addition, </w:t>
      </w:r>
      <w:r w:rsidR="0008642E" w:rsidRPr="0008642E">
        <w:rPr>
          <w:rFonts w:ascii="Arial" w:eastAsia="Calibri" w:hAnsi="Arial" w:cs="Arial"/>
        </w:rPr>
        <w:t>as he was forced to stop attending school in order to escape violence and insecurity, the author claims that he did not enjoy his right to education for two years.</w:t>
      </w:r>
      <w:r w:rsidR="00E278DD">
        <w:rPr>
          <w:rFonts w:ascii="Arial" w:eastAsia="Calibri" w:hAnsi="Arial" w:cs="Arial"/>
          <w:u w:val="single"/>
        </w:rPr>
        <w:t xml:space="preserve"> </w:t>
      </w:r>
    </w:p>
    <w:p w14:paraId="07E31A9C" w14:textId="77777777" w:rsidR="00E278DD" w:rsidRDefault="00E278DD" w:rsidP="00566D7A">
      <w:pPr>
        <w:autoSpaceDE w:val="0"/>
        <w:autoSpaceDN w:val="0"/>
        <w:adjustRightInd w:val="0"/>
        <w:spacing w:after="0" w:line="240" w:lineRule="auto"/>
        <w:jc w:val="both"/>
        <w:rPr>
          <w:rFonts w:ascii="Arial" w:eastAsia="Calibri" w:hAnsi="Arial" w:cs="Arial"/>
        </w:rPr>
      </w:pPr>
    </w:p>
    <w:p w14:paraId="0B49D166" w14:textId="59BEAA71" w:rsidR="00DB2F25" w:rsidRPr="00DB2F25" w:rsidRDefault="009117C8" w:rsidP="00E278DD">
      <w:pPr>
        <w:autoSpaceDE w:val="0"/>
        <w:autoSpaceDN w:val="0"/>
        <w:adjustRightInd w:val="0"/>
        <w:spacing w:after="0" w:line="240" w:lineRule="auto"/>
        <w:jc w:val="both"/>
        <w:rPr>
          <w:rFonts w:ascii="Arial" w:eastAsia="Calibri" w:hAnsi="Arial" w:cs="Arial"/>
        </w:rPr>
      </w:pPr>
      <w:r w:rsidRPr="009117C8">
        <w:rPr>
          <w:rFonts w:ascii="Arial" w:eastAsia="Calibri" w:hAnsi="Arial" w:cs="Arial"/>
          <w:u w:val="single"/>
        </w:rPr>
        <w:t>With regard to article 13</w:t>
      </w:r>
      <w:r>
        <w:rPr>
          <w:rFonts w:ascii="Arial" w:eastAsia="Calibri" w:hAnsi="Arial" w:cs="Arial"/>
        </w:rPr>
        <w:t>, h</w:t>
      </w:r>
      <w:r w:rsidR="00DB2F25" w:rsidRPr="00DB2F25">
        <w:rPr>
          <w:rFonts w:ascii="Arial" w:eastAsia="Calibri" w:hAnsi="Arial" w:cs="Arial"/>
        </w:rPr>
        <w:t xml:space="preserve">e argues that the failure by the State party to take the necessary steps to bring the perpetrators of the attacks he suffered in 2010 and 2011 to justice has violated his right to access to justice and protection. </w:t>
      </w:r>
      <w:r w:rsidR="00E278DD">
        <w:rPr>
          <w:rFonts w:ascii="Arial" w:eastAsia="Calibri" w:hAnsi="Arial" w:cs="Arial"/>
          <w:u w:val="single"/>
        </w:rPr>
        <w:t>Regarding</w:t>
      </w:r>
      <w:r w:rsidRPr="009117C8">
        <w:rPr>
          <w:rFonts w:ascii="Arial" w:eastAsia="Calibri" w:hAnsi="Arial" w:cs="Arial"/>
          <w:u w:val="single"/>
        </w:rPr>
        <w:t xml:space="preserve"> article</w:t>
      </w:r>
      <w:r w:rsidR="00E278DD">
        <w:rPr>
          <w:rFonts w:ascii="Arial" w:eastAsia="Calibri" w:hAnsi="Arial" w:cs="Arial"/>
          <w:u w:val="single"/>
        </w:rPr>
        <w:t>s</w:t>
      </w:r>
      <w:r w:rsidRPr="009117C8">
        <w:rPr>
          <w:rFonts w:ascii="Arial" w:eastAsia="Calibri" w:hAnsi="Arial" w:cs="Arial"/>
          <w:u w:val="single"/>
        </w:rPr>
        <w:t xml:space="preserve"> 15 and 16</w:t>
      </w:r>
      <w:r>
        <w:rPr>
          <w:rFonts w:ascii="Arial" w:eastAsia="Calibri" w:hAnsi="Arial" w:cs="Arial"/>
        </w:rPr>
        <w:t>, the author</w:t>
      </w:r>
      <w:r w:rsidR="00DB2F25" w:rsidRPr="00DB2F25">
        <w:rPr>
          <w:rFonts w:ascii="Arial" w:eastAsia="Calibri" w:hAnsi="Arial" w:cs="Arial"/>
        </w:rPr>
        <w:t xml:space="preserve"> considers that the State party has failed to protect him from violence and t</w:t>
      </w:r>
      <w:r w:rsidR="00DB2F25">
        <w:rPr>
          <w:rFonts w:ascii="Arial" w:eastAsia="Calibri" w:hAnsi="Arial" w:cs="Arial"/>
        </w:rPr>
        <w:t>orture, not taking</w:t>
      </w:r>
      <w:r w:rsidR="00DB2F25" w:rsidRPr="00DB2F25">
        <w:rPr>
          <w:rFonts w:ascii="Arial" w:eastAsia="Calibri" w:hAnsi="Arial" w:cs="Arial"/>
        </w:rPr>
        <w:t xml:space="preserve"> appropriate measures to curtail the targeted physical, emotiona</w:t>
      </w:r>
      <w:r w:rsidR="00DB2F25">
        <w:rPr>
          <w:rFonts w:ascii="Arial" w:eastAsia="Calibri" w:hAnsi="Arial" w:cs="Arial"/>
        </w:rPr>
        <w:t>l and mental abuses they suffer</w:t>
      </w:r>
      <w:r>
        <w:rPr>
          <w:rFonts w:ascii="Arial" w:eastAsia="Calibri" w:hAnsi="Arial" w:cs="Arial"/>
        </w:rPr>
        <w:t>.</w:t>
      </w:r>
      <w:r w:rsidR="0008642E">
        <w:rPr>
          <w:rFonts w:ascii="Arial" w:eastAsia="Calibri" w:hAnsi="Arial" w:cs="Arial"/>
          <w:u w:val="single"/>
        </w:rPr>
        <w:t xml:space="preserve"> </w:t>
      </w:r>
      <w:r w:rsidR="00E278DD">
        <w:rPr>
          <w:rFonts w:ascii="Arial" w:eastAsia="Calibri" w:hAnsi="Arial" w:cs="Arial"/>
          <w:u w:val="single"/>
        </w:rPr>
        <w:t>Finally, on</w:t>
      </w:r>
      <w:r w:rsidRPr="009117C8">
        <w:rPr>
          <w:rFonts w:ascii="Arial" w:eastAsia="Calibri" w:hAnsi="Arial" w:cs="Arial"/>
          <w:u w:val="single"/>
        </w:rPr>
        <w:t xml:space="preserve"> article 17</w:t>
      </w:r>
      <w:r>
        <w:rPr>
          <w:rFonts w:ascii="Arial" w:eastAsia="Calibri" w:hAnsi="Arial" w:cs="Arial"/>
        </w:rPr>
        <w:t>, the author alleges that</w:t>
      </w:r>
      <w:r w:rsidR="00DB2F25" w:rsidRPr="00DB2F25">
        <w:rPr>
          <w:rFonts w:ascii="Arial" w:eastAsia="Calibri" w:hAnsi="Arial" w:cs="Arial"/>
        </w:rPr>
        <w:t xml:space="preserve"> his physical and mental in</w:t>
      </w:r>
      <w:r>
        <w:rPr>
          <w:rFonts w:ascii="Arial" w:eastAsia="Calibri" w:hAnsi="Arial" w:cs="Arial"/>
        </w:rPr>
        <w:t>tegrity have not been respected</w:t>
      </w:r>
      <w:r w:rsidR="00DB2F25" w:rsidRPr="00DB2F25">
        <w:rPr>
          <w:rFonts w:ascii="Arial" w:eastAsia="Calibri" w:hAnsi="Arial" w:cs="Arial"/>
        </w:rPr>
        <w:t>.</w:t>
      </w:r>
    </w:p>
    <w:p w14:paraId="10611FD0" w14:textId="77777777" w:rsidR="00DB2F25" w:rsidRDefault="00DB2F25" w:rsidP="00566D7A">
      <w:pPr>
        <w:autoSpaceDE w:val="0"/>
        <w:autoSpaceDN w:val="0"/>
        <w:adjustRightInd w:val="0"/>
        <w:spacing w:after="0" w:line="240" w:lineRule="auto"/>
        <w:jc w:val="both"/>
        <w:rPr>
          <w:rFonts w:ascii="Arial" w:eastAsia="Calibri" w:hAnsi="Arial" w:cs="Arial"/>
        </w:rPr>
      </w:pPr>
    </w:p>
    <w:p w14:paraId="790E1692" w14:textId="77777777" w:rsidR="00DB2F25" w:rsidRDefault="00DB2F25" w:rsidP="00566D7A">
      <w:pPr>
        <w:autoSpaceDE w:val="0"/>
        <w:autoSpaceDN w:val="0"/>
        <w:adjustRightInd w:val="0"/>
        <w:spacing w:after="0" w:line="240" w:lineRule="auto"/>
        <w:jc w:val="both"/>
        <w:rPr>
          <w:rFonts w:ascii="Arial" w:eastAsia="Calibri" w:hAnsi="Arial" w:cs="Arial"/>
        </w:rPr>
      </w:pPr>
      <w:r>
        <w:rPr>
          <w:rFonts w:ascii="Arial" w:eastAsia="Calibri" w:hAnsi="Arial" w:cs="Arial"/>
        </w:rPr>
        <w:t>T</w:t>
      </w:r>
      <w:r w:rsidRPr="00DB2F25">
        <w:rPr>
          <w:rFonts w:ascii="Arial" w:eastAsia="Calibri" w:hAnsi="Arial" w:cs="Arial"/>
        </w:rPr>
        <w:t>he author argues that significant efforts have been made to exhaust a</w:t>
      </w:r>
      <w:r>
        <w:rPr>
          <w:rFonts w:ascii="Arial" w:eastAsia="Calibri" w:hAnsi="Arial" w:cs="Arial"/>
        </w:rPr>
        <w:t>ll available domestic remedies but t</w:t>
      </w:r>
      <w:r w:rsidRPr="00DB2F25">
        <w:rPr>
          <w:rFonts w:ascii="Arial" w:eastAsia="Calibri" w:hAnsi="Arial" w:cs="Arial"/>
        </w:rPr>
        <w:t xml:space="preserve">he State party has failed to conduct effective investigations of the attacks he suffered in 2010 and 2011 and </w:t>
      </w:r>
      <w:r>
        <w:rPr>
          <w:rFonts w:ascii="Arial" w:eastAsia="Calibri" w:hAnsi="Arial" w:cs="Arial"/>
        </w:rPr>
        <w:t>which he reported to the police</w:t>
      </w:r>
      <w:r w:rsidRPr="00DB2F25">
        <w:rPr>
          <w:rFonts w:ascii="Arial" w:eastAsia="Calibri" w:hAnsi="Arial" w:cs="Arial"/>
        </w:rPr>
        <w:t xml:space="preserve">. </w:t>
      </w:r>
    </w:p>
    <w:p w14:paraId="2C84DF18" w14:textId="77777777" w:rsidR="00DB2F25" w:rsidRDefault="00DB2F25" w:rsidP="00566D7A">
      <w:pPr>
        <w:autoSpaceDE w:val="0"/>
        <w:autoSpaceDN w:val="0"/>
        <w:adjustRightInd w:val="0"/>
        <w:spacing w:after="0" w:line="240" w:lineRule="auto"/>
        <w:jc w:val="both"/>
        <w:rPr>
          <w:rFonts w:ascii="Arial" w:eastAsia="Calibri" w:hAnsi="Arial" w:cs="Arial"/>
        </w:rPr>
      </w:pPr>
    </w:p>
    <w:p w14:paraId="006F5F88" w14:textId="77777777" w:rsidR="00DB2F25" w:rsidRPr="00DB2F25" w:rsidRDefault="00DB2F25" w:rsidP="00566D7A">
      <w:pPr>
        <w:autoSpaceDE w:val="0"/>
        <w:autoSpaceDN w:val="0"/>
        <w:adjustRightInd w:val="0"/>
        <w:spacing w:after="0" w:line="240" w:lineRule="auto"/>
        <w:jc w:val="both"/>
        <w:rPr>
          <w:rFonts w:ascii="Arial" w:eastAsia="Calibri" w:hAnsi="Arial" w:cs="Arial"/>
          <w:b/>
          <w:sz w:val="24"/>
        </w:rPr>
      </w:pPr>
      <w:r w:rsidRPr="00DB2F25">
        <w:rPr>
          <w:rFonts w:ascii="Arial" w:eastAsia="Calibri" w:hAnsi="Arial" w:cs="Arial"/>
          <w:b/>
          <w:sz w:val="24"/>
        </w:rPr>
        <w:t>State’s party observation on admissibility</w:t>
      </w:r>
    </w:p>
    <w:p w14:paraId="17B7412C" w14:textId="7909E257" w:rsidR="00DB2F25" w:rsidRDefault="00DB2F25" w:rsidP="00566D7A">
      <w:pPr>
        <w:autoSpaceDE w:val="0"/>
        <w:autoSpaceDN w:val="0"/>
        <w:adjustRightInd w:val="0"/>
        <w:spacing w:after="0" w:line="240" w:lineRule="auto"/>
        <w:jc w:val="both"/>
        <w:rPr>
          <w:rFonts w:ascii="Arial" w:eastAsia="Calibri" w:hAnsi="Arial" w:cs="Arial"/>
        </w:rPr>
      </w:pPr>
      <w:r w:rsidRPr="00DB2F25">
        <w:rPr>
          <w:rFonts w:ascii="Arial" w:eastAsia="Calibri" w:hAnsi="Arial" w:cs="Arial"/>
        </w:rPr>
        <w:t>The State submits that the communication should be held inadmissible for non-exhaustion of all available domestic remedies, in compliance with article 2(d) of the O</w:t>
      </w:r>
      <w:r w:rsidR="00717629">
        <w:rPr>
          <w:rFonts w:ascii="Arial" w:eastAsia="Calibri" w:hAnsi="Arial" w:cs="Arial"/>
        </w:rPr>
        <w:t>P</w:t>
      </w:r>
      <w:r w:rsidRPr="00DB2F25">
        <w:rPr>
          <w:rFonts w:ascii="Arial" w:eastAsia="Calibri" w:hAnsi="Arial" w:cs="Arial"/>
        </w:rPr>
        <w:t xml:space="preserve">. The State challenges the author’s allegation that it failed to conduct effective investigations and submits that an </w:t>
      </w:r>
      <w:r w:rsidRPr="00E86808">
        <w:rPr>
          <w:rFonts w:ascii="Arial" w:eastAsia="Calibri" w:hAnsi="Arial" w:cs="Arial"/>
          <w:b/>
        </w:rPr>
        <w:t>investigation was instituted after the attack</w:t>
      </w:r>
      <w:r w:rsidR="00DF7F7A">
        <w:rPr>
          <w:rFonts w:ascii="Arial" w:eastAsia="Calibri" w:hAnsi="Arial" w:cs="Arial"/>
        </w:rPr>
        <w:t xml:space="preserve"> and</w:t>
      </w:r>
      <w:r w:rsidR="00C927A1">
        <w:rPr>
          <w:rFonts w:ascii="Arial" w:eastAsia="Calibri" w:hAnsi="Arial" w:cs="Arial"/>
        </w:rPr>
        <w:t xml:space="preserve"> </w:t>
      </w:r>
      <w:r w:rsidR="00DF7F7A">
        <w:rPr>
          <w:rFonts w:ascii="Arial" w:eastAsia="Calibri" w:hAnsi="Arial" w:cs="Arial"/>
        </w:rPr>
        <w:t>t</w:t>
      </w:r>
      <w:r w:rsidRPr="00DB2F25">
        <w:rPr>
          <w:rFonts w:ascii="Arial" w:eastAsia="Calibri" w:hAnsi="Arial" w:cs="Arial"/>
        </w:rPr>
        <w:t>hree suspects were arrested for attempted murder</w:t>
      </w:r>
      <w:r w:rsidR="00DF7F7A">
        <w:rPr>
          <w:rFonts w:ascii="Arial" w:eastAsia="Calibri" w:hAnsi="Arial" w:cs="Arial"/>
        </w:rPr>
        <w:t>.</w:t>
      </w:r>
      <w:r w:rsidR="00C927A1">
        <w:rPr>
          <w:rFonts w:ascii="Arial" w:eastAsia="Calibri" w:hAnsi="Arial" w:cs="Arial"/>
        </w:rPr>
        <w:t xml:space="preserve"> </w:t>
      </w:r>
      <w:r w:rsidR="00DF7F7A">
        <w:rPr>
          <w:rFonts w:ascii="Arial" w:eastAsia="Calibri" w:hAnsi="Arial" w:cs="Arial"/>
        </w:rPr>
        <w:t>As</w:t>
      </w:r>
      <w:r w:rsidRPr="00DB2F25">
        <w:rPr>
          <w:rFonts w:ascii="Arial" w:eastAsia="Calibri" w:hAnsi="Arial" w:cs="Arial"/>
        </w:rPr>
        <w:t xml:space="preserve"> not identified by the author as being his attackers</w:t>
      </w:r>
      <w:r w:rsidR="00DF7F7A">
        <w:rPr>
          <w:rFonts w:ascii="Arial" w:eastAsia="Calibri" w:hAnsi="Arial" w:cs="Arial"/>
        </w:rPr>
        <w:t xml:space="preserve">, </w:t>
      </w:r>
      <w:r w:rsidRPr="00DB2F25">
        <w:rPr>
          <w:rFonts w:ascii="Arial" w:eastAsia="Calibri" w:hAnsi="Arial" w:cs="Arial"/>
        </w:rPr>
        <w:t>the prosecution dropped the charges in accordance with the domestic Criminal Procedure Act.12</w:t>
      </w:r>
      <w:r w:rsidR="00DF7F7A">
        <w:rPr>
          <w:rFonts w:ascii="Arial" w:eastAsia="Calibri" w:hAnsi="Arial" w:cs="Arial"/>
        </w:rPr>
        <w:t>.</w:t>
      </w:r>
      <w:r w:rsidRPr="00DB2F25">
        <w:rPr>
          <w:rFonts w:ascii="Arial" w:eastAsia="Calibri" w:hAnsi="Arial" w:cs="Arial"/>
        </w:rPr>
        <w:t xml:space="preserve"> </w:t>
      </w:r>
      <w:r w:rsidR="00DF7F7A">
        <w:rPr>
          <w:rFonts w:ascii="Arial" w:eastAsia="Calibri" w:hAnsi="Arial" w:cs="Arial"/>
        </w:rPr>
        <w:t>T</w:t>
      </w:r>
      <w:r w:rsidRPr="00DB2F25">
        <w:rPr>
          <w:rFonts w:ascii="Arial" w:eastAsia="Calibri" w:hAnsi="Arial" w:cs="Arial"/>
        </w:rPr>
        <w:t>he case can later be reinstated.</w:t>
      </w:r>
      <w:r w:rsidR="00DF7F7A">
        <w:rPr>
          <w:rFonts w:ascii="Arial" w:eastAsia="Calibri" w:hAnsi="Arial" w:cs="Arial"/>
        </w:rPr>
        <w:t xml:space="preserve"> </w:t>
      </w:r>
      <w:r w:rsidRPr="00DB2F25">
        <w:rPr>
          <w:rFonts w:ascii="Arial" w:eastAsia="Calibri" w:hAnsi="Arial" w:cs="Arial"/>
        </w:rPr>
        <w:t xml:space="preserve">The State further submits that the </w:t>
      </w:r>
      <w:r w:rsidRPr="00E86808">
        <w:rPr>
          <w:rFonts w:ascii="Arial" w:eastAsia="Calibri" w:hAnsi="Arial" w:cs="Arial"/>
          <w:b/>
        </w:rPr>
        <w:t>Basic Righ</w:t>
      </w:r>
      <w:r w:rsidR="00C927A1" w:rsidRPr="00E86808">
        <w:rPr>
          <w:rFonts w:ascii="Arial" w:eastAsia="Calibri" w:hAnsi="Arial" w:cs="Arial"/>
          <w:b/>
        </w:rPr>
        <w:t xml:space="preserve">ts and Duties Enforcement Act </w:t>
      </w:r>
      <w:r w:rsidRPr="00E86808">
        <w:rPr>
          <w:rFonts w:ascii="Arial" w:eastAsia="Calibri" w:hAnsi="Arial" w:cs="Arial"/>
          <w:b/>
        </w:rPr>
        <w:t>provides with a procedure</w:t>
      </w:r>
      <w:r w:rsidRPr="00DB2F25">
        <w:rPr>
          <w:rFonts w:ascii="Arial" w:eastAsia="Calibri" w:hAnsi="Arial" w:cs="Arial"/>
        </w:rPr>
        <w:t xml:space="preserve"> for the enforcement of constitutional rights</w:t>
      </w:r>
      <w:r w:rsidR="00DF7F7A">
        <w:rPr>
          <w:rFonts w:ascii="Arial" w:eastAsia="Calibri" w:hAnsi="Arial" w:cs="Arial"/>
        </w:rPr>
        <w:t>, which</w:t>
      </w:r>
      <w:r w:rsidRPr="00DB2F25">
        <w:rPr>
          <w:rFonts w:ascii="Arial" w:eastAsia="Calibri" w:hAnsi="Arial" w:cs="Arial"/>
        </w:rPr>
        <w:t xml:space="preserve"> </w:t>
      </w:r>
      <w:r w:rsidR="00DF7F7A">
        <w:rPr>
          <w:rFonts w:ascii="Arial" w:eastAsia="Calibri" w:hAnsi="Arial" w:cs="Arial"/>
        </w:rPr>
        <w:t>was not</w:t>
      </w:r>
      <w:r w:rsidRPr="00DB2F25">
        <w:rPr>
          <w:rFonts w:ascii="Arial" w:eastAsia="Calibri" w:hAnsi="Arial" w:cs="Arial"/>
        </w:rPr>
        <w:t xml:space="preserve"> exhaust</w:t>
      </w:r>
      <w:r w:rsidR="00DF7F7A">
        <w:rPr>
          <w:rFonts w:ascii="Arial" w:eastAsia="Calibri" w:hAnsi="Arial" w:cs="Arial"/>
        </w:rPr>
        <w:t>ed by the author. Finally, t</w:t>
      </w:r>
      <w:r w:rsidRPr="00DB2F25">
        <w:rPr>
          <w:rFonts w:ascii="Arial" w:eastAsia="Calibri" w:hAnsi="Arial" w:cs="Arial"/>
        </w:rPr>
        <w:t xml:space="preserve">he State submits that domestic </w:t>
      </w:r>
      <w:r w:rsidRPr="00E86808">
        <w:rPr>
          <w:rFonts w:ascii="Arial" w:eastAsia="Calibri" w:hAnsi="Arial" w:cs="Arial"/>
          <w:b/>
        </w:rPr>
        <w:t>courts still have not adopted a final decision</w:t>
      </w:r>
      <w:r w:rsidRPr="00DB2F25">
        <w:rPr>
          <w:rFonts w:ascii="Arial" w:eastAsia="Calibri" w:hAnsi="Arial" w:cs="Arial"/>
        </w:rPr>
        <w:t xml:space="preserve"> on the author’s case</w:t>
      </w:r>
      <w:r w:rsidR="00DF7F7A">
        <w:rPr>
          <w:rFonts w:ascii="Arial" w:eastAsia="Calibri" w:hAnsi="Arial" w:cs="Arial"/>
        </w:rPr>
        <w:t>, and thus</w:t>
      </w:r>
      <w:r w:rsidRPr="00DB2F25">
        <w:rPr>
          <w:rFonts w:ascii="Arial" w:eastAsia="Calibri" w:hAnsi="Arial" w:cs="Arial"/>
        </w:rPr>
        <w:t xml:space="preserve"> the communication should be held inadmissible</w:t>
      </w:r>
      <w:r w:rsidR="00DF7F7A">
        <w:rPr>
          <w:rFonts w:ascii="Arial" w:eastAsia="Calibri" w:hAnsi="Arial" w:cs="Arial"/>
        </w:rPr>
        <w:t>.</w:t>
      </w:r>
    </w:p>
    <w:p w14:paraId="6C4BF4D2" w14:textId="77777777" w:rsidR="00C927A1" w:rsidRDefault="00C927A1" w:rsidP="00566D7A">
      <w:pPr>
        <w:autoSpaceDE w:val="0"/>
        <w:autoSpaceDN w:val="0"/>
        <w:adjustRightInd w:val="0"/>
        <w:spacing w:after="0" w:line="240" w:lineRule="auto"/>
        <w:jc w:val="both"/>
        <w:rPr>
          <w:rFonts w:ascii="Arial" w:eastAsia="Calibri" w:hAnsi="Arial" w:cs="Arial"/>
        </w:rPr>
      </w:pPr>
    </w:p>
    <w:p w14:paraId="38FC1333" w14:textId="77777777" w:rsidR="00C927A1" w:rsidRDefault="00C927A1" w:rsidP="00566D7A">
      <w:pPr>
        <w:autoSpaceDE w:val="0"/>
        <w:autoSpaceDN w:val="0"/>
        <w:adjustRightInd w:val="0"/>
        <w:spacing w:after="0" w:line="240" w:lineRule="auto"/>
        <w:jc w:val="both"/>
        <w:rPr>
          <w:rFonts w:ascii="Arial" w:eastAsia="Calibri" w:hAnsi="Arial" w:cs="Arial"/>
          <w:b/>
          <w:sz w:val="24"/>
        </w:rPr>
      </w:pPr>
      <w:r w:rsidRPr="00C927A1">
        <w:rPr>
          <w:rFonts w:ascii="Arial" w:eastAsia="Calibri" w:hAnsi="Arial" w:cs="Arial"/>
          <w:b/>
          <w:sz w:val="24"/>
        </w:rPr>
        <w:t>Author’s comments on the State party’s observations on admissibility</w:t>
      </w:r>
    </w:p>
    <w:p w14:paraId="2285CAD0" w14:textId="6CB01021" w:rsidR="00C927A1" w:rsidRPr="00C927A1" w:rsidRDefault="00C927A1" w:rsidP="0084197F">
      <w:pPr>
        <w:autoSpaceDE w:val="0"/>
        <w:autoSpaceDN w:val="0"/>
        <w:adjustRightInd w:val="0"/>
        <w:spacing w:after="0" w:line="240" w:lineRule="auto"/>
        <w:jc w:val="both"/>
        <w:rPr>
          <w:rFonts w:ascii="Arial" w:eastAsia="Calibri" w:hAnsi="Arial" w:cs="Arial"/>
        </w:rPr>
      </w:pPr>
      <w:r w:rsidRPr="00C927A1">
        <w:rPr>
          <w:rFonts w:ascii="Arial" w:eastAsia="Calibri" w:hAnsi="Arial" w:cs="Arial"/>
        </w:rPr>
        <w:t xml:space="preserve">On 11 May 2015, the author submits that the exhaustion of domestic remedies rule should never be used as a protective shield by </w:t>
      </w:r>
      <w:r w:rsidR="0084197F">
        <w:rPr>
          <w:rFonts w:ascii="Arial" w:eastAsia="Calibri" w:hAnsi="Arial" w:cs="Arial"/>
        </w:rPr>
        <w:t>S</w:t>
      </w:r>
      <w:r w:rsidRPr="00C927A1">
        <w:rPr>
          <w:rFonts w:ascii="Arial" w:eastAsia="Calibri" w:hAnsi="Arial" w:cs="Arial"/>
        </w:rPr>
        <w:t xml:space="preserve">tates which </w:t>
      </w:r>
      <w:r w:rsidR="0084197F">
        <w:rPr>
          <w:rFonts w:ascii="Arial" w:eastAsia="Calibri" w:hAnsi="Arial" w:cs="Arial"/>
        </w:rPr>
        <w:t>do not have a</w:t>
      </w:r>
      <w:r w:rsidRPr="00C927A1">
        <w:rPr>
          <w:rFonts w:ascii="Arial" w:eastAsia="Calibri" w:hAnsi="Arial" w:cs="Arial"/>
        </w:rPr>
        <w:t xml:space="preserve"> suitable environment for promoting</w:t>
      </w:r>
      <w:r w:rsidR="00C50881">
        <w:rPr>
          <w:rFonts w:ascii="Arial" w:eastAsia="Calibri" w:hAnsi="Arial" w:cs="Arial"/>
        </w:rPr>
        <w:t xml:space="preserve"> and</w:t>
      </w:r>
      <w:r w:rsidRPr="00C927A1">
        <w:rPr>
          <w:rFonts w:ascii="Arial" w:eastAsia="Calibri" w:hAnsi="Arial" w:cs="Arial"/>
        </w:rPr>
        <w:t xml:space="preserve"> protecting the rights of its individuals.</w:t>
      </w:r>
      <w:r w:rsidR="0084197F">
        <w:rPr>
          <w:rFonts w:ascii="Arial" w:eastAsia="Calibri" w:hAnsi="Arial" w:cs="Arial"/>
        </w:rPr>
        <w:t xml:space="preserve"> He cited</w:t>
      </w:r>
      <w:r>
        <w:rPr>
          <w:rFonts w:ascii="Arial" w:eastAsia="Calibri" w:hAnsi="Arial" w:cs="Arial"/>
        </w:rPr>
        <w:t xml:space="preserve"> </w:t>
      </w:r>
      <w:r w:rsidRPr="00C927A1">
        <w:rPr>
          <w:rFonts w:ascii="Arial" w:eastAsia="Calibri" w:hAnsi="Arial" w:cs="Arial"/>
        </w:rPr>
        <w:t>jurisprudence of the African Commi</w:t>
      </w:r>
      <w:r>
        <w:rPr>
          <w:rFonts w:ascii="Arial" w:eastAsia="Calibri" w:hAnsi="Arial" w:cs="Arial"/>
        </w:rPr>
        <w:t xml:space="preserve">ssion </w:t>
      </w:r>
      <w:r w:rsidR="0084197F">
        <w:rPr>
          <w:rFonts w:ascii="Arial" w:eastAsia="Calibri" w:hAnsi="Arial" w:cs="Arial"/>
        </w:rPr>
        <w:t>stating</w:t>
      </w:r>
      <w:r w:rsidRPr="00C927A1">
        <w:rPr>
          <w:rFonts w:ascii="Arial" w:eastAsia="Calibri" w:hAnsi="Arial" w:cs="Arial"/>
        </w:rPr>
        <w:t xml:space="preserve"> that “three major criteria could be deduced in determining [the exhaustion] rule, namely: the remedy must be </w:t>
      </w:r>
      <w:r w:rsidRPr="00E86808">
        <w:rPr>
          <w:rFonts w:ascii="Arial" w:eastAsia="Calibri" w:hAnsi="Arial" w:cs="Arial"/>
          <w:b/>
        </w:rPr>
        <w:t>available, effective and sufficient</w:t>
      </w:r>
      <w:r w:rsidRPr="00C927A1">
        <w:rPr>
          <w:rFonts w:ascii="Arial" w:eastAsia="Calibri" w:hAnsi="Arial" w:cs="Arial"/>
        </w:rPr>
        <w:t>.”</w:t>
      </w:r>
      <w:r w:rsidR="0084197F">
        <w:rPr>
          <w:rStyle w:val="FootnoteReference"/>
          <w:rFonts w:eastAsia="Calibri" w:cs="Arial"/>
        </w:rPr>
        <w:footnoteReference w:id="2"/>
      </w:r>
      <w:r w:rsidRPr="00C927A1">
        <w:rPr>
          <w:rFonts w:ascii="Arial" w:eastAsia="Calibri" w:hAnsi="Arial" w:cs="Arial"/>
        </w:rPr>
        <w:t xml:space="preserve"> </w:t>
      </w:r>
      <w:r>
        <w:rPr>
          <w:rFonts w:ascii="Arial" w:eastAsia="Calibri" w:hAnsi="Arial" w:cs="Arial"/>
        </w:rPr>
        <w:t>and</w:t>
      </w:r>
      <w:r w:rsidRPr="00C927A1">
        <w:rPr>
          <w:rFonts w:ascii="Arial" w:eastAsia="Calibri" w:hAnsi="Arial" w:cs="Arial"/>
        </w:rPr>
        <w:t xml:space="preserve"> that “a remedy is considered available if the petitioner can pursue it without impediment. It is deemed effective if it offers a prospect of success, and it is found sufficient if it is capable of redressing the complaint”. </w:t>
      </w:r>
      <w:r w:rsidR="00C50881">
        <w:rPr>
          <w:rFonts w:ascii="Arial" w:eastAsia="Calibri" w:hAnsi="Arial" w:cs="Arial"/>
        </w:rPr>
        <w:t>In the same vein, t</w:t>
      </w:r>
      <w:r w:rsidRPr="00C927A1">
        <w:rPr>
          <w:rFonts w:ascii="Arial" w:eastAsia="Calibri" w:hAnsi="Arial" w:cs="Arial"/>
        </w:rPr>
        <w:t xml:space="preserve">he author also </w:t>
      </w:r>
      <w:r>
        <w:rPr>
          <w:rFonts w:ascii="Arial" w:eastAsia="Calibri" w:hAnsi="Arial" w:cs="Arial"/>
        </w:rPr>
        <w:t>recalls</w:t>
      </w:r>
      <w:r w:rsidRPr="00C927A1">
        <w:rPr>
          <w:rFonts w:ascii="Arial" w:eastAsia="Calibri" w:hAnsi="Arial" w:cs="Arial"/>
        </w:rPr>
        <w:t xml:space="preserve"> the jurisprudence of the European Court of Human Rights</w:t>
      </w:r>
      <w:r w:rsidR="00C50881">
        <w:rPr>
          <w:rFonts w:ascii="Arial" w:eastAsia="Calibri" w:hAnsi="Arial" w:cs="Arial"/>
        </w:rPr>
        <w:t>.</w:t>
      </w:r>
      <w:r w:rsidR="00C50881">
        <w:rPr>
          <w:rStyle w:val="FootnoteReference"/>
          <w:rFonts w:eastAsia="Calibri" w:cs="Arial"/>
        </w:rPr>
        <w:footnoteReference w:id="3"/>
      </w:r>
      <w:r w:rsidRPr="00C927A1">
        <w:rPr>
          <w:rFonts w:ascii="Arial" w:eastAsia="Calibri" w:hAnsi="Arial" w:cs="Arial"/>
        </w:rPr>
        <w:t xml:space="preserve"> The author considers that </w:t>
      </w:r>
      <w:r w:rsidR="00C50881">
        <w:rPr>
          <w:rFonts w:ascii="Arial" w:eastAsia="Calibri" w:hAnsi="Arial" w:cs="Arial"/>
        </w:rPr>
        <w:t>rem</w:t>
      </w:r>
      <w:r w:rsidR="00B60E89">
        <w:rPr>
          <w:rFonts w:ascii="Arial" w:eastAsia="Calibri" w:hAnsi="Arial" w:cs="Arial"/>
        </w:rPr>
        <w:t>e</w:t>
      </w:r>
      <w:r w:rsidR="00C50881">
        <w:rPr>
          <w:rFonts w:ascii="Arial" w:eastAsia="Calibri" w:hAnsi="Arial" w:cs="Arial"/>
        </w:rPr>
        <w:t>dies are not effective</w:t>
      </w:r>
      <w:r w:rsidR="00C50881" w:rsidRPr="00C927A1">
        <w:rPr>
          <w:rFonts w:ascii="Arial" w:eastAsia="Calibri" w:hAnsi="Arial" w:cs="Arial"/>
        </w:rPr>
        <w:t xml:space="preserve"> i</w:t>
      </w:r>
      <w:r w:rsidR="00C50881">
        <w:rPr>
          <w:rFonts w:ascii="Arial" w:eastAsia="Calibri" w:hAnsi="Arial" w:cs="Arial"/>
        </w:rPr>
        <w:t>n</w:t>
      </w:r>
      <w:r w:rsidR="00C50881" w:rsidRPr="00C927A1">
        <w:rPr>
          <w:rFonts w:ascii="Arial" w:eastAsia="Calibri" w:hAnsi="Arial" w:cs="Arial"/>
        </w:rPr>
        <w:t xml:space="preserve"> </w:t>
      </w:r>
      <w:r w:rsidRPr="00C927A1">
        <w:rPr>
          <w:rFonts w:ascii="Arial" w:eastAsia="Calibri" w:hAnsi="Arial" w:cs="Arial"/>
        </w:rPr>
        <w:t>the case for the acts of murder and attacks to persons with albinism, which are systemic and continuous in the State</w:t>
      </w:r>
      <w:r w:rsidR="00C50881">
        <w:rPr>
          <w:rFonts w:ascii="Arial" w:eastAsia="Calibri" w:hAnsi="Arial" w:cs="Arial"/>
        </w:rPr>
        <w:t>.</w:t>
      </w:r>
      <w:r w:rsidRPr="00C927A1">
        <w:rPr>
          <w:rFonts w:ascii="Arial" w:eastAsia="Calibri" w:hAnsi="Arial" w:cs="Arial"/>
        </w:rPr>
        <w:t xml:space="preserve"> </w:t>
      </w:r>
    </w:p>
    <w:p w14:paraId="01C24205" w14:textId="77777777" w:rsidR="00C927A1" w:rsidRDefault="00C927A1" w:rsidP="00566D7A">
      <w:pPr>
        <w:autoSpaceDE w:val="0"/>
        <w:autoSpaceDN w:val="0"/>
        <w:adjustRightInd w:val="0"/>
        <w:spacing w:after="0" w:line="240" w:lineRule="auto"/>
        <w:jc w:val="both"/>
        <w:rPr>
          <w:rFonts w:ascii="Arial" w:eastAsia="Calibri" w:hAnsi="Arial" w:cs="Arial"/>
        </w:rPr>
      </w:pPr>
    </w:p>
    <w:p w14:paraId="393C45FC" w14:textId="4B7B5D5D" w:rsidR="008636D1" w:rsidRDefault="00C927A1" w:rsidP="00566D7A">
      <w:pPr>
        <w:autoSpaceDE w:val="0"/>
        <w:autoSpaceDN w:val="0"/>
        <w:adjustRightInd w:val="0"/>
        <w:spacing w:after="0" w:line="240" w:lineRule="auto"/>
        <w:jc w:val="both"/>
        <w:rPr>
          <w:rFonts w:ascii="Arial" w:eastAsia="Calibri" w:hAnsi="Arial" w:cs="Arial"/>
        </w:rPr>
      </w:pPr>
      <w:r w:rsidRPr="00C927A1">
        <w:rPr>
          <w:rFonts w:ascii="Arial" w:eastAsia="Calibri" w:hAnsi="Arial" w:cs="Arial"/>
        </w:rPr>
        <w:t>As to the State’s submission that th</w:t>
      </w:r>
      <w:r w:rsidR="00AC73AB">
        <w:rPr>
          <w:rFonts w:ascii="Arial" w:eastAsia="Calibri" w:hAnsi="Arial" w:cs="Arial"/>
        </w:rPr>
        <w:t>ree suspects were arrested in</w:t>
      </w:r>
      <w:r w:rsidRPr="00C927A1">
        <w:rPr>
          <w:rFonts w:ascii="Arial" w:eastAsia="Calibri" w:hAnsi="Arial" w:cs="Arial"/>
        </w:rPr>
        <w:t xml:space="preserve"> October 2011, the author highlights that, following the</w:t>
      </w:r>
      <w:r w:rsidR="00720119">
        <w:rPr>
          <w:rFonts w:ascii="Arial" w:eastAsia="Calibri" w:hAnsi="Arial" w:cs="Arial"/>
        </w:rPr>
        <w:t xml:space="preserve"> </w:t>
      </w:r>
      <w:r w:rsidR="00720119" w:rsidRPr="00C927A1">
        <w:rPr>
          <w:rFonts w:ascii="Arial" w:eastAsia="Calibri" w:hAnsi="Arial" w:cs="Arial"/>
        </w:rPr>
        <w:t>prosecutor</w:t>
      </w:r>
      <w:r w:rsidR="00720119">
        <w:rPr>
          <w:rFonts w:ascii="Arial" w:eastAsia="Calibri" w:hAnsi="Arial" w:cs="Arial"/>
        </w:rPr>
        <w:t>’s</w:t>
      </w:r>
      <w:r w:rsidRPr="00C927A1">
        <w:rPr>
          <w:rFonts w:ascii="Arial" w:eastAsia="Calibri" w:hAnsi="Arial" w:cs="Arial"/>
        </w:rPr>
        <w:t xml:space="preserve"> withdrawal of the matter, the State party did not take any further</w:t>
      </w:r>
      <w:r w:rsidR="009B2C2F">
        <w:rPr>
          <w:rFonts w:ascii="Arial" w:eastAsia="Calibri" w:hAnsi="Arial" w:cs="Arial"/>
        </w:rPr>
        <w:t xml:space="preserve"> action to investigate his case. </w:t>
      </w:r>
      <w:r w:rsidRPr="00C927A1">
        <w:rPr>
          <w:rFonts w:ascii="Arial" w:eastAsia="Calibri" w:hAnsi="Arial" w:cs="Arial"/>
        </w:rPr>
        <w:t xml:space="preserve">The author further refers to the jurisprudence of the Inter-American </w:t>
      </w:r>
      <w:r w:rsidRPr="00C927A1">
        <w:rPr>
          <w:rFonts w:ascii="Arial" w:eastAsia="Calibri" w:hAnsi="Arial" w:cs="Arial"/>
        </w:rPr>
        <w:lastRenderedPageBreak/>
        <w:t>C</w:t>
      </w:r>
      <w:r w:rsidR="005678D4">
        <w:rPr>
          <w:rFonts w:ascii="Arial" w:eastAsia="Calibri" w:hAnsi="Arial" w:cs="Arial"/>
        </w:rPr>
        <w:t>ommission of Human Rights</w:t>
      </w:r>
      <w:r w:rsidRPr="00C927A1">
        <w:rPr>
          <w:rFonts w:ascii="Arial" w:eastAsia="Calibri" w:hAnsi="Arial" w:cs="Arial"/>
        </w:rPr>
        <w:t>, where it stated that: “[…]</w:t>
      </w:r>
      <w:r w:rsidR="005678D4">
        <w:rPr>
          <w:rFonts w:ascii="Arial" w:eastAsia="Calibri" w:hAnsi="Arial" w:cs="Arial"/>
        </w:rPr>
        <w:t xml:space="preserve"> </w:t>
      </w:r>
      <w:r w:rsidRPr="00C927A1">
        <w:rPr>
          <w:rFonts w:ascii="Arial" w:eastAsia="Calibri" w:hAnsi="Arial" w:cs="Arial"/>
        </w:rPr>
        <w:t>it is the State that is obliged to advance the investigation of any crime which may be prosecuted de officio. In such cases, it can only be demanded that the petitioner exhaust domestic remedies where the State concerned investigates the facts alleged with due diligence and proceeds to punish any persons found responsible in accordance with its duties under both domestic law and the Convention</w:t>
      </w:r>
      <w:r w:rsidR="005678D4">
        <w:rPr>
          <w:rFonts w:ascii="Arial" w:eastAsia="Calibri" w:hAnsi="Arial" w:cs="Arial"/>
        </w:rPr>
        <w:t>.”</w:t>
      </w:r>
      <w:r w:rsidR="005678D4">
        <w:rPr>
          <w:rStyle w:val="FootnoteReference"/>
          <w:rFonts w:eastAsia="Calibri" w:cs="Arial"/>
        </w:rPr>
        <w:footnoteReference w:id="4"/>
      </w:r>
      <w:r w:rsidR="005678D4">
        <w:rPr>
          <w:rFonts w:ascii="Arial" w:eastAsia="Calibri" w:hAnsi="Arial" w:cs="Arial"/>
        </w:rPr>
        <w:t xml:space="preserve"> He</w:t>
      </w:r>
      <w:r w:rsidRPr="00C927A1">
        <w:rPr>
          <w:rFonts w:ascii="Arial" w:eastAsia="Calibri" w:hAnsi="Arial" w:cs="Arial"/>
        </w:rPr>
        <w:t xml:space="preserve"> </w:t>
      </w:r>
      <w:r w:rsidR="005678D4">
        <w:rPr>
          <w:rFonts w:ascii="Arial" w:eastAsia="Calibri" w:hAnsi="Arial" w:cs="Arial"/>
        </w:rPr>
        <w:t xml:space="preserve">further </w:t>
      </w:r>
      <w:r w:rsidRPr="00C927A1">
        <w:rPr>
          <w:rFonts w:ascii="Arial" w:eastAsia="Calibri" w:hAnsi="Arial" w:cs="Arial"/>
        </w:rPr>
        <w:t>argues that in the c</w:t>
      </w:r>
      <w:r w:rsidR="006C69DE">
        <w:rPr>
          <w:rFonts w:ascii="Arial" w:eastAsia="Calibri" w:hAnsi="Arial" w:cs="Arial"/>
        </w:rPr>
        <w:t xml:space="preserve">ase of crimes of public action </w:t>
      </w:r>
      <w:r w:rsidRPr="00C927A1">
        <w:rPr>
          <w:rFonts w:ascii="Arial" w:eastAsia="Calibri" w:hAnsi="Arial" w:cs="Arial"/>
        </w:rPr>
        <w:t>it is not valid to request the exhaustion of domestic remedies by the victim because the State party has a duty to maintain public order and to set the criminal law system as to effectiv</w:t>
      </w:r>
      <w:r w:rsidR="008D0D6F">
        <w:rPr>
          <w:rFonts w:ascii="Arial" w:eastAsia="Calibri" w:hAnsi="Arial" w:cs="Arial"/>
        </w:rPr>
        <w:t>ely investigate on these crimes</w:t>
      </w:r>
      <w:r w:rsidR="008636D1">
        <w:rPr>
          <w:rFonts w:ascii="Arial" w:eastAsia="Calibri" w:hAnsi="Arial" w:cs="Arial"/>
        </w:rPr>
        <w:t>.</w:t>
      </w:r>
      <w:r w:rsidR="008636D1">
        <w:rPr>
          <w:rStyle w:val="FootnoteReference"/>
          <w:rFonts w:eastAsia="Calibri" w:cs="Arial"/>
        </w:rPr>
        <w:footnoteReference w:id="5"/>
      </w:r>
      <w:r w:rsidR="008636D1">
        <w:rPr>
          <w:rFonts w:ascii="Arial" w:eastAsia="Calibri" w:hAnsi="Arial" w:cs="Arial"/>
        </w:rPr>
        <w:t xml:space="preserve"> </w:t>
      </w:r>
      <w:r w:rsidR="008D0D6F">
        <w:rPr>
          <w:rFonts w:ascii="Arial" w:eastAsia="Calibri" w:hAnsi="Arial" w:cs="Arial"/>
        </w:rPr>
        <w:t>T</w:t>
      </w:r>
      <w:r w:rsidRPr="00C927A1">
        <w:rPr>
          <w:rFonts w:ascii="Arial" w:eastAsia="Calibri" w:hAnsi="Arial" w:cs="Arial"/>
        </w:rPr>
        <w:t xml:space="preserve">he State party has failed to conduct effective investigation and prosecution. As regards the State party’s statement that investigations are ongoing to bring his attackers to justice, the author submits </w:t>
      </w:r>
      <w:r w:rsidR="006C69DE">
        <w:rPr>
          <w:rFonts w:ascii="Arial" w:eastAsia="Calibri" w:hAnsi="Arial" w:cs="Arial"/>
        </w:rPr>
        <w:t>he</w:t>
      </w:r>
      <w:r w:rsidRPr="00C927A1">
        <w:rPr>
          <w:rFonts w:ascii="Arial" w:eastAsia="Calibri" w:hAnsi="Arial" w:cs="Arial"/>
        </w:rPr>
        <w:t xml:space="preserve"> has never been contacted and he has never received any information as to the procedures and investigations allegedly in course.</w:t>
      </w:r>
      <w:r w:rsidR="008636D1">
        <w:rPr>
          <w:rFonts w:ascii="Arial" w:eastAsia="Calibri" w:hAnsi="Arial" w:cs="Arial"/>
        </w:rPr>
        <w:t xml:space="preserve"> </w:t>
      </w:r>
    </w:p>
    <w:p w14:paraId="6680A6A2" w14:textId="77777777" w:rsidR="008636D1" w:rsidRDefault="008636D1" w:rsidP="00566D7A">
      <w:pPr>
        <w:autoSpaceDE w:val="0"/>
        <w:autoSpaceDN w:val="0"/>
        <w:adjustRightInd w:val="0"/>
        <w:spacing w:after="0" w:line="240" w:lineRule="auto"/>
        <w:jc w:val="both"/>
        <w:rPr>
          <w:rFonts w:ascii="Arial" w:eastAsia="Calibri" w:hAnsi="Arial" w:cs="Arial"/>
        </w:rPr>
      </w:pPr>
    </w:p>
    <w:p w14:paraId="5C573A1F" w14:textId="122A9E13" w:rsidR="00C927A1" w:rsidRPr="00C927A1" w:rsidRDefault="00C927A1" w:rsidP="00566D7A">
      <w:pPr>
        <w:autoSpaceDE w:val="0"/>
        <w:autoSpaceDN w:val="0"/>
        <w:adjustRightInd w:val="0"/>
        <w:spacing w:after="0" w:line="240" w:lineRule="auto"/>
        <w:jc w:val="both"/>
        <w:rPr>
          <w:rFonts w:ascii="Arial" w:eastAsia="Calibri" w:hAnsi="Arial" w:cs="Arial"/>
        </w:rPr>
      </w:pPr>
      <w:r w:rsidRPr="00C927A1">
        <w:rPr>
          <w:rFonts w:ascii="Arial" w:eastAsia="Calibri" w:hAnsi="Arial" w:cs="Arial"/>
        </w:rPr>
        <w:t xml:space="preserve">Regarding the State party’s argument that the author should have submitted a human rights petition before Tanzanian Courts under the Basic Rights and Duties Enforcement Act, the author submits that such cumbersome procedure is extremely prolonged. The refers to the petition submitted by persons with albinism victims of acts of violence in the High Court of Tanzania on 20 March 2009 as “Miscellaneous Civil Application No. 15 of 2009”, under the Basic Rights and Duties Enforcement Act. According to Section 4 of the Act, </w:t>
      </w:r>
      <w:r w:rsidR="008636D1">
        <w:rPr>
          <w:rFonts w:ascii="Arial" w:eastAsia="Calibri" w:hAnsi="Arial" w:cs="Arial"/>
        </w:rPr>
        <w:t>which is still pending s</w:t>
      </w:r>
      <w:r w:rsidRPr="00C927A1">
        <w:rPr>
          <w:rFonts w:ascii="Arial" w:eastAsia="Calibri" w:hAnsi="Arial" w:cs="Arial"/>
        </w:rPr>
        <w:t xml:space="preserve">ix years </w:t>
      </w:r>
      <w:r w:rsidR="006C69DE">
        <w:rPr>
          <w:rFonts w:ascii="Arial" w:eastAsia="Calibri" w:hAnsi="Arial" w:cs="Arial"/>
        </w:rPr>
        <w:t>after</w:t>
      </w:r>
      <w:r w:rsidR="008636D1">
        <w:rPr>
          <w:rFonts w:ascii="Arial" w:eastAsia="Calibri" w:hAnsi="Arial" w:cs="Arial"/>
        </w:rPr>
        <w:t>wards.</w:t>
      </w:r>
      <w:r w:rsidR="006C69DE">
        <w:rPr>
          <w:rFonts w:ascii="Arial" w:eastAsia="Calibri" w:hAnsi="Arial" w:cs="Arial"/>
        </w:rPr>
        <w:t xml:space="preserve"> </w:t>
      </w:r>
    </w:p>
    <w:p w14:paraId="76A9BE85" w14:textId="77777777" w:rsidR="00AC73AB" w:rsidRDefault="00AC73AB" w:rsidP="00566D7A">
      <w:pPr>
        <w:autoSpaceDE w:val="0"/>
        <w:autoSpaceDN w:val="0"/>
        <w:adjustRightInd w:val="0"/>
        <w:spacing w:after="0" w:line="240" w:lineRule="auto"/>
        <w:jc w:val="both"/>
        <w:rPr>
          <w:rFonts w:ascii="Arial" w:eastAsia="Calibri" w:hAnsi="Arial" w:cs="Arial"/>
        </w:rPr>
      </w:pPr>
    </w:p>
    <w:p w14:paraId="68FEECA6" w14:textId="07FEF6BA" w:rsidR="00C927A1" w:rsidRDefault="00C927A1" w:rsidP="00566D7A">
      <w:pPr>
        <w:autoSpaceDE w:val="0"/>
        <w:autoSpaceDN w:val="0"/>
        <w:adjustRightInd w:val="0"/>
        <w:spacing w:after="0" w:line="240" w:lineRule="auto"/>
        <w:jc w:val="both"/>
        <w:rPr>
          <w:rFonts w:ascii="Arial" w:eastAsia="Calibri" w:hAnsi="Arial" w:cs="Arial"/>
        </w:rPr>
      </w:pPr>
      <w:r w:rsidRPr="00C927A1">
        <w:rPr>
          <w:rFonts w:ascii="Arial" w:eastAsia="Calibri" w:hAnsi="Arial" w:cs="Arial"/>
        </w:rPr>
        <w:t>The a</w:t>
      </w:r>
      <w:r w:rsidR="00AC73AB">
        <w:rPr>
          <w:rFonts w:ascii="Arial" w:eastAsia="Calibri" w:hAnsi="Arial" w:cs="Arial"/>
        </w:rPr>
        <w:t xml:space="preserve">uthor therefore considers that </w:t>
      </w:r>
      <w:r w:rsidRPr="00C927A1">
        <w:rPr>
          <w:rFonts w:ascii="Arial" w:eastAsia="Calibri" w:hAnsi="Arial" w:cs="Arial"/>
        </w:rPr>
        <w:t>the local remedies to redress the violation in the State party are unavailable and even if</w:t>
      </w:r>
      <w:r w:rsidR="006C69DE">
        <w:rPr>
          <w:rFonts w:ascii="Arial" w:eastAsia="Calibri" w:hAnsi="Arial" w:cs="Arial"/>
        </w:rPr>
        <w:t xml:space="preserve"> </w:t>
      </w:r>
      <w:r w:rsidR="006C69DE" w:rsidRPr="006C69DE">
        <w:rPr>
          <w:rFonts w:ascii="Arial" w:eastAsia="Calibri" w:hAnsi="Arial" w:cs="Arial"/>
        </w:rPr>
        <w:t>considered available, they are undeniably</w:t>
      </w:r>
      <w:r w:rsidR="006C69DE">
        <w:rPr>
          <w:rFonts w:ascii="Arial" w:eastAsia="Calibri" w:hAnsi="Arial" w:cs="Arial"/>
        </w:rPr>
        <w:t xml:space="preserve"> ineffective and insufficient.</w:t>
      </w:r>
      <w:r w:rsidR="006C69DE" w:rsidRPr="006C69DE">
        <w:rPr>
          <w:rFonts w:ascii="Arial" w:eastAsia="Calibri" w:hAnsi="Arial" w:cs="Arial"/>
        </w:rPr>
        <w:t xml:space="preserve"> </w:t>
      </w:r>
    </w:p>
    <w:p w14:paraId="16C991B8" w14:textId="77777777" w:rsidR="006C69DE" w:rsidRDefault="006C69DE" w:rsidP="00566D7A">
      <w:pPr>
        <w:autoSpaceDE w:val="0"/>
        <w:autoSpaceDN w:val="0"/>
        <w:adjustRightInd w:val="0"/>
        <w:spacing w:after="0" w:line="240" w:lineRule="auto"/>
        <w:jc w:val="both"/>
        <w:rPr>
          <w:rFonts w:ascii="Arial" w:eastAsia="Calibri" w:hAnsi="Arial" w:cs="Arial"/>
        </w:rPr>
      </w:pPr>
    </w:p>
    <w:p w14:paraId="4DE80B85" w14:textId="77777777" w:rsidR="006C69DE" w:rsidRPr="006C69DE" w:rsidRDefault="006C69DE" w:rsidP="00566D7A">
      <w:pPr>
        <w:autoSpaceDE w:val="0"/>
        <w:autoSpaceDN w:val="0"/>
        <w:adjustRightInd w:val="0"/>
        <w:spacing w:after="0" w:line="240" w:lineRule="auto"/>
        <w:jc w:val="both"/>
        <w:rPr>
          <w:rFonts w:ascii="Arial" w:eastAsia="Calibri" w:hAnsi="Arial" w:cs="Arial"/>
          <w:b/>
          <w:sz w:val="24"/>
        </w:rPr>
      </w:pPr>
      <w:r w:rsidRPr="006C69DE">
        <w:rPr>
          <w:rFonts w:ascii="Arial" w:eastAsia="Calibri" w:hAnsi="Arial" w:cs="Arial"/>
          <w:b/>
          <w:sz w:val="24"/>
        </w:rPr>
        <w:t>Lack of reply of the State party on the merits of the communication</w:t>
      </w:r>
    </w:p>
    <w:p w14:paraId="5A0ED8B0" w14:textId="34DC45A9" w:rsidR="006C69DE" w:rsidRDefault="006C69DE" w:rsidP="00566D7A">
      <w:pPr>
        <w:autoSpaceDE w:val="0"/>
        <w:autoSpaceDN w:val="0"/>
        <w:adjustRightInd w:val="0"/>
        <w:spacing w:after="0" w:line="240" w:lineRule="auto"/>
        <w:jc w:val="both"/>
        <w:rPr>
          <w:rFonts w:ascii="Arial" w:eastAsia="Calibri" w:hAnsi="Arial" w:cs="Arial"/>
        </w:rPr>
      </w:pPr>
      <w:r>
        <w:rPr>
          <w:rFonts w:ascii="Arial" w:eastAsia="Calibri" w:hAnsi="Arial" w:cs="Arial"/>
        </w:rPr>
        <w:t>Despit</w:t>
      </w:r>
      <w:r w:rsidR="008636D1">
        <w:rPr>
          <w:rFonts w:ascii="Arial" w:eastAsia="Calibri" w:hAnsi="Arial" w:cs="Arial"/>
        </w:rPr>
        <w:t>e several requests to the State</w:t>
      </w:r>
      <w:r>
        <w:rPr>
          <w:rFonts w:ascii="Arial" w:eastAsia="Calibri" w:hAnsi="Arial" w:cs="Arial"/>
        </w:rPr>
        <w:t xml:space="preserve">, </w:t>
      </w:r>
      <w:r w:rsidR="008636D1">
        <w:rPr>
          <w:rFonts w:ascii="Arial" w:eastAsia="Calibri" w:hAnsi="Arial" w:cs="Arial"/>
        </w:rPr>
        <w:t xml:space="preserve">its </w:t>
      </w:r>
      <w:r w:rsidR="008636D1" w:rsidRPr="006C69DE">
        <w:rPr>
          <w:rFonts w:ascii="Arial" w:eastAsia="Calibri" w:hAnsi="Arial" w:cs="Arial"/>
        </w:rPr>
        <w:t>observations on the merits of</w:t>
      </w:r>
      <w:r w:rsidR="008636D1">
        <w:rPr>
          <w:rFonts w:ascii="Arial" w:eastAsia="Calibri" w:hAnsi="Arial" w:cs="Arial"/>
        </w:rPr>
        <w:t xml:space="preserve"> the communication</w:t>
      </w:r>
      <w:r w:rsidR="008636D1">
        <w:rPr>
          <w:rFonts w:ascii="Arial" w:eastAsia="Calibri" w:hAnsi="Arial" w:cs="Arial"/>
        </w:rPr>
        <w:t xml:space="preserve"> have</w:t>
      </w:r>
      <w:r w:rsidRPr="006C69DE">
        <w:rPr>
          <w:rFonts w:ascii="Arial" w:eastAsia="Calibri" w:hAnsi="Arial" w:cs="Arial"/>
        </w:rPr>
        <w:t xml:space="preserve"> not been received. In the</w:t>
      </w:r>
      <w:r w:rsidR="008636D1">
        <w:rPr>
          <w:rFonts w:ascii="Arial" w:eastAsia="Calibri" w:hAnsi="Arial" w:cs="Arial"/>
        </w:rPr>
        <w:t>ir absence</w:t>
      </w:r>
      <w:r w:rsidRPr="006C69DE">
        <w:rPr>
          <w:rFonts w:ascii="Arial" w:eastAsia="Calibri" w:hAnsi="Arial" w:cs="Arial"/>
        </w:rPr>
        <w:t>, the Committee must give due weight to those of the authors’ allegations that have been properly substantiated.</w:t>
      </w:r>
    </w:p>
    <w:p w14:paraId="069BBCF2" w14:textId="77777777" w:rsidR="006C69DE" w:rsidRDefault="006C69DE" w:rsidP="00566D7A">
      <w:pPr>
        <w:autoSpaceDE w:val="0"/>
        <w:autoSpaceDN w:val="0"/>
        <w:adjustRightInd w:val="0"/>
        <w:spacing w:after="0" w:line="240" w:lineRule="auto"/>
        <w:jc w:val="both"/>
        <w:rPr>
          <w:rFonts w:ascii="Arial" w:eastAsia="Calibri" w:hAnsi="Arial" w:cs="Arial"/>
        </w:rPr>
      </w:pPr>
    </w:p>
    <w:p w14:paraId="608ADAB3" w14:textId="08AB9402" w:rsidR="009B2C2F" w:rsidRPr="008D0D6F" w:rsidRDefault="006C69DE" w:rsidP="00566D7A">
      <w:pPr>
        <w:autoSpaceDE w:val="0"/>
        <w:autoSpaceDN w:val="0"/>
        <w:adjustRightInd w:val="0"/>
        <w:spacing w:after="0" w:line="240" w:lineRule="auto"/>
        <w:jc w:val="both"/>
        <w:rPr>
          <w:rFonts w:ascii="Arial" w:eastAsia="Calibri" w:hAnsi="Arial" w:cs="Arial"/>
          <w:b/>
          <w:sz w:val="24"/>
        </w:rPr>
      </w:pPr>
      <w:r w:rsidRPr="006C69DE">
        <w:rPr>
          <w:rFonts w:ascii="Arial" w:eastAsia="Calibri" w:hAnsi="Arial" w:cs="Arial"/>
          <w:b/>
          <w:sz w:val="24"/>
        </w:rPr>
        <w:t>Committee’s consideration of admissibility</w:t>
      </w:r>
    </w:p>
    <w:p w14:paraId="64EFEBB1" w14:textId="5AF5E1F1" w:rsidR="006C69DE" w:rsidRPr="006C69DE" w:rsidRDefault="008636D1" w:rsidP="00566D7A">
      <w:pPr>
        <w:autoSpaceDE w:val="0"/>
        <w:autoSpaceDN w:val="0"/>
        <w:adjustRightInd w:val="0"/>
        <w:spacing w:after="0" w:line="240" w:lineRule="auto"/>
        <w:jc w:val="both"/>
        <w:rPr>
          <w:rFonts w:ascii="Arial" w:eastAsia="Calibri" w:hAnsi="Arial" w:cs="Arial"/>
        </w:rPr>
      </w:pPr>
      <w:r>
        <w:rPr>
          <w:rFonts w:ascii="Arial" w:eastAsia="Calibri" w:hAnsi="Arial" w:cs="Arial"/>
        </w:rPr>
        <w:t>T</w:t>
      </w:r>
      <w:r w:rsidR="006C69DE" w:rsidRPr="006C69DE">
        <w:rPr>
          <w:rFonts w:ascii="Arial" w:eastAsia="Calibri" w:hAnsi="Arial" w:cs="Arial"/>
        </w:rPr>
        <w:t>he Committee notes the author’s submission that filing a petition b</w:t>
      </w:r>
      <w:r>
        <w:rPr>
          <w:rFonts w:ascii="Arial" w:eastAsia="Calibri" w:hAnsi="Arial" w:cs="Arial"/>
        </w:rPr>
        <w:t>efore Tanzanian courts under that</w:t>
      </w:r>
      <w:r w:rsidR="006C69DE" w:rsidRPr="006C69DE">
        <w:rPr>
          <w:rFonts w:ascii="Arial" w:eastAsia="Calibri" w:hAnsi="Arial" w:cs="Arial"/>
        </w:rPr>
        <w:t xml:space="preserve"> Basic Rights and Duties Enforcement Act as well as initiating and pursuing private prosecutions of the attackers </w:t>
      </w:r>
      <w:r w:rsidR="006C69DE" w:rsidRPr="008636D1">
        <w:rPr>
          <w:rFonts w:ascii="Arial" w:eastAsia="Calibri" w:hAnsi="Arial" w:cs="Arial"/>
          <w:b/>
        </w:rPr>
        <w:t>did not constitute effective remedies in his case</w:t>
      </w:r>
      <w:r w:rsidR="006C69DE" w:rsidRPr="006C69DE">
        <w:rPr>
          <w:rFonts w:ascii="Arial" w:eastAsia="Calibri" w:hAnsi="Arial" w:cs="Arial"/>
        </w:rPr>
        <w:t xml:space="preserve">. </w:t>
      </w:r>
      <w:r w:rsidR="00AC73AB">
        <w:rPr>
          <w:rFonts w:ascii="Arial" w:eastAsia="Calibri" w:hAnsi="Arial" w:cs="Arial"/>
        </w:rPr>
        <w:t>Since</w:t>
      </w:r>
      <w:r w:rsidR="006C69DE" w:rsidRPr="006C69DE">
        <w:rPr>
          <w:rFonts w:ascii="Arial" w:eastAsia="Calibri" w:hAnsi="Arial" w:cs="Arial"/>
        </w:rPr>
        <w:t xml:space="preserve"> the prosecution was withdrawn under section 98 of the Criminal Procedure Act for lack </w:t>
      </w:r>
      <w:r w:rsidR="00AC73AB">
        <w:rPr>
          <w:rFonts w:ascii="Arial" w:eastAsia="Calibri" w:hAnsi="Arial" w:cs="Arial"/>
        </w:rPr>
        <w:t>of evidence</w:t>
      </w:r>
      <w:r w:rsidR="006C69DE" w:rsidRPr="006C69DE">
        <w:rPr>
          <w:rFonts w:ascii="Arial" w:eastAsia="Calibri" w:hAnsi="Arial" w:cs="Arial"/>
        </w:rPr>
        <w:t xml:space="preserve">, the author has never been informed of any new additional steps that would have been taken by the authorities. </w:t>
      </w:r>
      <w:r w:rsidR="00481DAB">
        <w:rPr>
          <w:rFonts w:ascii="Arial" w:eastAsia="Calibri" w:hAnsi="Arial" w:cs="Arial"/>
          <w:u w:val="single"/>
        </w:rPr>
        <w:t>T</w:t>
      </w:r>
      <w:r w:rsidR="006C69DE" w:rsidRPr="00AC73AB">
        <w:rPr>
          <w:rFonts w:ascii="Arial" w:eastAsia="Calibri" w:hAnsi="Arial" w:cs="Arial"/>
          <w:u w:val="single"/>
        </w:rPr>
        <w:t>he effectiveness of a remedy depends on the nature and the particular serious</w:t>
      </w:r>
      <w:r w:rsidR="00605527" w:rsidRPr="00AC73AB">
        <w:rPr>
          <w:rFonts w:ascii="Arial" w:eastAsia="Calibri" w:hAnsi="Arial" w:cs="Arial"/>
          <w:u w:val="single"/>
        </w:rPr>
        <w:t>ness of the alleged violation</w:t>
      </w:r>
      <w:r w:rsidR="00605527">
        <w:rPr>
          <w:rFonts w:ascii="Arial" w:eastAsia="Calibri" w:hAnsi="Arial" w:cs="Arial"/>
        </w:rPr>
        <w:t>.</w:t>
      </w:r>
      <w:r w:rsidR="006C69DE" w:rsidRPr="006C69DE">
        <w:rPr>
          <w:rFonts w:ascii="Arial" w:eastAsia="Calibri" w:hAnsi="Arial" w:cs="Arial"/>
        </w:rPr>
        <w:t xml:space="preserve"> </w:t>
      </w:r>
      <w:r w:rsidR="00481DAB">
        <w:rPr>
          <w:rFonts w:ascii="Arial" w:eastAsia="Calibri" w:hAnsi="Arial" w:cs="Arial"/>
        </w:rPr>
        <w:t>Despite</w:t>
      </w:r>
      <w:r w:rsidR="006C69DE" w:rsidRPr="006C69DE">
        <w:rPr>
          <w:rFonts w:ascii="Arial" w:eastAsia="Calibri" w:hAnsi="Arial" w:cs="Arial"/>
        </w:rPr>
        <w:t xml:space="preserve"> Tanzanian criminal procedure, </w:t>
      </w:r>
      <w:r w:rsidR="00481DAB">
        <w:rPr>
          <w:rFonts w:ascii="Arial" w:eastAsia="Calibri" w:hAnsi="Arial" w:cs="Arial"/>
        </w:rPr>
        <w:t>that</w:t>
      </w:r>
      <w:r w:rsidR="006C69DE" w:rsidRPr="006C69DE">
        <w:rPr>
          <w:rFonts w:ascii="Arial" w:eastAsia="Calibri" w:hAnsi="Arial" w:cs="Arial"/>
        </w:rPr>
        <w:t xml:space="preserve"> permit</w:t>
      </w:r>
      <w:r w:rsidR="00481DAB">
        <w:rPr>
          <w:rFonts w:ascii="Arial" w:eastAsia="Calibri" w:hAnsi="Arial" w:cs="Arial"/>
        </w:rPr>
        <w:t>s</w:t>
      </w:r>
      <w:r w:rsidR="006C69DE" w:rsidRPr="006C69DE">
        <w:rPr>
          <w:rFonts w:ascii="Arial" w:eastAsia="Calibri" w:hAnsi="Arial" w:cs="Arial"/>
        </w:rPr>
        <w:t xml:space="preserve"> the prosecution to be conducted by any </w:t>
      </w:r>
      <w:r w:rsidR="00605527">
        <w:rPr>
          <w:rFonts w:ascii="Arial" w:eastAsia="Calibri" w:hAnsi="Arial" w:cs="Arial"/>
        </w:rPr>
        <w:t>person, including the victim</w:t>
      </w:r>
      <w:r w:rsidR="00481DAB">
        <w:rPr>
          <w:rFonts w:ascii="Arial" w:eastAsia="Calibri" w:hAnsi="Arial" w:cs="Arial"/>
        </w:rPr>
        <w:t>,</w:t>
      </w:r>
      <w:r w:rsidR="006C69DE" w:rsidRPr="006C69DE">
        <w:rPr>
          <w:rFonts w:ascii="Arial" w:eastAsia="Calibri" w:hAnsi="Arial" w:cs="Arial"/>
        </w:rPr>
        <w:t xml:space="preserve"> in cases of violations of such gravity as those which the author has been victim of, the primary</w:t>
      </w:r>
      <w:r w:rsidR="006C69DE">
        <w:rPr>
          <w:rFonts w:ascii="Arial" w:eastAsia="Calibri" w:hAnsi="Arial" w:cs="Arial"/>
        </w:rPr>
        <w:t xml:space="preserve"> </w:t>
      </w:r>
      <w:r w:rsidR="006C69DE" w:rsidRPr="006C69DE">
        <w:rPr>
          <w:rFonts w:ascii="Arial" w:eastAsia="Calibri" w:hAnsi="Arial" w:cs="Arial"/>
        </w:rPr>
        <w:t>non-delegable duty and obligation to in</w:t>
      </w:r>
      <w:r w:rsidR="00500D3C">
        <w:rPr>
          <w:rFonts w:ascii="Arial" w:eastAsia="Calibri" w:hAnsi="Arial" w:cs="Arial"/>
        </w:rPr>
        <w:t xml:space="preserve">vestigate, prosecute and punish </w:t>
      </w:r>
      <w:r w:rsidR="00500D3C" w:rsidRPr="00500D3C">
        <w:rPr>
          <w:rFonts w:ascii="Arial" w:eastAsia="Calibri" w:hAnsi="Arial" w:cs="Arial"/>
        </w:rPr>
        <w:t>remains in the hands o</w:t>
      </w:r>
      <w:r w:rsidR="00500D3C">
        <w:rPr>
          <w:rFonts w:ascii="Arial" w:eastAsia="Calibri" w:hAnsi="Arial" w:cs="Arial"/>
        </w:rPr>
        <w:t>f the State party’s authorities.</w:t>
      </w:r>
      <w:r w:rsidR="00481DAB">
        <w:rPr>
          <w:rFonts w:ascii="Arial" w:eastAsia="Calibri" w:hAnsi="Arial" w:cs="Arial"/>
        </w:rPr>
        <w:t xml:space="preserve"> Further, o</w:t>
      </w:r>
      <w:r w:rsidR="006C69DE" w:rsidRPr="006C69DE">
        <w:rPr>
          <w:rFonts w:ascii="Arial" w:eastAsia="Calibri" w:hAnsi="Arial" w:cs="Arial"/>
        </w:rPr>
        <w:t xml:space="preserve">n 20 March 2009, other victims of similar violent acts brought their case to the Constitutional court of Tanzania under the Basic Rights and Duties Enforcement Act, and more than nine years later, the matter still has not been heard. In such circumstances, </w:t>
      </w:r>
      <w:r w:rsidR="006C69DE" w:rsidRPr="00605527">
        <w:rPr>
          <w:rFonts w:ascii="Arial" w:eastAsia="Calibri" w:hAnsi="Arial" w:cs="Arial"/>
          <w:u w:val="single"/>
        </w:rPr>
        <w:t>the Committee does not find it reasonable to require that the author should have gone to court to initiate additional proceeding</w:t>
      </w:r>
      <w:r w:rsidR="00481DAB">
        <w:rPr>
          <w:rFonts w:ascii="Arial" w:eastAsia="Calibri" w:hAnsi="Arial" w:cs="Arial"/>
          <w:u w:val="single"/>
        </w:rPr>
        <w:t>s of an unpredictable duration.</w:t>
      </w:r>
    </w:p>
    <w:p w14:paraId="6331D145" w14:textId="77777777" w:rsidR="00605527" w:rsidRDefault="00605527" w:rsidP="00566D7A">
      <w:pPr>
        <w:autoSpaceDE w:val="0"/>
        <w:autoSpaceDN w:val="0"/>
        <w:adjustRightInd w:val="0"/>
        <w:spacing w:after="0" w:line="240" w:lineRule="auto"/>
        <w:jc w:val="both"/>
        <w:rPr>
          <w:rFonts w:ascii="Arial" w:eastAsia="Calibri" w:hAnsi="Arial" w:cs="Arial"/>
        </w:rPr>
      </w:pPr>
    </w:p>
    <w:p w14:paraId="006D4DAF" w14:textId="470A0C4E" w:rsidR="006C69DE" w:rsidRDefault="00605527" w:rsidP="00566D7A">
      <w:pPr>
        <w:autoSpaceDE w:val="0"/>
        <w:autoSpaceDN w:val="0"/>
        <w:adjustRightInd w:val="0"/>
        <w:spacing w:after="0" w:line="240" w:lineRule="auto"/>
        <w:jc w:val="both"/>
        <w:rPr>
          <w:rFonts w:ascii="Arial" w:eastAsia="Calibri" w:hAnsi="Arial" w:cs="Arial"/>
        </w:rPr>
      </w:pPr>
      <w:r w:rsidRPr="005D23DE">
        <w:rPr>
          <w:rFonts w:ascii="Arial" w:eastAsia="Calibri" w:hAnsi="Arial" w:cs="Arial"/>
          <w:u w:val="single"/>
        </w:rPr>
        <w:t>U</w:t>
      </w:r>
      <w:r w:rsidR="006C69DE" w:rsidRPr="005D23DE">
        <w:rPr>
          <w:rFonts w:ascii="Arial" w:eastAsia="Calibri" w:hAnsi="Arial" w:cs="Arial"/>
          <w:u w:val="single"/>
        </w:rPr>
        <w:t xml:space="preserve">nder article </w:t>
      </w:r>
      <w:r w:rsidR="009E1C5F" w:rsidRPr="005D23DE">
        <w:rPr>
          <w:rFonts w:ascii="Arial" w:eastAsia="Calibri" w:hAnsi="Arial" w:cs="Arial"/>
          <w:u w:val="single"/>
        </w:rPr>
        <w:t>1</w:t>
      </w:r>
      <w:r w:rsidR="006C69DE" w:rsidRPr="006C69DE">
        <w:rPr>
          <w:rFonts w:ascii="Arial" w:eastAsia="Calibri" w:hAnsi="Arial" w:cs="Arial"/>
        </w:rPr>
        <w:t xml:space="preserve">, persons with disabilities include, but are not limited to, those who have long-term physical, mental, intellectual or sensory impairments which, in interaction with various barriers, may hinder their full and effective participation in society on an equal basis with others. The Committee recalls that “albinism is a relatively rare, non-contagious, genetically inherited condition that affects people worldwide regardless of ethnicity or gender. It results from a significant deficit in the production of melanin and is characterized by the partial or complete absence of pigment in the skin, </w:t>
      </w:r>
      <w:r w:rsidR="006C69DE" w:rsidRPr="006C69DE">
        <w:rPr>
          <w:rFonts w:ascii="Arial" w:eastAsia="Calibri" w:hAnsi="Arial" w:cs="Arial"/>
        </w:rPr>
        <w:lastRenderedPageBreak/>
        <w:t>hair and eyes. […]</w:t>
      </w:r>
      <w:r w:rsidR="005D23DE">
        <w:rPr>
          <w:rFonts w:ascii="Arial" w:eastAsia="Calibri" w:hAnsi="Arial" w:cs="Arial"/>
        </w:rPr>
        <w:t xml:space="preserve"> </w:t>
      </w:r>
      <w:r w:rsidR="006C69DE" w:rsidRPr="006C69DE">
        <w:rPr>
          <w:rFonts w:ascii="Arial" w:eastAsia="Calibri" w:hAnsi="Arial" w:cs="Arial"/>
        </w:rPr>
        <w:t xml:space="preserve">In view thereof, </w:t>
      </w:r>
      <w:r w:rsidR="006C69DE" w:rsidRPr="00605527">
        <w:rPr>
          <w:rFonts w:ascii="Arial" w:eastAsia="Calibri" w:hAnsi="Arial" w:cs="Arial"/>
          <w:u w:val="single"/>
        </w:rPr>
        <w:t>the Committee considers necessary to reiterate that albinism falls within the definition of disability as enshrined b</w:t>
      </w:r>
      <w:r w:rsidRPr="00605527">
        <w:rPr>
          <w:rFonts w:ascii="Arial" w:eastAsia="Calibri" w:hAnsi="Arial" w:cs="Arial"/>
          <w:u w:val="single"/>
        </w:rPr>
        <w:t>y article 1 of the Convention</w:t>
      </w:r>
      <w:r>
        <w:rPr>
          <w:rFonts w:ascii="Arial" w:eastAsia="Calibri" w:hAnsi="Arial" w:cs="Arial"/>
        </w:rPr>
        <w:t>.</w:t>
      </w:r>
    </w:p>
    <w:p w14:paraId="7C49E85F" w14:textId="77777777" w:rsidR="00605527" w:rsidRDefault="00605527" w:rsidP="00566D7A">
      <w:pPr>
        <w:autoSpaceDE w:val="0"/>
        <w:autoSpaceDN w:val="0"/>
        <w:adjustRightInd w:val="0"/>
        <w:spacing w:after="0" w:line="240" w:lineRule="auto"/>
        <w:jc w:val="both"/>
        <w:rPr>
          <w:rFonts w:ascii="Arial" w:eastAsia="Calibri" w:hAnsi="Arial" w:cs="Arial"/>
        </w:rPr>
      </w:pPr>
    </w:p>
    <w:p w14:paraId="3A646E63" w14:textId="21902925" w:rsidR="00605527" w:rsidRPr="00605527" w:rsidRDefault="009E1C5F" w:rsidP="00566D7A">
      <w:pPr>
        <w:autoSpaceDE w:val="0"/>
        <w:autoSpaceDN w:val="0"/>
        <w:adjustRightInd w:val="0"/>
        <w:spacing w:after="0" w:line="240" w:lineRule="auto"/>
        <w:jc w:val="both"/>
        <w:rPr>
          <w:rFonts w:ascii="Arial" w:eastAsia="Calibri" w:hAnsi="Arial" w:cs="Arial"/>
          <w:u w:val="single"/>
        </w:rPr>
      </w:pPr>
      <w:r w:rsidRPr="009E1C5F">
        <w:rPr>
          <w:rFonts w:ascii="Arial" w:eastAsia="Calibri" w:hAnsi="Arial" w:cs="Arial"/>
          <w:u w:val="single"/>
        </w:rPr>
        <w:t>With regard to</w:t>
      </w:r>
      <w:r w:rsidR="00605527" w:rsidRPr="009E1C5F">
        <w:rPr>
          <w:rFonts w:ascii="Arial" w:eastAsia="Calibri" w:hAnsi="Arial" w:cs="Arial"/>
          <w:u w:val="single"/>
        </w:rPr>
        <w:t xml:space="preserve"> article 4</w:t>
      </w:r>
      <w:r w:rsidR="00605527" w:rsidRPr="00605527">
        <w:rPr>
          <w:rFonts w:ascii="Arial" w:eastAsia="Calibri" w:hAnsi="Arial" w:cs="Arial"/>
        </w:rPr>
        <w:t xml:space="preserve">, the Committee recalls that, in view of its general character, this article can only be invoked in conjunction with other rights. </w:t>
      </w:r>
      <w:r w:rsidR="00605527" w:rsidRPr="00605527">
        <w:rPr>
          <w:rFonts w:ascii="Arial" w:eastAsia="Calibri" w:hAnsi="Arial" w:cs="Arial"/>
          <w:u w:val="single"/>
        </w:rPr>
        <w:t>The Committee therefore considers that the author’s clai</w:t>
      </w:r>
      <w:r w:rsidR="00B46FF8">
        <w:rPr>
          <w:rFonts w:ascii="Arial" w:eastAsia="Calibri" w:hAnsi="Arial" w:cs="Arial"/>
          <w:u w:val="single"/>
        </w:rPr>
        <w:t>ms under article 4 read alone are</w:t>
      </w:r>
      <w:r w:rsidR="00605527" w:rsidRPr="00605527">
        <w:rPr>
          <w:rFonts w:ascii="Arial" w:eastAsia="Calibri" w:hAnsi="Arial" w:cs="Arial"/>
          <w:u w:val="single"/>
        </w:rPr>
        <w:t xml:space="preserve"> inadmissible under article 2 (e) of the Optional Protocol.</w:t>
      </w:r>
    </w:p>
    <w:p w14:paraId="292743A3" w14:textId="77777777" w:rsidR="005D23DE" w:rsidRDefault="005D23DE" w:rsidP="00566D7A">
      <w:pPr>
        <w:autoSpaceDE w:val="0"/>
        <w:autoSpaceDN w:val="0"/>
        <w:adjustRightInd w:val="0"/>
        <w:spacing w:after="0" w:line="240" w:lineRule="auto"/>
        <w:jc w:val="both"/>
        <w:rPr>
          <w:rFonts w:ascii="Arial" w:eastAsia="Calibri" w:hAnsi="Arial" w:cs="Arial"/>
        </w:rPr>
      </w:pPr>
    </w:p>
    <w:p w14:paraId="200B2419" w14:textId="19D0D78C" w:rsidR="00605527" w:rsidRPr="00605527" w:rsidRDefault="00605527" w:rsidP="00566D7A">
      <w:pPr>
        <w:autoSpaceDE w:val="0"/>
        <w:autoSpaceDN w:val="0"/>
        <w:adjustRightInd w:val="0"/>
        <w:spacing w:after="0" w:line="240" w:lineRule="auto"/>
        <w:jc w:val="both"/>
        <w:rPr>
          <w:rFonts w:ascii="Arial" w:eastAsia="Calibri" w:hAnsi="Arial" w:cs="Arial"/>
        </w:rPr>
      </w:pPr>
      <w:r w:rsidRPr="009E1C5F">
        <w:rPr>
          <w:rFonts w:ascii="Arial" w:eastAsia="Calibri" w:hAnsi="Arial" w:cs="Arial"/>
          <w:u w:val="single"/>
        </w:rPr>
        <w:t>As to the claims under article 14</w:t>
      </w:r>
      <w:r w:rsidR="00B46FF8">
        <w:rPr>
          <w:rFonts w:ascii="Arial" w:eastAsia="Calibri" w:hAnsi="Arial" w:cs="Arial"/>
        </w:rPr>
        <w:t xml:space="preserve">, </w:t>
      </w:r>
      <w:r w:rsidRPr="00B46FF8">
        <w:rPr>
          <w:rFonts w:ascii="Arial" w:eastAsia="Calibri" w:hAnsi="Arial" w:cs="Arial"/>
        </w:rPr>
        <w:t xml:space="preserve">the Committee notes that </w:t>
      </w:r>
      <w:r w:rsidR="00B46FF8">
        <w:rPr>
          <w:rFonts w:ascii="Arial" w:eastAsia="Calibri" w:hAnsi="Arial" w:cs="Arial"/>
        </w:rPr>
        <w:t>the</w:t>
      </w:r>
      <w:r w:rsidRPr="00B46FF8">
        <w:rPr>
          <w:rFonts w:ascii="Arial" w:eastAsia="Calibri" w:hAnsi="Arial" w:cs="Arial"/>
        </w:rPr>
        <w:t xml:space="preserve"> </w:t>
      </w:r>
      <w:r w:rsidR="00B46FF8">
        <w:rPr>
          <w:rFonts w:ascii="Arial" w:eastAsia="Calibri" w:hAnsi="Arial" w:cs="Arial"/>
        </w:rPr>
        <w:t>claims</w:t>
      </w:r>
      <w:r w:rsidRPr="00B46FF8">
        <w:rPr>
          <w:rFonts w:ascii="Arial" w:eastAsia="Calibri" w:hAnsi="Arial" w:cs="Arial"/>
        </w:rPr>
        <w:t xml:space="preserve"> are submitted in general terms, and that the author was never deprived of his liberty in the sense of article 14 that relates to any form of detention or institutionalization of persons with disability.</w:t>
      </w:r>
      <w:r w:rsidR="009E1C5F" w:rsidRPr="00B46FF8">
        <w:rPr>
          <w:rFonts w:ascii="Arial" w:eastAsia="Calibri" w:hAnsi="Arial" w:cs="Arial"/>
        </w:rPr>
        <w:t xml:space="preserve"> </w:t>
      </w:r>
      <w:r w:rsidRPr="00B46FF8">
        <w:rPr>
          <w:rFonts w:ascii="Arial" w:eastAsia="Calibri" w:hAnsi="Arial" w:cs="Arial"/>
        </w:rPr>
        <w:t>The Committee considers that this part of the complaint is inadmissible for lack of substantiation</w:t>
      </w:r>
      <w:r w:rsidR="00B46FF8">
        <w:rPr>
          <w:rFonts w:ascii="Arial" w:eastAsia="Calibri" w:hAnsi="Arial" w:cs="Arial"/>
        </w:rPr>
        <w:t>.</w:t>
      </w:r>
    </w:p>
    <w:p w14:paraId="66748BCD" w14:textId="77777777" w:rsidR="00605527" w:rsidRDefault="00605527" w:rsidP="00566D7A">
      <w:pPr>
        <w:autoSpaceDE w:val="0"/>
        <w:autoSpaceDN w:val="0"/>
        <w:adjustRightInd w:val="0"/>
        <w:spacing w:after="0" w:line="240" w:lineRule="auto"/>
        <w:jc w:val="both"/>
        <w:rPr>
          <w:rFonts w:ascii="Arial" w:eastAsia="Calibri" w:hAnsi="Arial" w:cs="Arial"/>
        </w:rPr>
      </w:pPr>
    </w:p>
    <w:p w14:paraId="20242492" w14:textId="77777777" w:rsidR="00605527" w:rsidRDefault="00605527" w:rsidP="00566D7A">
      <w:pPr>
        <w:autoSpaceDE w:val="0"/>
        <w:autoSpaceDN w:val="0"/>
        <w:adjustRightInd w:val="0"/>
        <w:spacing w:after="0" w:line="240" w:lineRule="auto"/>
        <w:jc w:val="both"/>
        <w:rPr>
          <w:rFonts w:ascii="Arial" w:eastAsia="Calibri" w:hAnsi="Arial" w:cs="Arial"/>
        </w:rPr>
      </w:pPr>
      <w:r w:rsidRPr="00605527">
        <w:rPr>
          <w:rFonts w:ascii="Arial" w:eastAsia="Calibri" w:hAnsi="Arial" w:cs="Arial"/>
        </w:rPr>
        <w:t xml:space="preserve">There being no other obstacles to admissibility, </w:t>
      </w:r>
      <w:r w:rsidRPr="00605527">
        <w:rPr>
          <w:rFonts w:ascii="Arial" w:eastAsia="Calibri" w:hAnsi="Arial" w:cs="Arial"/>
          <w:u w:val="single"/>
        </w:rPr>
        <w:t>the Committee declares the communication admissible and proceeds to its examination on the merits</w:t>
      </w:r>
      <w:r w:rsidRPr="00605527">
        <w:rPr>
          <w:rFonts w:ascii="Arial" w:eastAsia="Calibri" w:hAnsi="Arial" w:cs="Arial"/>
        </w:rPr>
        <w:t>.</w:t>
      </w:r>
    </w:p>
    <w:p w14:paraId="259BBA80" w14:textId="77777777" w:rsidR="00605527" w:rsidRDefault="00605527" w:rsidP="00566D7A">
      <w:pPr>
        <w:autoSpaceDE w:val="0"/>
        <w:autoSpaceDN w:val="0"/>
        <w:adjustRightInd w:val="0"/>
        <w:spacing w:after="0" w:line="240" w:lineRule="auto"/>
        <w:jc w:val="both"/>
        <w:rPr>
          <w:rFonts w:ascii="Arial" w:eastAsia="Calibri" w:hAnsi="Arial" w:cs="Arial"/>
        </w:rPr>
      </w:pPr>
    </w:p>
    <w:p w14:paraId="624E8296" w14:textId="77777777" w:rsidR="00605527" w:rsidRPr="00605527" w:rsidRDefault="00605527" w:rsidP="00566D7A">
      <w:pPr>
        <w:autoSpaceDE w:val="0"/>
        <w:autoSpaceDN w:val="0"/>
        <w:adjustRightInd w:val="0"/>
        <w:spacing w:after="0" w:line="240" w:lineRule="auto"/>
        <w:jc w:val="both"/>
        <w:rPr>
          <w:rFonts w:ascii="Arial" w:eastAsia="Calibri" w:hAnsi="Arial" w:cs="Arial"/>
          <w:b/>
          <w:sz w:val="24"/>
        </w:rPr>
      </w:pPr>
      <w:r w:rsidRPr="00605527">
        <w:rPr>
          <w:rFonts w:ascii="Arial" w:eastAsia="Calibri" w:hAnsi="Arial" w:cs="Arial"/>
          <w:b/>
          <w:sz w:val="24"/>
        </w:rPr>
        <w:t>Committee’s consideration of the merits</w:t>
      </w:r>
    </w:p>
    <w:p w14:paraId="5E7FE705" w14:textId="2157360D" w:rsidR="00605527" w:rsidRPr="009D49E5" w:rsidRDefault="009D49E5" w:rsidP="00566D7A">
      <w:pPr>
        <w:autoSpaceDE w:val="0"/>
        <w:autoSpaceDN w:val="0"/>
        <w:adjustRightInd w:val="0"/>
        <w:spacing w:after="0" w:line="240" w:lineRule="auto"/>
        <w:jc w:val="both"/>
        <w:rPr>
          <w:rFonts w:ascii="Arial" w:eastAsia="Calibri" w:hAnsi="Arial" w:cs="Arial"/>
        </w:rPr>
      </w:pPr>
      <w:r>
        <w:rPr>
          <w:rFonts w:ascii="Arial" w:eastAsia="Calibri" w:hAnsi="Arial" w:cs="Arial"/>
          <w:u w:val="single"/>
        </w:rPr>
        <w:t>Regarding</w:t>
      </w:r>
      <w:r w:rsidR="00605527" w:rsidRPr="00605527">
        <w:rPr>
          <w:rFonts w:ascii="Arial" w:eastAsia="Calibri" w:hAnsi="Arial" w:cs="Arial"/>
          <w:u w:val="single"/>
        </w:rPr>
        <w:t xml:space="preserve"> article 5</w:t>
      </w:r>
      <w:r>
        <w:rPr>
          <w:rFonts w:ascii="Arial" w:eastAsia="Calibri" w:hAnsi="Arial" w:cs="Arial"/>
        </w:rPr>
        <w:t>, the</w:t>
      </w:r>
      <w:r w:rsidR="00605527" w:rsidRPr="00605527">
        <w:rPr>
          <w:rFonts w:ascii="Arial" w:eastAsia="Calibri" w:hAnsi="Arial" w:cs="Arial"/>
        </w:rPr>
        <w:t xml:space="preserve"> </w:t>
      </w:r>
      <w:r w:rsidR="009E1C5F">
        <w:rPr>
          <w:rFonts w:ascii="Arial" w:eastAsia="Calibri" w:hAnsi="Arial" w:cs="Arial"/>
        </w:rPr>
        <w:t xml:space="preserve">Committee </w:t>
      </w:r>
      <w:r w:rsidR="00124BE1">
        <w:rPr>
          <w:rFonts w:ascii="Arial" w:eastAsia="Calibri" w:hAnsi="Arial" w:cs="Arial"/>
        </w:rPr>
        <w:t>notes that State</w:t>
      </w:r>
      <w:r w:rsidR="00605527" w:rsidRPr="00605527">
        <w:rPr>
          <w:rFonts w:ascii="Arial" w:eastAsia="Calibri" w:hAnsi="Arial" w:cs="Arial"/>
        </w:rPr>
        <w:t xml:space="preserve">’s authorities have note taken the necessary measures to ensure an effective, complete, and impartial investigation and </w:t>
      </w:r>
      <w:r w:rsidR="00124BE1">
        <w:rPr>
          <w:rFonts w:ascii="Arial" w:eastAsia="Calibri" w:hAnsi="Arial" w:cs="Arial"/>
        </w:rPr>
        <w:t>prosecution of the perpetrators</w:t>
      </w:r>
      <w:r w:rsidR="00605527" w:rsidRPr="00605527">
        <w:rPr>
          <w:rFonts w:ascii="Arial" w:eastAsia="Calibri" w:hAnsi="Arial" w:cs="Arial"/>
        </w:rPr>
        <w:t xml:space="preserve"> and that no preventive or protective measures have been implemented.</w:t>
      </w:r>
      <w:r>
        <w:rPr>
          <w:rFonts w:ascii="Arial" w:eastAsia="Calibri" w:hAnsi="Arial" w:cs="Arial"/>
        </w:rPr>
        <w:t xml:space="preserve"> </w:t>
      </w:r>
      <w:r w:rsidR="009E1C5F" w:rsidRPr="009B2C2F">
        <w:rPr>
          <w:rFonts w:ascii="Arial" w:eastAsia="Calibri" w:hAnsi="Arial" w:cs="Arial"/>
          <w:u w:val="single"/>
        </w:rPr>
        <w:t>U</w:t>
      </w:r>
      <w:r w:rsidR="00605527" w:rsidRPr="009B2C2F">
        <w:rPr>
          <w:rFonts w:ascii="Arial" w:eastAsia="Calibri" w:hAnsi="Arial" w:cs="Arial"/>
          <w:u w:val="single"/>
        </w:rPr>
        <w:t>nder article 5(1) and (2)</w:t>
      </w:r>
      <w:r w:rsidR="00605527" w:rsidRPr="00605527">
        <w:rPr>
          <w:rFonts w:ascii="Arial" w:eastAsia="Calibri" w:hAnsi="Arial" w:cs="Arial"/>
        </w:rPr>
        <w:t>, States parties must ensure that all persons are equal before and under the law and are entitled without any discrimination to the equal protecti</w:t>
      </w:r>
      <w:r w:rsidR="00124BE1">
        <w:rPr>
          <w:rFonts w:ascii="Arial" w:eastAsia="Calibri" w:hAnsi="Arial" w:cs="Arial"/>
        </w:rPr>
        <w:t>on and equal benefit of the law</w:t>
      </w:r>
      <w:r w:rsidR="00605527" w:rsidRPr="00605527">
        <w:rPr>
          <w:rFonts w:ascii="Arial" w:eastAsia="Calibri" w:hAnsi="Arial" w:cs="Arial"/>
        </w:rPr>
        <w:t xml:space="preserve">. The Committee considers that the State may not avoid its responsibilities under the Convention for the mere fact that some </w:t>
      </w:r>
      <w:r w:rsidR="00605527">
        <w:rPr>
          <w:rFonts w:ascii="Arial" w:eastAsia="Calibri" w:hAnsi="Arial" w:cs="Arial"/>
        </w:rPr>
        <w:t xml:space="preserve">of its authorities </w:t>
      </w:r>
      <w:r w:rsidR="00605527" w:rsidRPr="00605527">
        <w:rPr>
          <w:rFonts w:ascii="Arial" w:eastAsia="Calibri" w:hAnsi="Arial" w:cs="Arial"/>
        </w:rPr>
        <w:t>have already dealt or are still dealing with the matter, while it is clear that the remedies pending in the State party have been unduly prolonged and w</w:t>
      </w:r>
      <w:r w:rsidR="00605527">
        <w:rPr>
          <w:rFonts w:ascii="Arial" w:eastAsia="Calibri" w:hAnsi="Arial" w:cs="Arial"/>
        </w:rPr>
        <w:t>ould appear to be ineffective.</w:t>
      </w:r>
      <w:r w:rsidR="00605527" w:rsidRPr="00605527">
        <w:rPr>
          <w:rFonts w:ascii="Arial" w:eastAsia="Calibri" w:hAnsi="Arial" w:cs="Arial"/>
        </w:rPr>
        <w:t xml:space="preserve"> It further considers that the failure to prevent and punish such acts resulted in a situation putting him and other persons with albinism in a situat</w:t>
      </w:r>
      <w:r>
        <w:rPr>
          <w:rFonts w:ascii="Arial" w:eastAsia="Calibri" w:hAnsi="Arial" w:cs="Arial"/>
        </w:rPr>
        <w:t>ion of particular vulnerability</w:t>
      </w:r>
      <w:r w:rsidR="00605527" w:rsidRPr="00605527">
        <w:rPr>
          <w:rFonts w:ascii="Arial" w:eastAsia="Calibri" w:hAnsi="Arial" w:cs="Arial"/>
        </w:rPr>
        <w:t xml:space="preserve"> and preventing them from living in society on an equal basis with others.</w:t>
      </w:r>
      <w:r w:rsidR="00605527">
        <w:rPr>
          <w:rFonts w:ascii="Arial" w:eastAsia="Calibri" w:hAnsi="Arial" w:cs="Arial"/>
        </w:rPr>
        <w:t xml:space="preserve"> </w:t>
      </w:r>
      <w:r w:rsidR="00605527" w:rsidRPr="009E1C5F">
        <w:rPr>
          <w:rFonts w:ascii="Arial" w:eastAsia="Calibri" w:hAnsi="Arial" w:cs="Arial"/>
          <w:u w:val="single"/>
        </w:rPr>
        <w:t>The Committee considers that the author has been a victim of a form of violence that exclusively targets persons with albinism</w:t>
      </w:r>
      <w:r w:rsidR="00605527" w:rsidRPr="00605527">
        <w:rPr>
          <w:rFonts w:ascii="Arial" w:eastAsia="Calibri" w:hAnsi="Arial" w:cs="Arial"/>
        </w:rPr>
        <w:t xml:space="preserve">. </w:t>
      </w:r>
      <w:r w:rsidR="00605527" w:rsidRPr="00605527">
        <w:rPr>
          <w:rFonts w:ascii="Arial" w:eastAsia="Calibri" w:hAnsi="Arial" w:cs="Arial"/>
          <w:u w:val="single"/>
        </w:rPr>
        <w:t>The Committee therefore concludes that the author has been a victim of a direct discrimination based on his disability, in violation of article 5 of the Convention.</w:t>
      </w:r>
    </w:p>
    <w:p w14:paraId="6BCEA0C0" w14:textId="77777777" w:rsidR="00196269" w:rsidRDefault="00196269" w:rsidP="00566D7A">
      <w:pPr>
        <w:autoSpaceDE w:val="0"/>
        <w:autoSpaceDN w:val="0"/>
        <w:adjustRightInd w:val="0"/>
        <w:spacing w:after="0" w:line="240" w:lineRule="auto"/>
        <w:jc w:val="both"/>
        <w:rPr>
          <w:rFonts w:ascii="Arial" w:eastAsia="Calibri" w:hAnsi="Arial" w:cs="Arial"/>
        </w:rPr>
      </w:pPr>
    </w:p>
    <w:p w14:paraId="70F9E234" w14:textId="445AC33C" w:rsidR="00605527" w:rsidRPr="00BC704A" w:rsidRDefault="00196269" w:rsidP="00566D7A">
      <w:pPr>
        <w:autoSpaceDE w:val="0"/>
        <w:autoSpaceDN w:val="0"/>
        <w:adjustRightInd w:val="0"/>
        <w:spacing w:after="0" w:line="240" w:lineRule="auto"/>
        <w:jc w:val="both"/>
        <w:rPr>
          <w:rFonts w:ascii="Arial" w:eastAsia="Calibri" w:hAnsi="Arial" w:cs="Arial"/>
        </w:rPr>
      </w:pPr>
      <w:r w:rsidRPr="00196269">
        <w:rPr>
          <w:rFonts w:ascii="Arial" w:eastAsia="Calibri" w:hAnsi="Arial" w:cs="Arial"/>
          <w:u w:val="single"/>
        </w:rPr>
        <w:t>With regard to article 7,</w:t>
      </w:r>
      <w:r w:rsidR="00124BE1">
        <w:rPr>
          <w:rFonts w:ascii="Arial" w:eastAsia="Calibri" w:hAnsi="Arial" w:cs="Arial"/>
        </w:rPr>
        <w:t xml:space="preserve"> the C</w:t>
      </w:r>
      <w:r>
        <w:rPr>
          <w:rFonts w:ascii="Arial" w:eastAsia="Calibri" w:hAnsi="Arial" w:cs="Arial"/>
        </w:rPr>
        <w:t xml:space="preserve">ommittee </w:t>
      </w:r>
      <w:r w:rsidR="00605527" w:rsidRPr="00BC704A">
        <w:rPr>
          <w:rFonts w:ascii="Arial" w:eastAsia="Calibri" w:hAnsi="Arial" w:cs="Arial"/>
        </w:rPr>
        <w:t>observes that by failing to provide protection to the author, despite the complaint he submitted to the police after the first attack in 2010, and its failure to provide him with the medical assistance and rehabilitation he needed after the second attack he suffered because of his disability in 2011, the State breached its obligations under article 7 of the Convention.</w:t>
      </w:r>
    </w:p>
    <w:p w14:paraId="3D67D9DB" w14:textId="77777777" w:rsidR="00196269" w:rsidRDefault="00196269" w:rsidP="00566D7A">
      <w:pPr>
        <w:autoSpaceDE w:val="0"/>
        <w:autoSpaceDN w:val="0"/>
        <w:adjustRightInd w:val="0"/>
        <w:spacing w:after="0" w:line="240" w:lineRule="auto"/>
        <w:jc w:val="both"/>
        <w:rPr>
          <w:rFonts w:ascii="Arial" w:eastAsia="Calibri" w:hAnsi="Arial" w:cs="Arial"/>
          <w:u w:val="single"/>
        </w:rPr>
      </w:pPr>
    </w:p>
    <w:p w14:paraId="541D6EDD" w14:textId="7447FC0D" w:rsidR="00196269" w:rsidRPr="00196269" w:rsidRDefault="00196269" w:rsidP="00566D7A">
      <w:pPr>
        <w:autoSpaceDE w:val="0"/>
        <w:autoSpaceDN w:val="0"/>
        <w:adjustRightInd w:val="0"/>
        <w:spacing w:after="0" w:line="240" w:lineRule="auto"/>
        <w:jc w:val="both"/>
        <w:rPr>
          <w:rFonts w:ascii="Arial" w:eastAsia="Calibri" w:hAnsi="Arial" w:cs="Arial"/>
        </w:rPr>
      </w:pPr>
      <w:r w:rsidRPr="00196269">
        <w:rPr>
          <w:rFonts w:ascii="Arial" w:eastAsia="Calibri" w:hAnsi="Arial" w:cs="Arial"/>
          <w:u w:val="single"/>
        </w:rPr>
        <w:t>Regarding article 8</w:t>
      </w:r>
      <w:r w:rsidRPr="00196269">
        <w:rPr>
          <w:rFonts w:ascii="Arial" w:eastAsia="Calibri" w:hAnsi="Arial" w:cs="Arial"/>
        </w:rPr>
        <w:t xml:space="preserve">, the Committee </w:t>
      </w:r>
      <w:r w:rsidR="008B2000" w:rsidRPr="008B2000">
        <w:rPr>
          <w:rFonts w:ascii="Arial" w:eastAsia="Calibri" w:hAnsi="Arial" w:cs="Arial"/>
        </w:rPr>
        <w:t>observes that the State</w:t>
      </w:r>
      <w:r w:rsidRPr="008B2000">
        <w:rPr>
          <w:rFonts w:ascii="Arial" w:eastAsia="Calibri" w:hAnsi="Arial" w:cs="Arial"/>
        </w:rPr>
        <w:t>’s inactivity and passivity amounted to an implicit acceptance of the perpetuation of the heinous crimes committed in its jurisdiction against persons with albinism and considers that it amounted to a violation of article 8 of the Convention.</w:t>
      </w:r>
    </w:p>
    <w:p w14:paraId="0832F8FE" w14:textId="77777777" w:rsidR="00196269" w:rsidRDefault="00196269" w:rsidP="00566D7A">
      <w:pPr>
        <w:autoSpaceDE w:val="0"/>
        <w:autoSpaceDN w:val="0"/>
        <w:adjustRightInd w:val="0"/>
        <w:spacing w:after="0" w:line="240" w:lineRule="auto"/>
        <w:jc w:val="both"/>
        <w:rPr>
          <w:rFonts w:ascii="Arial" w:eastAsia="Calibri" w:hAnsi="Arial" w:cs="Arial"/>
        </w:rPr>
      </w:pPr>
    </w:p>
    <w:p w14:paraId="1F611E26" w14:textId="074D5CBE" w:rsidR="00196269" w:rsidRPr="00921808" w:rsidRDefault="00196269" w:rsidP="00566D7A">
      <w:pPr>
        <w:autoSpaceDE w:val="0"/>
        <w:autoSpaceDN w:val="0"/>
        <w:adjustRightInd w:val="0"/>
        <w:spacing w:after="0" w:line="240" w:lineRule="auto"/>
        <w:jc w:val="both"/>
        <w:rPr>
          <w:rFonts w:ascii="Arial" w:eastAsia="Calibri" w:hAnsi="Arial" w:cs="Arial"/>
        </w:rPr>
      </w:pPr>
      <w:r w:rsidRPr="00196269">
        <w:rPr>
          <w:rFonts w:ascii="Arial" w:eastAsia="Calibri" w:hAnsi="Arial" w:cs="Arial"/>
          <w:u w:val="single"/>
        </w:rPr>
        <w:t>As regards of articles 15 and 16</w:t>
      </w:r>
      <w:r>
        <w:rPr>
          <w:rFonts w:ascii="Arial" w:eastAsia="Calibri" w:hAnsi="Arial" w:cs="Arial"/>
        </w:rPr>
        <w:t>,</w:t>
      </w:r>
      <w:r w:rsidRPr="00196269">
        <w:rPr>
          <w:rFonts w:ascii="Arial" w:eastAsia="Calibri" w:hAnsi="Arial" w:cs="Arial"/>
        </w:rPr>
        <w:t xml:space="preserve"> the Committee recalls that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w:t>
      </w:r>
      <w:r>
        <w:rPr>
          <w:rFonts w:ascii="Arial" w:eastAsia="Calibri" w:hAnsi="Arial" w:cs="Arial"/>
        </w:rPr>
        <w:t>ting in an official capacity.</w:t>
      </w:r>
      <w:r w:rsidRPr="00196269">
        <w:rPr>
          <w:rFonts w:ascii="Arial" w:eastAsia="Calibri" w:hAnsi="Arial" w:cs="Arial"/>
        </w:rPr>
        <w:t xml:space="preserve"> It further recalls that the violent acts suffered by the author were perpetrated by private individuals and that, as such, they do not constitute acts of torture. Nonetheless</w:t>
      </w:r>
      <w:r w:rsidR="009E1C5F">
        <w:rPr>
          <w:rFonts w:ascii="Arial" w:eastAsia="Calibri" w:hAnsi="Arial" w:cs="Arial"/>
        </w:rPr>
        <w:t xml:space="preserve">, the Committee </w:t>
      </w:r>
      <w:r w:rsidRPr="009E1C5F">
        <w:rPr>
          <w:rFonts w:ascii="Arial" w:eastAsia="Calibri" w:hAnsi="Arial" w:cs="Arial"/>
        </w:rPr>
        <w:t>recalls that States</w:t>
      </w:r>
      <w:r w:rsidR="001C2EA9">
        <w:rPr>
          <w:rFonts w:ascii="Arial" w:eastAsia="Calibri" w:hAnsi="Arial" w:cs="Arial"/>
        </w:rPr>
        <w:t>’</w:t>
      </w:r>
      <w:r w:rsidRPr="009E1C5F">
        <w:rPr>
          <w:rFonts w:ascii="Arial" w:eastAsia="Calibri" w:hAnsi="Arial" w:cs="Arial"/>
        </w:rPr>
        <w:t xml:space="preserve"> obligation to prevent and punish torture and inhuman and degrading treatment violations applies to acts committed by both State and non-State actors.</w:t>
      </w:r>
      <w:r w:rsidRPr="00196269">
        <w:rPr>
          <w:rFonts w:ascii="Arial" w:eastAsia="Calibri" w:hAnsi="Arial" w:cs="Arial"/>
        </w:rPr>
        <w:t xml:space="preserve"> The Committee </w:t>
      </w:r>
      <w:r w:rsidR="001C2EA9">
        <w:rPr>
          <w:rFonts w:ascii="Arial" w:eastAsia="Calibri" w:hAnsi="Arial" w:cs="Arial"/>
        </w:rPr>
        <w:t>adds</w:t>
      </w:r>
      <w:r w:rsidRPr="00196269">
        <w:rPr>
          <w:rFonts w:ascii="Arial" w:eastAsia="Calibri" w:hAnsi="Arial" w:cs="Arial"/>
        </w:rPr>
        <w:t xml:space="preserve"> that </w:t>
      </w:r>
      <w:r w:rsidRPr="00196269">
        <w:rPr>
          <w:rFonts w:ascii="Arial" w:eastAsia="Calibri" w:hAnsi="Arial" w:cs="Arial"/>
          <w:u w:val="single"/>
        </w:rPr>
        <w:t xml:space="preserve">the suffering experienced by the author owing to the lack of action by the State that would allow the effective prosecution of the suspected authors of the crime, becomes a cause of re-victimization, and amounts to psychological torture and/or ill-treatment. </w:t>
      </w:r>
      <w:r w:rsidR="009E1C5F">
        <w:rPr>
          <w:rFonts w:ascii="Arial" w:eastAsia="Calibri" w:hAnsi="Arial" w:cs="Arial"/>
          <w:u w:val="single"/>
        </w:rPr>
        <w:t>Hence</w:t>
      </w:r>
      <w:r w:rsidRPr="00196269">
        <w:rPr>
          <w:rFonts w:ascii="Arial" w:eastAsia="Calibri" w:hAnsi="Arial" w:cs="Arial"/>
          <w:u w:val="single"/>
        </w:rPr>
        <w:t>, t</w:t>
      </w:r>
      <w:r w:rsidR="001C2EA9">
        <w:rPr>
          <w:rFonts w:ascii="Arial" w:eastAsia="Calibri" w:hAnsi="Arial" w:cs="Arial"/>
          <w:u w:val="single"/>
        </w:rPr>
        <w:t xml:space="preserve">he Committee finds that, in </w:t>
      </w:r>
      <w:r w:rsidRPr="00196269">
        <w:rPr>
          <w:rFonts w:ascii="Arial" w:eastAsia="Calibri" w:hAnsi="Arial" w:cs="Arial"/>
          <w:u w:val="single"/>
        </w:rPr>
        <w:t>the case, the State has violated articles 15 of the Convention.</w:t>
      </w:r>
    </w:p>
    <w:p w14:paraId="6BCE4FA0" w14:textId="77777777" w:rsidR="00196269" w:rsidRDefault="00196269" w:rsidP="00566D7A">
      <w:pPr>
        <w:autoSpaceDE w:val="0"/>
        <w:autoSpaceDN w:val="0"/>
        <w:adjustRightInd w:val="0"/>
        <w:spacing w:after="0" w:line="240" w:lineRule="auto"/>
        <w:jc w:val="both"/>
        <w:rPr>
          <w:rFonts w:ascii="Arial" w:eastAsia="Calibri" w:hAnsi="Arial" w:cs="Arial"/>
          <w:u w:val="single"/>
        </w:rPr>
      </w:pPr>
    </w:p>
    <w:p w14:paraId="64D19353" w14:textId="1EDF3FC8" w:rsidR="00196269" w:rsidRDefault="001C2EA9" w:rsidP="00566D7A">
      <w:pPr>
        <w:autoSpaceDE w:val="0"/>
        <w:autoSpaceDN w:val="0"/>
        <w:adjustRightInd w:val="0"/>
        <w:spacing w:after="0" w:line="240" w:lineRule="auto"/>
        <w:jc w:val="both"/>
        <w:rPr>
          <w:rFonts w:ascii="Arial" w:eastAsia="Calibri" w:hAnsi="Arial" w:cs="Arial"/>
        </w:rPr>
      </w:pPr>
      <w:r>
        <w:rPr>
          <w:rFonts w:ascii="Arial" w:eastAsia="Calibri" w:hAnsi="Arial" w:cs="Arial"/>
          <w:u w:val="single"/>
        </w:rPr>
        <w:lastRenderedPageBreak/>
        <w:t>Regarding</w:t>
      </w:r>
      <w:r w:rsidR="00196269" w:rsidRPr="009E1C5F">
        <w:rPr>
          <w:rFonts w:ascii="Arial" w:eastAsia="Calibri" w:hAnsi="Arial" w:cs="Arial"/>
          <w:u w:val="single"/>
        </w:rPr>
        <w:t xml:space="preserve"> </w:t>
      </w:r>
      <w:r w:rsidR="00196269" w:rsidRPr="00196269">
        <w:rPr>
          <w:rFonts w:ascii="Arial" w:eastAsia="Calibri" w:hAnsi="Arial" w:cs="Arial"/>
          <w:u w:val="single"/>
        </w:rPr>
        <w:t>article 16 paragraph 4</w:t>
      </w:r>
      <w:r w:rsidR="00196269">
        <w:rPr>
          <w:rFonts w:ascii="Arial" w:eastAsia="Calibri" w:hAnsi="Arial" w:cs="Arial"/>
        </w:rPr>
        <w:t xml:space="preserve">, </w:t>
      </w:r>
      <w:r w:rsidRPr="001C2EA9">
        <w:rPr>
          <w:rFonts w:ascii="Arial" w:eastAsia="Calibri" w:hAnsi="Arial" w:cs="Arial"/>
        </w:rPr>
        <w:t>t</w:t>
      </w:r>
      <w:r w:rsidR="00196269" w:rsidRPr="001C2EA9">
        <w:rPr>
          <w:rFonts w:ascii="Arial" w:eastAsia="Calibri" w:hAnsi="Arial" w:cs="Arial"/>
        </w:rPr>
        <w:t>he Committee observes that even though, at the time of the attack, the author was a twelve-year-old child abandoned by his family, the State failed to provide him with any kind of medical care and assistance for his rehabilitation. The Committee thus finds that the State has violated the author’s rights under article 15 and 16 of the Convention.</w:t>
      </w:r>
    </w:p>
    <w:p w14:paraId="570DCE10" w14:textId="77777777" w:rsidR="00196269" w:rsidRPr="00196269" w:rsidRDefault="00196269" w:rsidP="00566D7A">
      <w:pPr>
        <w:autoSpaceDE w:val="0"/>
        <w:autoSpaceDN w:val="0"/>
        <w:adjustRightInd w:val="0"/>
        <w:spacing w:after="0" w:line="240" w:lineRule="auto"/>
        <w:jc w:val="both"/>
        <w:rPr>
          <w:rFonts w:ascii="Arial" w:eastAsia="Calibri" w:hAnsi="Arial" w:cs="Arial"/>
        </w:rPr>
      </w:pPr>
    </w:p>
    <w:p w14:paraId="47A71FC4" w14:textId="75E67506" w:rsidR="00196269" w:rsidRPr="00196269" w:rsidRDefault="00196269" w:rsidP="00566D7A">
      <w:pPr>
        <w:autoSpaceDE w:val="0"/>
        <w:autoSpaceDN w:val="0"/>
        <w:adjustRightInd w:val="0"/>
        <w:spacing w:after="0" w:line="240" w:lineRule="auto"/>
        <w:jc w:val="both"/>
        <w:rPr>
          <w:rFonts w:ascii="Arial" w:eastAsia="Calibri" w:hAnsi="Arial" w:cs="Arial"/>
        </w:rPr>
      </w:pPr>
      <w:r w:rsidRPr="009E1C5F">
        <w:rPr>
          <w:rFonts w:ascii="Arial" w:eastAsia="Calibri" w:hAnsi="Arial" w:cs="Arial"/>
          <w:u w:val="single"/>
        </w:rPr>
        <w:t>With regard to article 17</w:t>
      </w:r>
      <w:r w:rsidRPr="00196269">
        <w:rPr>
          <w:rFonts w:ascii="Arial" w:eastAsia="Calibri" w:hAnsi="Arial" w:cs="Arial"/>
        </w:rPr>
        <w:t>, the Committee recalls that “every person with disabilities has a right to respect for his or her physical and mental integrity on an equal basis with others</w:t>
      </w:r>
      <w:r w:rsidR="001C2EA9">
        <w:rPr>
          <w:rFonts w:ascii="Arial" w:eastAsia="Calibri" w:hAnsi="Arial" w:cs="Arial"/>
        </w:rPr>
        <w:t xml:space="preserve">.” </w:t>
      </w:r>
      <w:r w:rsidRPr="00196269">
        <w:rPr>
          <w:rFonts w:ascii="Arial" w:eastAsia="Calibri" w:hAnsi="Arial" w:cs="Arial"/>
        </w:rPr>
        <w:t>The violent acts suffered by the author clearly fall within the category of acts that result in a violation of physical and mental integrity since the current practice in the State consists in hunting persons with albinism to savagely cut off some of their body parts, denying them their physical integrity and condition as human being</w:t>
      </w:r>
      <w:r w:rsidR="001C2EA9">
        <w:rPr>
          <w:rFonts w:ascii="Arial" w:eastAsia="Calibri" w:hAnsi="Arial" w:cs="Arial"/>
        </w:rPr>
        <w:t>s. T</w:t>
      </w:r>
      <w:r w:rsidRPr="00196269">
        <w:rPr>
          <w:rFonts w:ascii="Arial" w:eastAsia="Calibri" w:hAnsi="Arial" w:cs="Arial"/>
        </w:rPr>
        <w:t>he State party did not take any measures to prevent the acts suffered by the author, it failed to prosecute the perpetrators of those acts and did not take any measures to provide author with rehabilitation nor support for his reintegration in society. So far, crimes committed against the author remain with</w:t>
      </w:r>
      <w:r w:rsidR="009E1C5F">
        <w:rPr>
          <w:rFonts w:ascii="Arial" w:eastAsia="Calibri" w:hAnsi="Arial" w:cs="Arial"/>
        </w:rPr>
        <w:t xml:space="preserve"> impunity. The Committee</w:t>
      </w:r>
      <w:r w:rsidRPr="00196269">
        <w:rPr>
          <w:rFonts w:ascii="Arial" w:eastAsia="Calibri" w:hAnsi="Arial" w:cs="Arial"/>
        </w:rPr>
        <w:t xml:space="preserve"> observes that the author has not been provided with any support from State party’s authorities to enable him to live independently again after the loss of his left arm and right hand</w:t>
      </w:r>
      <w:r>
        <w:rPr>
          <w:rFonts w:ascii="Arial" w:eastAsia="Calibri" w:hAnsi="Arial" w:cs="Arial"/>
        </w:rPr>
        <w:t>.</w:t>
      </w:r>
      <w:r w:rsidRPr="00196269">
        <w:rPr>
          <w:rFonts w:ascii="Arial" w:eastAsia="Calibri" w:hAnsi="Arial" w:cs="Arial"/>
        </w:rPr>
        <w:t xml:space="preserve"> Consequently</w:t>
      </w:r>
      <w:r w:rsidRPr="00196269">
        <w:rPr>
          <w:rFonts w:ascii="Arial" w:eastAsia="Calibri" w:hAnsi="Arial" w:cs="Arial"/>
          <w:u w:val="single"/>
        </w:rPr>
        <w:t>, the Committee considers that the failure by the State party to take all necessary measures to prevent acts of violence similar to those suffered by the author and to efficiently investigate and punish the perpetrators of these acts in the author’s case amount to a violation of his rights under article 17, read in conjunction with article 4 of the Convention.</w:t>
      </w:r>
    </w:p>
    <w:p w14:paraId="717A87E1" w14:textId="77777777" w:rsidR="00196269" w:rsidRDefault="00196269" w:rsidP="00566D7A">
      <w:pPr>
        <w:autoSpaceDE w:val="0"/>
        <w:autoSpaceDN w:val="0"/>
        <w:adjustRightInd w:val="0"/>
        <w:spacing w:after="0" w:line="240" w:lineRule="auto"/>
        <w:jc w:val="both"/>
        <w:rPr>
          <w:rFonts w:ascii="Arial" w:eastAsia="Calibri" w:hAnsi="Arial" w:cs="Arial"/>
        </w:rPr>
      </w:pPr>
    </w:p>
    <w:p w14:paraId="04BBAF3D" w14:textId="25246343" w:rsidR="00196269" w:rsidRDefault="00196269" w:rsidP="00566D7A">
      <w:pPr>
        <w:autoSpaceDE w:val="0"/>
        <w:autoSpaceDN w:val="0"/>
        <w:adjustRightInd w:val="0"/>
        <w:spacing w:after="0" w:line="240" w:lineRule="auto"/>
        <w:jc w:val="both"/>
        <w:rPr>
          <w:rFonts w:ascii="Arial" w:eastAsia="Calibri" w:hAnsi="Arial" w:cs="Arial"/>
        </w:rPr>
      </w:pPr>
      <w:r w:rsidRPr="009E1C5F">
        <w:rPr>
          <w:rFonts w:ascii="Arial" w:eastAsia="Calibri" w:hAnsi="Arial" w:cs="Arial"/>
          <w:u w:val="single"/>
        </w:rPr>
        <w:t>With regard to</w:t>
      </w:r>
      <w:r w:rsidR="00237F08" w:rsidRPr="009E1C5F">
        <w:rPr>
          <w:rFonts w:ascii="Arial" w:eastAsia="Calibri" w:hAnsi="Arial" w:cs="Arial"/>
          <w:u w:val="single"/>
        </w:rPr>
        <w:t xml:space="preserve"> article 24</w:t>
      </w:r>
      <w:r w:rsidR="00237F08">
        <w:rPr>
          <w:rFonts w:ascii="Arial" w:eastAsia="Calibri" w:hAnsi="Arial" w:cs="Arial"/>
        </w:rPr>
        <w:t xml:space="preserve">, </w:t>
      </w:r>
      <w:r w:rsidR="00237F08" w:rsidRPr="001C2EA9">
        <w:rPr>
          <w:rFonts w:ascii="Arial" w:eastAsia="Calibri" w:hAnsi="Arial" w:cs="Arial"/>
        </w:rPr>
        <w:t xml:space="preserve">the Committee </w:t>
      </w:r>
      <w:r w:rsidRPr="001C2EA9">
        <w:rPr>
          <w:rFonts w:ascii="Arial" w:eastAsia="Calibri" w:hAnsi="Arial" w:cs="Arial"/>
        </w:rPr>
        <w:t>observes that the State party did not provide the author with any assistance and did not adopt any form of reasonable accommodation to enable him to go to school, and that as a result, he was deprived of his right to education</w:t>
      </w:r>
      <w:r w:rsidR="00237F08" w:rsidRPr="001C2EA9">
        <w:rPr>
          <w:rFonts w:ascii="Arial" w:eastAsia="Calibri" w:hAnsi="Arial" w:cs="Arial"/>
        </w:rPr>
        <w:t>.</w:t>
      </w:r>
      <w:r w:rsidRPr="001C2EA9">
        <w:rPr>
          <w:rFonts w:ascii="Arial" w:eastAsia="Calibri" w:hAnsi="Arial" w:cs="Arial"/>
        </w:rPr>
        <w:t xml:space="preserve"> Hence</w:t>
      </w:r>
      <w:r w:rsidR="00237F08" w:rsidRPr="001C2EA9">
        <w:rPr>
          <w:rFonts w:ascii="Arial" w:eastAsia="Calibri" w:hAnsi="Arial" w:cs="Arial"/>
        </w:rPr>
        <w:t>, the Committee finds that</w:t>
      </w:r>
      <w:r w:rsidRPr="001C2EA9">
        <w:rPr>
          <w:rFonts w:ascii="Arial" w:eastAsia="Calibri" w:hAnsi="Arial" w:cs="Arial"/>
        </w:rPr>
        <w:t>, the State party has violated the author’s rights under articl</w:t>
      </w:r>
      <w:r w:rsidR="00237F08" w:rsidRPr="001C2EA9">
        <w:rPr>
          <w:rFonts w:ascii="Arial" w:eastAsia="Calibri" w:hAnsi="Arial" w:cs="Arial"/>
        </w:rPr>
        <w:t>e 24 paragraph 2 (b) and (c).</w:t>
      </w:r>
      <w:r w:rsidR="00237F08" w:rsidRPr="009E1C5F">
        <w:rPr>
          <w:rFonts w:ascii="Arial" w:eastAsia="Calibri" w:hAnsi="Arial" w:cs="Arial"/>
          <w:u w:val="single"/>
        </w:rPr>
        <w:t xml:space="preserve"> </w:t>
      </w:r>
    </w:p>
    <w:p w14:paraId="2F3E6B3D" w14:textId="77777777" w:rsidR="00237F08" w:rsidRDefault="00237F08" w:rsidP="00566D7A">
      <w:pPr>
        <w:autoSpaceDE w:val="0"/>
        <w:autoSpaceDN w:val="0"/>
        <w:adjustRightInd w:val="0"/>
        <w:spacing w:after="0" w:line="240" w:lineRule="auto"/>
        <w:jc w:val="both"/>
        <w:rPr>
          <w:rFonts w:ascii="Arial" w:eastAsia="Calibri" w:hAnsi="Arial" w:cs="Arial"/>
          <w:u w:val="single"/>
        </w:rPr>
      </w:pPr>
    </w:p>
    <w:p w14:paraId="08A4BFDB" w14:textId="77777777" w:rsidR="00237F08" w:rsidRPr="00237F08" w:rsidRDefault="00237F08" w:rsidP="00566D7A">
      <w:pPr>
        <w:autoSpaceDE w:val="0"/>
        <w:autoSpaceDN w:val="0"/>
        <w:adjustRightInd w:val="0"/>
        <w:spacing w:after="0" w:line="240" w:lineRule="auto"/>
        <w:jc w:val="both"/>
        <w:rPr>
          <w:rFonts w:ascii="Arial" w:eastAsia="Calibri" w:hAnsi="Arial" w:cs="Arial"/>
          <w:b/>
          <w:sz w:val="24"/>
          <w:u w:val="single"/>
        </w:rPr>
      </w:pPr>
      <w:r w:rsidRPr="00237F08">
        <w:rPr>
          <w:rFonts w:ascii="Arial" w:eastAsia="Calibri" w:hAnsi="Arial" w:cs="Arial"/>
          <w:b/>
          <w:sz w:val="24"/>
          <w:u w:val="single"/>
        </w:rPr>
        <w:t>Conclusion and recommendations</w:t>
      </w:r>
    </w:p>
    <w:p w14:paraId="3360ECFB" w14:textId="77777777" w:rsidR="00237F08" w:rsidRDefault="00566D7A" w:rsidP="00566D7A">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The </w:t>
      </w:r>
      <w:r w:rsidR="00237F08" w:rsidRPr="00237F08">
        <w:rPr>
          <w:rFonts w:ascii="Arial" w:eastAsia="Calibri" w:hAnsi="Arial" w:cs="Arial"/>
        </w:rPr>
        <w:t xml:space="preserve">Committee, acting under article 5 of the </w:t>
      </w:r>
      <w:r>
        <w:rPr>
          <w:rFonts w:ascii="Arial" w:eastAsia="Calibri" w:hAnsi="Arial" w:cs="Arial"/>
        </w:rPr>
        <w:t>OP</w:t>
      </w:r>
      <w:r w:rsidR="00237F08" w:rsidRPr="00237F08">
        <w:rPr>
          <w:rFonts w:ascii="Arial" w:eastAsia="Calibri" w:hAnsi="Arial" w:cs="Arial"/>
        </w:rPr>
        <w:t xml:space="preserve">, is of the view </w:t>
      </w:r>
      <w:r w:rsidR="00237F08" w:rsidRPr="00566D7A">
        <w:rPr>
          <w:rFonts w:ascii="Arial" w:eastAsia="Calibri" w:hAnsi="Arial" w:cs="Arial"/>
          <w:u w:val="single"/>
        </w:rPr>
        <w:t>that the State party has failed to fulfil its obligations under articles 5, 7, 8, 15, 16, and 17 read alone and in conjunction with article 4, and 24 of the Convention</w:t>
      </w:r>
      <w:r w:rsidR="00237F08" w:rsidRPr="00237F08">
        <w:rPr>
          <w:rFonts w:ascii="Arial" w:eastAsia="Calibri" w:hAnsi="Arial" w:cs="Arial"/>
        </w:rPr>
        <w:t xml:space="preserve"> and therefore makes the following recommendations to the State party:</w:t>
      </w:r>
    </w:p>
    <w:p w14:paraId="28702A68" w14:textId="77777777" w:rsidR="00566D7A" w:rsidRDefault="00566D7A" w:rsidP="00566D7A">
      <w:pPr>
        <w:autoSpaceDE w:val="0"/>
        <w:autoSpaceDN w:val="0"/>
        <w:adjustRightInd w:val="0"/>
        <w:spacing w:after="0" w:line="240" w:lineRule="auto"/>
        <w:jc w:val="both"/>
        <w:rPr>
          <w:rFonts w:ascii="Arial" w:eastAsia="Calibri" w:hAnsi="Arial" w:cs="Arial"/>
        </w:rPr>
      </w:pPr>
    </w:p>
    <w:p w14:paraId="11707929" w14:textId="7956EC32"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 xml:space="preserve">(a) Concerning the author: </w:t>
      </w:r>
      <w:proofErr w:type="gramStart"/>
      <w:r w:rsidRPr="00237F08">
        <w:rPr>
          <w:rFonts w:ascii="Arial" w:eastAsia="Calibri" w:hAnsi="Arial" w:cs="Arial"/>
        </w:rPr>
        <w:t>the</w:t>
      </w:r>
      <w:proofErr w:type="gramEnd"/>
      <w:r w:rsidRPr="00237F08">
        <w:rPr>
          <w:rFonts w:ascii="Arial" w:eastAsia="Calibri" w:hAnsi="Arial" w:cs="Arial"/>
        </w:rPr>
        <w:t xml:space="preserve"> State is under an obligation:</w:t>
      </w:r>
    </w:p>
    <w:p w14:paraId="41FA60E7" w14:textId="16B02B15"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w:t>
      </w:r>
      <w:proofErr w:type="spellStart"/>
      <w:r w:rsidRPr="00237F08">
        <w:rPr>
          <w:rFonts w:ascii="Arial" w:eastAsia="Calibri" w:hAnsi="Arial" w:cs="Arial"/>
        </w:rPr>
        <w:t>i</w:t>
      </w:r>
      <w:proofErr w:type="spellEnd"/>
      <w:r w:rsidRPr="00237F08">
        <w:rPr>
          <w:rFonts w:ascii="Arial" w:eastAsia="Calibri" w:hAnsi="Arial" w:cs="Arial"/>
        </w:rPr>
        <w:t>) To provide him with an effective remedy, including compensation, redress for the abuses suffered, and the support that is necessary to enable the him to live independently again;</w:t>
      </w:r>
    </w:p>
    <w:p w14:paraId="4EA13279" w14:textId="7F719446"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(ii) To conduct an impartial, speedy and effective investigation into the attack suffered by the author, and to prosecute the perpetrators;</w:t>
      </w:r>
    </w:p>
    <w:p w14:paraId="191A377B" w14:textId="77777777" w:rsidR="00237F08" w:rsidRPr="00237F08"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(iii) To publish the Committee’s Views and circulate them widely in accessible formats so that they are available to all sectors of the population;</w:t>
      </w:r>
    </w:p>
    <w:p w14:paraId="1DCF3643" w14:textId="77777777" w:rsidR="00566D7A" w:rsidRDefault="00566D7A" w:rsidP="00566D7A">
      <w:pPr>
        <w:autoSpaceDE w:val="0"/>
        <w:autoSpaceDN w:val="0"/>
        <w:adjustRightInd w:val="0"/>
        <w:spacing w:after="0" w:line="240" w:lineRule="auto"/>
        <w:jc w:val="both"/>
        <w:rPr>
          <w:rFonts w:ascii="Arial" w:eastAsia="Calibri" w:hAnsi="Arial" w:cs="Arial"/>
        </w:rPr>
      </w:pPr>
    </w:p>
    <w:p w14:paraId="02B54871" w14:textId="435244DB"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 xml:space="preserve">(b) General measures: </w:t>
      </w:r>
      <w:proofErr w:type="gramStart"/>
      <w:r w:rsidRPr="00237F08">
        <w:rPr>
          <w:rFonts w:ascii="Arial" w:eastAsia="Calibri" w:hAnsi="Arial" w:cs="Arial"/>
        </w:rPr>
        <w:t>the</w:t>
      </w:r>
      <w:proofErr w:type="gramEnd"/>
      <w:r w:rsidRPr="00237F08">
        <w:rPr>
          <w:rFonts w:ascii="Arial" w:eastAsia="Calibri" w:hAnsi="Arial" w:cs="Arial"/>
        </w:rPr>
        <w:t xml:space="preserve"> State party is under an obligation to take measures to prevent similar violations in the future. In this regard, the Committee refers to the recommendations of the Independent Expert on the Enjoyment of Human Rights by persons with albinism as contained in her report to the Human Rights Council49 and requires the State party:</w:t>
      </w:r>
    </w:p>
    <w:p w14:paraId="094070CA" w14:textId="4628501D"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w:t>
      </w:r>
      <w:proofErr w:type="spellStart"/>
      <w:r w:rsidRPr="00237F08">
        <w:rPr>
          <w:rFonts w:ascii="Arial" w:eastAsia="Calibri" w:hAnsi="Arial" w:cs="Arial"/>
        </w:rPr>
        <w:t>i</w:t>
      </w:r>
      <w:proofErr w:type="spellEnd"/>
      <w:r w:rsidRPr="00237F08">
        <w:rPr>
          <w:rFonts w:ascii="Arial" w:eastAsia="Calibri" w:hAnsi="Arial" w:cs="Arial"/>
        </w:rPr>
        <w:t>) To review and adapt legal frameworks as needed to ensure that they encompass all aspects of attacks against persons with albinism, including with regard to trafficking of body parts;</w:t>
      </w:r>
    </w:p>
    <w:p w14:paraId="42A7FD29" w14:textId="1396381D"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(ii) To ensure prompt investigation and prosecution of cases of attacks against persons with albinism as well as trafficking of body parts;</w:t>
      </w:r>
    </w:p>
    <w:p w14:paraId="6188E7EF" w14:textId="04F36045" w:rsidR="009E1C5F"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(iii) To ensure that the practice of using body parts for witchcraft-related practices is adequately and unambiguously criminalized in domestic legislation;</w:t>
      </w:r>
    </w:p>
    <w:p w14:paraId="5C369A9B" w14:textId="77777777" w:rsidR="00237F08" w:rsidRPr="00237F08"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 xml:space="preserve">(iv) To develop and </w:t>
      </w:r>
      <w:bookmarkStart w:id="0" w:name="_GoBack"/>
      <w:bookmarkEnd w:id="0"/>
      <w:r w:rsidRPr="00237F08">
        <w:rPr>
          <w:rFonts w:ascii="Arial" w:eastAsia="Calibri" w:hAnsi="Arial" w:cs="Arial"/>
        </w:rPr>
        <w:t>implement long-lasting awareness-raising campaigns based on the human rights model of disability and in compliance with State party’s obligations under article 8 of the Convention, and trainings to address harmful practices and rampant myths affecting the enjoyment of human rights by persons with albinism, as well as on the scope of the Convention and its OP.</w:t>
      </w:r>
    </w:p>
    <w:p w14:paraId="35D623E5" w14:textId="77777777" w:rsidR="00566D7A" w:rsidRDefault="00566D7A" w:rsidP="00566D7A">
      <w:pPr>
        <w:autoSpaceDE w:val="0"/>
        <w:autoSpaceDN w:val="0"/>
        <w:adjustRightInd w:val="0"/>
        <w:spacing w:after="0" w:line="240" w:lineRule="auto"/>
        <w:jc w:val="both"/>
        <w:rPr>
          <w:rFonts w:ascii="Arial" w:eastAsia="Calibri" w:hAnsi="Arial" w:cs="Arial"/>
        </w:rPr>
      </w:pPr>
    </w:p>
    <w:p w14:paraId="732BDE22" w14:textId="77777777" w:rsidR="00237F08" w:rsidRPr="00237F08" w:rsidRDefault="00237F08" w:rsidP="00566D7A">
      <w:pPr>
        <w:autoSpaceDE w:val="0"/>
        <w:autoSpaceDN w:val="0"/>
        <w:adjustRightInd w:val="0"/>
        <w:spacing w:after="0" w:line="240" w:lineRule="auto"/>
        <w:jc w:val="both"/>
        <w:rPr>
          <w:rFonts w:ascii="Arial" w:eastAsia="Calibri" w:hAnsi="Arial" w:cs="Arial"/>
        </w:rPr>
      </w:pPr>
      <w:r w:rsidRPr="00237F08">
        <w:rPr>
          <w:rFonts w:ascii="Arial" w:eastAsia="Calibri" w:hAnsi="Arial" w:cs="Arial"/>
        </w:rPr>
        <w:t>In accordance with a</w:t>
      </w:r>
      <w:r w:rsidR="00566D7A">
        <w:rPr>
          <w:rFonts w:ascii="Arial" w:eastAsia="Calibri" w:hAnsi="Arial" w:cs="Arial"/>
        </w:rPr>
        <w:t>rticle 5 of the OP</w:t>
      </w:r>
      <w:r w:rsidRPr="00237F08">
        <w:rPr>
          <w:rFonts w:ascii="Arial" w:eastAsia="Calibri" w:hAnsi="Arial" w:cs="Arial"/>
        </w:rPr>
        <w:t xml:space="preserve"> and rule 75 of the Committee’s rules of procedure, the State party should submit a written response to the Committee in six months’ time that includes information on any action taken in the light of the present Views and recommendations of the Committee.</w:t>
      </w:r>
    </w:p>
    <w:sectPr w:rsidR="00237F08" w:rsidRPr="00237F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2B32" w14:textId="77777777" w:rsidR="0032385B" w:rsidRDefault="0032385B" w:rsidP="009B0A51">
      <w:pPr>
        <w:spacing w:after="0" w:line="240" w:lineRule="auto"/>
      </w:pPr>
      <w:r>
        <w:separator/>
      </w:r>
    </w:p>
  </w:endnote>
  <w:endnote w:type="continuationSeparator" w:id="0">
    <w:p w14:paraId="7087E2CB" w14:textId="77777777" w:rsidR="0032385B" w:rsidRDefault="0032385B" w:rsidP="009B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00CB" w14:textId="77777777" w:rsidR="0032385B" w:rsidRDefault="0032385B" w:rsidP="009B0A51">
      <w:pPr>
        <w:spacing w:after="0" w:line="240" w:lineRule="auto"/>
      </w:pPr>
      <w:r>
        <w:separator/>
      </w:r>
    </w:p>
  </w:footnote>
  <w:footnote w:type="continuationSeparator" w:id="0">
    <w:p w14:paraId="094F30A0" w14:textId="77777777" w:rsidR="0032385B" w:rsidRDefault="0032385B" w:rsidP="009B0A51">
      <w:pPr>
        <w:spacing w:after="0" w:line="240" w:lineRule="auto"/>
      </w:pPr>
      <w:r>
        <w:continuationSeparator/>
      </w:r>
    </w:p>
  </w:footnote>
  <w:footnote w:id="1">
    <w:p w14:paraId="76AE4AD9" w14:textId="77777777" w:rsidR="009B0A51" w:rsidRPr="00E86808" w:rsidRDefault="009B0A51" w:rsidP="009B0A51">
      <w:pPr>
        <w:spacing w:after="0"/>
        <w:jc w:val="both"/>
        <w:rPr>
          <w:sz w:val="20"/>
          <w:szCs w:val="20"/>
        </w:rPr>
      </w:pPr>
      <w:r w:rsidRPr="00E86808">
        <w:rPr>
          <w:rStyle w:val="FootnoteReference"/>
          <w:sz w:val="20"/>
          <w:szCs w:val="20"/>
        </w:rPr>
        <w:footnoteRef/>
      </w:r>
      <w:r w:rsidRPr="00E86808">
        <w:rPr>
          <w:rFonts w:ascii="Arial" w:hAnsi="Arial"/>
          <w:sz w:val="20"/>
          <w:szCs w:val="20"/>
          <w:lang w:val="en-US"/>
        </w:rPr>
        <w:t xml:space="preserve"> </w:t>
      </w:r>
      <w:r w:rsidRPr="00E86808">
        <w:rPr>
          <w:rFonts w:ascii="Arial" w:hAnsi="Arial"/>
          <w:sz w:val="20"/>
          <w:szCs w:val="20"/>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E86808">
          <w:rPr>
            <w:rStyle w:val="Hyperlink"/>
            <w:rFonts w:ascii="Arial" w:hAnsi="Arial"/>
            <w:sz w:val="20"/>
            <w:szCs w:val="20"/>
          </w:rPr>
          <w:t xml:space="preserve">IDA’s disability rights litigation website. </w:t>
        </w:r>
      </w:hyperlink>
    </w:p>
  </w:footnote>
  <w:footnote w:id="2">
    <w:p w14:paraId="43B980C7" w14:textId="1D8C114D" w:rsidR="0084197F" w:rsidRPr="00E86808" w:rsidRDefault="0084197F">
      <w:pPr>
        <w:pStyle w:val="FootnoteText"/>
        <w:rPr>
          <w:sz w:val="20"/>
          <w:szCs w:val="20"/>
        </w:rPr>
      </w:pPr>
      <w:r w:rsidRPr="00E86808">
        <w:rPr>
          <w:rStyle w:val="FootnoteReference"/>
          <w:sz w:val="20"/>
          <w:szCs w:val="20"/>
        </w:rPr>
        <w:footnoteRef/>
      </w:r>
      <w:r w:rsidRPr="00E86808">
        <w:rPr>
          <w:sz w:val="20"/>
          <w:szCs w:val="20"/>
        </w:rPr>
        <w:t xml:space="preserve"> </w:t>
      </w:r>
      <w:r w:rsidR="00C50881" w:rsidRPr="00E86808">
        <w:rPr>
          <w:sz w:val="20"/>
          <w:szCs w:val="20"/>
        </w:rPr>
        <w:t xml:space="preserve">African Commission on Human and Peoples' Rights, </w:t>
      </w:r>
      <w:r w:rsidR="00095E2B">
        <w:rPr>
          <w:i/>
          <w:sz w:val="20"/>
          <w:szCs w:val="20"/>
        </w:rPr>
        <w:t xml:space="preserve">Sir </w:t>
      </w:r>
      <w:proofErr w:type="spellStart"/>
      <w:r w:rsidR="00095E2B">
        <w:rPr>
          <w:i/>
          <w:sz w:val="20"/>
          <w:szCs w:val="20"/>
        </w:rPr>
        <w:t>Dawda</w:t>
      </w:r>
      <w:proofErr w:type="spellEnd"/>
      <w:r w:rsidR="00095E2B">
        <w:rPr>
          <w:i/>
          <w:sz w:val="20"/>
          <w:szCs w:val="20"/>
        </w:rPr>
        <w:t xml:space="preserve"> K. </w:t>
      </w:r>
      <w:proofErr w:type="spellStart"/>
      <w:r w:rsidR="00095E2B">
        <w:rPr>
          <w:i/>
          <w:sz w:val="20"/>
          <w:szCs w:val="20"/>
        </w:rPr>
        <w:t>Jawara</w:t>
      </w:r>
      <w:proofErr w:type="spellEnd"/>
      <w:r w:rsidR="00095E2B">
        <w:rPr>
          <w:i/>
          <w:sz w:val="20"/>
          <w:szCs w:val="20"/>
        </w:rPr>
        <w:t xml:space="preserve"> </w:t>
      </w:r>
      <w:r w:rsidR="00C50881" w:rsidRPr="00E86808">
        <w:rPr>
          <w:i/>
          <w:sz w:val="20"/>
          <w:szCs w:val="20"/>
        </w:rPr>
        <w:t>v The Gambia (147/95-149/</w:t>
      </w:r>
      <w:proofErr w:type="gramStart"/>
      <w:r w:rsidR="00C50881" w:rsidRPr="00E86808">
        <w:rPr>
          <w:i/>
          <w:sz w:val="20"/>
          <w:szCs w:val="20"/>
        </w:rPr>
        <w:t>96)ç</w:t>
      </w:r>
      <w:proofErr w:type="gramEnd"/>
    </w:p>
  </w:footnote>
  <w:footnote w:id="3">
    <w:p w14:paraId="11CE39EB" w14:textId="52E4FCCB" w:rsidR="00C50881" w:rsidRPr="00E86808" w:rsidRDefault="00C50881">
      <w:pPr>
        <w:pStyle w:val="FootnoteText"/>
        <w:rPr>
          <w:sz w:val="20"/>
          <w:szCs w:val="20"/>
        </w:rPr>
      </w:pPr>
      <w:r w:rsidRPr="00E86808">
        <w:rPr>
          <w:rStyle w:val="FootnoteReference"/>
          <w:sz w:val="20"/>
          <w:szCs w:val="20"/>
        </w:rPr>
        <w:footnoteRef/>
      </w:r>
      <w:r w:rsidRPr="00E86808">
        <w:rPr>
          <w:sz w:val="20"/>
          <w:szCs w:val="20"/>
        </w:rPr>
        <w:t xml:space="preserve"> European Court of Human Rights, </w:t>
      </w:r>
      <w:proofErr w:type="spellStart"/>
      <w:r w:rsidRPr="00E86808">
        <w:rPr>
          <w:rFonts w:ascii="Arial" w:eastAsia="Calibri" w:hAnsi="Arial" w:cs="Arial"/>
          <w:i/>
          <w:sz w:val="20"/>
          <w:szCs w:val="20"/>
        </w:rPr>
        <w:t>Sejdovic</w:t>
      </w:r>
      <w:proofErr w:type="spellEnd"/>
      <w:r w:rsidRPr="00E86808">
        <w:rPr>
          <w:rFonts w:ascii="Arial" w:eastAsia="Calibri" w:hAnsi="Arial" w:cs="Arial"/>
          <w:i/>
          <w:sz w:val="20"/>
          <w:szCs w:val="20"/>
        </w:rPr>
        <w:t xml:space="preserve"> v. Italy</w:t>
      </w:r>
    </w:p>
  </w:footnote>
  <w:footnote w:id="4">
    <w:p w14:paraId="14B29362" w14:textId="65958AED" w:rsidR="005678D4" w:rsidRPr="005678D4" w:rsidRDefault="005678D4">
      <w:pPr>
        <w:pStyle w:val="FootnoteText"/>
      </w:pPr>
      <w:r>
        <w:rPr>
          <w:rStyle w:val="FootnoteReference"/>
        </w:rPr>
        <w:footnoteRef/>
      </w:r>
      <w:r>
        <w:t xml:space="preserve"> </w:t>
      </w:r>
      <w:r w:rsidRPr="005678D4">
        <w:rPr>
          <w:sz w:val="20"/>
          <w:szCs w:val="20"/>
        </w:rPr>
        <w:t xml:space="preserve">IAHRC, </w:t>
      </w:r>
      <w:r w:rsidRPr="008636D1">
        <w:rPr>
          <w:i/>
          <w:sz w:val="20"/>
          <w:szCs w:val="20"/>
        </w:rPr>
        <w:t>Case of Juan Angel Greco v. Argentina</w:t>
      </w:r>
    </w:p>
  </w:footnote>
  <w:footnote w:id="5">
    <w:p w14:paraId="0985C5FC" w14:textId="660710D0" w:rsidR="008636D1" w:rsidRPr="008636D1" w:rsidRDefault="008636D1" w:rsidP="008636D1">
      <w:pPr>
        <w:pStyle w:val="FootnoteText"/>
        <w:jc w:val="both"/>
      </w:pPr>
      <w:r>
        <w:rPr>
          <w:rStyle w:val="FootnoteReference"/>
        </w:rPr>
        <w:footnoteRef/>
      </w:r>
      <w:r>
        <w:t xml:space="preserve"> </w:t>
      </w:r>
      <w:r w:rsidRPr="005678D4">
        <w:t>I</w:t>
      </w:r>
      <w:r w:rsidRPr="008636D1">
        <w:rPr>
          <w:sz w:val="20"/>
          <w:szCs w:val="20"/>
        </w:rPr>
        <w:t xml:space="preserve">CHR, </w:t>
      </w:r>
      <w:proofErr w:type="spellStart"/>
      <w:r w:rsidRPr="008636D1">
        <w:rPr>
          <w:i/>
          <w:sz w:val="20"/>
          <w:szCs w:val="20"/>
        </w:rPr>
        <w:t>Arges</w:t>
      </w:r>
      <w:proofErr w:type="spellEnd"/>
      <w:r w:rsidRPr="008636D1">
        <w:rPr>
          <w:i/>
          <w:sz w:val="20"/>
          <w:szCs w:val="20"/>
        </w:rPr>
        <w:t xml:space="preserve"> </w:t>
      </w:r>
      <w:proofErr w:type="spellStart"/>
      <w:r w:rsidRPr="008636D1">
        <w:rPr>
          <w:i/>
          <w:sz w:val="20"/>
          <w:szCs w:val="20"/>
        </w:rPr>
        <w:t>Sequeira</w:t>
      </w:r>
      <w:proofErr w:type="spellEnd"/>
      <w:r w:rsidRPr="008636D1">
        <w:rPr>
          <w:i/>
          <w:sz w:val="20"/>
          <w:szCs w:val="20"/>
        </w:rPr>
        <w:t xml:space="preserve"> </w:t>
      </w:r>
      <w:proofErr w:type="spellStart"/>
      <w:r w:rsidRPr="008636D1">
        <w:rPr>
          <w:i/>
          <w:sz w:val="20"/>
          <w:szCs w:val="20"/>
        </w:rPr>
        <w:t>Mangas</w:t>
      </w:r>
      <w:proofErr w:type="spellEnd"/>
      <w:r w:rsidRPr="008636D1">
        <w:rPr>
          <w:i/>
          <w:sz w:val="20"/>
          <w:szCs w:val="20"/>
        </w:rPr>
        <w:t xml:space="preserve"> v. Argentina</w:t>
      </w:r>
      <w:r w:rsidRPr="008636D1">
        <w:rPr>
          <w:sz w:val="20"/>
          <w:szCs w:val="20"/>
        </w:rPr>
        <w:t>, Repo</w:t>
      </w:r>
      <w:r w:rsidRPr="008636D1">
        <w:rPr>
          <w:sz w:val="20"/>
          <w:szCs w:val="20"/>
        </w:rPr>
        <w:t>rt 72/01, Case 11.804, para. 51</w:t>
      </w:r>
      <w:proofErr w:type="gramStart"/>
      <w:r w:rsidRPr="008636D1">
        <w:rPr>
          <w:sz w:val="20"/>
          <w:szCs w:val="20"/>
        </w:rPr>
        <w:t>: ”the</w:t>
      </w:r>
      <w:proofErr w:type="gramEnd"/>
      <w:r w:rsidRPr="008636D1">
        <w:rPr>
          <w:sz w:val="20"/>
          <w:szCs w:val="20"/>
        </w:rPr>
        <w:t xml:space="preserve"> obligation to investigate "must have an objective and be assumed by the State as its own legal duty, not as a step taken by private interests that depends upon the initiative of the victim or his family or upon their offer of proof, without an effective search for the truth by the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51"/>
    <w:rsid w:val="0008642E"/>
    <w:rsid w:val="00095E2B"/>
    <w:rsid w:val="000C1A50"/>
    <w:rsid w:val="00124BE1"/>
    <w:rsid w:val="00181E8F"/>
    <w:rsid w:val="00196269"/>
    <w:rsid w:val="001C2EA9"/>
    <w:rsid w:val="00237F08"/>
    <w:rsid w:val="002A7614"/>
    <w:rsid w:val="002B01C6"/>
    <w:rsid w:val="003133B6"/>
    <w:rsid w:val="0032385B"/>
    <w:rsid w:val="0036434F"/>
    <w:rsid w:val="003C06B3"/>
    <w:rsid w:val="00481DAB"/>
    <w:rsid w:val="004D79EE"/>
    <w:rsid w:val="00500D3C"/>
    <w:rsid w:val="00566D7A"/>
    <w:rsid w:val="005678D4"/>
    <w:rsid w:val="005B1B4F"/>
    <w:rsid w:val="005D23DE"/>
    <w:rsid w:val="00605527"/>
    <w:rsid w:val="006C69DE"/>
    <w:rsid w:val="006F72BD"/>
    <w:rsid w:val="00717629"/>
    <w:rsid w:val="00720119"/>
    <w:rsid w:val="007910DD"/>
    <w:rsid w:val="008043DD"/>
    <w:rsid w:val="0084197F"/>
    <w:rsid w:val="008636D1"/>
    <w:rsid w:val="008B2000"/>
    <w:rsid w:val="008D0D6F"/>
    <w:rsid w:val="008F1FBE"/>
    <w:rsid w:val="009117C8"/>
    <w:rsid w:val="009123BF"/>
    <w:rsid w:val="009125E4"/>
    <w:rsid w:val="00915C2C"/>
    <w:rsid w:val="00921808"/>
    <w:rsid w:val="00940D88"/>
    <w:rsid w:val="009B0A51"/>
    <w:rsid w:val="009B2C2F"/>
    <w:rsid w:val="009D49E5"/>
    <w:rsid w:val="009E1C5F"/>
    <w:rsid w:val="00A233E5"/>
    <w:rsid w:val="00A24F00"/>
    <w:rsid w:val="00AC73AB"/>
    <w:rsid w:val="00B043D7"/>
    <w:rsid w:val="00B31C13"/>
    <w:rsid w:val="00B46FF8"/>
    <w:rsid w:val="00B60E89"/>
    <w:rsid w:val="00BC704A"/>
    <w:rsid w:val="00BE376D"/>
    <w:rsid w:val="00C13F53"/>
    <w:rsid w:val="00C50881"/>
    <w:rsid w:val="00C927A1"/>
    <w:rsid w:val="00CB600F"/>
    <w:rsid w:val="00D437CF"/>
    <w:rsid w:val="00D44AAA"/>
    <w:rsid w:val="00DB2F25"/>
    <w:rsid w:val="00DF7F7A"/>
    <w:rsid w:val="00E278DD"/>
    <w:rsid w:val="00E476C4"/>
    <w:rsid w:val="00E86808"/>
    <w:rsid w:val="00F017B2"/>
    <w:rsid w:val="00F30B89"/>
    <w:rsid w:val="00F629FD"/>
    <w:rsid w:val="00FE1A5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144"/>
  <w15:chartTrackingRefBased/>
  <w15:docId w15:val="{C4ACEDC5-C68D-41BE-ACC7-63768AF5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A51"/>
    <w:rPr>
      <w:color w:val="0000FF"/>
      <w:u w:val="single"/>
    </w:rPr>
  </w:style>
  <w:style w:type="character" w:styleId="FootnoteReference">
    <w:name w:val="footnote reference"/>
    <w:rsid w:val="009B0A51"/>
    <w:rPr>
      <w:rFonts w:ascii="Times New Roman" w:hAnsi="Times New Roman"/>
      <w:position w:val="0"/>
      <w:sz w:val="18"/>
      <w:vertAlign w:val="superscript"/>
    </w:rPr>
  </w:style>
  <w:style w:type="paragraph" w:customStyle="1" w:styleId="Default">
    <w:name w:val="Default"/>
    <w:rsid w:val="009B0A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E37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76D"/>
    <w:rPr>
      <w:rFonts w:ascii="Times New Roman" w:hAnsi="Times New Roman" w:cs="Times New Roman"/>
      <w:sz w:val="18"/>
      <w:szCs w:val="18"/>
    </w:rPr>
  </w:style>
  <w:style w:type="paragraph" w:styleId="FootnoteText">
    <w:name w:val="footnote text"/>
    <w:basedOn w:val="Normal"/>
    <w:link w:val="FootnoteTextChar"/>
    <w:uiPriority w:val="99"/>
    <w:unhideWhenUsed/>
    <w:rsid w:val="0084197F"/>
    <w:pPr>
      <w:spacing w:after="0" w:line="240" w:lineRule="auto"/>
    </w:pPr>
    <w:rPr>
      <w:sz w:val="24"/>
      <w:szCs w:val="24"/>
    </w:rPr>
  </w:style>
  <w:style w:type="character" w:customStyle="1" w:styleId="FootnoteTextChar">
    <w:name w:val="Footnote Text Char"/>
    <w:basedOn w:val="DefaultParagraphFont"/>
    <w:link w:val="FootnoteText"/>
    <w:uiPriority w:val="99"/>
    <w:rsid w:val="00841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hchr.org/EN/HRBodies/CRPD/Pages/ConventionRightsPersonsWithDisabilities.aspx" TargetMode="External"/><Relationship Id="rId20" Type="http://schemas.openxmlformats.org/officeDocument/2006/relationships/hyperlink" Target="https://documents-dds-ny.un.org/doc/UNDOC/GEN/G18/327/14/pdf/G1832714.pdf?OpenElement" TargetMode="External"/><Relationship Id="rId21" Type="http://schemas.openxmlformats.org/officeDocument/2006/relationships/hyperlink" Target="https://www.ohchr.org/EN/HRBodies/CRPD/Pages/ConventionRightsPersonsWithDisabilities.aspx" TargetMode="External"/><Relationship Id="rId22"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ohchr.org/EN/HRBodies/CRPD/Pages/ConventionRightsPersonsWithDisabilities.aspx" TargetMode="External"/><Relationship Id="rId25" Type="http://schemas.openxmlformats.org/officeDocument/2006/relationships/hyperlink" Target="https://www.ohchr.org/EN/HRBodies/CRPD/Pages/ConventionRightsPersonsWithDisabilities.aspx" TargetMode="External"/><Relationship Id="rId26" Type="http://schemas.openxmlformats.org/officeDocument/2006/relationships/hyperlink" Target="https://www.ohchr.org/EN/HRBodies/CRPD/Pages/ConventionRightsPersonsWithDisabilities.aspx" TargetMode="External"/><Relationship Id="rId27" Type="http://schemas.openxmlformats.org/officeDocument/2006/relationships/hyperlink" Target="https://www.ohchr.org/EN/HRBodies/CRPD/Pages/ConventionRightsPersonsWithDisabilities.aspx" TargetMode="External"/><Relationship Id="rId28" Type="http://schemas.openxmlformats.org/officeDocument/2006/relationships/hyperlink" Target="https://www.ohchr.org/EN/HRBodies/CRPD/Pages/ConventionRightsPersonsWithDisabilities.aspx" TargetMode="External"/><Relationship Id="rId29" Type="http://schemas.openxmlformats.org/officeDocument/2006/relationships/hyperlink" Target="https://www.ohchr.org/EN/HRBodies/CRPD/Pages/ConventionRightsPersonsWithDisabilities.aspx"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ohchr.org/EN/HRBodies/CRPD/Pages/ConventionRightsPersonsWithDisabilities.aspx" TargetMode="External"/><Relationship Id="rId11"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15" Type="http://schemas.openxmlformats.org/officeDocument/2006/relationships/hyperlink" Target="https://www.ohchr.org/EN/HRBodies/CRPD/Pages/ConventionRightsPersonsWithDisabilities.aspx" TargetMode="External"/><Relationship Id="rId16" Type="http://schemas.openxmlformats.org/officeDocument/2006/relationships/hyperlink" Target="https://www.ohchr.org/EN/HRBodies/CRPD/Pages/OptionalProtocolRightsPersonsWithDisabilities.aspx" TargetMode="External"/><Relationship Id="rId17" Type="http://schemas.openxmlformats.org/officeDocument/2006/relationships/hyperlink" Target="https://documents-dds-ny.un.org/doc/UNDOC/GEN/G18/327/09/pdf/G1832709.pdf?OpenElement" TargetMode="External"/><Relationship Id="rId18" Type="http://schemas.openxmlformats.org/officeDocument/2006/relationships/hyperlink" Target="https://documents-dds-ny.un.org/doc/UNDOC/GEN/G18/327/11/pdf/G1832711.pdf?OpenElement" TargetMode="External"/><Relationship Id="rId19" Type="http://schemas.openxmlformats.org/officeDocument/2006/relationships/hyperlink" Target="https://documents-dds-ny.un.org/doc/UNDOC/GEN/G18/327/13/pdf/G1832713.pdf?OpenElemen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www.ohchr.org/EN/HRBodies/CRPD/Pages/ConventionRightsPersonsWithDisabilities.aspx" TargetMode="External"/><Relationship Id="rId8"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3510</Words>
  <Characters>20008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JIPB</cp:lastModifiedBy>
  <cp:revision>10</cp:revision>
  <dcterms:created xsi:type="dcterms:W3CDTF">2018-12-06T12:27:00Z</dcterms:created>
  <dcterms:modified xsi:type="dcterms:W3CDTF">2018-12-06T13:25:00Z</dcterms:modified>
</cp:coreProperties>
</file>