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39899" w14:textId="77777777" w:rsidR="00BA6018" w:rsidRDefault="00655376">
      <w:pPr>
        <w:rPr>
          <w:rFonts w:ascii="Arial" w:eastAsia="Calibri" w:hAnsi="Arial" w:cs="Arial"/>
        </w:rPr>
      </w:pPr>
      <w:r w:rsidRPr="00655376">
        <w:rPr>
          <w:rFonts w:ascii="Arial" w:eastAsia="Calibri" w:hAnsi="Arial" w:cs="Arial"/>
        </w:rPr>
        <w:t>Case summary:</w:t>
      </w:r>
      <w:r w:rsidRPr="00655376">
        <w:rPr>
          <w:rFonts w:ascii="Arial" w:eastAsia="Calibri" w:hAnsi="Arial" w:cs="Arial"/>
          <w:vertAlign w:val="superscript"/>
        </w:rPr>
        <w:footnoteReference w:id="1"/>
      </w:r>
      <w:r w:rsidRPr="00655376">
        <w:rPr>
          <w:rFonts w:ascii="Arial" w:eastAsia="Calibri" w:hAnsi="Arial" w:cs="Arial"/>
        </w:rPr>
        <w:t xml:space="preserve">  </w:t>
      </w:r>
      <w:proofErr w:type="spellStart"/>
      <w:r w:rsidR="00985878" w:rsidRPr="00CB1A4D">
        <w:rPr>
          <w:rFonts w:ascii="Arial" w:hAnsi="Arial"/>
          <w:i/>
        </w:rPr>
        <w:t>Iuliia</w:t>
      </w:r>
      <w:proofErr w:type="spellEnd"/>
      <w:r w:rsidR="00985878" w:rsidRPr="00CB1A4D">
        <w:rPr>
          <w:rFonts w:ascii="Arial" w:hAnsi="Arial"/>
          <w:i/>
        </w:rPr>
        <w:t xml:space="preserve"> </w:t>
      </w:r>
      <w:proofErr w:type="spellStart"/>
      <w:r w:rsidR="00985878" w:rsidRPr="00CB1A4D">
        <w:rPr>
          <w:rFonts w:ascii="Arial" w:hAnsi="Arial"/>
          <w:i/>
        </w:rPr>
        <w:t>Domina</w:t>
      </w:r>
      <w:proofErr w:type="spellEnd"/>
      <w:r w:rsidR="00985878" w:rsidRPr="00CB1A4D">
        <w:rPr>
          <w:rFonts w:ascii="Arial" w:hAnsi="Arial"/>
          <w:i/>
        </w:rPr>
        <w:t xml:space="preserve"> and Max </w:t>
      </w:r>
      <w:proofErr w:type="spellStart"/>
      <w:r w:rsidR="00985878" w:rsidRPr="00CB1A4D">
        <w:rPr>
          <w:rFonts w:ascii="Arial" w:hAnsi="Arial"/>
          <w:i/>
        </w:rPr>
        <w:t>Bendtsen</w:t>
      </w:r>
      <w:proofErr w:type="spellEnd"/>
      <w:r w:rsidR="00985878" w:rsidRPr="00CB1A4D">
        <w:rPr>
          <w:rFonts w:ascii="Arial" w:hAnsi="Arial"/>
          <w:i/>
        </w:rPr>
        <w:t xml:space="preserve"> (represented by Eddie </w:t>
      </w:r>
      <w:proofErr w:type="spellStart"/>
      <w:r w:rsidR="00985878" w:rsidRPr="00CB1A4D">
        <w:rPr>
          <w:rFonts w:ascii="Arial" w:hAnsi="Arial"/>
          <w:i/>
        </w:rPr>
        <w:t>Kawaja</w:t>
      </w:r>
      <w:proofErr w:type="spellEnd"/>
      <w:r w:rsidR="00985878" w:rsidRPr="00CB1A4D">
        <w:rPr>
          <w:rFonts w:ascii="Arial" w:hAnsi="Arial"/>
          <w:i/>
        </w:rPr>
        <w:t>) v Denmark</w:t>
      </w:r>
      <w:r>
        <w:rPr>
          <w:rFonts w:ascii="Arial" w:eastAsia="Calibri" w:hAnsi="Arial" w:cs="Arial"/>
        </w:rPr>
        <w:br/>
      </w:r>
    </w:p>
    <w:p w14:paraId="1251FDC7" w14:textId="77777777" w:rsidR="00655376" w:rsidRDefault="00985878">
      <w:pPr>
        <w:rPr>
          <w:rFonts w:ascii="Arial" w:eastAsia="Calibri" w:hAnsi="Arial" w:cs="Arial"/>
        </w:rPr>
      </w:pPr>
      <w:r w:rsidRPr="00985878">
        <w:rPr>
          <w:rFonts w:ascii="Arial" w:eastAsia="Calibri" w:hAnsi="Arial" w:cs="Arial"/>
        </w:rPr>
        <w:t>CRPD/C/20/D/39/2017</w:t>
      </w:r>
    </w:p>
    <w:p w14:paraId="6E8166C0" w14:textId="77777777" w:rsidR="00655376" w:rsidRDefault="00655376" w:rsidP="00655376">
      <w:pPr>
        <w:rPr>
          <w:rFonts w:ascii="Arial" w:hAnsi="Arial"/>
        </w:rPr>
      </w:pPr>
      <w:r w:rsidRPr="00655376">
        <w:rPr>
          <w:rFonts w:ascii="Arial" w:hAnsi="Arial"/>
        </w:rPr>
        <w:t>Communication No.</w:t>
      </w:r>
      <w:r w:rsidR="00985878">
        <w:rPr>
          <w:rFonts w:ascii="Arial" w:hAnsi="Arial"/>
        </w:rPr>
        <w:t xml:space="preserve"> 39/2017</w:t>
      </w:r>
    </w:p>
    <w:p w14:paraId="754FBB13" w14:textId="77777777" w:rsidR="00655376" w:rsidRPr="00655376" w:rsidRDefault="00655376" w:rsidP="00655376">
      <w:pPr>
        <w:spacing w:after="0" w:line="276" w:lineRule="auto"/>
        <w:jc w:val="both"/>
        <w:rPr>
          <w:rFonts w:ascii="Arial" w:eastAsia="Calibri" w:hAnsi="Arial" w:cs="Arial"/>
        </w:rPr>
      </w:pPr>
      <w:r w:rsidRPr="00655376">
        <w:rPr>
          <w:rFonts w:ascii="Arial" w:eastAsia="Calibri" w:hAnsi="Arial" w:cs="Arial"/>
        </w:rPr>
        <w:t>Date of communication (initial submission):</w:t>
      </w:r>
      <w:r w:rsidRPr="00655376">
        <w:rPr>
          <w:rFonts w:ascii="Arial" w:eastAsia="Calibri" w:hAnsi="Arial" w:cs="Arial"/>
        </w:rPr>
        <w:tab/>
      </w:r>
      <w:r w:rsidRPr="00655376">
        <w:rPr>
          <w:rFonts w:ascii="Arial" w:eastAsia="Calibri" w:hAnsi="Arial" w:cs="Arial"/>
        </w:rPr>
        <w:tab/>
      </w:r>
      <w:r>
        <w:rPr>
          <w:rFonts w:ascii="Arial" w:eastAsia="Calibri" w:hAnsi="Arial" w:cs="Arial"/>
        </w:rPr>
        <w:t>6</w:t>
      </w:r>
      <w:r w:rsidR="00985878">
        <w:rPr>
          <w:rFonts w:ascii="Arial" w:eastAsia="Calibri" w:hAnsi="Arial" w:cs="Arial"/>
        </w:rPr>
        <w:t xml:space="preserve"> January 2017</w:t>
      </w:r>
      <w:r w:rsidRPr="00655376">
        <w:rPr>
          <w:rFonts w:ascii="Arial" w:eastAsia="Calibri" w:hAnsi="Arial" w:cs="Arial"/>
        </w:rPr>
        <w:t xml:space="preserve"> </w:t>
      </w:r>
    </w:p>
    <w:p w14:paraId="0EC8B454" w14:textId="77777777" w:rsidR="00655376" w:rsidRPr="00655376" w:rsidRDefault="00655376" w:rsidP="00655376">
      <w:pPr>
        <w:spacing w:after="0" w:line="276" w:lineRule="auto"/>
        <w:jc w:val="both"/>
        <w:rPr>
          <w:rFonts w:ascii="Arial" w:eastAsia="Calibri" w:hAnsi="Arial" w:cs="Arial"/>
        </w:rPr>
      </w:pPr>
      <w:r w:rsidRPr="00655376">
        <w:rPr>
          <w:rFonts w:ascii="Arial" w:eastAsia="Calibri" w:hAnsi="Arial" w:cs="Arial"/>
        </w:rPr>
        <w:t>Date of adoption of Views:</w:t>
      </w:r>
      <w:r w:rsidRPr="00655376">
        <w:rPr>
          <w:rFonts w:ascii="Arial" w:eastAsia="Calibri" w:hAnsi="Arial" w:cs="Arial"/>
        </w:rPr>
        <w:tab/>
      </w:r>
      <w:r w:rsidRPr="00655376">
        <w:rPr>
          <w:rFonts w:ascii="Arial" w:eastAsia="Calibri" w:hAnsi="Arial" w:cs="Arial"/>
        </w:rPr>
        <w:tab/>
      </w:r>
      <w:r w:rsidRPr="00655376">
        <w:rPr>
          <w:rFonts w:ascii="Arial" w:eastAsia="Calibri" w:hAnsi="Arial" w:cs="Arial"/>
        </w:rPr>
        <w:tab/>
      </w:r>
      <w:r w:rsidRPr="00655376">
        <w:rPr>
          <w:rFonts w:ascii="Arial" w:eastAsia="Calibri" w:hAnsi="Arial" w:cs="Arial"/>
        </w:rPr>
        <w:tab/>
      </w:r>
      <w:r>
        <w:rPr>
          <w:rFonts w:ascii="Arial" w:eastAsia="Calibri" w:hAnsi="Arial" w:cs="Arial"/>
        </w:rPr>
        <w:t>31 August</w:t>
      </w:r>
      <w:r w:rsidRPr="00655376">
        <w:rPr>
          <w:rFonts w:ascii="Arial" w:eastAsia="Calibri" w:hAnsi="Arial" w:cs="Arial"/>
        </w:rPr>
        <w:t xml:space="preserve"> 2018</w:t>
      </w:r>
    </w:p>
    <w:p w14:paraId="44BAA7B3" w14:textId="77777777" w:rsidR="00655376" w:rsidRPr="00655376" w:rsidRDefault="00655376" w:rsidP="00655376">
      <w:pPr>
        <w:spacing w:after="0" w:line="276" w:lineRule="auto"/>
        <w:jc w:val="both"/>
        <w:rPr>
          <w:rFonts w:ascii="Arial" w:eastAsia="Calibri" w:hAnsi="Arial" w:cs="Arial"/>
        </w:rPr>
      </w:pPr>
      <w:r w:rsidRPr="00655376">
        <w:rPr>
          <w:rFonts w:ascii="Arial" w:eastAsia="Calibri" w:hAnsi="Arial" w:cs="Arial"/>
        </w:rPr>
        <w:t>Invoked provisions of the Convention:</w:t>
      </w:r>
      <w:r w:rsidRPr="00655376">
        <w:rPr>
          <w:rFonts w:ascii="Arial" w:eastAsia="Calibri" w:hAnsi="Arial" w:cs="Arial"/>
        </w:rPr>
        <w:tab/>
        <w:t xml:space="preserve">            </w:t>
      </w:r>
      <w:hyperlink r:id="rId7" w:anchor="5" w:history="1">
        <w:r w:rsidR="009E52BB" w:rsidRPr="00122092">
          <w:rPr>
            <w:rStyle w:val="Hyperlink"/>
            <w:rFonts w:ascii="Arial" w:eastAsia="Calibri" w:hAnsi="Arial" w:cs="Arial"/>
          </w:rPr>
          <w:t>5</w:t>
        </w:r>
      </w:hyperlink>
      <w:r w:rsidR="009E52BB">
        <w:rPr>
          <w:rFonts w:ascii="Arial" w:eastAsia="Calibri" w:hAnsi="Arial" w:cs="Arial"/>
        </w:rPr>
        <w:t>;</w:t>
      </w:r>
      <w:r w:rsidR="00985878">
        <w:rPr>
          <w:rFonts w:ascii="Arial" w:eastAsia="Calibri" w:hAnsi="Arial" w:cs="Arial"/>
        </w:rPr>
        <w:t xml:space="preserve"> </w:t>
      </w:r>
      <w:hyperlink r:id="rId8" w:anchor="23" w:history="1">
        <w:r w:rsidR="00985878" w:rsidRPr="0088122C">
          <w:rPr>
            <w:rStyle w:val="Hyperlink"/>
            <w:rFonts w:ascii="Arial" w:eastAsia="Calibri" w:hAnsi="Arial" w:cs="Arial"/>
          </w:rPr>
          <w:t>23</w:t>
        </w:r>
      </w:hyperlink>
    </w:p>
    <w:p w14:paraId="47C045CF" w14:textId="77777777" w:rsidR="00655376" w:rsidRDefault="00655376" w:rsidP="00655376">
      <w:pPr>
        <w:spacing w:after="0" w:line="276" w:lineRule="auto"/>
        <w:jc w:val="both"/>
      </w:pPr>
      <w:r w:rsidRPr="00655376">
        <w:rPr>
          <w:rFonts w:ascii="Arial" w:eastAsia="Calibri" w:hAnsi="Arial" w:cs="Arial"/>
        </w:rPr>
        <w:t>Provisions of the Optional Protocol:</w:t>
      </w:r>
      <w:r w:rsidRPr="00655376">
        <w:rPr>
          <w:rFonts w:ascii="Arial" w:eastAsia="Calibri" w:hAnsi="Arial" w:cs="Arial"/>
        </w:rPr>
        <w:tab/>
      </w:r>
      <w:r w:rsidRPr="00655376">
        <w:rPr>
          <w:rFonts w:ascii="Arial" w:eastAsia="Calibri" w:hAnsi="Arial" w:cs="Arial"/>
        </w:rPr>
        <w:tab/>
      </w:r>
      <w:r w:rsidRPr="00655376">
        <w:rPr>
          <w:rFonts w:ascii="Arial" w:eastAsia="Calibri" w:hAnsi="Arial" w:cs="Arial"/>
        </w:rPr>
        <w:tab/>
      </w:r>
      <w:hyperlink r:id="rId9" w:anchor="2" w:history="1">
        <w:r w:rsidR="00985878">
          <w:rPr>
            <w:rStyle w:val="Hyperlink"/>
            <w:rFonts w:ascii="Arial" w:eastAsia="Calibri" w:hAnsi="Arial" w:cs="Arial"/>
          </w:rPr>
          <w:t xml:space="preserve">2 </w:t>
        </w:r>
        <w:r w:rsidRPr="00545CDB">
          <w:rPr>
            <w:rStyle w:val="Hyperlink"/>
            <w:rFonts w:ascii="Arial" w:eastAsia="Calibri" w:hAnsi="Arial" w:cs="Arial"/>
          </w:rPr>
          <w:t>(e)</w:t>
        </w:r>
      </w:hyperlink>
    </w:p>
    <w:p w14:paraId="3642F07D" w14:textId="77777777" w:rsidR="00655376" w:rsidRDefault="00655376" w:rsidP="00655376">
      <w:pPr>
        <w:rPr>
          <w:rFonts w:ascii="Arial" w:eastAsia="Calibri" w:hAnsi="Arial" w:cs="Arial"/>
        </w:rPr>
      </w:pPr>
    </w:p>
    <w:p w14:paraId="4110C087" w14:textId="77777777" w:rsidR="00655376" w:rsidRPr="00655376" w:rsidRDefault="00655376" w:rsidP="009E52BB">
      <w:pPr>
        <w:jc w:val="both"/>
        <w:rPr>
          <w:rFonts w:ascii="Arial" w:eastAsia="Calibri" w:hAnsi="Arial" w:cs="Arial"/>
        </w:rPr>
      </w:pPr>
      <w:r w:rsidRPr="00655376">
        <w:rPr>
          <w:rFonts w:ascii="Arial" w:eastAsia="Calibri" w:hAnsi="Arial" w:cs="Arial"/>
        </w:rPr>
        <w:t>Keywords:</w:t>
      </w:r>
      <w:r>
        <w:rPr>
          <w:rFonts w:ascii="Arial" w:eastAsia="Calibri" w:hAnsi="Arial" w:cs="Arial"/>
        </w:rPr>
        <w:t xml:space="preserve"> </w:t>
      </w:r>
      <w:r w:rsidR="009E52BB">
        <w:rPr>
          <w:rFonts w:ascii="Arial" w:eastAsia="Calibri" w:hAnsi="Arial" w:cs="Arial"/>
        </w:rPr>
        <w:tab/>
      </w:r>
      <w:r w:rsidR="009E52BB">
        <w:rPr>
          <w:rFonts w:ascii="Arial" w:eastAsia="Calibri" w:hAnsi="Arial" w:cs="Arial"/>
        </w:rPr>
        <w:tab/>
      </w:r>
      <w:r w:rsidRPr="009E52BB">
        <w:rPr>
          <w:rFonts w:ascii="Arial" w:eastAsia="Calibri" w:hAnsi="Arial" w:cs="Arial"/>
        </w:rPr>
        <w:t xml:space="preserve">Disability; Equality and non-discrimination; </w:t>
      </w:r>
      <w:r w:rsidR="00985878">
        <w:rPr>
          <w:rFonts w:ascii="Arial" w:eastAsia="Calibri" w:hAnsi="Arial" w:cs="Arial"/>
        </w:rPr>
        <w:t xml:space="preserve">respect for home and the family; </w:t>
      </w:r>
      <w:r w:rsidR="00985878">
        <w:rPr>
          <w:rFonts w:ascii="Arial" w:eastAsia="Calibri" w:hAnsi="Arial" w:cs="Arial"/>
        </w:rPr>
        <w:tab/>
      </w:r>
      <w:r w:rsidR="00985878">
        <w:rPr>
          <w:rFonts w:ascii="Arial" w:eastAsia="Calibri" w:hAnsi="Arial" w:cs="Arial"/>
        </w:rPr>
        <w:tab/>
      </w:r>
      <w:r w:rsidR="00985878">
        <w:rPr>
          <w:rFonts w:ascii="Arial" w:eastAsia="Calibri" w:hAnsi="Arial" w:cs="Arial"/>
        </w:rPr>
        <w:tab/>
        <w:t>disability-based discrimination</w:t>
      </w:r>
    </w:p>
    <w:p w14:paraId="3AB6E212" w14:textId="77777777" w:rsidR="00122092" w:rsidRDefault="00655376" w:rsidP="000A75EE">
      <w:pPr>
        <w:autoSpaceDE w:val="0"/>
        <w:autoSpaceDN w:val="0"/>
        <w:adjustRightInd w:val="0"/>
        <w:spacing w:after="0" w:line="240" w:lineRule="auto"/>
        <w:rPr>
          <w:rFonts w:ascii="Arial" w:eastAsia="Calibri" w:hAnsi="Arial" w:cs="Arial"/>
        </w:rPr>
      </w:pPr>
      <w:r w:rsidRPr="00655376">
        <w:rPr>
          <w:rFonts w:ascii="Arial" w:eastAsia="Calibri" w:hAnsi="Arial" w:cs="Arial"/>
        </w:rPr>
        <w:t>Decision:</w:t>
      </w:r>
      <w:r w:rsidR="009E52BB">
        <w:rPr>
          <w:rFonts w:ascii="Arial" w:eastAsia="Calibri" w:hAnsi="Arial" w:cs="Arial"/>
        </w:rPr>
        <w:t xml:space="preserve"> </w:t>
      </w:r>
      <w:r w:rsidR="009E52BB">
        <w:rPr>
          <w:rFonts w:ascii="Arial" w:eastAsia="Calibri" w:hAnsi="Arial" w:cs="Arial"/>
        </w:rPr>
        <w:tab/>
      </w:r>
      <w:r w:rsidR="009E52BB">
        <w:rPr>
          <w:rFonts w:ascii="Arial" w:eastAsia="Calibri" w:hAnsi="Arial" w:cs="Arial"/>
        </w:rPr>
        <w:tab/>
      </w:r>
      <w:r w:rsidR="00985878">
        <w:rPr>
          <w:rFonts w:ascii="Arial" w:eastAsia="Calibri" w:hAnsi="Arial" w:cs="Arial"/>
        </w:rPr>
        <w:t>T</w:t>
      </w:r>
      <w:r w:rsidR="00985878" w:rsidRPr="00985878">
        <w:rPr>
          <w:rFonts w:ascii="Arial" w:eastAsia="Calibri" w:hAnsi="Arial" w:cs="Arial"/>
        </w:rPr>
        <w:t>he State party has failed to fulfil its obligat</w:t>
      </w:r>
      <w:r w:rsidR="00985878">
        <w:rPr>
          <w:rFonts w:ascii="Arial" w:eastAsia="Calibri" w:hAnsi="Arial" w:cs="Arial"/>
        </w:rPr>
        <w:t xml:space="preserve">ions under article 5 (1-2) read </w:t>
      </w:r>
      <w:r w:rsidR="00985878">
        <w:rPr>
          <w:rFonts w:ascii="Arial" w:eastAsia="Calibri" w:hAnsi="Arial" w:cs="Arial"/>
        </w:rPr>
        <w:tab/>
      </w:r>
      <w:r w:rsidR="00985878">
        <w:rPr>
          <w:rFonts w:ascii="Arial" w:eastAsia="Calibri" w:hAnsi="Arial" w:cs="Arial"/>
        </w:rPr>
        <w:tab/>
      </w:r>
      <w:r w:rsidR="00985878">
        <w:rPr>
          <w:rFonts w:ascii="Arial" w:eastAsia="Calibri" w:hAnsi="Arial" w:cs="Arial"/>
        </w:rPr>
        <w:tab/>
      </w:r>
      <w:r w:rsidR="00985878">
        <w:rPr>
          <w:rFonts w:ascii="Arial" w:eastAsia="Calibri" w:hAnsi="Arial" w:cs="Arial"/>
        </w:rPr>
        <w:tab/>
        <w:t xml:space="preserve">alone and in </w:t>
      </w:r>
      <w:r w:rsidR="00985878" w:rsidRPr="00985878">
        <w:rPr>
          <w:rFonts w:ascii="Arial" w:eastAsia="Calibri" w:hAnsi="Arial" w:cs="Arial"/>
        </w:rPr>
        <w:t>conjunction with article 23 (1) of the Convention.</w:t>
      </w:r>
    </w:p>
    <w:p w14:paraId="150B9D04" w14:textId="77777777" w:rsidR="00655376" w:rsidRDefault="00655376" w:rsidP="00655376">
      <w:pPr>
        <w:rPr>
          <w:rFonts w:ascii="Arial" w:eastAsia="Calibri" w:hAnsi="Arial" w:cs="Arial"/>
        </w:rPr>
      </w:pPr>
      <w:r w:rsidRPr="00655376">
        <w:rPr>
          <w:rFonts w:ascii="Arial" w:eastAsia="Calibri" w:hAnsi="Arial" w:cs="Arial"/>
        </w:rPr>
        <w:t>Full decision in English</w:t>
      </w:r>
    </w:p>
    <w:p w14:paraId="79935913" w14:textId="77777777" w:rsidR="00655376" w:rsidRPr="0057421C" w:rsidRDefault="00655376" w:rsidP="00655376">
      <w:pPr>
        <w:rPr>
          <w:rFonts w:ascii="Arial" w:eastAsia="Calibri" w:hAnsi="Arial" w:cs="Arial"/>
          <w:b/>
          <w:bCs/>
          <w:sz w:val="28"/>
          <w:szCs w:val="28"/>
        </w:rPr>
      </w:pPr>
      <w:r w:rsidRPr="0057421C">
        <w:rPr>
          <w:rFonts w:ascii="Arial" w:eastAsia="Calibri" w:hAnsi="Arial" w:cs="Arial"/>
          <w:b/>
          <w:bCs/>
          <w:sz w:val="28"/>
          <w:szCs w:val="28"/>
        </w:rPr>
        <w:t>Facts</w:t>
      </w:r>
    </w:p>
    <w:p w14:paraId="24CD17B4" w14:textId="7025625C" w:rsidR="00EF2F91" w:rsidRDefault="00985878" w:rsidP="008376D6">
      <w:pPr>
        <w:jc w:val="both"/>
        <w:rPr>
          <w:rFonts w:ascii="Arial" w:eastAsia="Calibri" w:hAnsi="Arial" w:cs="Arial"/>
        </w:rPr>
      </w:pPr>
      <w:r>
        <w:rPr>
          <w:rFonts w:ascii="Arial" w:eastAsia="Calibri" w:hAnsi="Arial" w:cs="Arial"/>
        </w:rPr>
        <w:t xml:space="preserve">The authors are </w:t>
      </w:r>
      <w:proofErr w:type="spellStart"/>
      <w:r w:rsidRPr="00985878">
        <w:rPr>
          <w:rFonts w:ascii="Arial" w:eastAsia="Calibri" w:hAnsi="Arial" w:cs="Arial"/>
        </w:rPr>
        <w:t>Iuliia</w:t>
      </w:r>
      <w:proofErr w:type="spellEnd"/>
      <w:r w:rsidRPr="00985878">
        <w:rPr>
          <w:rFonts w:ascii="Arial" w:eastAsia="Calibri" w:hAnsi="Arial" w:cs="Arial"/>
        </w:rPr>
        <w:t xml:space="preserve"> </w:t>
      </w:r>
      <w:proofErr w:type="spellStart"/>
      <w:r w:rsidRPr="00985878">
        <w:rPr>
          <w:rFonts w:ascii="Arial" w:eastAsia="Calibri" w:hAnsi="Arial" w:cs="Arial"/>
        </w:rPr>
        <w:t>Domina</w:t>
      </w:r>
      <w:proofErr w:type="spellEnd"/>
      <w:r w:rsidRPr="00985878">
        <w:rPr>
          <w:rFonts w:ascii="Arial" w:eastAsia="Calibri" w:hAnsi="Arial" w:cs="Arial"/>
        </w:rPr>
        <w:t>,</w:t>
      </w:r>
      <w:r>
        <w:rPr>
          <w:rFonts w:ascii="Arial" w:eastAsia="Calibri" w:hAnsi="Arial" w:cs="Arial"/>
        </w:rPr>
        <w:t xml:space="preserve"> a national of Ukraine, and Max </w:t>
      </w:r>
      <w:proofErr w:type="spellStart"/>
      <w:r w:rsidRPr="00985878">
        <w:rPr>
          <w:rFonts w:ascii="Arial" w:eastAsia="Calibri" w:hAnsi="Arial" w:cs="Arial"/>
        </w:rPr>
        <w:t>Bendtsen</w:t>
      </w:r>
      <w:proofErr w:type="spellEnd"/>
      <w:r w:rsidRPr="00985878">
        <w:rPr>
          <w:rFonts w:ascii="Arial" w:eastAsia="Calibri" w:hAnsi="Arial" w:cs="Arial"/>
        </w:rPr>
        <w:t>, a national</w:t>
      </w:r>
      <w:r w:rsidR="00D01FA2">
        <w:rPr>
          <w:rFonts w:ascii="Arial" w:eastAsia="Calibri" w:hAnsi="Arial" w:cs="Arial"/>
        </w:rPr>
        <w:t xml:space="preserve"> of Denmark, both born in 1989, </w:t>
      </w:r>
      <w:r w:rsidR="00DF2C86">
        <w:rPr>
          <w:rFonts w:ascii="Arial" w:eastAsia="Calibri" w:hAnsi="Arial" w:cs="Arial"/>
        </w:rPr>
        <w:t xml:space="preserve">a </w:t>
      </w:r>
      <w:r w:rsidR="00D01FA2">
        <w:rPr>
          <w:rFonts w:ascii="Arial" w:eastAsia="Calibri" w:hAnsi="Arial" w:cs="Arial"/>
        </w:rPr>
        <w:t xml:space="preserve">married </w:t>
      </w:r>
      <w:r w:rsidR="00DF2C86">
        <w:rPr>
          <w:rFonts w:ascii="Arial" w:eastAsia="Calibri" w:hAnsi="Arial" w:cs="Arial"/>
        </w:rPr>
        <w:t xml:space="preserve">couple </w:t>
      </w:r>
      <w:r w:rsidR="00D01FA2">
        <w:rPr>
          <w:rFonts w:ascii="Arial" w:eastAsia="Calibri" w:hAnsi="Arial" w:cs="Arial"/>
        </w:rPr>
        <w:t>with</w:t>
      </w:r>
      <w:r w:rsidRPr="00985878">
        <w:rPr>
          <w:rFonts w:ascii="Arial" w:eastAsia="Calibri" w:hAnsi="Arial" w:cs="Arial"/>
        </w:rPr>
        <w:t xml:space="preserve"> a son born in 2015. The male author suffers from brain damage following </w:t>
      </w:r>
      <w:r>
        <w:rPr>
          <w:rFonts w:ascii="Arial" w:eastAsia="Calibri" w:hAnsi="Arial" w:cs="Arial"/>
        </w:rPr>
        <w:t xml:space="preserve">a car </w:t>
      </w:r>
      <w:r w:rsidRPr="00985878">
        <w:rPr>
          <w:rFonts w:ascii="Arial" w:eastAsia="Calibri" w:hAnsi="Arial" w:cs="Arial"/>
        </w:rPr>
        <w:t>accident in 2009. The authors’ application for family reunifi</w:t>
      </w:r>
      <w:r>
        <w:rPr>
          <w:rFonts w:ascii="Arial" w:eastAsia="Calibri" w:hAnsi="Arial" w:cs="Arial"/>
        </w:rPr>
        <w:t xml:space="preserve">cation in the State party and a </w:t>
      </w:r>
      <w:r w:rsidRPr="00985878">
        <w:rPr>
          <w:rFonts w:ascii="Arial" w:eastAsia="Calibri" w:hAnsi="Arial" w:cs="Arial"/>
        </w:rPr>
        <w:t>residence permit for the female author has been denied b</w:t>
      </w:r>
      <w:r w:rsidR="00D01FA2">
        <w:rPr>
          <w:rFonts w:ascii="Arial" w:eastAsia="Calibri" w:hAnsi="Arial" w:cs="Arial"/>
        </w:rPr>
        <w:t>y the domestic authorities</w:t>
      </w:r>
      <w:r w:rsidR="00DF2C86">
        <w:rPr>
          <w:rFonts w:ascii="Arial" w:eastAsia="Calibri" w:hAnsi="Arial" w:cs="Arial"/>
        </w:rPr>
        <w:t xml:space="preserve"> and they </w:t>
      </w:r>
      <w:r w:rsidRPr="00985878">
        <w:rPr>
          <w:rFonts w:ascii="Arial" w:eastAsia="Calibri" w:hAnsi="Arial" w:cs="Arial"/>
        </w:rPr>
        <w:t>claim th</w:t>
      </w:r>
      <w:r w:rsidR="00DF2C86">
        <w:rPr>
          <w:rFonts w:ascii="Arial" w:eastAsia="Calibri" w:hAnsi="Arial" w:cs="Arial"/>
        </w:rPr>
        <w:t xml:space="preserve">is </w:t>
      </w:r>
      <w:r w:rsidRPr="00985878">
        <w:rPr>
          <w:rFonts w:ascii="Arial" w:eastAsia="Calibri" w:hAnsi="Arial" w:cs="Arial"/>
        </w:rPr>
        <w:t xml:space="preserve">rejection </w:t>
      </w:r>
      <w:r w:rsidR="00D01FA2">
        <w:rPr>
          <w:rFonts w:ascii="Arial" w:eastAsia="Calibri" w:hAnsi="Arial" w:cs="Arial"/>
        </w:rPr>
        <w:t xml:space="preserve">violates their </w:t>
      </w:r>
      <w:r w:rsidRPr="00985878">
        <w:rPr>
          <w:rFonts w:ascii="Arial" w:eastAsia="Calibri" w:hAnsi="Arial" w:cs="Arial"/>
        </w:rPr>
        <w:t>rights under articles 5 and 23 of the Convention.</w:t>
      </w:r>
      <w:r w:rsidR="007109B5">
        <w:rPr>
          <w:rFonts w:ascii="Arial" w:eastAsia="Calibri" w:hAnsi="Arial" w:cs="Arial"/>
        </w:rPr>
        <w:t xml:space="preserve"> The </w:t>
      </w:r>
      <w:r w:rsidR="00E01443">
        <w:rPr>
          <w:rFonts w:ascii="Arial" w:eastAsia="Calibri" w:hAnsi="Arial" w:cs="Arial"/>
        </w:rPr>
        <w:t xml:space="preserve">Optional </w:t>
      </w:r>
      <w:r w:rsidRPr="00985878">
        <w:rPr>
          <w:rFonts w:ascii="Arial" w:eastAsia="Calibri" w:hAnsi="Arial" w:cs="Arial"/>
        </w:rPr>
        <w:t>Protocol entered into force for the State on 23 October 2014.</w:t>
      </w:r>
      <w:r w:rsidR="00D01FA2">
        <w:rPr>
          <w:rFonts w:ascii="Arial" w:eastAsia="Calibri" w:hAnsi="Arial" w:cs="Arial"/>
        </w:rPr>
        <w:t xml:space="preserve"> </w:t>
      </w:r>
    </w:p>
    <w:p w14:paraId="6B131A26" w14:textId="3C93B390" w:rsidR="00D01FA2" w:rsidRPr="00D01FA2" w:rsidRDefault="00D01FA2" w:rsidP="008376D6">
      <w:pPr>
        <w:jc w:val="both"/>
        <w:rPr>
          <w:rFonts w:ascii="Arial" w:eastAsia="Calibri" w:hAnsi="Arial" w:cs="Arial"/>
        </w:rPr>
      </w:pPr>
      <w:r w:rsidRPr="00D01FA2">
        <w:rPr>
          <w:rFonts w:ascii="Arial" w:eastAsia="Calibri" w:hAnsi="Arial" w:cs="Arial"/>
        </w:rPr>
        <w:t>On 30 May 2013, the authors applied for family reunification and a residence permit</w:t>
      </w:r>
      <w:r>
        <w:rPr>
          <w:rFonts w:ascii="Arial" w:eastAsia="Calibri" w:hAnsi="Arial" w:cs="Arial"/>
        </w:rPr>
        <w:t xml:space="preserve"> </w:t>
      </w:r>
      <w:r w:rsidRPr="00D01FA2">
        <w:rPr>
          <w:rFonts w:ascii="Arial" w:eastAsia="Calibri" w:hAnsi="Arial" w:cs="Arial"/>
        </w:rPr>
        <w:t xml:space="preserve">for the female author in Denmark based on their marriage celebrated </w:t>
      </w:r>
      <w:r>
        <w:rPr>
          <w:rFonts w:ascii="Arial" w:eastAsia="Calibri" w:hAnsi="Arial" w:cs="Arial"/>
        </w:rPr>
        <w:t>in 2</w:t>
      </w:r>
      <w:r w:rsidRPr="00D01FA2">
        <w:rPr>
          <w:rFonts w:ascii="Arial" w:eastAsia="Calibri" w:hAnsi="Arial" w:cs="Arial"/>
        </w:rPr>
        <w:t>013</w:t>
      </w:r>
      <w:r>
        <w:rPr>
          <w:rFonts w:ascii="Arial" w:eastAsia="Calibri" w:hAnsi="Arial" w:cs="Arial"/>
        </w:rPr>
        <w:t xml:space="preserve">, providing </w:t>
      </w:r>
      <w:r w:rsidRPr="00D01FA2">
        <w:rPr>
          <w:rFonts w:ascii="Arial" w:eastAsia="Calibri" w:hAnsi="Arial" w:cs="Arial"/>
        </w:rPr>
        <w:t>information about the male author’s physical and mental health. The information</w:t>
      </w:r>
      <w:r>
        <w:rPr>
          <w:rFonts w:ascii="Arial" w:eastAsia="Calibri" w:hAnsi="Arial" w:cs="Arial"/>
        </w:rPr>
        <w:t xml:space="preserve"> </w:t>
      </w:r>
      <w:r w:rsidRPr="00D01FA2">
        <w:rPr>
          <w:rFonts w:ascii="Arial" w:eastAsia="Calibri" w:hAnsi="Arial" w:cs="Arial"/>
        </w:rPr>
        <w:t>documented</w:t>
      </w:r>
      <w:r w:rsidR="004C53AF">
        <w:rPr>
          <w:rFonts w:ascii="Arial" w:eastAsia="Calibri" w:hAnsi="Arial" w:cs="Arial"/>
        </w:rPr>
        <w:t xml:space="preserve"> also</w:t>
      </w:r>
      <w:r>
        <w:rPr>
          <w:rFonts w:ascii="Arial" w:eastAsia="Calibri" w:hAnsi="Arial" w:cs="Arial"/>
        </w:rPr>
        <w:t xml:space="preserve"> t</w:t>
      </w:r>
      <w:r w:rsidR="008376D6">
        <w:rPr>
          <w:rFonts w:ascii="Arial" w:eastAsia="Calibri" w:hAnsi="Arial" w:cs="Arial"/>
        </w:rPr>
        <w:t>hat</w:t>
      </w:r>
      <w:r w:rsidR="004C53AF">
        <w:rPr>
          <w:rFonts w:ascii="Arial" w:eastAsia="Calibri" w:hAnsi="Arial" w:cs="Arial"/>
        </w:rPr>
        <w:t>,</w:t>
      </w:r>
      <w:r w:rsidR="008376D6">
        <w:rPr>
          <w:rFonts w:ascii="Arial" w:eastAsia="Calibri" w:hAnsi="Arial" w:cs="Arial"/>
        </w:rPr>
        <w:t xml:space="preserve"> on the basis of the brain damage caused by</w:t>
      </w:r>
      <w:r>
        <w:rPr>
          <w:rFonts w:ascii="Arial" w:eastAsia="Calibri" w:hAnsi="Arial" w:cs="Arial"/>
        </w:rPr>
        <w:t xml:space="preserve"> the car accident, the male author</w:t>
      </w:r>
      <w:r w:rsidR="008376D6">
        <w:rPr>
          <w:rFonts w:ascii="Arial" w:eastAsia="Calibri" w:hAnsi="Arial" w:cs="Arial"/>
        </w:rPr>
        <w:t xml:space="preserve"> had </w:t>
      </w:r>
      <w:r w:rsidRPr="00D01FA2">
        <w:rPr>
          <w:rFonts w:ascii="Arial" w:eastAsia="Calibri" w:hAnsi="Arial" w:cs="Arial"/>
        </w:rPr>
        <w:t>received social benefits from May</w:t>
      </w:r>
      <w:r w:rsidR="008376D6">
        <w:rPr>
          <w:rFonts w:ascii="Arial" w:eastAsia="Calibri" w:hAnsi="Arial" w:cs="Arial"/>
        </w:rPr>
        <w:t xml:space="preserve"> </w:t>
      </w:r>
      <w:r w:rsidRPr="00D01FA2">
        <w:rPr>
          <w:rFonts w:ascii="Arial" w:eastAsia="Calibri" w:hAnsi="Arial" w:cs="Arial"/>
        </w:rPr>
        <w:t xml:space="preserve">2009, as he could not support himself through employment. </w:t>
      </w:r>
      <w:r w:rsidR="007109B5">
        <w:rPr>
          <w:rFonts w:ascii="Arial" w:eastAsia="Calibri" w:hAnsi="Arial" w:cs="Arial"/>
        </w:rPr>
        <w:t>Based on section 9</w:t>
      </w:r>
      <w:r w:rsidR="008376D6">
        <w:rPr>
          <w:rFonts w:ascii="Arial" w:eastAsia="Calibri" w:hAnsi="Arial" w:cs="Arial"/>
        </w:rPr>
        <w:t xml:space="preserve">(5) of the Danish Alien Act, </w:t>
      </w:r>
      <w:r w:rsidR="008376D6" w:rsidRPr="00D01FA2">
        <w:rPr>
          <w:rFonts w:ascii="Arial" w:eastAsia="Calibri" w:hAnsi="Arial" w:cs="Arial"/>
        </w:rPr>
        <w:t>according to which a residence permit based on family reunification cannot</w:t>
      </w:r>
      <w:r w:rsidR="008376D6">
        <w:rPr>
          <w:rFonts w:ascii="Arial" w:eastAsia="Calibri" w:hAnsi="Arial" w:cs="Arial"/>
        </w:rPr>
        <w:t xml:space="preserve"> </w:t>
      </w:r>
      <w:r w:rsidR="008376D6" w:rsidRPr="00D01FA2">
        <w:rPr>
          <w:rFonts w:ascii="Arial" w:eastAsia="Calibri" w:hAnsi="Arial" w:cs="Arial"/>
        </w:rPr>
        <w:t>be granted if the applicant’s spouse has received social benefits within a period of three years</w:t>
      </w:r>
      <w:r w:rsidR="008376D6">
        <w:rPr>
          <w:rFonts w:ascii="Arial" w:eastAsia="Calibri" w:hAnsi="Arial" w:cs="Arial"/>
        </w:rPr>
        <w:t xml:space="preserve"> </w:t>
      </w:r>
      <w:r w:rsidR="008376D6" w:rsidRPr="00D01FA2">
        <w:rPr>
          <w:rFonts w:ascii="Arial" w:eastAsia="Calibri" w:hAnsi="Arial" w:cs="Arial"/>
        </w:rPr>
        <w:t>prior to the application</w:t>
      </w:r>
      <w:r w:rsidR="008376D6">
        <w:rPr>
          <w:rFonts w:ascii="Arial" w:eastAsia="Calibri" w:hAnsi="Arial" w:cs="Arial"/>
        </w:rPr>
        <w:t xml:space="preserve">, on 29 August 2013 </w:t>
      </w:r>
      <w:r w:rsidRPr="00D01FA2">
        <w:rPr>
          <w:rFonts w:ascii="Arial" w:eastAsia="Calibri" w:hAnsi="Arial" w:cs="Arial"/>
        </w:rPr>
        <w:t xml:space="preserve">the Immigration Service </w:t>
      </w:r>
      <w:r w:rsidR="008376D6">
        <w:rPr>
          <w:rFonts w:ascii="Arial" w:eastAsia="Calibri" w:hAnsi="Arial" w:cs="Arial"/>
        </w:rPr>
        <w:t xml:space="preserve">rejected the application. </w:t>
      </w:r>
      <w:r w:rsidRPr="00D01FA2">
        <w:rPr>
          <w:rFonts w:ascii="Arial" w:eastAsia="Calibri" w:hAnsi="Arial" w:cs="Arial"/>
        </w:rPr>
        <w:t>The decision was upheld by the Immigration Appeals Board on 3</w:t>
      </w:r>
      <w:r w:rsidR="008376D6">
        <w:rPr>
          <w:rFonts w:ascii="Arial" w:eastAsia="Calibri" w:hAnsi="Arial" w:cs="Arial"/>
        </w:rPr>
        <w:t xml:space="preserve"> </w:t>
      </w:r>
      <w:r w:rsidRPr="00D01FA2">
        <w:rPr>
          <w:rFonts w:ascii="Arial" w:eastAsia="Calibri" w:hAnsi="Arial" w:cs="Arial"/>
        </w:rPr>
        <w:t>December 2014.</w:t>
      </w:r>
    </w:p>
    <w:p w14:paraId="56DF01C4" w14:textId="77777777" w:rsidR="00D01FA2" w:rsidRPr="00D01FA2" w:rsidRDefault="00D01FA2" w:rsidP="008376D6">
      <w:pPr>
        <w:jc w:val="both"/>
        <w:rPr>
          <w:rFonts w:ascii="Arial" w:eastAsia="Calibri" w:hAnsi="Arial" w:cs="Arial"/>
        </w:rPr>
      </w:pPr>
      <w:r w:rsidRPr="00D01FA2">
        <w:rPr>
          <w:rFonts w:ascii="Arial" w:eastAsia="Calibri" w:hAnsi="Arial" w:cs="Arial"/>
        </w:rPr>
        <w:t>On 22 December 2015, the Eastern High Court found that the decision of the</w:t>
      </w:r>
      <w:r w:rsidR="008376D6">
        <w:rPr>
          <w:rFonts w:ascii="Arial" w:eastAsia="Calibri" w:hAnsi="Arial" w:cs="Arial"/>
        </w:rPr>
        <w:t xml:space="preserve"> </w:t>
      </w:r>
      <w:r w:rsidRPr="00D01FA2">
        <w:rPr>
          <w:rFonts w:ascii="Arial" w:eastAsia="Calibri" w:hAnsi="Arial" w:cs="Arial"/>
        </w:rPr>
        <w:t xml:space="preserve">Immigration Appeals Board violated the </w:t>
      </w:r>
      <w:r w:rsidR="008376D6">
        <w:rPr>
          <w:rFonts w:ascii="Arial" w:eastAsia="Calibri" w:hAnsi="Arial" w:cs="Arial"/>
        </w:rPr>
        <w:t xml:space="preserve">CRPD, noting that the </w:t>
      </w:r>
      <w:r w:rsidRPr="00D01FA2">
        <w:rPr>
          <w:rFonts w:ascii="Arial" w:eastAsia="Calibri" w:hAnsi="Arial" w:cs="Arial"/>
        </w:rPr>
        <w:t>requirement that the spouse who lives in Denmark is able to</w:t>
      </w:r>
      <w:r w:rsidR="008376D6">
        <w:rPr>
          <w:rFonts w:ascii="Arial" w:eastAsia="Calibri" w:hAnsi="Arial" w:cs="Arial"/>
        </w:rPr>
        <w:t xml:space="preserve"> </w:t>
      </w:r>
      <w:r w:rsidRPr="00D01FA2">
        <w:rPr>
          <w:rFonts w:ascii="Arial" w:eastAsia="Calibri" w:hAnsi="Arial" w:cs="Arial"/>
        </w:rPr>
        <w:t>support himself financially could not be upheld if under the Convention such a requirement</w:t>
      </w:r>
      <w:r w:rsidR="008376D6">
        <w:rPr>
          <w:rFonts w:ascii="Arial" w:eastAsia="Calibri" w:hAnsi="Arial" w:cs="Arial"/>
        </w:rPr>
        <w:t xml:space="preserve"> </w:t>
      </w:r>
      <w:r w:rsidRPr="00D01FA2">
        <w:rPr>
          <w:rFonts w:ascii="Arial" w:eastAsia="Calibri" w:hAnsi="Arial" w:cs="Arial"/>
        </w:rPr>
        <w:t>should be waived. It found that this would be the case if the person could not fulfil the</w:t>
      </w:r>
      <w:r w:rsidR="008376D6">
        <w:rPr>
          <w:rFonts w:ascii="Arial" w:eastAsia="Calibri" w:hAnsi="Arial" w:cs="Arial"/>
        </w:rPr>
        <w:t xml:space="preserve"> </w:t>
      </w:r>
      <w:r w:rsidRPr="00D01FA2">
        <w:rPr>
          <w:rFonts w:ascii="Arial" w:eastAsia="Calibri" w:hAnsi="Arial" w:cs="Arial"/>
        </w:rPr>
        <w:t xml:space="preserve">financial requirement because of a disability. </w:t>
      </w:r>
      <w:r w:rsidR="004C53AF">
        <w:rPr>
          <w:rFonts w:ascii="Arial" w:eastAsia="Calibri" w:hAnsi="Arial" w:cs="Arial"/>
        </w:rPr>
        <w:t xml:space="preserve">Considering the </w:t>
      </w:r>
      <w:r w:rsidRPr="00D01FA2">
        <w:rPr>
          <w:rFonts w:ascii="Arial" w:eastAsia="Calibri" w:hAnsi="Arial" w:cs="Arial"/>
        </w:rPr>
        <w:t>male author’s</w:t>
      </w:r>
      <w:r w:rsidR="008376D6">
        <w:rPr>
          <w:rFonts w:ascii="Arial" w:eastAsia="Calibri" w:hAnsi="Arial" w:cs="Arial"/>
        </w:rPr>
        <w:t xml:space="preserve"> </w:t>
      </w:r>
      <w:r w:rsidR="004C53AF">
        <w:rPr>
          <w:rFonts w:ascii="Arial" w:eastAsia="Calibri" w:hAnsi="Arial" w:cs="Arial"/>
        </w:rPr>
        <w:t xml:space="preserve">health, the Committee found that </w:t>
      </w:r>
      <w:r w:rsidRPr="00D01FA2">
        <w:rPr>
          <w:rFonts w:ascii="Arial" w:eastAsia="Calibri" w:hAnsi="Arial" w:cs="Arial"/>
        </w:rPr>
        <w:t>there was no prospect that he could support hims</w:t>
      </w:r>
      <w:r w:rsidR="004C53AF">
        <w:rPr>
          <w:rFonts w:ascii="Arial" w:eastAsia="Calibri" w:hAnsi="Arial" w:cs="Arial"/>
        </w:rPr>
        <w:t xml:space="preserve">elf financially and </w:t>
      </w:r>
      <w:r w:rsidRPr="00D01FA2">
        <w:rPr>
          <w:rFonts w:ascii="Arial" w:eastAsia="Calibri" w:hAnsi="Arial" w:cs="Arial"/>
        </w:rPr>
        <w:t>therefore concluded</w:t>
      </w:r>
      <w:r w:rsidR="008376D6">
        <w:rPr>
          <w:rFonts w:ascii="Arial" w:eastAsia="Calibri" w:hAnsi="Arial" w:cs="Arial"/>
        </w:rPr>
        <w:t xml:space="preserve"> </w:t>
      </w:r>
      <w:r w:rsidRPr="00D01FA2">
        <w:rPr>
          <w:rFonts w:ascii="Arial" w:eastAsia="Calibri" w:hAnsi="Arial" w:cs="Arial"/>
        </w:rPr>
        <w:t>that the male author should not be requested to fulfil the requirement of being able to support</w:t>
      </w:r>
      <w:r w:rsidR="008376D6">
        <w:rPr>
          <w:rFonts w:ascii="Arial" w:eastAsia="Calibri" w:hAnsi="Arial" w:cs="Arial"/>
        </w:rPr>
        <w:t xml:space="preserve"> </w:t>
      </w:r>
      <w:r w:rsidR="004C53AF">
        <w:rPr>
          <w:rFonts w:ascii="Arial" w:eastAsia="Calibri" w:hAnsi="Arial" w:cs="Arial"/>
        </w:rPr>
        <w:t>himself financially</w:t>
      </w:r>
      <w:r w:rsidRPr="00D01FA2">
        <w:rPr>
          <w:rFonts w:ascii="Arial" w:eastAsia="Calibri" w:hAnsi="Arial" w:cs="Arial"/>
        </w:rPr>
        <w:t xml:space="preserve"> as</w:t>
      </w:r>
      <w:r w:rsidR="004C53AF">
        <w:rPr>
          <w:rFonts w:ascii="Arial" w:eastAsia="Calibri" w:hAnsi="Arial" w:cs="Arial"/>
        </w:rPr>
        <w:t>,</w:t>
      </w:r>
      <w:r w:rsidRPr="00D01FA2">
        <w:rPr>
          <w:rFonts w:ascii="Arial" w:eastAsia="Calibri" w:hAnsi="Arial" w:cs="Arial"/>
        </w:rPr>
        <w:t xml:space="preserve"> on the basis of his disability, this requirement prevented him from</w:t>
      </w:r>
      <w:r w:rsidR="008376D6">
        <w:rPr>
          <w:rFonts w:ascii="Arial" w:eastAsia="Calibri" w:hAnsi="Arial" w:cs="Arial"/>
        </w:rPr>
        <w:t xml:space="preserve"> </w:t>
      </w:r>
      <w:r w:rsidRPr="00D01FA2">
        <w:rPr>
          <w:rFonts w:ascii="Arial" w:eastAsia="Calibri" w:hAnsi="Arial" w:cs="Arial"/>
        </w:rPr>
        <w:t>enjoying his right to family life on equal terms with other persons.</w:t>
      </w:r>
    </w:p>
    <w:p w14:paraId="44538DA6" w14:textId="235597C5" w:rsidR="00D01FA2" w:rsidRPr="00D01FA2" w:rsidRDefault="004C53AF" w:rsidP="002C1A2C">
      <w:pPr>
        <w:jc w:val="both"/>
        <w:rPr>
          <w:rFonts w:ascii="Arial" w:eastAsia="Calibri" w:hAnsi="Arial" w:cs="Arial"/>
        </w:rPr>
      </w:pPr>
      <w:r>
        <w:rPr>
          <w:rFonts w:ascii="Arial" w:eastAsia="Calibri" w:hAnsi="Arial" w:cs="Arial"/>
        </w:rPr>
        <w:t>I</w:t>
      </w:r>
      <w:r w:rsidR="00D01FA2" w:rsidRPr="00D01FA2">
        <w:rPr>
          <w:rFonts w:ascii="Arial" w:eastAsia="Calibri" w:hAnsi="Arial" w:cs="Arial"/>
        </w:rPr>
        <w:t>n</w:t>
      </w:r>
      <w:r>
        <w:rPr>
          <w:rFonts w:ascii="Arial" w:eastAsia="Calibri" w:hAnsi="Arial" w:cs="Arial"/>
        </w:rPr>
        <w:t xml:space="preserve"> </w:t>
      </w:r>
      <w:r w:rsidR="00D01FA2" w:rsidRPr="00D01FA2">
        <w:rPr>
          <w:rFonts w:ascii="Arial" w:eastAsia="Calibri" w:hAnsi="Arial" w:cs="Arial"/>
        </w:rPr>
        <w:t>22 December 2016, the Supreme Court overturned the</w:t>
      </w:r>
      <w:r w:rsidR="008376D6">
        <w:rPr>
          <w:rFonts w:ascii="Arial" w:eastAsia="Calibri" w:hAnsi="Arial" w:cs="Arial"/>
        </w:rPr>
        <w:t xml:space="preserve"> </w:t>
      </w:r>
      <w:r w:rsidR="00D01FA2" w:rsidRPr="00D01FA2">
        <w:rPr>
          <w:rFonts w:ascii="Arial" w:eastAsia="Calibri" w:hAnsi="Arial" w:cs="Arial"/>
        </w:rPr>
        <w:t>decision of the High Court, noting that the male author had participated in a</w:t>
      </w:r>
      <w:r w:rsidR="008376D6">
        <w:rPr>
          <w:rFonts w:ascii="Arial" w:eastAsia="Calibri" w:hAnsi="Arial" w:cs="Arial"/>
        </w:rPr>
        <w:t xml:space="preserve"> </w:t>
      </w:r>
      <w:r w:rsidR="00D01FA2" w:rsidRPr="00D01FA2">
        <w:rPr>
          <w:rFonts w:ascii="Arial" w:eastAsia="Calibri" w:hAnsi="Arial" w:cs="Arial"/>
        </w:rPr>
        <w:t>program to “uncover his employment” and had the option to be granted</w:t>
      </w:r>
      <w:r w:rsidR="008376D6">
        <w:rPr>
          <w:rFonts w:ascii="Arial" w:eastAsia="Calibri" w:hAnsi="Arial" w:cs="Arial"/>
        </w:rPr>
        <w:t xml:space="preserve"> </w:t>
      </w:r>
      <w:r w:rsidR="002C1A2C">
        <w:rPr>
          <w:rFonts w:ascii="Arial" w:eastAsia="Calibri" w:hAnsi="Arial" w:cs="Arial"/>
        </w:rPr>
        <w:t>special flexible employment. T</w:t>
      </w:r>
      <w:r w:rsidR="00D01FA2" w:rsidRPr="00D01FA2">
        <w:rPr>
          <w:rFonts w:ascii="Arial" w:eastAsia="Calibri" w:hAnsi="Arial" w:cs="Arial"/>
        </w:rPr>
        <w:t xml:space="preserve">he Court concluded that the male author had a reasonable </w:t>
      </w:r>
      <w:r w:rsidR="00D01FA2" w:rsidRPr="00D01FA2">
        <w:rPr>
          <w:rFonts w:ascii="Arial" w:eastAsia="Calibri" w:hAnsi="Arial" w:cs="Arial"/>
        </w:rPr>
        <w:lastRenderedPageBreak/>
        <w:t>chance to fulfil the requirement of</w:t>
      </w:r>
      <w:r w:rsidR="002C1A2C">
        <w:rPr>
          <w:rFonts w:ascii="Arial" w:eastAsia="Calibri" w:hAnsi="Arial" w:cs="Arial"/>
        </w:rPr>
        <w:t xml:space="preserve"> </w:t>
      </w:r>
      <w:r w:rsidR="00D01FA2" w:rsidRPr="00D01FA2">
        <w:rPr>
          <w:rFonts w:ascii="Arial" w:eastAsia="Calibri" w:hAnsi="Arial" w:cs="Arial"/>
        </w:rPr>
        <w:t>being able to support himself financially</w:t>
      </w:r>
      <w:r w:rsidR="001D31B7">
        <w:rPr>
          <w:rFonts w:ascii="Arial" w:eastAsia="Calibri" w:hAnsi="Arial" w:cs="Arial"/>
        </w:rPr>
        <w:t xml:space="preserve"> and that he</w:t>
      </w:r>
      <w:r w:rsidR="00D01FA2" w:rsidRPr="00D01FA2">
        <w:rPr>
          <w:rFonts w:ascii="Arial" w:eastAsia="Calibri" w:hAnsi="Arial" w:cs="Arial"/>
        </w:rPr>
        <w:t xml:space="preserve"> was in a position comparable</w:t>
      </w:r>
      <w:r w:rsidR="002C1A2C">
        <w:rPr>
          <w:rFonts w:ascii="Arial" w:eastAsia="Calibri" w:hAnsi="Arial" w:cs="Arial"/>
        </w:rPr>
        <w:t xml:space="preserve"> </w:t>
      </w:r>
      <w:r w:rsidR="00D01FA2" w:rsidRPr="00D01FA2">
        <w:rPr>
          <w:rFonts w:ascii="Arial" w:eastAsia="Calibri" w:hAnsi="Arial" w:cs="Arial"/>
        </w:rPr>
        <w:t xml:space="preserve">to persons without a disability who had received social benefits, </w:t>
      </w:r>
      <w:r>
        <w:rPr>
          <w:rFonts w:ascii="Arial" w:eastAsia="Calibri" w:hAnsi="Arial" w:cs="Arial"/>
        </w:rPr>
        <w:t>thus not been</w:t>
      </w:r>
      <w:r w:rsidR="00D01FA2" w:rsidRPr="00D01FA2">
        <w:rPr>
          <w:rFonts w:ascii="Arial" w:eastAsia="Calibri" w:hAnsi="Arial" w:cs="Arial"/>
        </w:rPr>
        <w:t xml:space="preserve"> subject to discrimination in violation of the European Convention on Human Rights or</w:t>
      </w:r>
      <w:r w:rsidR="002C1A2C">
        <w:rPr>
          <w:rFonts w:ascii="Arial" w:eastAsia="Calibri" w:hAnsi="Arial" w:cs="Arial"/>
        </w:rPr>
        <w:t xml:space="preserve"> </w:t>
      </w:r>
      <w:r w:rsidR="00D01FA2" w:rsidRPr="00D01FA2">
        <w:rPr>
          <w:rFonts w:ascii="Arial" w:eastAsia="Calibri" w:hAnsi="Arial" w:cs="Arial"/>
        </w:rPr>
        <w:t xml:space="preserve">the </w:t>
      </w:r>
      <w:r w:rsidR="002C1A2C">
        <w:rPr>
          <w:rFonts w:ascii="Arial" w:eastAsia="Calibri" w:hAnsi="Arial" w:cs="Arial"/>
        </w:rPr>
        <w:t>CRPD</w:t>
      </w:r>
      <w:r w:rsidR="00D01FA2" w:rsidRPr="00D01FA2">
        <w:rPr>
          <w:rFonts w:ascii="Arial" w:eastAsia="Calibri" w:hAnsi="Arial" w:cs="Arial"/>
        </w:rPr>
        <w:t>.</w:t>
      </w:r>
    </w:p>
    <w:p w14:paraId="546E0427" w14:textId="77777777" w:rsidR="00655376" w:rsidRPr="0057421C" w:rsidRDefault="00655376" w:rsidP="00655376">
      <w:pPr>
        <w:rPr>
          <w:rFonts w:ascii="Arial" w:eastAsia="Calibri" w:hAnsi="Arial" w:cs="Arial"/>
          <w:bCs/>
          <w:color w:val="000000"/>
          <w:sz w:val="28"/>
          <w:szCs w:val="28"/>
        </w:rPr>
      </w:pPr>
      <w:r w:rsidRPr="0057421C">
        <w:rPr>
          <w:rFonts w:ascii="Arial" w:eastAsia="Calibri" w:hAnsi="Arial" w:cs="Arial"/>
          <w:bCs/>
          <w:color w:val="000000"/>
          <w:sz w:val="28"/>
          <w:szCs w:val="28"/>
        </w:rPr>
        <w:t>The complaint submitted to the Committee</w:t>
      </w:r>
    </w:p>
    <w:p w14:paraId="1BA226C2" w14:textId="77777777" w:rsidR="007C420F" w:rsidRDefault="006A34B8" w:rsidP="00241129">
      <w:pPr>
        <w:jc w:val="both"/>
        <w:rPr>
          <w:rFonts w:ascii="Arial" w:eastAsia="Calibri" w:hAnsi="Arial" w:cs="Arial"/>
        </w:rPr>
      </w:pPr>
      <w:r w:rsidRPr="006A34B8">
        <w:rPr>
          <w:rFonts w:ascii="Arial" w:eastAsia="Calibri" w:hAnsi="Arial" w:cs="Arial"/>
        </w:rPr>
        <w:t>The author claims</w:t>
      </w:r>
      <w:r>
        <w:rPr>
          <w:rFonts w:ascii="Arial" w:eastAsia="Calibri" w:hAnsi="Arial" w:cs="Arial"/>
        </w:rPr>
        <w:t xml:space="preserve"> that the State party violated</w:t>
      </w:r>
      <w:r w:rsidR="007C420F">
        <w:rPr>
          <w:rFonts w:ascii="Arial" w:eastAsia="Calibri" w:hAnsi="Arial" w:cs="Arial"/>
        </w:rPr>
        <w:t xml:space="preserve"> its obligations under article </w:t>
      </w:r>
      <w:hyperlink r:id="rId10" w:anchor="5" w:history="1">
        <w:r w:rsidR="007C420F" w:rsidRPr="007C420F">
          <w:rPr>
            <w:rStyle w:val="Hyperlink"/>
            <w:rFonts w:ascii="Arial" w:eastAsia="Calibri" w:hAnsi="Arial" w:cs="Arial"/>
          </w:rPr>
          <w:t>5</w:t>
        </w:r>
      </w:hyperlink>
      <w:r w:rsidR="002C1A2C">
        <w:rPr>
          <w:rFonts w:ascii="Arial" w:eastAsia="Calibri" w:hAnsi="Arial" w:cs="Arial"/>
        </w:rPr>
        <w:t xml:space="preserve"> and </w:t>
      </w:r>
      <w:hyperlink r:id="rId11" w:anchor="23" w:history="1">
        <w:r w:rsidR="002C1A2C" w:rsidRPr="0088122C">
          <w:rPr>
            <w:rStyle w:val="Hyperlink"/>
            <w:rFonts w:ascii="Arial" w:eastAsia="Calibri" w:hAnsi="Arial" w:cs="Arial"/>
          </w:rPr>
          <w:t>23</w:t>
        </w:r>
      </w:hyperlink>
      <w:r w:rsidR="002C1A2C">
        <w:rPr>
          <w:rFonts w:ascii="Arial" w:eastAsia="Calibri" w:hAnsi="Arial" w:cs="Arial"/>
        </w:rPr>
        <w:t xml:space="preserve"> </w:t>
      </w:r>
      <w:r>
        <w:rPr>
          <w:rFonts w:ascii="Arial" w:eastAsia="Calibri" w:hAnsi="Arial" w:cs="Arial"/>
        </w:rPr>
        <w:t xml:space="preserve">of the CRPD. </w:t>
      </w:r>
    </w:p>
    <w:p w14:paraId="36B5AB1B" w14:textId="0419CC8D" w:rsidR="002C1A2C" w:rsidRPr="002C1A2C" w:rsidRDefault="002C1A2C" w:rsidP="002C1A2C">
      <w:pPr>
        <w:jc w:val="both"/>
        <w:rPr>
          <w:rFonts w:ascii="Arial" w:eastAsia="Calibri" w:hAnsi="Arial" w:cs="Arial"/>
          <w:u w:val="single"/>
        </w:rPr>
      </w:pPr>
      <w:r>
        <w:rPr>
          <w:rFonts w:ascii="Arial" w:eastAsia="Calibri" w:hAnsi="Arial" w:cs="Arial"/>
          <w:u w:val="single"/>
        </w:rPr>
        <w:t>Regarding article 5,</w:t>
      </w:r>
      <w:r w:rsidRPr="002C1A2C">
        <w:rPr>
          <w:rFonts w:ascii="Arial" w:eastAsia="Calibri" w:hAnsi="Arial" w:cs="Arial"/>
        </w:rPr>
        <w:t xml:space="preserve"> they argue that the approach by the Danish authorities applies a</w:t>
      </w:r>
      <w:r>
        <w:rPr>
          <w:rFonts w:ascii="Arial" w:eastAsia="Calibri" w:hAnsi="Arial" w:cs="Arial"/>
        </w:rPr>
        <w:t xml:space="preserve"> </w:t>
      </w:r>
      <w:r w:rsidRPr="002C1A2C">
        <w:rPr>
          <w:rFonts w:ascii="Arial" w:eastAsia="Calibri" w:hAnsi="Arial" w:cs="Arial"/>
        </w:rPr>
        <w:t xml:space="preserve">wrong </w:t>
      </w:r>
      <w:r w:rsidR="00EC1948">
        <w:rPr>
          <w:rFonts w:ascii="Arial" w:eastAsia="Calibri" w:hAnsi="Arial" w:cs="Arial"/>
        </w:rPr>
        <w:t xml:space="preserve">definition of discrimination that </w:t>
      </w:r>
      <w:r w:rsidRPr="002C1A2C">
        <w:rPr>
          <w:rFonts w:ascii="Arial" w:eastAsia="Calibri" w:hAnsi="Arial" w:cs="Arial"/>
        </w:rPr>
        <w:t>neither recognises the duty to provide reasonable</w:t>
      </w:r>
      <w:r w:rsidRPr="00EC1948">
        <w:rPr>
          <w:rFonts w:ascii="Arial" w:eastAsia="Calibri" w:hAnsi="Arial" w:cs="Arial"/>
        </w:rPr>
        <w:t xml:space="preserve"> </w:t>
      </w:r>
      <w:r w:rsidRPr="002C1A2C">
        <w:rPr>
          <w:rFonts w:ascii="Arial" w:eastAsia="Calibri" w:hAnsi="Arial" w:cs="Arial"/>
        </w:rPr>
        <w:t xml:space="preserve">accommodation </w:t>
      </w:r>
      <w:r w:rsidR="00EC1948">
        <w:rPr>
          <w:rFonts w:ascii="Arial" w:eastAsia="Calibri" w:hAnsi="Arial" w:cs="Arial"/>
        </w:rPr>
        <w:t>n</w:t>
      </w:r>
      <w:r w:rsidRPr="002C1A2C">
        <w:rPr>
          <w:rFonts w:ascii="Arial" w:eastAsia="Calibri" w:hAnsi="Arial" w:cs="Arial"/>
        </w:rPr>
        <w:t xml:space="preserve">or the protection against indirect discrimination </w:t>
      </w:r>
      <w:r w:rsidR="001D31B7">
        <w:rPr>
          <w:rFonts w:ascii="Arial" w:eastAsia="Calibri" w:hAnsi="Arial" w:cs="Arial"/>
        </w:rPr>
        <w:t>based on</w:t>
      </w:r>
      <w:r w:rsidRPr="002C1A2C">
        <w:rPr>
          <w:rFonts w:ascii="Arial" w:eastAsia="Calibri" w:hAnsi="Arial" w:cs="Arial"/>
        </w:rPr>
        <w:t xml:space="preserve"> disabilit</w:t>
      </w:r>
      <w:r w:rsidR="00EC1948">
        <w:rPr>
          <w:rFonts w:ascii="Arial" w:eastAsia="Calibri" w:hAnsi="Arial" w:cs="Arial"/>
        </w:rPr>
        <w:t>y. It also does not take</w:t>
      </w:r>
      <w:r w:rsidRPr="002C1A2C">
        <w:rPr>
          <w:rFonts w:ascii="Arial" w:eastAsia="Calibri" w:hAnsi="Arial" w:cs="Arial"/>
        </w:rPr>
        <w:t xml:space="preserve"> into account tha</w:t>
      </w:r>
      <w:r>
        <w:rPr>
          <w:rFonts w:ascii="Arial" w:eastAsia="Calibri" w:hAnsi="Arial" w:cs="Arial"/>
        </w:rPr>
        <w:t xml:space="preserve">t persons with disabilities are </w:t>
      </w:r>
      <w:r w:rsidRPr="002C1A2C">
        <w:rPr>
          <w:rFonts w:ascii="Arial" w:eastAsia="Calibri" w:hAnsi="Arial" w:cs="Arial"/>
        </w:rPr>
        <w:t>placed in a significantly different situation than others in access</w:t>
      </w:r>
      <w:r w:rsidR="00EC1948">
        <w:rPr>
          <w:rFonts w:ascii="Arial" w:eastAsia="Calibri" w:hAnsi="Arial" w:cs="Arial"/>
        </w:rPr>
        <w:t>ing</w:t>
      </w:r>
      <w:r>
        <w:rPr>
          <w:rFonts w:ascii="Arial" w:eastAsia="Calibri" w:hAnsi="Arial" w:cs="Arial"/>
        </w:rPr>
        <w:t xml:space="preserve"> the labour market and that </w:t>
      </w:r>
      <w:r w:rsidRPr="002C1A2C">
        <w:rPr>
          <w:rFonts w:ascii="Arial" w:eastAsia="Calibri" w:hAnsi="Arial" w:cs="Arial"/>
        </w:rPr>
        <w:t>the male a</w:t>
      </w:r>
      <w:r w:rsidR="00EC1948">
        <w:rPr>
          <w:rFonts w:ascii="Arial" w:eastAsia="Calibri" w:hAnsi="Arial" w:cs="Arial"/>
        </w:rPr>
        <w:t>uthor’s disability</w:t>
      </w:r>
      <w:r w:rsidRPr="002C1A2C">
        <w:rPr>
          <w:rFonts w:ascii="Arial" w:eastAsia="Calibri" w:hAnsi="Arial" w:cs="Arial"/>
        </w:rPr>
        <w:t xml:space="preserve"> placed him at an unreasonable disadvantage. </w:t>
      </w:r>
    </w:p>
    <w:p w14:paraId="72720159" w14:textId="22452250" w:rsidR="002C1A2C" w:rsidRPr="006A34B8" w:rsidRDefault="002C1A2C" w:rsidP="002C1A2C">
      <w:pPr>
        <w:jc w:val="both"/>
        <w:rPr>
          <w:rFonts w:ascii="Arial" w:eastAsia="Calibri" w:hAnsi="Arial" w:cs="Arial"/>
        </w:rPr>
      </w:pPr>
      <w:r w:rsidRPr="002C1A2C">
        <w:rPr>
          <w:rFonts w:ascii="Arial" w:eastAsia="Calibri" w:hAnsi="Arial" w:cs="Arial"/>
          <w:u w:val="single"/>
        </w:rPr>
        <w:t>Regarding article 23</w:t>
      </w:r>
      <w:r>
        <w:rPr>
          <w:rFonts w:ascii="Arial" w:eastAsia="Calibri" w:hAnsi="Arial" w:cs="Arial"/>
        </w:rPr>
        <w:t xml:space="preserve">, the </w:t>
      </w:r>
      <w:r w:rsidRPr="002C1A2C">
        <w:rPr>
          <w:rFonts w:ascii="Arial" w:eastAsia="Calibri" w:hAnsi="Arial" w:cs="Arial"/>
        </w:rPr>
        <w:t>authors argue that the requirement of being able to support one</w:t>
      </w:r>
      <w:r>
        <w:rPr>
          <w:rFonts w:ascii="Arial" w:eastAsia="Calibri" w:hAnsi="Arial" w:cs="Arial"/>
        </w:rPr>
        <w:t xml:space="preserve">self financially in order to be </w:t>
      </w:r>
      <w:r w:rsidRPr="002C1A2C">
        <w:rPr>
          <w:rFonts w:ascii="Arial" w:eastAsia="Calibri" w:hAnsi="Arial" w:cs="Arial"/>
        </w:rPr>
        <w:t>granted family reunification constitutes a barrier for a person</w:t>
      </w:r>
      <w:r w:rsidR="00481DFC">
        <w:rPr>
          <w:rFonts w:ascii="Arial" w:eastAsia="Calibri" w:hAnsi="Arial" w:cs="Arial"/>
        </w:rPr>
        <w:t xml:space="preserve"> with</w:t>
      </w:r>
      <w:r>
        <w:rPr>
          <w:rFonts w:ascii="Arial" w:eastAsia="Calibri" w:hAnsi="Arial" w:cs="Arial"/>
        </w:rPr>
        <w:t xml:space="preserve"> disability to enjoy the </w:t>
      </w:r>
      <w:r w:rsidRPr="002C1A2C">
        <w:rPr>
          <w:rFonts w:ascii="Arial" w:eastAsia="Calibri" w:hAnsi="Arial" w:cs="Arial"/>
        </w:rPr>
        <w:t xml:space="preserve">right to family life on equal terms with </w:t>
      </w:r>
      <w:r w:rsidR="00481DFC">
        <w:rPr>
          <w:rFonts w:ascii="Arial" w:eastAsia="Calibri" w:hAnsi="Arial" w:cs="Arial"/>
        </w:rPr>
        <w:t>others</w:t>
      </w:r>
      <w:r w:rsidRPr="002C1A2C">
        <w:rPr>
          <w:rFonts w:ascii="Arial" w:eastAsia="Calibri" w:hAnsi="Arial" w:cs="Arial"/>
        </w:rPr>
        <w:t>.</w:t>
      </w:r>
      <w:r w:rsidR="0061137C">
        <w:rPr>
          <w:rFonts w:ascii="Arial" w:eastAsia="Calibri" w:hAnsi="Arial" w:cs="Arial"/>
        </w:rPr>
        <w:t xml:space="preserve"> Moreover, as the young child is fully dependent on the female author, t</w:t>
      </w:r>
      <w:r w:rsidRPr="002C1A2C">
        <w:rPr>
          <w:rFonts w:ascii="Arial" w:eastAsia="Calibri" w:hAnsi="Arial" w:cs="Arial"/>
        </w:rPr>
        <w:t>he deportation of the female author</w:t>
      </w:r>
      <w:r>
        <w:rPr>
          <w:rFonts w:ascii="Arial" w:eastAsia="Calibri" w:hAnsi="Arial" w:cs="Arial"/>
        </w:rPr>
        <w:t xml:space="preserve"> </w:t>
      </w:r>
      <w:r w:rsidR="0061137C">
        <w:rPr>
          <w:rFonts w:ascii="Arial" w:eastAsia="Calibri" w:hAnsi="Arial" w:cs="Arial"/>
        </w:rPr>
        <w:t>t</w:t>
      </w:r>
      <w:r w:rsidRPr="002C1A2C">
        <w:rPr>
          <w:rFonts w:ascii="Arial" w:eastAsia="Calibri" w:hAnsi="Arial" w:cs="Arial"/>
        </w:rPr>
        <w:t>o Ukraine would theref</w:t>
      </w:r>
      <w:r w:rsidR="0061137C">
        <w:rPr>
          <w:rFonts w:ascii="Arial" w:eastAsia="Calibri" w:hAnsi="Arial" w:cs="Arial"/>
        </w:rPr>
        <w:t xml:space="preserve">ore irreparably harm the family </w:t>
      </w:r>
      <w:r w:rsidRPr="002C1A2C">
        <w:rPr>
          <w:rFonts w:ascii="Arial" w:eastAsia="Calibri" w:hAnsi="Arial" w:cs="Arial"/>
        </w:rPr>
        <w:t>life of the authors and their child.</w:t>
      </w:r>
    </w:p>
    <w:p w14:paraId="1AAAABAB" w14:textId="77777777" w:rsidR="0061137C" w:rsidRPr="0061137C" w:rsidRDefault="00655376" w:rsidP="0061137C">
      <w:pPr>
        <w:rPr>
          <w:rFonts w:ascii="Arial" w:eastAsia="Calibri" w:hAnsi="Arial" w:cs="Arial"/>
          <w:bCs/>
          <w:color w:val="000000"/>
          <w:sz w:val="28"/>
          <w:szCs w:val="28"/>
        </w:rPr>
      </w:pPr>
      <w:r w:rsidRPr="00655376">
        <w:rPr>
          <w:rFonts w:ascii="Arial" w:eastAsia="Calibri" w:hAnsi="Arial" w:cs="Arial"/>
          <w:bCs/>
          <w:color w:val="000000"/>
          <w:sz w:val="28"/>
          <w:szCs w:val="28"/>
        </w:rPr>
        <w:t xml:space="preserve">State party’s observations on admissibility </w:t>
      </w:r>
      <w:r w:rsidR="0061137C">
        <w:rPr>
          <w:rFonts w:ascii="Arial" w:eastAsia="Calibri" w:hAnsi="Arial" w:cs="Arial"/>
          <w:bCs/>
          <w:color w:val="000000"/>
          <w:sz w:val="28"/>
          <w:szCs w:val="28"/>
        </w:rPr>
        <w:t>and merits</w:t>
      </w:r>
    </w:p>
    <w:p w14:paraId="20888E2C" w14:textId="51420B70" w:rsidR="0061137C" w:rsidRPr="00481DFC" w:rsidRDefault="0061137C" w:rsidP="0061137C">
      <w:pPr>
        <w:autoSpaceDE w:val="0"/>
        <w:autoSpaceDN w:val="0"/>
        <w:adjustRightInd w:val="0"/>
        <w:spacing w:after="0" w:line="240" w:lineRule="auto"/>
        <w:jc w:val="both"/>
        <w:rPr>
          <w:rFonts w:ascii="Arial" w:eastAsia="Calibri" w:hAnsi="Arial" w:cs="Arial"/>
        </w:rPr>
      </w:pPr>
      <w:r w:rsidRPr="00481DFC">
        <w:rPr>
          <w:rFonts w:ascii="Arial" w:eastAsia="Calibri" w:hAnsi="Arial" w:cs="Arial"/>
        </w:rPr>
        <w:t>The State party submits that the communication should be declared inadmissible under article 2 (e) of the Optional Protocol for failure to substantiate the claims for purposes of admissibility. In the alternative, the State party submits that the complaint is without merit.</w:t>
      </w:r>
    </w:p>
    <w:p w14:paraId="31C2F9AA" w14:textId="77777777" w:rsidR="0061137C" w:rsidRDefault="0061137C" w:rsidP="0061137C">
      <w:pPr>
        <w:autoSpaceDE w:val="0"/>
        <w:autoSpaceDN w:val="0"/>
        <w:adjustRightInd w:val="0"/>
        <w:spacing w:after="0" w:line="240" w:lineRule="auto"/>
        <w:jc w:val="both"/>
        <w:rPr>
          <w:rFonts w:ascii="Arial" w:eastAsia="Calibri" w:hAnsi="Arial" w:cs="Arial"/>
        </w:rPr>
      </w:pPr>
    </w:p>
    <w:p w14:paraId="702D4B34" w14:textId="1EB9ABEA" w:rsidR="0061137C" w:rsidRPr="0061137C" w:rsidRDefault="00EC1948" w:rsidP="0061137C">
      <w:pPr>
        <w:autoSpaceDE w:val="0"/>
        <w:autoSpaceDN w:val="0"/>
        <w:adjustRightInd w:val="0"/>
        <w:spacing w:after="0" w:line="240" w:lineRule="auto"/>
        <w:jc w:val="both"/>
        <w:rPr>
          <w:rFonts w:ascii="Arial" w:eastAsia="Calibri" w:hAnsi="Arial" w:cs="Arial"/>
        </w:rPr>
      </w:pPr>
      <w:r>
        <w:rPr>
          <w:rFonts w:ascii="Arial" w:eastAsia="Calibri" w:hAnsi="Arial" w:cs="Arial"/>
        </w:rPr>
        <w:t>The State party explains</w:t>
      </w:r>
      <w:r w:rsidR="0061137C">
        <w:rPr>
          <w:rFonts w:ascii="Arial" w:eastAsia="Calibri" w:hAnsi="Arial" w:cs="Arial"/>
        </w:rPr>
        <w:t xml:space="preserve"> that the Immigration Appeals </w:t>
      </w:r>
      <w:r w:rsidR="0061137C" w:rsidRPr="0061137C">
        <w:rPr>
          <w:rFonts w:ascii="Arial" w:eastAsia="Calibri" w:hAnsi="Arial" w:cs="Arial"/>
        </w:rPr>
        <w:t>Board is an independent, collegial, quasi-judicial administra</w:t>
      </w:r>
      <w:r w:rsidR="0061137C">
        <w:rPr>
          <w:rFonts w:ascii="Arial" w:eastAsia="Calibri" w:hAnsi="Arial" w:cs="Arial"/>
        </w:rPr>
        <w:t>tive body</w:t>
      </w:r>
      <w:r>
        <w:rPr>
          <w:rFonts w:ascii="Arial" w:eastAsia="Calibri" w:hAnsi="Arial" w:cs="Arial"/>
        </w:rPr>
        <w:t xml:space="preserve">, that </w:t>
      </w:r>
      <w:r w:rsidR="0061137C">
        <w:rPr>
          <w:rFonts w:ascii="Arial" w:eastAsia="Calibri" w:hAnsi="Arial" w:cs="Arial"/>
        </w:rPr>
        <w:t xml:space="preserve">considers appeals </w:t>
      </w:r>
      <w:r w:rsidR="0061137C" w:rsidRPr="0061137C">
        <w:rPr>
          <w:rFonts w:ascii="Arial" w:eastAsia="Calibri" w:hAnsi="Arial" w:cs="Arial"/>
        </w:rPr>
        <w:t>of first-instance decisions relating to immigration</w:t>
      </w:r>
      <w:r w:rsidR="0061137C">
        <w:rPr>
          <w:rFonts w:ascii="Arial" w:eastAsia="Calibri" w:hAnsi="Arial" w:cs="Arial"/>
        </w:rPr>
        <w:t xml:space="preserve">, including decisions on family </w:t>
      </w:r>
      <w:r w:rsidR="0061137C" w:rsidRPr="0061137C">
        <w:rPr>
          <w:rFonts w:ascii="Arial" w:eastAsia="Calibri" w:hAnsi="Arial" w:cs="Arial"/>
        </w:rPr>
        <w:t>reunification, decisions on permane</w:t>
      </w:r>
      <w:r w:rsidR="0061137C">
        <w:rPr>
          <w:rFonts w:ascii="Arial" w:eastAsia="Calibri" w:hAnsi="Arial" w:cs="Arial"/>
        </w:rPr>
        <w:t xml:space="preserve">nt residence and decisions on </w:t>
      </w:r>
      <w:r w:rsidR="0061137C" w:rsidRPr="0061137C">
        <w:rPr>
          <w:rFonts w:ascii="Arial" w:eastAsia="Calibri" w:hAnsi="Arial" w:cs="Arial"/>
        </w:rPr>
        <w:t xml:space="preserve">administrative expulsion or refusal of entry made by the </w:t>
      </w:r>
      <w:r w:rsidR="0061137C">
        <w:rPr>
          <w:rFonts w:ascii="Arial" w:eastAsia="Calibri" w:hAnsi="Arial" w:cs="Arial"/>
        </w:rPr>
        <w:t>Danish Immigration Service</w:t>
      </w:r>
      <w:r>
        <w:rPr>
          <w:rFonts w:ascii="Arial" w:eastAsia="Calibri" w:hAnsi="Arial" w:cs="Arial"/>
        </w:rPr>
        <w:t>.</w:t>
      </w:r>
      <w:r w:rsidR="00481DFC">
        <w:rPr>
          <w:rFonts w:ascii="Arial" w:eastAsia="Calibri" w:hAnsi="Arial" w:cs="Arial"/>
        </w:rPr>
        <w:t xml:space="preserve"> </w:t>
      </w:r>
      <w:r w:rsidR="0061137C">
        <w:rPr>
          <w:rFonts w:ascii="Arial" w:eastAsia="Calibri" w:hAnsi="Arial" w:cs="Arial"/>
        </w:rPr>
        <w:t xml:space="preserve">Under </w:t>
      </w:r>
      <w:r w:rsidR="0061137C" w:rsidRPr="0061137C">
        <w:rPr>
          <w:rFonts w:ascii="Arial" w:eastAsia="Calibri" w:hAnsi="Arial" w:cs="Arial"/>
        </w:rPr>
        <w:t>section 9 (5) of the Aliens Act, a residence permit can only be granted if the person living</w:t>
      </w:r>
      <w:r w:rsidR="0061137C">
        <w:rPr>
          <w:rFonts w:ascii="Arial" w:eastAsia="Calibri" w:hAnsi="Arial" w:cs="Arial"/>
        </w:rPr>
        <w:t xml:space="preserve"> in </w:t>
      </w:r>
      <w:r w:rsidR="0061137C" w:rsidRPr="0061137C">
        <w:rPr>
          <w:rFonts w:ascii="Arial" w:eastAsia="Calibri" w:hAnsi="Arial" w:cs="Arial"/>
        </w:rPr>
        <w:t>Denmark who is obliged to maintain the applicant has not re</w:t>
      </w:r>
      <w:r w:rsidR="0061137C">
        <w:rPr>
          <w:rFonts w:ascii="Arial" w:eastAsia="Calibri" w:hAnsi="Arial" w:cs="Arial"/>
        </w:rPr>
        <w:t xml:space="preserve">ceived any assistance under the </w:t>
      </w:r>
      <w:r w:rsidR="0061137C" w:rsidRPr="0061137C">
        <w:rPr>
          <w:rFonts w:ascii="Arial" w:eastAsia="Calibri" w:hAnsi="Arial" w:cs="Arial"/>
        </w:rPr>
        <w:t xml:space="preserve">Act on an Active Social Policy or the Integration Act for </w:t>
      </w:r>
      <w:r w:rsidR="0061137C">
        <w:rPr>
          <w:rFonts w:ascii="Arial" w:eastAsia="Calibri" w:hAnsi="Arial" w:cs="Arial"/>
        </w:rPr>
        <w:t xml:space="preserve">the last three years before the </w:t>
      </w:r>
      <w:r w:rsidR="0061137C" w:rsidRPr="0061137C">
        <w:rPr>
          <w:rFonts w:ascii="Arial" w:eastAsia="Calibri" w:hAnsi="Arial" w:cs="Arial"/>
        </w:rPr>
        <w:t xml:space="preserve">decision on residence is made. </w:t>
      </w:r>
      <w:r>
        <w:rPr>
          <w:rFonts w:ascii="Arial" w:eastAsia="Calibri" w:hAnsi="Arial" w:cs="Arial"/>
        </w:rPr>
        <w:t xml:space="preserve">This condition can be disregarded </w:t>
      </w:r>
      <w:r w:rsidR="0061137C" w:rsidRPr="0061137C">
        <w:rPr>
          <w:rFonts w:ascii="Arial" w:eastAsia="Calibri" w:hAnsi="Arial" w:cs="Arial"/>
        </w:rPr>
        <w:t>if exceptional reasons conclusively make it appropriate, incl</w:t>
      </w:r>
      <w:r w:rsidR="0061137C">
        <w:rPr>
          <w:rFonts w:ascii="Arial" w:eastAsia="Calibri" w:hAnsi="Arial" w:cs="Arial"/>
        </w:rPr>
        <w:t xml:space="preserve">uding with regard to the family </w:t>
      </w:r>
      <w:r w:rsidR="0061137C" w:rsidRPr="0061137C">
        <w:rPr>
          <w:rFonts w:ascii="Arial" w:eastAsia="Calibri" w:hAnsi="Arial" w:cs="Arial"/>
        </w:rPr>
        <w:t>unity. This will only be the case if spousal reunification mus</w:t>
      </w:r>
      <w:r w:rsidR="0061137C">
        <w:rPr>
          <w:rFonts w:ascii="Arial" w:eastAsia="Calibri" w:hAnsi="Arial" w:cs="Arial"/>
        </w:rPr>
        <w:t xml:space="preserve">t be granted owing to Denmark’s </w:t>
      </w:r>
      <w:r w:rsidR="0061137C" w:rsidRPr="0061137C">
        <w:rPr>
          <w:rFonts w:ascii="Arial" w:eastAsia="Calibri" w:hAnsi="Arial" w:cs="Arial"/>
        </w:rPr>
        <w:t>international obligations.</w:t>
      </w:r>
    </w:p>
    <w:p w14:paraId="14AB0467" w14:textId="77777777" w:rsidR="0061137C" w:rsidRDefault="0061137C" w:rsidP="007C420F">
      <w:pPr>
        <w:autoSpaceDE w:val="0"/>
        <w:autoSpaceDN w:val="0"/>
        <w:adjustRightInd w:val="0"/>
        <w:spacing w:after="0" w:line="240" w:lineRule="auto"/>
        <w:jc w:val="both"/>
        <w:rPr>
          <w:rFonts w:ascii="Arial" w:eastAsia="Calibri" w:hAnsi="Arial" w:cs="Arial"/>
          <w:u w:val="single"/>
        </w:rPr>
      </w:pPr>
    </w:p>
    <w:p w14:paraId="7FD4964A" w14:textId="77777777" w:rsidR="0061137C" w:rsidRDefault="0061137C" w:rsidP="007C420F">
      <w:pPr>
        <w:autoSpaceDE w:val="0"/>
        <w:autoSpaceDN w:val="0"/>
        <w:adjustRightInd w:val="0"/>
        <w:spacing w:after="0" w:line="240" w:lineRule="auto"/>
        <w:jc w:val="both"/>
        <w:rPr>
          <w:rFonts w:ascii="Arial" w:eastAsia="Calibri" w:hAnsi="Arial" w:cs="Arial"/>
        </w:rPr>
      </w:pPr>
      <w:r w:rsidRPr="0061137C">
        <w:rPr>
          <w:rFonts w:ascii="Arial" w:eastAsia="Calibri" w:hAnsi="Arial" w:cs="Arial"/>
        </w:rPr>
        <w:t xml:space="preserve">The State party notes that the </w:t>
      </w:r>
      <w:r w:rsidR="00EC1948">
        <w:rPr>
          <w:rFonts w:ascii="Arial" w:eastAsia="Calibri" w:hAnsi="Arial" w:cs="Arial"/>
        </w:rPr>
        <w:t xml:space="preserve">Aliens Act’s general notes </w:t>
      </w:r>
      <w:r w:rsidRPr="0061137C">
        <w:rPr>
          <w:rFonts w:ascii="Arial" w:eastAsia="Calibri" w:hAnsi="Arial" w:cs="Arial"/>
        </w:rPr>
        <w:t xml:space="preserve">include the following </w:t>
      </w:r>
      <w:r w:rsidR="00884CD7">
        <w:rPr>
          <w:rFonts w:ascii="Arial" w:eastAsia="Calibri" w:hAnsi="Arial" w:cs="Arial"/>
        </w:rPr>
        <w:t xml:space="preserve">relating to the Convention: “As </w:t>
      </w:r>
      <w:r w:rsidRPr="0061137C">
        <w:rPr>
          <w:rFonts w:ascii="Arial" w:eastAsia="Calibri" w:hAnsi="Arial" w:cs="Arial"/>
        </w:rPr>
        <w:t>provided by the Convention, aliens who cannot meet on</w:t>
      </w:r>
      <w:r w:rsidR="00884CD7">
        <w:rPr>
          <w:rFonts w:ascii="Arial" w:eastAsia="Calibri" w:hAnsi="Arial" w:cs="Arial"/>
        </w:rPr>
        <w:t xml:space="preserve">e or more of the conditions for </w:t>
      </w:r>
      <w:r w:rsidRPr="0061137C">
        <w:rPr>
          <w:rFonts w:ascii="Arial" w:eastAsia="Calibri" w:hAnsi="Arial" w:cs="Arial"/>
        </w:rPr>
        <w:t>acquiring permanent residence due to disability will not f</w:t>
      </w:r>
      <w:r w:rsidR="00884CD7">
        <w:rPr>
          <w:rFonts w:ascii="Arial" w:eastAsia="Calibri" w:hAnsi="Arial" w:cs="Arial"/>
        </w:rPr>
        <w:t xml:space="preserve">ace such requirements. An </w:t>
      </w:r>
      <w:r w:rsidRPr="0061137C">
        <w:rPr>
          <w:rFonts w:ascii="Arial" w:eastAsia="Calibri" w:hAnsi="Arial" w:cs="Arial"/>
        </w:rPr>
        <w:t>exemption will be granted only from the conditions that the a</w:t>
      </w:r>
      <w:r w:rsidR="00884CD7">
        <w:rPr>
          <w:rFonts w:ascii="Arial" w:eastAsia="Calibri" w:hAnsi="Arial" w:cs="Arial"/>
        </w:rPr>
        <w:t xml:space="preserve">lien cannot meet because of his </w:t>
      </w:r>
      <w:r w:rsidRPr="0061137C">
        <w:rPr>
          <w:rFonts w:ascii="Arial" w:eastAsia="Calibri" w:hAnsi="Arial" w:cs="Arial"/>
        </w:rPr>
        <w:t>or her disability. Other requirements not related to the alien’s disability must be satisfied like</w:t>
      </w:r>
      <w:r w:rsidR="00884CD7">
        <w:rPr>
          <w:rFonts w:ascii="Arial" w:eastAsia="Calibri" w:hAnsi="Arial" w:cs="Arial"/>
        </w:rPr>
        <w:t xml:space="preserve"> </w:t>
      </w:r>
      <w:r w:rsidRPr="0061137C">
        <w:rPr>
          <w:rFonts w:ascii="Arial" w:eastAsia="Calibri" w:hAnsi="Arial" w:cs="Arial"/>
        </w:rPr>
        <w:t xml:space="preserve">they have to be satisfied by other aliens.” </w:t>
      </w:r>
    </w:p>
    <w:p w14:paraId="1996A1E7" w14:textId="77777777" w:rsidR="00884CD7" w:rsidRDefault="00884CD7" w:rsidP="007C420F">
      <w:pPr>
        <w:autoSpaceDE w:val="0"/>
        <w:autoSpaceDN w:val="0"/>
        <w:adjustRightInd w:val="0"/>
        <w:spacing w:after="0" w:line="240" w:lineRule="auto"/>
        <w:jc w:val="both"/>
        <w:rPr>
          <w:rFonts w:ascii="Arial" w:eastAsia="Calibri" w:hAnsi="Arial" w:cs="Arial"/>
        </w:rPr>
      </w:pPr>
    </w:p>
    <w:p w14:paraId="42CDC8B3" w14:textId="77777777" w:rsidR="00884CD7" w:rsidRDefault="00EC1948" w:rsidP="00884CD7">
      <w:pPr>
        <w:autoSpaceDE w:val="0"/>
        <w:autoSpaceDN w:val="0"/>
        <w:adjustRightInd w:val="0"/>
        <w:spacing w:after="0" w:line="240" w:lineRule="auto"/>
        <w:jc w:val="both"/>
        <w:rPr>
          <w:rFonts w:ascii="Arial" w:eastAsia="Calibri" w:hAnsi="Arial" w:cs="Arial"/>
        </w:rPr>
      </w:pPr>
      <w:r>
        <w:rPr>
          <w:rFonts w:ascii="Arial" w:eastAsia="Calibri" w:hAnsi="Arial" w:cs="Arial"/>
        </w:rPr>
        <w:t>The</w:t>
      </w:r>
      <w:r w:rsidR="00884CD7">
        <w:rPr>
          <w:rFonts w:ascii="Arial" w:eastAsia="Calibri" w:hAnsi="Arial" w:cs="Arial"/>
        </w:rPr>
        <w:t xml:space="preserve"> </w:t>
      </w:r>
      <w:r w:rsidR="00884CD7" w:rsidRPr="00884CD7">
        <w:rPr>
          <w:rFonts w:ascii="Arial" w:eastAsia="Calibri" w:hAnsi="Arial" w:cs="Arial"/>
        </w:rPr>
        <w:t>Immigration Appeals Board foun</w:t>
      </w:r>
      <w:r w:rsidR="00884CD7">
        <w:rPr>
          <w:rFonts w:ascii="Arial" w:eastAsia="Calibri" w:hAnsi="Arial" w:cs="Arial"/>
        </w:rPr>
        <w:t xml:space="preserve">d that the condition in section </w:t>
      </w:r>
      <w:r w:rsidR="00884CD7" w:rsidRPr="00884CD7">
        <w:rPr>
          <w:rFonts w:ascii="Arial" w:eastAsia="Calibri" w:hAnsi="Arial" w:cs="Arial"/>
        </w:rPr>
        <w:t>9 (5) of the Aliens Act had not been satisfied as the male autho</w:t>
      </w:r>
      <w:r w:rsidR="00884CD7">
        <w:rPr>
          <w:rFonts w:ascii="Arial" w:eastAsia="Calibri" w:hAnsi="Arial" w:cs="Arial"/>
        </w:rPr>
        <w:t xml:space="preserve">r had received assistance under </w:t>
      </w:r>
      <w:r w:rsidR="00884CD7" w:rsidRPr="00884CD7">
        <w:rPr>
          <w:rFonts w:ascii="Arial" w:eastAsia="Calibri" w:hAnsi="Arial" w:cs="Arial"/>
        </w:rPr>
        <w:t>the Act on an Active Social Policy within the last three yea</w:t>
      </w:r>
      <w:r>
        <w:rPr>
          <w:rFonts w:ascii="Arial" w:eastAsia="Calibri" w:hAnsi="Arial" w:cs="Arial"/>
        </w:rPr>
        <w:t xml:space="preserve">rs, for which reason the female </w:t>
      </w:r>
      <w:r w:rsidR="00884CD7" w:rsidRPr="00884CD7">
        <w:rPr>
          <w:rFonts w:ascii="Arial" w:eastAsia="Calibri" w:hAnsi="Arial" w:cs="Arial"/>
        </w:rPr>
        <w:t>author could not be granted residence under section 9</w:t>
      </w:r>
      <w:r w:rsidR="00884CD7">
        <w:rPr>
          <w:rFonts w:ascii="Arial" w:eastAsia="Calibri" w:hAnsi="Arial" w:cs="Arial"/>
        </w:rPr>
        <w:t xml:space="preserve"> (1) (</w:t>
      </w:r>
      <w:proofErr w:type="spellStart"/>
      <w:r w:rsidR="00884CD7">
        <w:rPr>
          <w:rFonts w:ascii="Arial" w:eastAsia="Calibri" w:hAnsi="Arial" w:cs="Arial"/>
        </w:rPr>
        <w:t>i</w:t>
      </w:r>
      <w:proofErr w:type="spellEnd"/>
      <w:r w:rsidR="00884CD7">
        <w:rPr>
          <w:rFonts w:ascii="Arial" w:eastAsia="Calibri" w:hAnsi="Arial" w:cs="Arial"/>
        </w:rPr>
        <w:t>) of the Aliens Act. It further notes t</w:t>
      </w:r>
      <w:r w:rsidR="00884CD7" w:rsidRPr="00884CD7">
        <w:rPr>
          <w:rFonts w:ascii="Arial" w:eastAsia="Calibri" w:hAnsi="Arial" w:cs="Arial"/>
        </w:rPr>
        <w:t>hat no informatio</w:t>
      </w:r>
      <w:r w:rsidR="00884CD7">
        <w:rPr>
          <w:rFonts w:ascii="Arial" w:eastAsia="Calibri" w:hAnsi="Arial" w:cs="Arial"/>
        </w:rPr>
        <w:t xml:space="preserve">n had been provided on personal </w:t>
      </w:r>
      <w:r w:rsidR="00884CD7" w:rsidRPr="00884CD7">
        <w:rPr>
          <w:rFonts w:ascii="Arial" w:eastAsia="Calibri" w:hAnsi="Arial" w:cs="Arial"/>
        </w:rPr>
        <w:t>circumstances, including information on health issues, whi</w:t>
      </w:r>
      <w:r w:rsidR="00884CD7">
        <w:rPr>
          <w:rFonts w:ascii="Arial" w:eastAsia="Calibri" w:hAnsi="Arial" w:cs="Arial"/>
        </w:rPr>
        <w:t xml:space="preserve">ch could justify the conclusion </w:t>
      </w:r>
      <w:r w:rsidR="00884CD7" w:rsidRPr="00884CD7">
        <w:rPr>
          <w:rFonts w:ascii="Arial" w:eastAsia="Calibri" w:hAnsi="Arial" w:cs="Arial"/>
        </w:rPr>
        <w:t>that the authors could not be required to enter and take up</w:t>
      </w:r>
      <w:r w:rsidR="00884CD7">
        <w:rPr>
          <w:rFonts w:ascii="Arial" w:eastAsia="Calibri" w:hAnsi="Arial" w:cs="Arial"/>
        </w:rPr>
        <w:t xml:space="preserve"> residence in Ukraine and enjoy </w:t>
      </w:r>
      <w:r w:rsidR="00884CD7" w:rsidRPr="00884CD7">
        <w:rPr>
          <w:rFonts w:ascii="Arial" w:eastAsia="Calibri" w:hAnsi="Arial" w:cs="Arial"/>
        </w:rPr>
        <w:t>family life together there. The Immigration Appeals Board fo</w:t>
      </w:r>
      <w:r w:rsidR="00884CD7">
        <w:rPr>
          <w:rFonts w:ascii="Arial" w:eastAsia="Calibri" w:hAnsi="Arial" w:cs="Arial"/>
        </w:rPr>
        <w:t xml:space="preserve">und that the fact that the male </w:t>
      </w:r>
      <w:r w:rsidR="00884CD7" w:rsidRPr="00884CD7">
        <w:rPr>
          <w:rFonts w:ascii="Arial" w:eastAsia="Calibri" w:hAnsi="Arial" w:cs="Arial"/>
        </w:rPr>
        <w:t>author was disabled could not independently justify an exemption from the ru</w:t>
      </w:r>
      <w:r w:rsidR="00884CD7">
        <w:rPr>
          <w:rFonts w:ascii="Arial" w:eastAsia="Calibri" w:hAnsi="Arial" w:cs="Arial"/>
        </w:rPr>
        <w:t xml:space="preserve">les on spousal </w:t>
      </w:r>
      <w:r w:rsidR="00884CD7" w:rsidRPr="00884CD7">
        <w:rPr>
          <w:rFonts w:ascii="Arial" w:eastAsia="Calibri" w:hAnsi="Arial" w:cs="Arial"/>
        </w:rPr>
        <w:t xml:space="preserve">reunification. The Board therefore found that the authors had </w:t>
      </w:r>
      <w:r w:rsidR="00884CD7">
        <w:rPr>
          <w:rFonts w:ascii="Arial" w:eastAsia="Calibri" w:hAnsi="Arial" w:cs="Arial"/>
        </w:rPr>
        <w:t xml:space="preserve">not been discriminated against, </w:t>
      </w:r>
      <w:r w:rsidR="00884CD7" w:rsidRPr="00884CD7">
        <w:rPr>
          <w:rFonts w:ascii="Arial" w:eastAsia="Calibri" w:hAnsi="Arial" w:cs="Arial"/>
        </w:rPr>
        <w:t>either directly or indirectly, as compared with persons applyin</w:t>
      </w:r>
      <w:r w:rsidR="00884CD7">
        <w:rPr>
          <w:rFonts w:ascii="Arial" w:eastAsia="Calibri" w:hAnsi="Arial" w:cs="Arial"/>
        </w:rPr>
        <w:t xml:space="preserve">g for spousal reunification who </w:t>
      </w:r>
      <w:r w:rsidR="00884CD7" w:rsidRPr="00884CD7">
        <w:rPr>
          <w:rFonts w:ascii="Arial" w:eastAsia="Calibri" w:hAnsi="Arial" w:cs="Arial"/>
        </w:rPr>
        <w:t>are not disabled and who receive maintenance benefits un</w:t>
      </w:r>
      <w:r w:rsidR="00884CD7">
        <w:rPr>
          <w:rFonts w:ascii="Arial" w:eastAsia="Calibri" w:hAnsi="Arial" w:cs="Arial"/>
        </w:rPr>
        <w:t xml:space="preserve">der the Act on an Active Social </w:t>
      </w:r>
      <w:r w:rsidR="00884CD7" w:rsidRPr="00884CD7">
        <w:rPr>
          <w:rFonts w:ascii="Arial" w:eastAsia="Calibri" w:hAnsi="Arial" w:cs="Arial"/>
        </w:rPr>
        <w:t>Policy. The Board found that it had not been substantiated</w:t>
      </w:r>
      <w:r w:rsidR="00116005">
        <w:rPr>
          <w:rFonts w:ascii="Arial" w:eastAsia="Calibri" w:hAnsi="Arial" w:cs="Arial"/>
        </w:rPr>
        <w:t xml:space="preserve"> that the male author could not </w:t>
      </w:r>
      <w:r w:rsidR="00884CD7" w:rsidRPr="00884CD7">
        <w:rPr>
          <w:rFonts w:ascii="Arial" w:eastAsia="Calibri" w:hAnsi="Arial" w:cs="Arial"/>
        </w:rPr>
        <w:t xml:space="preserve">satisfy the conditions of section 9 (5) of the Aliens Act, </w:t>
      </w:r>
      <w:r w:rsidR="00187DEC">
        <w:rPr>
          <w:rFonts w:ascii="Arial" w:eastAsia="Calibri" w:hAnsi="Arial" w:cs="Arial"/>
        </w:rPr>
        <w:t>thus</w:t>
      </w:r>
      <w:r w:rsidR="00116005">
        <w:rPr>
          <w:rFonts w:ascii="Arial" w:eastAsia="Calibri" w:hAnsi="Arial" w:cs="Arial"/>
        </w:rPr>
        <w:t xml:space="preserve"> the Board </w:t>
      </w:r>
      <w:r w:rsidR="00116005">
        <w:rPr>
          <w:rFonts w:ascii="Arial" w:eastAsia="Calibri" w:hAnsi="Arial" w:cs="Arial"/>
        </w:rPr>
        <w:lastRenderedPageBreak/>
        <w:t xml:space="preserve">concluded </w:t>
      </w:r>
      <w:r w:rsidR="00884CD7" w:rsidRPr="00884CD7">
        <w:rPr>
          <w:rFonts w:ascii="Arial" w:eastAsia="Calibri" w:hAnsi="Arial" w:cs="Arial"/>
        </w:rPr>
        <w:t>that it was not possible to make an exemption from the condition</w:t>
      </w:r>
      <w:r w:rsidR="00116005">
        <w:rPr>
          <w:rFonts w:ascii="Arial" w:eastAsia="Calibri" w:hAnsi="Arial" w:cs="Arial"/>
        </w:rPr>
        <w:t xml:space="preserve"> in section 9 (5) of the Aliens </w:t>
      </w:r>
      <w:r w:rsidR="00884CD7" w:rsidRPr="00884CD7">
        <w:rPr>
          <w:rFonts w:ascii="Arial" w:eastAsia="Calibri" w:hAnsi="Arial" w:cs="Arial"/>
        </w:rPr>
        <w:t>Act with reference to the health of the male author.</w:t>
      </w:r>
    </w:p>
    <w:p w14:paraId="6B995431" w14:textId="77777777" w:rsidR="00187DEC" w:rsidRDefault="00187DEC" w:rsidP="00116005">
      <w:pPr>
        <w:autoSpaceDE w:val="0"/>
        <w:autoSpaceDN w:val="0"/>
        <w:adjustRightInd w:val="0"/>
        <w:spacing w:after="0" w:line="240" w:lineRule="auto"/>
        <w:jc w:val="both"/>
        <w:rPr>
          <w:rFonts w:ascii="Arial" w:eastAsia="Calibri" w:hAnsi="Arial" w:cs="Arial"/>
          <w:u w:val="single"/>
        </w:rPr>
      </w:pPr>
    </w:p>
    <w:p w14:paraId="743FBB7B" w14:textId="77777777" w:rsidR="005342B6" w:rsidRDefault="00116005" w:rsidP="00116005">
      <w:pPr>
        <w:autoSpaceDE w:val="0"/>
        <w:autoSpaceDN w:val="0"/>
        <w:adjustRightInd w:val="0"/>
        <w:spacing w:after="0" w:line="240" w:lineRule="auto"/>
        <w:jc w:val="both"/>
        <w:rPr>
          <w:rFonts w:ascii="Arial" w:eastAsia="Calibri" w:hAnsi="Arial" w:cs="Arial"/>
        </w:rPr>
      </w:pPr>
      <w:r w:rsidRPr="00116005">
        <w:rPr>
          <w:rFonts w:ascii="Arial" w:eastAsia="Calibri" w:hAnsi="Arial" w:cs="Arial"/>
        </w:rPr>
        <w:t>On 10 December 2014, the authors instituted legal proceedings against the d</w:t>
      </w:r>
      <w:r>
        <w:rPr>
          <w:rFonts w:ascii="Arial" w:eastAsia="Calibri" w:hAnsi="Arial" w:cs="Arial"/>
        </w:rPr>
        <w:t xml:space="preserve">ecision </w:t>
      </w:r>
      <w:r w:rsidRPr="00116005">
        <w:rPr>
          <w:rFonts w:ascii="Arial" w:eastAsia="Calibri" w:hAnsi="Arial" w:cs="Arial"/>
        </w:rPr>
        <w:t xml:space="preserve">of the Immigration Appeals Board. </w:t>
      </w:r>
      <w:r w:rsidR="00187DEC">
        <w:rPr>
          <w:rFonts w:ascii="Arial" w:eastAsia="Calibri" w:hAnsi="Arial" w:cs="Arial"/>
        </w:rPr>
        <w:t>After</w:t>
      </w:r>
      <w:r w:rsidRPr="00116005">
        <w:rPr>
          <w:rFonts w:ascii="Arial" w:eastAsia="Calibri" w:hAnsi="Arial" w:cs="Arial"/>
        </w:rPr>
        <w:t xml:space="preserve"> the High Court quashed the decision made by the Immigration </w:t>
      </w:r>
      <w:r>
        <w:rPr>
          <w:rFonts w:ascii="Arial" w:eastAsia="Calibri" w:hAnsi="Arial" w:cs="Arial"/>
        </w:rPr>
        <w:t xml:space="preserve">Appeals </w:t>
      </w:r>
      <w:r w:rsidRPr="00116005">
        <w:rPr>
          <w:rFonts w:ascii="Arial" w:eastAsia="Calibri" w:hAnsi="Arial" w:cs="Arial"/>
        </w:rPr>
        <w:t xml:space="preserve">Board and </w:t>
      </w:r>
      <w:r w:rsidR="00187DEC">
        <w:rPr>
          <w:rFonts w:ascii="Arial" w:eastAsia="Calibri" w:hAnsi="Arial" w:cs="Arial"/>
        </w:rPr>
        <w:t xml:space="preserve">it was </w:t>
      </w:r>
      <w:r w:rsidRPr="00116005">
        <w:rPr>
          <w:rFonts w:ascii="Arial" w:eastAsia="Calibri" w:hAnsi="Arial" w:cs="Arial"/>
        </w:rPr>
        <w:t>remitted to the Immigration Appeals B</w:t>
      </w:r>
      <w:r>
        <w:rPr>
          <w:rFonts w:ascii="Arial" w:eastAsia="Calibri" w:hAnsi="Arial" w:cs="Arial"/>
        </w:rPr>
        <w:t>oard for reconsideration</w:t>
      </w:r>
      <w:r w:rsidR="00187DEC">
        <w:rPr>
          <w:rFonts w:ascii="Arial" w:eastAsia="Calibri" w:hAnsi="Arial" w:cs="Arial"/>
        </w:rPr>
        <w:t xml:space="preserve">, which </w:t>
      </w:r>
      <w:r w:rsidRPr="00116005">
        <w:rPr>
          <w:rFonts w:ascii="Arial" w:eastAsia="Calibri" w:hAnsi="Arial" w:cs="Arial"/>
        </w:rPr>
        <w:t>appealed th</w:t>
      </w:r>
      <w:r>
        <w:rPr>
          <w:rFonts w:ascii="Arial" w:eastAsia="Calibri" w:hAnsi="Arial" w:cs="Arial"/>
        </w:rPr>
        <w:t xml:space="preserve">e judgment of the High Court to </w:t>
      </w:r>
      <w:r w:rsidRPr="00116005">
        <w:rPr>
          <w:rFonts w:ascii="Arial" w:eastAsia="Calibri" w:hAnsi="Arial" w:cs="Arial"/>
        </w:rPr>
        <w:t xml:space="preserve">the Supreme Court. By its judgment of 22 December 2016, </w:t>
      </w:r>
      <w:r>
        <w:rPr>
          <w:rFonts w:ascii="Arial" w:eastAsia="Calibri" w:hAnsi="Arial" w:cs="Arial"/>
        </w:rPr>
        <w:t xml:space="preserve">the Supreme Court found for the </w:t>
      </w:r>
      <w:r w:rsidRPr="00116005">
        <w:rPr>
          <w:rFonts w:ascii="Arial" w:eastAsia="Calibri" w:hAnsi="Arial" w:cs="Arial"/>
        </w:rPr>
        <w:t>Immigration Appeals Board and set aside the High Court ju</w:t>
      </w:r>
      <w:r>
        <w:rPr>
          <w:rFonts w:ascii="Arial" w:eastAsia="Calibri" w:hAnsi="Arial" w:cs="Arial"/>
        </w:rPr>
        <w:t xml:space="preserve">dgment. The Court noted that at </w:t>
      </w:r>
      <w:r w:rsidRPr="00116005">
        <w:rPr>
          <w:rFonts w:ascii="Arial" w:eastAsia="Calibri" w:hAnsi="Arial" w:cs="Arial"/>
        </w:rPr>
        <w:t>the time of the decision made by the Immigration Appeals Board, the male author</w:t>
      </w:r>
      <w:r>
        <w:rPr>
          <w:rFonts w:ascii="Arial" w:eastAsia="Calibri" w:hAnsi="Arial" w:cs="Arial"/>
        </w:rPr>
        <w:t xml:space="preserve"> received </w:t>
      </w:r>
      <w:r w:rsidRPr="00116005">
        <w:rPr>
          <w:rFonts w:ascii="Arial" w:eastAsia="Calibri" w:hAnsi="Arial" w:cs="Arial"/>
        </w:rPr>
        <w:t>social security benefits</w:t>
      </w:r>
      <w:r>
        <w:rPr>
          <w:rFonts w:ascii="Arial" w:eastAsia="Calibri" w:hAnsi="Arial" w:cs="Arial"/>
        </w:rPr>
        <w:t xml:space="preserve">. It </w:t>
      </w:r>
      <w:r w:rsidR="005342B6">
        <w:rPr>
          <w:rFonts w:ascii="Arial" w:eastAsia="Calibri" w:hAnsi="Arial" w:cs="Arial"/>
        </w:rPr>
        <w:t xml:space="preserve">also </w:t>
      </w:r>
      <w:r>
        <w:rPr>
          <w:rFonts w:ascii="Arial" w:eastAsia="Calibri" w:hAnsi="Arial" w:cs="Arial"/>
        </w:rPr>
        <w:t xml:space="preserve">noted that </w:t>
      </w:r>
      <w:r w:rsidRPr="00116005">
        <w:rPr>
          <w:rFonts w:ascii="Arial" w:eastAsia="Calibri" w:hAnsi="Arial" w:cs="Arial"/>
        </w:rPr>
        <w:t xml:space="preserve">according to the </w:t>
      </w:r>
      <w:proofErr w:type="spellStart"/>
      <w:r w:rsidRPr="00116005">
        <w:rPr>
          <w:rFonts w:ascii="Arial" w:eastAsia="Calibri" w:hAnsi="Arial" w:cs="Arial"/>
        </w:rPr>
        <w:t>travaux</w:t>
      </w:r>
      <w:proofErr w:type="spellEnd"/>
      <w:r w:rsidRPr="00116005">
        <w:rPr>
          <w:rFonts w:ascii="Arial" w:eastAsia="Calibri" w:hAnsi="Arial" w:cs="Arial"/>
        </w:rPr>
        <w:t xml:space="preserve"> </w:t>
      </w:r>
      <w:proofErr w:type="spellStart"/>
      <w:r w:rsidRPr="00116005">
        <w:rPr>
          <w:rFonts w:ascii="Arial" w:eastAsia="Calibri" w:hAnsi="Arial" w:cs="Arial"/>
        </w:rPr>
        <w:t>préparatoires</w:t>
      </w:r>
      <w:proofErr w:type="spellEnd"/>
      <w:r w:rsidRPr="00116005">
        <w:rPr>
          <w:rFonts w:ascii="Arial" w:eastAsia="Calibri" w:hAnsi="Arial" w:cs="Arial"/>
        </w:rPr>
        <w:t xml:space="preserve"> of the Aliens Act, the co</w:t>
      </w:r>
      <w:r>
        <w:rPr>
          <w:rFonts w:ascii="Arial" w:eastAsia="Calibri" w:hAnsi="Arial" w:cs="Arial"/>
        </w:rPr>
        <w:t xml:space="preserve">ndition in section 9 (5) of the </w:t>
      </w:r>
      <w:r w:rsidRPr="00116005">
        <w:rPr>
          <w:rFonts w:ascii="Arial" w:eastAsia="Calibri" w:hAnsi="Arial" w:cs="Arial"/>
        </w:rPr>
        <w:t>Aliens Act has to be disregarded if required due to Denmark’</w:t>
      </w:r>
      <w:r>
        <w:rPr>
          <w:rFonts w:ascii="Arial" w:eastAsia="Calibri" w:hAnsi="Arial" w:cs="Arial"/>
        </w:rPr>
        <w:t xml:space="preserve">s international obligations. In </w:t>
      </w:r>
      <w:r w:rsidRPr="00116005">
        <w:rPr>
          <w:rFonts w:ascii="Arial" w:eastAsia="Calibri" w:hAnsi="Arial" w:cs="Arial"/>
        </w:rPr>
        <w:t>this connection</w:t>
      </w:r>
      <w:r w:rsidR="005342B6">
        <w:rPr>
          <w:rFonts w:ascii="Arial" w:eastAsia="Calibri" w:hAnsi="Arial" w:cs="Arial"/>
        </w:rPr>
        <w:t>,</w:t>
      </w:r>
      <w:r w:rsidRPr="00116005">
        <w:rPr>
          <w:rFonts w:ascii="Arial" w:eastAsia="Calibri" w:hAnsi="Arial" w:cs="Arial"/>
        </w:rPr>
        <w:t xml:space="preserve"> the Court noted that article 14 of the Euro</w:t>
      </w:r>
      <w:r>
        <w:rPr>
          <w:rFonts w:ascii="Arial" w:eastAsia="Calibri" w:hAnsi="Arial" w:cs="Arial"/>
        </w:rPr>
        <w:t xml:space="preserve">pean Convention on Human Rights </w:t>
      </w:r>
      <w:r w:rsidRPr="00116005">
        <w:rPr>
          <w:rFonts w:ascii="Arial" w:eastAsia="Calibri" w:hAnsi="Arial" w:cs="Arial"/>
        </w:rPr>
        <w:t xml:space="preserve">prohibits differential treatment for reasons such as disability </w:t>
      </w:r>
      <w:r>
        <w:rPr>
          <w:rFonts w:ascii="Arial" w:eastAsia="Calibri" w:hAnsi="Arial" w:cs="Arial"/>
        </w:rPr>
        <w:t xml:space="preserve">when the differential treatment </w:t>
      </w:r>
      <w:r w:rsidRPr="00116005">
        <w:rPr>
          <w:rFonts w:ascii="Arial" w:eastAsia="Calibri" w:hAnsi="Arial" w:cs="Arial"/>
        </w:rPr>
        <w:t>is attributable to a circumstance falling within the scope</w:t>
      </w:r>
      <w:r>
        <w:rPr>
          <w:rFonts w:ascii="Arial" w:eastAsia="Calibri" w:hAnsi="Arial" w:cs="Arial"/>
        </w:rPr>
        <w:t xml:space="preserve"> of the other provisions of the </w:t>
      </w:r>
      <w:r w:rsidRPr="00116005">
        <w:rPr>
          <w:rFonts w:ascii="Arial" w:eastAsia="Calibri" w:hAnsi="Arial" w:cs="Arial"/>
        </w:rPr>
        <w:t>Convention, including article 8 on the right to respect for fa</w:t>
      </w:r>
      <w:r>
        <w:rPr>
          <w:rFonts w:ascii="Arial" w:eastAsia="Calibri" w:hAnsi="Arial" w:cs="Arial"/>
        </w:rPr>
        <w:t xml:space="preserve">mily life. </w:t>
      </w:r>
    </w:p>
    <w:p w14:paraId="4C085C3D" w14:textId="77777777" w:rsidR="005342B6" w:rsidRDefault="005342B6" w:rsidP="00116005">
      <w:pPr>
        <w:autoSpaceDE w:val="0"/>
        <w:autoSpaceDN w:val="0"/>
        <w:adjustRightInd w:val="0"/>
        <w:spacing w:after="0" w:line="240" w:lineRule="auto"/>
        <w:jc w:val="both"/>
        <w:rPr>
          <w:rFonts w:ascii="Arial" w:eastAsia="Calibri" w:hAnsi="Arial" w:cs="Arial"/>
        </w:rPr>
      </w:pPr>
    </w:p>
    <w:p w14:paraId="77C7620E" w14:textId="4FF8932C" w:rsidR="00116005" w:rsidRDefault="00116005" w:rsidP="00116005">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The Court noted that </w:t>
      </w:r>
      <w:r w:rsidRPr="00116005">
        <w:rPr>
          <w:rFonts w:ascii="Arial" w:eastAsia="Calibri" w:hAnsi="Arial" w:cs="Arial"/>
        </w:rPr>
        <w:t>the question to be determined was whether the situ</w:t>
      </w:r>
      <w:r>
        <w:rPr>
          <w:rFonts w:ascii="Arial" w:eastAsia="Calibri" w:hAnsi="Arial" w:cs="Arial"/>
        </w:rPr>
        <w:t xml:space="preserve">ation of the male author at the </w:t>
      </w:r>
      <w:r w:rsidRPr="00116005">
        <w:rPr>
          <w:rFonts w:ascii="Arial" w:eastAsia="Calibri" w:hAnsi="Arial" w:cs="Arial"/>
        </w:rPr>
        <w:t xml:space="preserve">date of the decision made by the Immigration Appeals Board </w:t>
      </w:r>
      <w:r>
        <w:rPr>
          <w:rFonts w:ascii="Arial" w:eastAsia="Calibri" w:hAnsi="Arial" w:cs="Arial"/>
        </w:rPr>
        <w:t xml:space="preserve">was comparable to the situation </w:t>
      </w:r>
      <w:r w:rsidR="00481DFC">
        <w:rPr>
          <w:rFonts w:ascii="Arial" w:eastAsia="Calibri" w:hAnsi="Arial" w:cs="Arial"/>
        </w:rPr>
        <w:t>of persons without</w:t>
      </w:r>
      <w:r w:rsidRPr="00116005">
        <w:rPr>
          <w:rFonts w:ascii="Arial" w:eastAsia="Calibri" w:hAnsi="Arial" w:cs="Arial"/>
        </w:rPr>
        <w:t xml:space="preserve"> disability who had received social secur</w:t>
      </w:r>
      <w:r>
        <w:rPr>
          <w:rFonts w:ascii="Arial" w:eastAsia="Calibri" w:hAnsi="Arial" w:cs="Arial"/>
        </w:rPr>
        <w:t xml:space="preserve">ity benefits for the last three </w:t>
      </w:r>
      <w:r w:rsidRPr="00116005">
        <w:rPr>
          <w:rFonts w:ascii="Arial" w:eastAsia="Calibri" w:hAnsi="Arial" w:cs="Arial"/>
        </w:rPr>
        <w:t>years, or to the situation of persons without disability who had not rece</w:t>
      </w:r>
      <w:r>
        <w:rPr>
          <w:rFonts w:ascii="Arial" w:eastAsia="Calibri" w:hAnsi="Arial" w:cs="Arial"/>
        </w:rPr>
        <w:t xml:space="preserve">ived any social </w:t>
      </w:r>
      <w:r w:rsidRPr="00116005">
        <w:rPr>
          <w:rFonts w:ascii="Arial" w:eastAsia="Calibri" w:hAnsi="Arial" w:cs="Arial"/>
        </w:rPr>
        <w:t xml:space="preserve">security benefits for the last three years. It noted that </w:t>
      </w:r>
      <w:r>
        <w:rPr>
          <w:rFonts w:ascii="Arial" w:eastAsia="Calibri" w:hAnsi="Arial" w:cs="Arial"/>
        </w:rPr>
        <w:t>w</w:t>
      </w:r>
      <w:r w:rsidRPr="00116005">
        <w:rPr>
          <w:rFonts w:ascii="Arial" w:eastAsia="Calibri" w:hAnsi="Arial" w:cs="Arial"/>
        </w:rPr>
        <w:t xml:space="preserve">age subsidies do not fall within the scope of </w:t>
      </w:r>
      <w:r>
        <w:rPr>
          <w:rFonts w:ascii="Arial" w:eastAsia="Calibri" w:hAnsi="Arial" w:cs="Arial"/>
        </w:rPr>
        <w:t xml:space="preserve">section 9 (5) of the Aliens Act </w:t>
      </w:r>
      <w:r w:rsidRPr="00116005">
        <w:rPr>
          <w:rFonts w:ascii="Arial" w:eastAsia="Calibri" w:hAnsi="Arial" w:cs="Arial"/>
        </w:rPr>
        <w:t>and therefore do not disqualify the recipient from being gr</w:t>
      </w:r>
      <w:r>
        <w:rPr>
          <w:rFonts w:ascii="Arial" w:eastAsia="Calibri" w:hAnsi="Arial" w:cs="Arial"/>
        </w:rPr>
        <w:t xml:space="preserve">anted family reunification. The Court further noted </w:t>
      </w:r>
      <w:r w:rsidRPr="00116005">
        <w:rPr>
          <w:rFonts w:ascii="Arial" w:eastAsia="Calibri" w:hAnsi="Arial" w:cs="Arial"/>
        </w:rPr>
        <w:t xml:space="preserve">that it must be deemed to be an assumption in the </w:t>
      </w:r>
      <w:proofErr w:type="spellStart"/>
      <w:r w:rsidRPr="00481DFC">
        <w:rPr>
          <w:rFonts w:ascii="Arial" w:eastAsia="Calibri" w:hAnsi="Arial" w:cs="Arial"/>
          <w:i/>
        </w:rPr>
        <w:t>travaux</w:t>
      </w:r>
      <w:proofErr w:type="spellEnd"/>
      <w:r w:rsidRPr="00481DFC">
        <w:rPr>
          <w:rFonts w:ascii="Arial" w:eastAsia="Calibri" w:hAnsi="Arial" w:cs="Arial"/>
          <w:i/>
        </w:rPr>
        <w:t xml:space="preserve"> </w:t>
      </w:r>
      <w:proofErr w:type="spellStart"/>
      <w:r w:rsidRPr="00481DFC">
        <w:rPr>
          <w:rFonts w:ascii="Arial" w:eastAsia="Calibri" w:hAnsi="Arial" w:cs="Arial"/>
          <w:i/>
        </w:rPr>
        <w:t>préparatoires</w:t>
      </w:r>
      <w:proofErr w:type="spellEnd"/>
      <w:r>
        <w:rPr>
          <w:rFonts w:ascii="Arial" w:eastAsia="Calibri" w:hAnsi="Arial" w:cs="Arial"/>
        </w:rPr>
        <w:t xml:space="preserve"> that this requirement </w:t>
      </w:r>
      <w:r w:rsidRPr="00116005">
        <w:rPr>
          <w:rFonts w:ascii="Arial" w:eastAsia="Calibri" w:hAnsi="Arial" w:cs="Arial"/>
        </w:rPr>
        <w:t>must be disregarded if a person is not able to satisfy the requ</w:t>
      </w:r>
      <w:r>
        <w:rPr>
          <w:rFonts w:ascii="Arial" w:eastAsia="Calibri" w:hAnsi="Arial" w:cs="Arial"/>
        </w:rPr>
        <w:t xml:space="preserve">irement of section 9 (5) of the </w:t>
      </w:r>
      <w:r w:rsidRPr="00116005">
        <w:rPr>
          <w:rFonts w:ascii="Arial" w:eastAsia="Calibri" w:hAnsi="Arial" w:cs="Arial"/>
        </w:rPr>
        <w:t xml:space="preserve">Aliens Act due to his or her disability. </w:t>
      </w:r>
      <w:r>
        <w:rPr>
          <w:rFonts w:ascii="Arial" w:eastAsia="Calibri" w:hAnsi="Arial" w:cs="Arial"/>
        </w:rPr>
        <w:t xml:space="preserve">It noted </w:t>
      </w:r>
      <w:r w:rsidRPr="00116005">
        <w:rPr>
          <w:rFonts w:ascii="Arial" w:eastAsia="Calibri" w:hAnsi="Arial" w:cs="Arial"/>
        </w:rPr>
        <w:t xml:space="preserve">that at the time of the decision made by the Immigration Appeals Board, </w:t>
      </w:r>
      <w:r>
        <w:rPr>
          <w:rFonts w:ascii="Arial" w:eastAsia="Calibri" w:hAnsi="Arial" w:cs="Arial"/>
        </w:rPr>
        <w:t xml:space="preserve">the male author was </w:t>
      </w:r>
      <w:r w:rsidRPr="00116005">
        <w:rPr>
          <w:rFonts w:ascii="Arial" w:eastAsia="Calibri" w:hAnsi="Arial" w:cs="Arial"/>
        </w:rPr>
        <w:t>undergoing evaluation and clinical assessment to determine h</w:t>
      </w:r>
      <w:r>
        <w:rPr>
          <w:rFonts w:ascii="Arial" w:eastAsia="Calibri" w:hAnsi="Arial" w:cs="Arial"/>
        </w:rPr>
        <w:t xml:space="preserve">is future potential for finding </w:t>
      </w:r>
      <w:r w:rsidRPr="00116005">
        <w:rPr>
          <w:rFonts w:ascii="Arial" w:eastAsia="Calibri" w:hAnsi="Arial" w:cs="Arial"/>
        </w:rPr>
        <w:t>employment and undergoing training. It found that there was a reasonable prospect of satisfying the require</w:t>
      </w:r>
      <w:r>
        <w:rPr>
          <w:rFonts w:ascii="Arial" w:eastAsia="Calibri" w:hAnsi="Arial" w:cs="Arial"/>
        </w:rPr>
        <w:t xml:space="preserve">ment of self-support in section </w:t>
      </w:r>
      <w:r w:rsidRPr="00116005">
        <w:rPr>
          <w:rFonts w:ascii="Arial" w:eastAsia="Calibri" w:hAnsi="Arial" w:cs="Arial"/>
        </w:rPr>
        <w:t>9 (5) of the Aliens Act because of his possibility of findi</w:t>
      </w:r>
      <w:r>
        <w:rPr>
          <w:rFonts w:ascii="Arial" w:eastAsia="Calibri" w:hAnsi="Arial" w:cs="Arial"/>
        </w:rPr>
        <w:t xml:space="preserve">ng a job under the wage subsidy </w:t>
      </w:r>
      <w:r w:rsidRPr="00116005">
        <w:rPr>
          <w:rFonts w:ascii="Arial" w:eastAsia="Calibri" w:hAnsi="Arial" w:cs="Arial"/>
        </w:rPr>
        <w:t xml:space="preserve">programme. </w:t>
      </w:r>
      <w:r w:rsidRPr="005342B6">
        <w:rPr>
          <w:rFonts w:ascii="Arial" w:eastAsia="Calibri" w:hAnsi="Arial" w:cs="Arial"/>
          <w:u w:val="single"/>
        </w:rPr>
        <w:t>The Court therefore found that, at the time of the decision made by the Immigration Appeals Board, the male author was in a situation comparable to that of persons without a disability who have received social security benefits within the last three years and that he had therefore not been subjected to differential treatment contrary to the Convention or the European Convention on Human Rights</w:t>
      </w:r>
      <w:r w:rsidRPr="00116005">
        <w:rPr>
          <w:rFonts w:ascii="Arial" w:eastAsia="Calibri" w:hAnsi="Arial" w:cs="Arial"/>
        </w:rPr>
        <w:t>.</w:t>
      </w:r>
    </w:p>
    <w:p w14:paraId="3709A162" w14:textId="77777777" w:rsidR="00116005" w:rsidRDefault="00116005" w:rsidP="00116005">
      <w:pPr>
        <w:autoSpaceDE w:val="0"/>
        <w:autoSpaceDN w:val="0"/>
        <w:adjustRightInd w:val="0"/>
        <w:spacing w:after="0" w:line="240" w:lineRule="auto"/>
        <w:jc w:val="both"/>
        <w:rPr>
          <w:rFonts w:ascii="Arial" w:eastAsia="Calibri" w:hAnsi="Arial" w:cs="Arial"/>
        </w:rPr>
      </w:pPr>
    </w:p>
    <w:p w14:paraId="0780EE78" w14:textId="50729FCA" w:rsidR="00116005" w:rsidRPr="00116005" w:rsidRDefault="00116005" w:rsidP="00116005">
      <w:pPr>
        <w:autoSpaceDE w:val="0"/>
        <w:autoSpaceDN w:val="0"/>
        <w:adjustRightInd w:val="0"/>
        <w:spacing w:after="0" w:line="240" w:lineRule="auto"/>
        <w:jc w:val="both"/>
        <w:rPr>
          <w:rFonts w:ascii="Arial" w:eastAsia="Calibri" w:hAnsi="Arial" w:cs="Arial"/>
        </w:rPr>
      </w:pPr>
      <w:r w:rsidRPr="00116005">
        <w:rPr>
          <w:rFonts w:ascii="Arial" w:eastAsia="Calibri" w:hAnsi="Arial" w:cs="Arial"/>
        </w:rPr>
        <w:t>The State notes the authors’ claim that the d</w:t>
      </w:r>
      <w:r>
        <w:rPr>
          <w:rFonts w:ascii="Arial" w:eastAsia="Calibri" w:hAnsi="Arial" w:cs="Arial"/>
        </w:rPr>
        <w:t xml:space="preserve">ecision made by the Immigration </w:t>
      </w:r>
      <w:r w:rsidRPr="00116005">
        <w:rPr>
          <w:rFonts w:ascii="Arial" w:eastAsia="Calibri" w:hAnsi="Arial" w:cs="Arial"/>
        </w:rPr>
        <w:t>Appeals Board on 3 December 2014 to refuse the female aut</w:t>
      </w:r>
      <w:r>
        <w:rPr>
          <w:rFonts w:ascii="Arial" w:eastAsia="Calibri" w:hAnsi="Arial" w:cs="Arial"/>
        </w:rPr>
        <w:t xml:space="preserve">hor’s application for residence </w:t>
      </w:r>
      <w:r w:rsidRPr="00116005">
        <w:rPr>
          <w:rFonts w:ascii="Arial" w:eastAsia="Calibri" w:hAnsi="Arial" w:cs="Arial"/>
        </w:rPr>
        <w:t>in Denmark was contrary to articles 5 and 23 of the Conventi</w:t>
      </w:r>
      <w:r>
        <w:rPr>
          <w:rFonts w:ascii="Arial" w:eastAsia="Calibri" w:hAnsi="Arial" w:cs="Arial"/>
        </w:rPr>
        <w:t xml:space="preserve">on. It submits </w:t>
      </w:r>
      <w:r w:rsidRPr="00116005">
        <w:rPr>
          <w:rFonts w:ascii="Arial" w:eastAsia="Calibri" w:hAnsi="Arial" w:cs="Arial"/>
          <w:u w:val="single"/>
        </w:rPr>
        <w:t>that the authors have failed to establish a prima facie case for the purpose of admissibility and that the communication should therefore be considered inadmissible</w:t>
      </w:r>
      <w:r w:rsidRPr="00116005">
        <w:rPr>
          <w:rFonts w:ascii="Arial" w:eastAsia="Calibri" w:hAnsi="Arial" w:cs="Arial"/>
        </w:rPr>
        <w:t>. It refers to the</w:t>
      </w:r>
      <w:r>
        <w:rPr>
          <w:rFonts w:ascii="Arial" w:eastAsia="Calibri" w:hAnsi="Arial" w:cs="Arial"/>
        </w:rPr>
        <w:t xml:space="preserve"> </w:t>
      </w:r>
      <w:r w:rsidRPr="00116005">
        <w:rPr>
          <w:rFonts w:ascii="Arial" w:eastAsia="Calibri" w:hAnsi="Arial" w:cs="Arial"/>
        </w:rPr>
        <w:t>fact that the authors’ claims have been heard by the Immigration Appeals Board, the Hi</w:t>
      </w:r>
      <w:r>
        <w:rPr>
          <w:rFonts w:ascii="Arial" w:eastAsia="Calibri" w:hAnsi="Arial" w:cs="Arial"/>
        </w:rPr>
        <w:t xml:space="preserve">gh </w:t>
      </w:r>
      <w:r w:rsidRPr="00116005">
        <w:rPr>
          <w:rFonts w:ascii="Arial" w:eastAsia="Calibri" w:hAnsi="Arial" w:cs="Arial"/>
        </w:rPr>
        <w:t>Court and the Supreme Court</w:t>
      </w:r>
      <w:r w:rsidR="005342B6">
        <w:rPr>
          <w:rFonts w:ascii="Arial" w:eastAsia="Calibri" w:hAnsi="Arial" w:cs="Arial"/>
        </w:rPr>
        <w:t>, arguing</w:t>
      </w:r>
      <w:r w:rsidRPr="00116005">
        <w:rPr>
          <w:rFonts w:ascii="Arial" w:eastAsia="Calibri" w:hAnsi="Arial" w:cs="Arial"/>
        </w:rPr>
        <w:t xml:space="preserve"> that the Supreme Cour</w:t>
      </w:r>
      <w:r w:rsidR="00063DDB">
        <w:rPr>
          <w:rFonts w:ascii="Arial" w:eastAsia="Calibri" w:hAnsi="Arial" w:cs="Arial"/>
        </w:rPr>
        <w:t xml:space="preserve">t expressly considered the fact </w:t>
      </w:r>
      <w:r w:rsidRPr="00116005">
        <w:rPr>
          <w:rFonts w:ascii="Arial" w:eastAsia="Calibri" w:hAnsi="Arial" w:cs="Arial"/>
        </w:rPr>
        <w:t>that the male author is a person with a disability, but that it f</w:t>
      </w:r>
      <w:r w:rsidR="00063DDB">
        <w:rPr>
          <w:rFonts w:ascii="Arial" w:eastAsia="Calibri" w:hAnsi="Arial" w:cs="Arial"/>
        </w:rPr>
        <w:t xml:space="preserve">ound that he was in a situation </w:t>
      </w:r>
      <w:r w:rsidRPr="00116005">
        <w:rPr>
          <w:rFonts w:ascii="Arial" w:eastAsia="Calibri" w:hAnsi="Arial" w:cs="Arial"/>
        </w:rPr>
        <w:t>comparable to that of persons without a disability who have rece</w:t>
      </w:r>
      <w:r w:rsidR="00063DDB">
        <w:rPr>
          <w:rFonts w:ascii="Arial" w:eastAsia="Calibri" w:hAnsi="Arial" w:cs="Arial"/>
        </w:rPr>
        <w:t xml:space="preserve">ived social security benefits </w:t>
      </w:r>
      <w:r w:rsidRPr="00116005">
        <w:rPr>
          <w:rFonts w:ascii="Arial" w:eastAsia="Calibri" w:hAnsi="Arial" w:cs="Arial"/>
        </w:rPr>
        <w:t>within the last three years. In that connection, the Supreme</w:t>
      </w:r>
      <w:r w:rsidR="00063DDB">
        <w:rPr>
          <w:rFonts w:ascii="Arial" w:eastAsia="Calibri" w:hAnsi="Arial" w:cs="Arial"/>
        </w:rPr>
        <w:t xml:space="preserve"> Court emphasised that the male </w:t>
      </w:r>
      <w:r w:rsidRPr="00116005">
        <w:rPr>
          <w:rFonts w:ascii="Arial" w:eastAsia="Calibri" w:hAnsi="Arial" w:cs="Arial"/>
        </w:rPr>
        <w:t>author had undergone evaluation and clinical assessment, an</w:t>
      </w:r>
      <w:r w:rsidR="00063DDB">
        <w:rPr>
          <w:rFonts w:ascii="Arial" w:eastAsia="Calibri" w:hAnsi="Arial" w:cs="Arial"/>
        </w:rPr>
        <w:t xml:space="preserve">d because of his enrolment in a </w:t>
      </w:r>
      <w:r w:rsidRPr="00116005">
        <w:rPr>
          <w:rFonts w:ascii="Arial" w:eastAsia="Calibri" w:hAnsi="Arial" w:cs="Arial"/>
        </w:rPr>
        <w:t>wage subsidy programme, he had a reasonable potential fo</w:t>
      </w:r>
      <w:r w:rsidR="00063DDB">
        <w:rPr>
          <w:rFonts w:ascii="Arial" w:eastAsia="Calibri" w:hAnsi="Arial" w:cs="Arial"/>
        </w:rPr>
        <w:t xml:space="preserve">r satisfying the requirement of </w:t>
      </w:r>
      <w:r w:rsidRPr="00116005">
        <w:rPr>
          <w:rFonts w:ascii="Arial" w:eastAsia="Calibri" w:hAnsi="Arial" w:cs="Arial"/>
        </w:rPr>
        <w:t>self-support.</w:t>
      </w:r>
    </w:p>
    <w:p w14:paraId="7849181B" w14:textId="77777777" w:rsidR="00063DDB" w:rsidRDefault="00063DDB" w:rsidP="00116005">
      <w:pPr>
        <w:autoSpaceDE w:val="0"/>
        <w:autoSpaceDN w:val="0"/>
        <w:adjustRightInd w:val="0"/>
        <w:spacing w:after="0" w:line="240" w:lineRule="auto"/>
        <w:jc w:val="both"/>
        <w:rPr>
          <w:rFonts w:ascii="Arial" w:eastAsia="Calibri" w:hAnsi="Arial" w:cs="Arial"/>
        </w:rPr>
      </w:pPr>
    </w:p>
    <w:p w14:paraId="7FD7B1BD" w14:textId="7670E42B" w:rsidR="00116005" w:rsidRPr="00481DFC" w:rsidRDefault="00116005" w:rsidP="00116005">
      <w:pPr>
        <w:autoSpaceDE w:val="0"/>
        <w:autoSpaceDN w:val="0"/>
        <w:adjustRightInd w:val="0"/>
        <w:spacing w:after="0" w:line="240" w:lineRule="auto"/>
        <w:jc w:val="both"/>
        <w:rPr>
          <w:rFonts w:ascii="Arial" w:eastAsia="Calibri" w:hAnsi="Arial" w:cs="Arial"/>
        </w:rPr>
      </w:pPr>
      <w:r w:rsidRPr="00116005">
        <w:rPr>
          <w:rFonts w:ascii="Arial" w:eastAsia="Calibri" w:hAnsi="Arial" w:cs="Arial"/>
        </w:rPr>
        <w:t xml:space="preserve">As concerns the merits of the author’s claims, </w:t>
      </w:r>
      <w:r w:rsidRPr="00063DDB">
        <w:rPr>
          <w:rFonts w:ascii="Arial" w:eastAsia="Calibri" w:hAnsi="Arial" w:cs="Arial"/>
          <w:u w:val="single"/>
        </w:rPr>
        <w:t>the State</w:t>
      </w:r>
      <w:r w:rsidR="00063DDB" w:rsidRPr="00063DDB">
        <w:rPr>
          <w:rFonts w:ascii="Arial" w:eastAsia="Calibri" w:hAnsi="Arial" w:cs="Arial"/>
          <w:u w:val="single"/>
        </w:rPr>
        <w:t xml:space="preserve"> submits that the authors </w:t>
      </w:r>
      <w:r w:rsidRPr="00063DDB">
        <w:rPr>
          <w:rFonts w:ascii="Arial" w:eastAsia="Calibri" w:hAnsi="Arial" w:cs="Arial"/>
          <w:u w:val="single"/>
        </w:rPr>
        <w:t>have not sufficiently established that it has breached its obli</w:t>
      </w:r>
      <w:r w:rsidR="00063DDB" w:rsidRPr="00063DDB">
        <w:rPr>
          <w:rFonts w:ascii="Arial" w:eastAsia="Calibri" w:hAnsi="Arial" w:cs="Arial"/>
          <w:u w:val="single"/>
        </w:rPr>
        <w:t xml:space="preserve">gations under articles 5 and 23 </w:t>
      </w:r>
      <w:r w:rsidRPr="00063DDB">
        <w:rPr>
          <w:rFonts w:ascii="Arial" w:eastAsia="Calibri" w:hAnsi="Arial" w:cs="Arial"/>
          <w:u w:val="single"/>
        </w:rPr>
        <w:t>of the Convention by refusing the female author’s application for residence in Denmark</w:t>
      </w:r>
      <w:r w:rsidR="00063DDB">
        <w:rPr>
          <w:rFonts w:ascii="Arial" w:eastAsia="Calibri" w:hAnsi="Arial" w:cs="Arial"/>
        </w:rPr>
        <w:t xml:space="preserve">. It </w:t>
      </w:r>
      <w:r w:rsidRPr="00116005">
        <w:rPr>
          <w:rFonts w:ascii="Arial" w:eastAsia="Calibri" w:hAnsi="Arial" w:cs="Arial"/>
        </w:rPr>
        <w:t>argues that the male author has not been discriminated against,</w:t>
      </w:r>
      <w:r w:rsidR="00063DDB">
        <w:rPr>
          <w:rFonts w:ascii="Arial" w:eastAsia="Calibri" w:hAnsi="Arial" w:cs="Arial"/>
        </w:rPr>
        <w:t xml:space="preserve"> either directly or indirectly, </w:t>
      </w:r>
      <w:r w:rsidRPr="00116005">
        <w:rPr>
          <w:rFonts w:ascii="Arial" w:eastAsia="Calibri" w:hAnsi="Arial" w:cs="Arial"/>
        </w:rPr>
        <w:t>as compared with a person without disability applying for spousal reun</w:t>
      </w:r>
      <w:r w:rsidR="00063DDB">
        <w:rPr>
          <w:rFonts w:ascii="Arial" w:eastAsia="Calibri" w:hAnsi="Arial" w:cs="Arial"/>
        </w:rPr>
        <w:t xml:space="preserve">ification who has also </w:t>
      </w:r>
      <w:r w:rsidRPr="00116005">
        <w:rPr>
          <w:rFonts w:ascii="Arial" w:eastAsia="Calibri" w:hAnsi="Arial" w:cs="Arial"/>
        </w:rPr>
        <w:t>received maintenance benefits under the Act on an Active Social Policy. It argues that the relevant issue in the cas</w:t>
      </w:r>
      <w:r w:rsidR="00063DDB">
        <w:rPr>
          <w:rFonts w:ascii="Arial" w:eastAsia="Calibri" w:hAnsi="Arial" w:cs="Arial"/>
        </w:rPr>
        <w:t xml:space="preserve">e is whether it is possible for </w:t>
      </w:r>
      <w:r w:rsidRPr="00116005">
        <w:rPr>
          <w:rFonts w:ascii="Arial" w:eastAsia="Calibri" w:hAnsi="Arial" w:cs="Arial"/>
        </w:rPr>
        <w:t>the male author to comply with the provisions of section 9 (5</w:t>
      </w:r>
      <w:r w:rsidR="00063DDB">
        <w:rPr>
          <w:rFonts w:ascii="Arial" w:eastAsia="Calibri" w:hAnsi="Arial" w:cs="Arial"/>
        </w:rPr>
        <w:t xml:space="preserve">) of the Aliens Act on an equal </w:t>
      </w:r>
      <w:r w:rsidRPr="00116005">
        <w:rPr>
          <w:rFonts w:ascii="Arial" w:eastAsia="Calibri" w:hAnsi="Arial" w:cs="Arial"/>
        </w:rPr>
        <w:t>basis with others who have received assistance under the Act</w:t>
      </w:r>
      <w:r w:rsidR="00063DDB">
        <w:rPr>
          <w:rFonts w:ascii="Arial" w:eastAsia="Calibri" w:hAnsi="Arial" w:cs="Arial"/>
        </w:rPr>
        <w:t xml:space="preserve"> on an Active Social Policy. It </w:t>
      </w:r>
      <w:r w:rsidRPr="00116005">
        <w:rPr>
          <w:rFonts w:ascii="Arial" w:eastAsia="Calibri" w:hAnsi="Arial" w:cs="Arial"/>
        </w:rPr>
        <w:t>submits that the Supreme Court therefore rightly held that the ex</w:t>
      </w:r>
      <w:r w:rsidR="00063DDB">
        <w:rPr>
          <w:rFonts w:ascii="Arial" w:eastAsia="Calibri" w:hAnsi="Arial" w:cs="Arial"/>
        </w:rPr>
        <w:t xml:space="preserve">istence of a disability cannot, </w:t>
      </w:r>
      <w:r w:rsidRPr="00116005">
        <w:rPr>
          <w:rFonts w:ascii="Arial" w:eastAsia="Calibri" w:hAnsi="Arial" w:cs="Arial"/>
        </w:rPr>
        <w:t>when viewed in isolation, justify an exemption from the condit</w:t>
      </w:r>
      <w:r w:rsidR="00063DDB">
        <w:rPr>
          <w:rFonts w:ascii="Arial" w:eastAsia="Calibri" w:hAnsi="Arial" w:cs="Arial"/>
        </w:rPr>
        <w:t xml:space="preserve">ion set out in section 9 (5) of </w:t>
      </w:r>
      <w:r w:rsidRPr="00116005">
        <w:rPr>
          <w:rFonts w:ascii="Arial" w:eastAsia="Calibri" w:hAnsi="Arial" w:cs="Arial"/>
        </w:rPr>
        <w:t xml:space="preserve">the Aliens Act, as the relevant assessment </w:t>
      </w:r>
      <w:r w:rsidRPr="00116005">
        <w:rPr>
          <w:rFonts w:ascii="Arial" w:eastAsia="Calibri" w:hAnsi="Arial" w:cs="Arial"/>
        </w:rPr>
        <w:lastRenderedPageBreak/>
        <w:t xml:space="preserve">to be made is whether the existence </w:t>
      </w:r>
      <w:r w:rsidR="00063DDB">
        <w:rPr>
          <w:rFonts w:ascii="Arial" w:eastAsia="Calibri" w:hAnsi="Arial" w:cs="Arial"/>
        </w:rPr>
        <w:t xml:space="preserve">of a disability </w:t>
      </w:r>
      <w:r w:rsidRPr="00116005">
        <w:rPr>
          <w:rFonts w:ascii="Arial" w:eastAsia="Calibri" w:hAnsi="Arial" w:cs="Arial"/>
        </w:rPr>
        <w:t>prevents a person from becoming employed at a later po</w:t>
      </w:r>
      <w:r w:rsidR="00063DDB">
        <w:rPr>
          <w:rFonts w:ascii="Arial" w:eastAsia="Calibri" w:hAnsi="Arial" w:cs="Arial"/>
        </w:rPr>
        <w:t xml:space="preserve">int and accordingly meeting the </w:t>
      </w:r>
      <w:r w:rsidRPr="00116005">
        <w:rPr>
          <w:rFonts w:ascii="Arial" w:eastAsia="Calibri" w:hAnsi="Arial" w:cs="Arial"/>
        </w:rPr>
        <w:t>condition in section 9 (5) of the Aliens Act. It notes</w:t>
      </w:r>
      <w:r w:rsidR="00063DDB">
        <w:rPr>
          <w:rFonts w:ascii="Arial" w:eastAsia="Calibri" w:hAnsi="Arial" w:cs="Arial"/>
        </w:rPr>
        <w:t xml:space="preserve"> that the Supreme Court and the </w:t>
      </w:r>
      <w:r w:rsidRPr="00116005">
        <w:rPr>
          <w:rFonts w:ascii="Arial" w:eastAsia="Calibri" w:hAnsi="Arial" w:cs="Arial"/>
        </w:rPr>
        <w:t>Immigration Appeals Board found that the male author had a reasonable prospect of</w:t>
      </w:r>
      <w:r w:rsidR="00481DFC">
        <w:rPr>
          <w:rFonts w:ascii="Arial" w:eastAsia="Calibri" w:hAnsi="Arial" w:cs="Arial"/>
        </w:rPr>
        <w:t xml:space="preserve"> </w:t>
      </w:r>
      <w:r w:rsidRPr="00116005">
        <w:rPr>
          <w:rFonts w:ascii="Arial" w:eastAsia="Calibri" w:hAnsi="Arial" w:cs="Arial"/>
        </w:rPr>
        <w:t>satisfying the requirement of self-support in section 9 (5) of th</w:t>
      </w:r>
      <w:r w:rsidR="00063DDB">
        <w:rPr>
          <w:rFonts w:ascii="Arial" w:eastAsia="Calibri" w:hAnsi="Arial" w:cs="Arial"/>
        </w:rPr>
        <w:t xml:space="preserve">e Aliens Act at the time of the </w:t>
      </w:r>
      <w:r w:rsidRPr="00116005">
        <w:rPr>
          <w:rFonts w:ascii="Arial" w:eastAsia="Calibri" w:hAnsi="Arial" w:cs="Arial"/>
        </w:rPr>
        <w:t>Board’s decision, because of his possibility of findi</w:t>
      </w:r>
      <w:r w:rsidR="00063DDB">
        <w:rPr>
          <w:rFonts w:ascii="Arial" w:eastAsia="Calibri" w:hAnsi="Arial" w:cs="Arial"/>
        </w:rPr>
        <w:t xml:space="preserve">ng a job under the wage subsidy </w:t>
      </w:r>
      <w:r w:rsidRPr="00116005">
        <w:rPr>
          <w:rFonts w:ascii="Arial" w:eastAsia="Calibri" w:hAnsi="Arial" w:cs="Arial"/>
        </w:rPr>
        <w:t xml:space="preserve">programme. The fact that </w:t>
      </w:r>
      <w:r w:rsidRPr="00063DDB">
        <w:rPr>
          <w:rFonts w:ascii="Arial" w:eastAsia="Calibri" w:hAnsi="Arial" w:cs="Arial"/>
          <w:u w:val="single"/>
        </w:rPr>
        <w:t xml:space="preserve">the spouse living in Denmark has a </w:t>
      </w:r>
      <w:r w:rsidR="00063DDB" w:rsidRPr="00063DDB">
        <w:rPr>
          <w:rFonts w:ascii="Arial" w:eastAsia="Calibri" w:hAnsi="Arial" w:cs="Arial"/>
          <w:u w:val="single"/>
        </w:rPr>
        <w:t xml:space="preserve">disability is therefore not </w:t>
      </w:r>
      <w:r w:rsidRPr="00063DDB">
        <w:rPr>
          <w:rFonts w:ascii="Arial" w:eastAsia="Calibri" w:hAnsi="Arial" w:cs="Arial"/>
          <w:u w:val="single"/>
        </w:rPr>
        <w:t>sufficient in and of itself to warrant an exemption from the co</w:t>
      </w:r>
      <w:r w:rsidR="00063DDB" w:rsidRPr="00063DDB">
        <w:rPr>
          <w:rFonts w:ascii="Arial" w:eastAsia="Calibri" w:hAnsi="Arial" w:cs="Arial"/>
          <w:u w:val="single"/>
        </w:rPr>
        <w:t xml:space="preserve">ndition of section 9 (5) of the </w:t>
      </w:r>
      <w:r w:rsidRPr="00063DDB">
        <w:rPr>
          <w:rFonts w:ascii="Arial" w:eastAsia="Calibri" w:hAnsi="Arial" w:cs="Arial"/>
          <w:u w:val="single"/>
        </w:rPr>
        <w:t>Aliens Act, in so far as for such an exemption to be mad</w:t>
      </w:r>
      <w:r w:rsidR="00063DDB" w:rsidRPr="00063DDB">
        <w:rPr>
          <w:rFonts w:ascii="Arial" w:eastAsia="Calibri" w:hAnsi="Arial" w:cs="Arial"/>
          <w:u w:val="single"/>
        </w:rPr>
        <w:t xml:space="preserve">e, the disability of the person </w:t>
      </w:r>
      <w:r w:rsidRPr="00063DDB">
        <w:rPr>
          <w:rFonts w:ascii="Arial" w:eastAsia="Calibri" w:hAnsi="Arial" w:cs="Arial"/>
          <w:u w:val="single"/>
        </w:rPr>
        <w:t>concerned must constitute a barrier to his or her possibility o</w:t>
      </w:r>
      <w:r w:rsidR="00063DDB" w:rsidRPr="00063DDB">
        <w:rPr>
          <w:rFonts w:ascii="Arial" w:eastAsia="Calibri" w:hAnsi="Arial" w:cs="Arial"/>
          <w:u w:val="single"/>
        </w:rPr>
        <w:t xml:space="preserve">f satisfying the requirement of </w:t>
      </w:r>
      <w:r w:rsidRPr="00063DDB">
        <w:rPr>
          <w:rFonts w:ascii="Arial" w:eastAsia="Calibri" w:hAnsi="Arial" w:cs="Arial"/>
          <w:u w:val="single"/>
        </w:rPr>
        <w:t>self-support.</w:t>
      </w:r>
    </w:p>
    <w:p w14:paraId="10CAAF73" w14:textId="77777777" w:rsidR="00063DDB" w:rsidRDefault="00063DDB" w:rsidP="00116005">
      <w:pPr>
        <w:autoSpaceDE w:val="0"/>
        <w:autoSpaceDN w:val="0"/>
        <w:adjustRightInd w:val="0"/>
        <w:spacing w:after="0" w:line="240" w:lineRule="auto"/>
        <w:jc w:val="both"/>
        <w:rPr>
          <w:rFonts w:ascii="Arial" w:eastAsia="Calibri" w:hAnsi="Arial" w:cs="Arial"/>
          <w:u w:val="single"/>
        </w:rPr>
      </w:pPr>
    </w:p>
    <w:p w14:paraId="4AB99822" w14:textId="77777777" w:rsidR="00063DDB" w:rsidRPr="00063DDB" w:rsidRDefault="00063DDB" w:rsidP="00063DDB">
      <w:pPr>
        <w:autoSpaceDE w:val="0"/>
        <w:autoSpaceDN w:val="0"/>
        <w:adjustRightInd w:val="0"/>
        <w:spacing w:after="0" w:line="240" w:lineRule="auto"/>
        <w:jc w:val="both"/>
        <w:rPr>
          <w:rFonts w:ascii="Arial" w:eastAsia="Calibri" w:hAnsi="Arial" w:cs="Arial"/>
        </w:rPr>
      </w:pPr>
      <w:r w:rsidRPr="00063DDB">
        <w:rPr>
          <w:rFonts w:ascii="Arial" w:eastAsia="Calibri" w:hAnsi="Arial" w:cs="Arial"/>
        </w:rPr>
        <w:t xml:space="preserve">The State party also notes that the male author refused </w:t>
      </w:r>
      <w:r>
        <w:rPr>
          <w:rFonts w:ascii="Arial" w:eastAsia="Calibri" w:hAnsi="Arial" w:cs="Arial"/>
        </w:rPr>
        <w:t xml:space="preserve">a disability pension because he </w:t>
      </w:r>
      <w:r w:rsidRPr="00063DDB">
        <w:rPr>
          <w:rFonts w:ascii="Arial" w:eastAsia="Calibri" w:hAnsi="Arial" w:cs="Arial"/>
        </w:rPr>
        <w:t>wanted to maintain links to the labour market through work. It</w:t>
      </w:r>
      <w:r>
        <w:rPr>
          <w:rFonts w:ascii="Arial" w:eastAsia="Calibri" w:hAnsi="Arial" w:cs="Arial"/>
        </w:rPr>
        <w:t xml:space="preserve"> argues that it would thus have </w:t>
      </w:r>
      <w:r w:rsidRPr="00063DDB">
        <w:rPr>
          <w:rFonts w:ascii="Arial" w:eastAsia="Calibri" w:hAnsi="Arial" w:cs="Arial"/>
        </w:rPr>
        <w:t>been possible for him to have satisfied the requirement in sec</w:t>
      </w:r>
      <w:r>
        <w:rPr>
          <w:rFonts w:ascii="Arial" w:eastAsia="Calibri" w:hAnsi="Arial" w:cs="Arial"/>
        </w:rPr>
        <w:t xml:space="preserve">tion 9 (5) of the Aliens Act at </w:t>
      </w:r>
      <w:r w:rsidRPr="00063DDB">
        <w:rPr>
          <w:rFonts w:ascii="Arial" w:eastAsia="Calibri" w:hAnsi="Arial" w:cs="Arial"/>
        </w:rPr>
        <w:t>an earlier point, had he accepted the offer of the disa</w:t>
      </w:r>
      <w:r>
        <w:rPr>
          <w:rFonts w:ascii="Arial" w:eastAsia="Calibri" w:hAnsi="Arial" w:cs="Arial"/>
        </w:rPr>
        <w:t xml:space="preserve">bility pension. It submits that </w:t>
      </w:r>
      <w:r w:rsidRPr="00063DDB">
        <w:rPr>
          <w:rFonts w:ascii="Arial" w:eastAsia="Calibri" w:hAnsi="Arial" w:cs="Arial"/>
        </w:rPr>
        <w:t>consequently the male author has not been discriminated aga</w:t>
      </w:r>
      <w:r>
        <w:rPr>
          <w:rFonts w:ascii="Arial" w:eastAsia="Calibri" w:hAnsi="Arial" w:cs="Arial"/>
        </w:rPr>
        <w:t xml:space="preserve">inst in respect of his right to </w:t>
      </w:r>
      <w:r w:rsidRPr="00063DDB">
        <w:rPr>
          <w:rFonts w:ascii="Arial" w:eastAsia="Calibri" w:hAnsi="Arial" w:cs="Arial"/>
        </w:rPr>
        <w:t>marriage and family life.</w:t>
      </w:r>
    </w:p>
    <w:p w14:paraId="4D0E2386" w14:textId="77777777" w:rsidR="00063DDB" w:rsidRDefault="00063DDB" w:rsidP="00063DDB">
      <w:pPr>
        <w:autoSpaceDE w:val="0"/>
        <w:autoSpaceDN w:val="0"/>
        <w:adjustRightInd w:val="0"/>
        <w:spacing w:after="0" w:line="240" w:lineRule="auto"/>
        <w:jc w:val="both"/>
        <w:rPr>
          <w:rFonts w:ascii="Arial" w:eastAsia="Calibri" w:hAnsi="Arial" w:cs="Arial"/>
        </w:rPr>
      </w:pPr>
    </w:p>
    <w:p w14:paraId="642E0A13" w14:textId="2FDA1C7E" w:rsidR="00063DDB" w:rsidRPr="00116005" w:rsidRDefault="00063DDB" w:rsidP="00063DDB">
      <w:pPr>
        <w:autoSpaceDE w:val="0"/>
        <w:autoSpaceDN w:val="0"/>
        <w:adjustRightInd w:val="0"/>
        <w:spacing w:after="0" w:line="240" w:lineRule="auto"/>
        <w:jc w:val="both"/>
        <w:rPr>
          <w:rFonts w:ascii="Arial" w:eastAsia="Calibri" w:hAnsi="Arial" w:cs="Arial"/>
        </w:rPr>
      </w:pPr>
      <w:r w:rsidRPr="00063DDB">
        <w:rPr>
          <w:rFonts w:ascii="Arial" w:eastAsia="Calibri" w:hAnsi="Arial" w:cs="Arial"/>
          <w:u w:val="single"/>
        </w:rPr>
        <w:t>The State party further argues that the finding by the Immigration Appeals Board that the authors could enjoy family life in Ukraine does not constitute a violation of their rights under article 5 of the Convention</w:t>
      </w:r>
      <w:r w:rsidRPr="00063DDB">
        <w:rPr>
          <w:rFonts w:ascii="Arial" w:eastAsia="Calibri" w:hAnsi="Arial" w:cs="Arial"/>
        </w:rPr>
        <w:t xml:space="preserve">. It notes that article </w:t>
      </w:r>
      <w:r>
        <w:rPr>
          <w:rFonts w:ascii="Arial" w:eastAsia="Calibri" w:hAnsi="Arial" w:cs="Arial"/>
        </w:rPr>
        <w:t xml:space="preserve">8 of the European Convention on </w:t>
      </w:r>
      <w:r w:rsidRPr="00063DDB">
        <w:rPr>
          <w:rFonts w:ascii="Arial" w:eastAsia="Calibri" w:hAnsi="Arial" w:cs="Arial"/>
        </w:rPr>
        <w:t>Human Rights does not impose on States a general duty to ac</w:t>
      </w:r>
      <w:r>
        <w:rPr>
          <w:rFonts w:ascii="Arial" w:eastAsia="Calibri" w:hAnsi="Arial" w:cs="Arial"/>
        </w:rPr>
        <w:t xml:space="preserve">cept family reunification, that </w:t>
      </w:r>
      <w:r w:rsidRPr="00063DDB">
        <w:rPr>
          <w:rFonts w:ascii="Arial" w:eastAsia="Calibri" w:hAnsi="Arial" w:cs="Arial"/>
        </w:rPr>
        <w:t xml:space="preserve">is, to accept a couple’s own choice of country in which they </w:t>
      </w:r>
      <w:r>
        <w:rPr>
          <w:rFonts w:ascii="Arial" w:eastAsia="Calibri" w:hAnsi="Arial" w:cs="Arial"/>
        </w:rPr>
        <w:t xml:space="preserve">prefer to enjoy family life, as </w:t>
      </w:r>
      <w:r w:rsidRPr="00063DDB">
        <w:rPr>
          <w:rFonts w:ascii="Arial" w:eastAsia="Calibri" w:hAnsi="Arial" w:cs="Arial"/>
        </w:rPr>
        <w:t xml:space="preserve">States have the right according to established case law to </w:t>
      </w:r>
      <w:r>
        <w:rPr>
          <w:rFonts w:ascii="Arial" w:eastAsia="Calibri" w:hAnsi="Arial" w:cs="Arial"/>
        </w:rPr>
        <w:t xml:space="preserve">control aliens’ access to their </w:t>
      </w:r>
      <w:r w:rsidRPr="00063DDB">
        <w:rPr>
          <w:rFonts w:ascii="Arial" w:eastAsia="Calibri" w:hAnsi="Arial" w:cs="Arial"/>
        </w:rPr>
        <w:t>territories and in this context to lay down rules on family reunification.</w:t>
      </w:r>
      <w:r>
        <w:rPr>
          <w:rFonts w:ascii="Arial" w:eastAsia="Calibri" w:hAnsi="Arial" w:cs="Arial"/>
        </w:rPr>
        <w:t xml:space="preserve"> States </w:t>
      </w:r>
      <w:r w:rsidRPr="00063DDB">
        <w:rPr>
          <w:rFonts w:ascii="Arial" w:eastAsia="Calibri" w:hAnsi="Arial" w:cs="Arial"/>
        </w:rPr>
        <w:t xml:space="preserve">have a wide margin of appreciation and may, as a general </w:t>
      </w:r>
      <w:r>
        <w:rPr>
          <w:rFonts w:ascii="Arial" w:eastAsia="Calibri" w:hAnsi="Arial" w:cs="Arial"/>
        </w:rPr>
        <w:t xml:space="preserve">rule, require an alien to enjoy </w:t>
      </w:r>
      <w:r w:rsidRPr="00063DDB">
        <w:rPr>
          <w:rFonts w:ascii="Arial" w:eastAsia="Calibri" w:hAnsi="Arial" w:cs="Arial"/>
        </w:rPr>
        <w:t>family life in his or her country of origin. The State notes that in the presen</w:t>
      </w:r>
      <w:r>
        <w:rPr>
          <w:rFonts w:ascii="Arial" w:eastAsia="Calibri" w:hAnsi="Arial" w:cs="Arial"/>
        </w:rPr>
        <w:t xml:space="preserve">t case, the Immigration Appeals </w:t>
      </w:r>
      <w:r w:rsidRPr="00063DDB">
        <w:rPr>
          <w:rFonts w:ascii="Arial" w:eastAsia="Calibri" w:hAnsi="Arial" w:cs="Arial"/>
        </w:rPr>
        <w:t>Board made an assessment of whether the authors could en</w:t>
      </w:r>
      <w:r>
        <w:rPr>
          <w:rFonts w:ascii="Arial" w:eastAsia="Calibri" w:hAnsi="Arial" w:cs="Arial"/>
        </w:rPr>
        <w:t xml:space="preserve">joy family life in Ukraine. The </w:t>
      </w:r>
      <w:r w:rsidRPr="00063DDB">
        <w:rPr>
          <w:rFonts w:ascii="Arial" w:eastAsia="Calibri" w:hAnsi="Arial" w:cs="Arial"/>
        </w:rPr>
        <w:t>State party argues that the circumstance that the male aut</w:t>
      </w:r>
      <w:r>
        <w:rPr>
          <w:rFonts w:ascii="Arial" w:eastAsia="Calibri" w:hAnsi="Arial" w:cs="Arial"/>
        </w:rPr>
        <w:t xml:space="preserve">hor has a disability cannot </w:t>
      </w:r>
      <w:r w:rsidRPr="00063DDB">
        <w:rPr>
          <w:rFonts w:ascii="Arial" w:eastAsia="Calibri" w:hAnsi="Arial" w:cs="Arial"/>
        </w:rPr>
        <w:t>independently have as a consequence that no assessment</w:t>
      </w:r>
      <w:r>
        <w:rPr>
          <w:rFonts w:ascii="Arial" w:eastAsia="Calibri" w:hAnsi="Arial" w:cs="Arial"/>
        </w:rPr>
        <w:t xml:space="preserve"> should be made of the authors’ </w:t>
      </w:r>
      <w:r w:rsidRPr="00063DDB">
        <w:rPr>
          <w:rFonts w:ascii="Arial" w:eastAsia="Calibri" w:hAnsi="Arial" w:cs="Arial"/>
        </w:rPr>
        <w:t>possibility of enjoying family life in the female author’s coun</w:t>
      </w:r>
      <w:r>
        <w:rPr>
          <w:rFonts w:ascii="Arial" w:eastAsia="Calibri" w:hAnsi="Arial" w:cs="Arial"/>
        </w:rPr>
        <w:t xml:space="preserve">try of origin, which assessment </w:t>
      </w:r>
      <w:r w:rsidRPr="00063DDB">
        <w:rPr>
          <w:rFonts w:ascii="Arial" w:eastAsia="Calibri" w:hAnsi="Arial" w:cs="Arial"/>
        </w:rPr>
        <w:t>would have to be made in case the spouse resident in Denmar</w:t>
      </w:r>
      <w:r>
        <w:rPr>
          <w:rFonts w:ascii="Arial" w:eastAsia="Calibri" w:hAnsi="Arial" w:cs="Arial"/>
        </w:rPr>
        <w:t xml:space="preserve">k did not have a disability. In </w:t>
      </w:r>
      <w:r w:rsidRPr="00063DDB">
        <w:rPr>
          <w:rFonts w:ascii="Arial" w:eastAsia="Calibri" w:hAnsi="Arial" w:cs="Arial"/>
        </w:rPr>
        <w:t>that case, the male author would have been placed in a better</w:t>
      </w:r>
      <w:r>
        <w:rPr>
          <w:rFonts w:ascii="Arial" w:eastAsia="Calibri" w:hAnsi="Arial" w:cs="Arial"/>
        </w:rPr>
        <w:t xml:space="preserve"> position than a person without </w:t>
      </w:r>
      <w:r w:rsidRPr="00063DDB">
        <w:rPr>
          <w:rFonts w:ascii="Arial" w:eastAsia="Calibri" w:hAnsi="Arial" w:cs="Arial"/>
        </w:rPr>
        <w:t>disability.</w:t>
      </w:r>
    </w:p>
    <w:p w14:paraId="55457483" w14:textId="77777777" w:rsidR="00116005" w:rsidRDefault="00116005" w:rsidP="007C420F">
      <w:pPr>
        <w:autoSpaceDE w:val="0"/>
        <w:autoSpaceDN w:val="0"/>
        <w:adjustRightInd w:val="0"/>
        <w:spacing w:after="0" w:line="240" w:lineRule="auto"/>
        <w:jc w:val="both"/>
        <w:rPr>
          <w:rFonts w:ascii="Arial" w:eastAsia="Calibri" w:hAnsi="Arial" w:cs="Arial"/>
          <w:bCs/>
          <w:sz w:val="28"/>
          <w:szCs w:val="28"/>
        </w:rPr>
      </w:pPr>
    </w:p>
    <w:p w14:paraId="649397DC" w14:textId="77777777" w:rsidR="007C420F" w:rsidRDefault="00655376" w:rsidP="007C420F">
      <w:pPr>
        <w:autoSpaceDE w:val="0"/>
        <w:autoSpaceDN w:val="0"/>
        <w:adjustRightInd w:val="0"/>
        <w:spacing w:after="0" w:line="240" w:lineRule="auto"/>
        <w:jc w:val="both"/>
        <w:rPr>
          <w:rFonts w:ascii="Arial" w:eastAsia="Calibri" w:hAnsi="Arial" w:cs="Arial"/>
        </w:rPr>
      </w:pPr>
      <w:r w:rsidRPr="00655376">
        <w:rPr>
          <w:rFonts w:ascii="Arial" w:eastAsia="Calibri" w:hAnsi="Arial" w:cs="Arial"/>
          <w:bCs/>
          <w:sz w:val="28"/>
          <w:szCs w:val="28"/>
        </w:rPr>
        <w:t>The author’s comments on the State party’s observations</w:t>
      </w:r>
    </w:p>
    <w:p w14:paraId="0D35BDB3" w14:textId="77777777" w:rsidR="00D112ED" w:rsidRDefault="00D112ED" w:rsidP="00D112ED">
      <w:pPr>
        <w:autoSpaceDE w:val="0"/>
        <w:autoSpaceDN w:val="0"/>
        <w:adjustRightInd w:val="0"/>
        <w:spacing w:after="0" w:line="240" w:lineRule="auto"/>
        <w:jc w:val="both"/>
        <w:rPr>
          <w:rFonts w:ascii="Arial" w:eastAsia="Calibri" w:hAnsi="Arial" w:cs="Arial"/>
        </w:rPr>
      </w:pPr>
    </w:p>
    <w:p w14:paraId="61BB2948" w14:textId="77777777" w:rsidR="00063DDB" w:rsidRPr="00063DDB" w:rsidRDefault="00063DDB" w:rsidP="00063DDB">
      <w:pPr>
        <w:autoSpaceDE w:val="0"/>
        <w:autoSpaceDN w:val="0"/>
        <w:adjustRightInd w:val="0"/>
        <w:spacing w:after="0" w:line="240" w:lineRule="auto"/>
        <w:jc w:val="both"/>
        <w:rPr>
          <w:rFonts w:ascii="Arial" w:eastAsia="Calibri" w:hAnsi="Arial" w:cs="Arial"/>
        </w:rPr>
      </w:pPr>
      <w:r>
        <w:rPr>
          <w:rFonts w:ascii="Arial" w:eastAsia="Calibri" w:hAnsi="Arial" w:cs="Arial"/>
        </w:rPr>
        <w:t>T</w:t>
      </w:r>
      <w:r w:rsidRPr="00063DDB">
        <w:rPr>
          <w:rFonts w:ascii="Arial" w:eastAsia="Calibri" w:hAnsi="Arial" w:cs="Arial"/>
        </w:rPr>
        <w:t>he authors maintain that the communication is admissible. They argue that the</w:t>
      </w:r>
      <w:r>
        <w:rPr>
          <w:rFonts w:ascii="Arial" w:eastAsia="Calibri" w:hAnsi="Arial" w:cs="Arial"/>
        </w:rPr>
        <w:t xml:space="preserve"> </w:t>
      </w:r>
      <w:r w:rsidRPr="00063DDB">
        <w:rPr>
          <w:rFonts w:ascii="Arial" w:eastAsia="Calibri" w:hAnsi="Arial" w:cs="Arial"/>
        </w:rPr>
        <w:t>domestic authorities did not make any real and substantial a</w:t>
      </w:r>
      <w:r>
        <w:rPr>
          <w:rFonts w:ascii="Arial" w:eastAsia="Calibri" w:hAnsi="Arial" w:cs="Arial"/>
        </w:rPr>
        <w:t xml:space="preserve">ssessment of their rights under </w:t>
      </w:r>
      <w:r w:rsidRPr="00063DDB">
        <w:rPr>
          <w:rFonts w:ascii="Arial" w:eastAsia="Calibri" w:hAnsi="Arial" w:cs="Arial"/>
        </w:rPr>
        <w:t>the Convention.</w:t>
      </w:r>
    </w:p>
    <w:p w14:paraId="636FE0B9" w14:textId="77777777" w:rsidR="00481DFC" w:rsidRDefault="00481DFC" w:rsidP="00063DDB">
      <w:pPr>
        <w:autoSpaceDE w:val="0"/>
        <w:autoSpaceDN w:val="0"/>
        <w:adjustRightInd w:val="0"/>
        <w:spacing w:after="0" w:line="240" w:lineRule="auto"/>
        <w:jc w:val="both"/>
        <w:rPr>
          <w:rFonts w:ascii="Arial" w:eastAsia="Calibri" w:hAnsi="Arial" w:cs="Arial"/>
        </w:rPr>
      </w:pPr>
    </w:p>
    <w:p w14:paraId="7949C13B" w14:textId="77777777" w:rsidR="00295C68" w:rsidRDefault="00063DDB" w:rsidP="00063DDB">
      <w:pPr>
        <w:autoSpaceDE w:val="0"/>
        <w:autoSpaceDN w:val="0"/>
        <w:adjustRightInd w:val="0"/>
        <w:spacing w:after="0" w:line="240" w:lineRule="auto"/>
        <w:jc w:val="both"/>
        <w:rPr>
          <w:rFonts w:ascii="Arial" w:eastAsia="Calibri" w:hAnsi="Arial" w:cs="Arial"/>
        </w:rPr>
      </w:pPr>
      <w:r>
        <w:rPr>
          <w:rFonts w:ascii="Arial" w:eastAsia="Calibri" w:hAnsi="Arial" w:cs="Arial"/>
        </w:rPr>
        <w:t>Regarding</w:t>
      </w:r>
      <w:r w:rsidRPr="00063DDB">
        <w:rPr>
          <w:rFonts w:ascii="Arial" w:eastAsia="Calibri" w:hAnsi="Arial" w:cs="Arial"/>
        </w:rPr>
        <w:t xml:space="preserve"> the merits, the </w:t>
      </w:r>
      <w:r>
        <w:rPr>
          <w:rFonts w:ascii="Arial" w:eastAsia="Calibri" w:hAnsi="Arial" w:cs="Arial"/>
        </w:rPr>
        <w:t xml:space="preserve">authors argue that the relevant </w:t>
      </w:r>
      <w:r w:rsidRPr="00063DDB">
        <w:rPr>
          <w:rFonts w:ascii="Arial" w:eastAsia="Calibri" w:hAnsi="Arial" w:cs="Arial"/>
        </w:rPr>
        <w:t>assessment in order to determine whether the male author w</w:t>
      </w:r>
      <w:r>
        <w:rPr>
          <w:rFonts w:ascii="Arial" w:eastAsia="Calibri" w:hAnsi="Arial" w:cs="Arial"/>
        </w:rPr>
        <w:t xml:space="preserve">as discriminated against due to </w:t>
      </w:r>
      <w:r w:rsidRPr="00063DDB">
        <w:rPr>
          <w:rFonts w:ascii="Arial" w:eastAsia="Calibri" w:hAnsi="Arial" w:cs="Arial"/>
        </w:rPr>
        <w:t xml:space="preserve">his disability is the connection between him having been granted </w:t>
      </w:r>
      <w:r>
        <w:rPr>
          <w:rFonts w:ascii="Arial" w:eastAsia="Calibri" w:hAnsi="Arial" w:cs="Arial"/>
        </w:rPr>
        <w:t xml:space="preserve">social benefits due to his </w:t>
      </w:r>
      <w:r w:rsidRPr="00063DDB">
        <w:rPr>
          <w:rFonts w:ascii="Arial" w:eastAsia="Calibri" w:hAnsi="Arial" w:cs="Arial"/>
        </w:rPr>
        <w:t>disability and the subsequent rejection of the authors’ applicat</w:t>
      </w:r>
      <w:r>
        <w:rPr>
          <w:rFonts w:ascii="Arial" w:eastAsia="Calibri" w:hAnsi="Arial" w:cs="Arial"/>
        </w:rPr>
        <w:t xml:space="preserve">ion for family reunification on </w:t>
      </w:r>
      <w:r w:rsidRPr="00063DDB">
        <w:rPr>
          <w:rFonts w:ascii="Arial" w:eastAsia="Calibri" w:hAnsi="Arial" w:cs="Arial"/>
        </w:rPr>
        <w:t xml:space="preserve">the basis of said benefits. They note that the </w:t>
      </w:r>
      <w:r>
        <w:rPr>
          <w:rFonts w:ascii="Arial" w:eastAsia="Calibri" w:hAnsi="Arial" w:cs="Arial"/>
        </w:rPr>
        <w:t xml:space="preserve">Supreme Court compared the male </w:t>
      </w:r>
      <w:r w:rsidRPr="00063DDB">
        <w:rPr>
          <w:rFonts w:ascii="Arial" w:eastAsia="Calibri" w:hAnsi="Arial" w:cs="Arial"/>
        </w:rPr>
        <w:t>author’s situation to that of persons without disability who h</w:t>
      </w:r>
      <w:r>
        <w:rPr>
          <w:rFonts w:ascii="Arial" w:eastAsia="Calibri" w:hAnsi="Arial" w:cs="Arial"/>
        </w:rPr>
        <w:t xml:space="preserve">ad received social benefits for </w:t>
      </w:r>
      <w:r w:rsidRPr="00063DDB">
        <w:rPr>
          <w:rFonts w:ascii="Arial" w:eastAsia="Calibri" w:hAnsi="Arial" w:cs="Arial"/>
        </w:rPr>
        <w:t>other reasons than disability. They consider that this approac</w:t>
      </w:r>
      <w:r>
        <w:rPr>
          <w:rFonts w:ascii="Arial" w:eastAsia="Calibri" w:hAnsi="Arial" w:cs="Arial"/>
        </w:rPr>
        <w:t xml:space="preserve">h is contrary to the Convention </w:t>
      </w:r>
      <w:r w:rsidRPr="00063DDB">
        <w:rPr>
          <w:rFonts w:ascii="Arial" w:eastAsia="Calibri" w:hAnsi="Arial" w:cs="Arial"/>
        </w:rPr>
        <w:t>as a person with disability and receiving social benefits is not</w:t>
      </w:r>
      <w:r>
        <w:rPr>
          <w:rFonts w:ascii="Arial" w:eastAsia="Calibri" w:hAnsi="Arial" w:cs="Arial"/>
        </w:rPr>
        <w:t xml:space="preserve"> in a comparable situation to a </w:t>
      </w:r>
      <w:r w:rsidRPr="00063DDB">
        <w:rPr>
          <w:rFonts w:ascii="Arial" w:eastAsia="Calibri" w:hAnsi="Arial" w:cs="Arial"/>
        </w:rPr>
        <w:t xml:space="preserve">person without a disability also receiving social benefits. They </w:t>
      </w:r>
      <w:r>
        <w:rPr>
          <w:rFonts w:ascii="Arial" w:eastAsia="Calibri" w:hAnsi="Arial" w:cs="Arial"/>
        </w:rPr>
        <w:t xml:space="preserve">further argue that the approach </w:t>
      </w:r>
      <w:r w:rsidRPr="00063DDB">
        <w:rPr>
          <w:rFonts w:ascii="Arial" w:eastAsia="Calibri" w:hAnsi="Arial" w:cs="Arial"/>
        </w:rPr>
        <w:t>taken by the Supreme Court is not proportional as even if t</w:t>
      </w:r>
      <w:r>
        <w:rPr>
          <w:rFonts w:ascii="Arial" w:eastAsia="Calibri" w:hAnsi="Arial" w:cs="Arial"/>
        </w:rPr>
        <w:t xml:space="preserve">he male author had been granted </w:t>
      </w:r>
      <w:r w:rsidRPr="00063DDB">
        <w:rPr>
          <w:rFonts w:ascii="Arial" w:eastAsia="Calibri" w:hAnsi="Arial" w:cs="Arial"/>
        </w:rPr>
        <w:t>employment under the wage subsidiary program, this would still have meant that</w:t>
      </w:r>
      <w:r>
        <w:rPr>
          <w:rFonts w:ascii="Arial" w:eastAsia="Calibri" w:hAnsi="Arial" w:cs="Arial"/>
        </w:rPr>
        <w:t xml:space="preserve"> they would </w:t>
      </w:r>
      <w:r w:rsidRPr="00063DDB">
        <w:rPr>
          <w:rFonts w:ascii="Arial" w:eastAsia="Calibri" w:hAnsi="Arial" w:cs="Arial"/>
        </w:rPr>
        <w:t>have had to wait for an additional three years after getting t</w:t>
      </w:r>
      <w:r>
        <w:rPr>
          <w:rFonts w:ascii="Arial" w:eastAsia="Calibri" w:hAnsi="Arial" w:cs="Arial"/>
        </w:rPr>
        <w:t xml:space="preserve">he employment before a decision </w:t>
      </w:r>
      <w:r w:rsidRPr="00063DDB">
        <w:rPr>
          <w:rFonts w:ascii="Arial" w:eastAsia="Calibri" w:hAnsi="Arial" w:cs="Arial"/>
        </w:rPr>
        <w:t xml:space="preserve">on granting family reunification could be made. The authors </w:t>
      </w:r>
      <w:r>
        <w:rPr>
          <w:rFonts w:ascii="Arial" w:eastAsia="Calibri" w:hAnsi="Arial" w:cs="Arial"/>
        </w:rPr>
        <w:t xml:space="preserve">further argue that the granting </w:t>
      </w:r>
      <w:r w:rsidRPr="00063DDB">
        <w:rPr>
          <w:rFonts w:ascii="Arial" w:eastAsia="Calibri" w:hAnsi="Arial" w:cs="Arial"/>
        </w:rPr>
        <w:t>of employment under the program is not automatic but withi</w:t>
      </w:r>
      <w:r>
        <w:rPr>
          <w:rFonts w:ascii="Arial" w:eastAsia="Calibri" w:hAnsi="Arial" w:cs="Arial"/>
        </w:rPr>
        <w:t xml:space="preserve">n the prerogative of the social </w:t>
      </w:r>
      <w:r w:rsidRPr="00063DDB">
        <w:rPr>
          <w:rFonts w:ascii="Arial" w:eastAsia="Calibri" w:hAnsi="Arial" w:cs="Arial"/>
        </w:rPr>
        <w:t>services.</w:t>
      </w:r>
    </w:p>
    <w:p w14:paraId="07B26F98" w14:textId="77777777" w:rsidR="00481DFC" w:rsidRDefault="00481DFC" w:rsidP="00063DDB">
      <w:pPr>
        <w:autoSpaceDE w:val="0"/>
        <w:autoSpaceDN w:val="0"/>
        <w:adjustRightInd w:val="0"/>
        <w:spacing w:after="0" w:line="240" w:lineRule="auto"/>
        <w:jc w:val="both"/>
        <w:rPr>
          <w:rFonts w:ascii="Arial" w:eastAsia="Calibri" w:hAnsi="Arial" w:cs="Arial"/>
          <w:bCs/>
          <w:sz w:val="28"/>
          <w:szCs w:val="28"/>
        </w:rPr>
      </w:pPr>
    </w:p>
    <w:p w14:paraId="1D86F04B" w14:textId="77777777" w:rsidR="00295C68" w:rsidRPr="00481DFC" w:rsidRDefault="00295C68" w:rsidP="00063DDB">
      <w:pPr>
        <w:autoSpaceDE w:val="0"/>
        <w:autoSpaceDN w:val="0"/>
        <w:adjustRightInd w:val="0"/>
        <w:spacing w:after="0" w:line="240" w:lineRule="auto"/>
        <w:jc w:val="both"/>
        <w:rPr>
          <w:rFonts w:ascii="Arial" w:eastAsia="Calibri" w:hAnsi="Arial" w:cs="Arial"/>
          <w:bCs/>
          <w:sz w:val="28"/>
          <w:szCs w:val="28"/>
        </w:rPr>
      </w:pPr>
      <w:r w:rsidRPr="00481DFC">
        <w:rPr>
          <w:rFonts w:ascii="Arial" w:eastAsia="Calibri" w:hAnsi="Arial" w:cs="Arial"/>
          <w:bCs/>
          <w:sz w:val="28"/>
          <w:szCs w:val="28"/>
        </w:rPr>
        <w:t>State party’s additional observations</w:t>
      </w:r>
    </w:p>
    <w:p w14:paraId="5CBD2A76" w14:textId="77777777" w:rsidR="00295C68" w:rsidRDefault="00295C68" w:rsidP="00295C68">
      <w:pPr>
        <w:autoSpaceDE w:val="0"/>
        <w:autoSpaceDN w:val="0"/>
        <w:adjustRightInd w:val="0"/>
        <w:spacing w:after="0" w:line="240" w:lineRule="auto"/>
        <w:jc w:val="both"/>
        <w:rPr>
          <w:rFonts w:ascii="Arial" w:eastAsia="Calibri" w:hAnsi="Arial" w:cs="Arial"/>
        </w:rPr>
      </w:pPr>
      <w:r>
        <w:rPr>
          <w:rFonts w:ascii="Arial" w:eastAsia="Calibri" w:hAnsi="Arial" w:cs="Arial"/>
        </w:rPr>
        <w:t>The</w:t>
      </w:r>
      <w:r w:rsidRPr="00295C68">
        <w:rPr>
          <w:rFonts w:ascii="Arial" w:eastAsia="Calibri" w:hAnsi="Arial" w:cs="Arial"/>
        </w:rPr>
        <w:t xml:space="preserve"> State party </w:t>
      </w:r>
      <w:r>
        <w:rPr>
          <w:rFonts w:ascii="Arial" w:eastAsia="Calibri" w:hAnsi="Arial" w:cs="Arial"/>
        </w:rPr>
        <w:t>refers to and reiterates its observations, maintaining</w:t>
      </w:r>
      <w:r w:rsidRPr="00295C68">
        <w:rPr>
          <w:rFonts w:ascii="Arial" w:eastAsia="Calibri" w:hAnsi="Arial" w:cs="Arial"/>
        </w:rPr>
        <w:t xml:space="preserve"> that the authors h</w:t>
      </w:r>
      <w:r>
        <w:rPr>
          <w:rFonts w:ascii="Arial" w:eastAsia="Calibri" w:hAnsi="Arial" w:cs="Arial"/>
        </w:rPr>
        <w:t xml:space="preserve">ave failed to establish a prima </w:t>
      </w:r>
      <w:r w:rsidRPr="00295C68">
        <w:rPr>
          <w:rFonts w:ascii="Arial" w:eastAsia="Calibri" w:hAnsi="Arial" w:cs="Arial"/>
        </w:rPr>
        <w:t>facie case for the purpose of admissibility.</w:t>
      </w:r>
      <w:r>
        <w:rPr>
          <w:rFonts w:ascii="Arial" w:eastAsia="Calibri" w:hAnsi="Arial" w:cs="Arial"/>
        </w:rPr>
        <w:t xml:space="preserve"> </w:t>
      </w:r>
      <w:r w:rsidRPr="00295C68">
        <w:rPr>
          <w:rFonts w:ascii="Arial" w:eastAsia="Calibri" w:hAnsi="Arial" w:cs="Arial"/>
        </w:rPr>
        <w:t>Should the Committee find the communication admiss</w:t>
      </w:r>
      <w:r>
        <w:rPr>
          <w:rFonts w:ascii="Arial" w:eastAsia="Calibri" w:hAnsi="Arial" w:cs="Arial"/>
        </w:rPr>
        <w:t xml:space="preserve">ible, the State party maintains </w:t>
      </w:r>
      <w:r w:rsidRPr="00295C68">
        <w:rPr>
          <w:rFonts w:ascii="Arial" w:eastAsia="Calibri" w:hAnsi="Arial" w:cs="Arial"/>
        </w:rPr>
        <w:t xml:space="preserve">that the decision made by the Immigration </w:t>
      </w:r>
      <w:r w:rsidRPr="00295C68">
        <w:rPr>
          <w:rFonts w:ascii="Arial" w:eastAsia="Calibri" w:hAnsi="Arial" w:cs="Arial"/>
        </w:rPr>
        <w:lastRenderedPageBreak/>
        <w:t>Appeals Board</w:t>
      </w:r>
      <w:r>
        <w:rPr>
          <w:rFonts w:ascii="Arial" w:eastAsia="Calibri" w:hAnsi="Arial" w:cs="Arial"/>
        </w:rPr>
        <w:t xml:space="preserve"> of 3 December 2011 to deny the </w:t>
      </w:r>
      <w:r w:rsidRPr="00295C68">
        <w:rPr>
          <w:rFonts w:ascii="Arial" w:eastAsia="Calibri" w:hAnsi="Arial" w:cs="Arial"/>
        </w:rPr>
        <w:t>female author’s application for a residence permit was not contr</w:t>
      </w:r>
      <w:r>
        <w:rPr>
          <w:rFonts w:ascii="Arial" w:eastAsia="Calibri" w:hAnsi="Arial" w:cs="Arial"/>
        </w:rPr>
        <w:t xml:space="preserve">ary to articles 5 and 23 of the </w:t>
      </w:r>
      <w:r w:rsidRPr="00295C68">
        <w:rPr>
          <w:rFonts w:ascii="Arial" w:eastAsia="Calibri" w:hAnsi="Arial" w:cs="Arial"/>
        </w:rPr>
        <w:t>Convention.</w:t>
      </w:r>
    </w:p>
    <w:p w14:paraId="6012DA11" w14:textId="77777777" w:rsidR="00063DDB" w:rsidRPr="00D112ED" w:rsidRDefault="00063DDB" w:rsidP="00063DDB">
      <w:pPr>
        <w:autoSpaceDE w:val="0"/>
        <w:autoSpaceDN w:val="0"/>
        <w:adjustRightInd w:val="0"/>
        <w:spacing w:after="0" w:line="240" w:lineRule="auto"/>
        <w:jc w:val="both"/>
        <w:rPr>
          <w:rFonts w:ascii="Arial" w:eastAsia="Calibri" w:hAnsi="Arial" w:cs="Arial"/>
        </w:rPr>
      </w:pPr>
    </w:p>
    <w:p w14:paraId="4E4498EA" w14:textId="77777777" w:rsidR="00655376" w:rsidRPr="00481DFC" w:rsidRDefault="00655376" w:rsidP="00655376">
      <w:pPr>
        <w:rPr>
          <w:rFonts w:ascii="Arial" w:hAnsi="Arial" w:cs="Arial"/>
          <w:sz w:val="28"/>
          <w:szCs w:val="28"/>
        </w:rPr>
      </w:pPr>
      <w:r w:rsidRPr="00481DFC">
        <w:rPr>
          <w:rFonts w:ascii="Arial" w:hAnsi="Arial" w:cs="Arial"/>
          <w:sz w:val="28"/>
          <w:szCs w:val="28"/>
        </w:rPr>
        <w:t>Committee’s consideration of admissibility</w:t>
      </w:r>
      <w:r w:rsidR="00C3779D" w:rsidRPr="00481DFC">
        <w:rPr>
          <w:rFonts w:ascii="Arial" w:hAnsi="Arial" w:cs="Arial"/>
          <w:sz w:val="28"/>
          <w:szCs w:val="28"/>
        </w:rPr>
        <w:t xml:space="preserve"> and merits</w:t>
      </w:r>
    </w:p>
    <w:p w14:paraId="38AB2193" w14:textId="77777777" w:rsidR="00C3779D" w:rsidRPr="00C3779D" w:rsidRDefault="00C3779D" w:rsidP="00B12512">
      <w:pPr>
        <w:jc w:val="both"/>
        <w:rPr>
          <w:rFonts w:ascii="Arial" w:eastAsia="Calibri" w:hAnsi="Arial" w:cs="Arial"/>
          <w:b/>
          <w:bCs/>
          <w:color w:val="000000"/>
          <w:shd w:val="clear" w:color="auto" w:fill="FFFFFF"/>
          <w:lang w:val="en-US"/>
        </w:rPr>
      </w:pPr>
      <w:r w:rsidRPr="00C3779D">
        <w:rPr>
          <w:rFonts w:ascii="Arial" w:eastAsia="Calibri" w:hAnsi="Arial" w:cs="Arial"/>
          <w:b/>
          <w:bCs/>
          <w:color w:val="000000"/>
          <w:shd w:val="clear" w:color="auto" w:fill="FFFFFF"/>
          <w:lang w:val="en-US"/>
        </w:rPr>
        <w:t>Consideration of admissibility</w:t>
      </w:r>
    </w:p>
    <w:p w14:paraId="477CE394" w14:textId="77777777" w:rsidR="00481DFC" w:rsidRDefault="00295C68" w:rsidP="00295C68">
      <w:pPr>
        <w:jc w:val="both"/>
        <w:rPr>
          <w:rFonts w:ascii="Arial" w:eastAsia="Calibri" w:hAnsi="Arial" w:cs="Arial"/>
        </w:rPr>
      </w:pPr>
      <w:r w:rsidRPr="00295C68">
        <w:rPr>
          <w:rFonts w:ascii="Arial" w:eastAsia="Calibri" w:hAnsi="Arial" w:cs="Arial"/>
        </w:rPr>
        <w:t xml:space="preserve">The </w:t>
      </w:r>
      <w:r w:rsidRPr="0038141E">
        <w:rPr>
          <w:rFonts w:ascii="Arial" w:eastAsia="Calibri" w:hAnsi="Arial" w:cs="Arial"/>
          <w:u w:val="single"/>
        </w:rPr>
        <w:t>Committee has ascertained</w:t>
      </w:r>
      <w:r w:rsidRPr="00295C68">
        <w:rPr>
          <w:rFonts w:ascii="Arial" w:eastAsia="Calibri" w:hAnsi="Arial" w:cs="Arial"/>
        </w:rPr>
        <w:t>, as required unde</w:t>
      </w:r>
      <w:r>
        <w:rPr>
          <w:rFonts w:ascii="Arial" w:eastAsia="Calibri" w:hAnsi="Arial" w:cs="Arial"/>
        </w:rPr>
        <w:t xml:space="preserve">r article 2 (c) of the Optional </w:t>
      </w:r>
      <w:r w:rsidRPr="00295C68">
        <w:rPr>
          <w:rFonts w:ascii="Arial" w:eastAsia="Calibri" w:hAnsi="Arial" w:cs="Arial"/>
        </w:rPr>
        <w:t xml:space="preserve">Protocol, </w:t>
      </w:r>
      <w:r w:rsidRPr="0038141E">
        <w:rPr>
          <w:rFonts w:ascii="Arial" w:eastAsia="Calibri" w:hAnsi="Arial" w:cs="Arial"/>
          <w:u w:val="single"/>
        </w:rPr>
        <w:t>that the same matter has not already been examined by the Committee, and has not been and is not being examined under another procedure of international investigation or settlement</w:t>
      </w:r>
      <w:r w:rsidRPr="00295C68">
        <w:rPr>
          <w:rFonts w:ascii="Arial" w:eastAsia="Calibri" w:hAnsi="Arial" w:cs="Arial"/>
        </w:rPr>
        <w:t>.</w:t>
      </w:r>
      <w:r>
        <w:rPr>
          <w:rFonts w:ascii="Arial" w:eastAsia="Calibri" w:hAnsi="Arial" w:cs="Arial"/>
        </w:rPr>
        <w:t xml:space="preserve"> </w:t>
      </w:r>
    </w:p>
    <w:p w14:paraId="1833D2B5" w14:textId="1D338ABF" w:rsidR="00295C68" w:rsidRPr="00295C68" w:rsidRDefault="00295C68" w:rsidP="00295C68">
      <w:pPr>
        <w:jc w:val="both"/>
        <w:rPr>
          <w:rFonts w:ascii="Arial" w:eastAsia="Calibri" w:hAnsi="Arial" w:cs="Arial"/>
        </w:rPr>
      </w:pPr>
      <w:r>
        <w:rPr>
          <w:rFonts w:ascii="Arial" w:eastAsia="Calibri" w:hAnsi="Arial" w:cs="Arial"/>
        </w:rPr>
        <w:t xml:space="preserve">As the State Party did not object to the authors’ claim to have exhausted all effective domestic remedies available to them, </w:t>
      </w:r>
      <w:r w:rsidRPr="0038141E">
        <w:rPr>
          <w:rFonts w:ascii="Arial" w:eastAsia="Calibri" w:hAnsi="Arial" w:cs="Arial"/>
          <w:u w:val="single"/>
        </w:rPr>
        <w:t>the Committee considers that the requirements of article 2 (d) of the Optional Protocol have been met.</w:t>
      </w:r>
    </w:p>
    <w:p w14:paraId="1727161D" w14:textId="57238D79" w:rsidR="00295C68" w:rsidRPr="00295C68" w:rsidRDefault="00295C68" w:rsidP="00295C68">
      <w:pPr>
        <w:jc w:val="both"/>
        <w:rPr>
          <w:rFonts w:ascii="Arial" w:eastAsia="Calibri" w:hAnsi="Arial" w:cs="Arial"/>
        </w:rPr>
      </w:pPr>
      <w:r w:rsidRPr="00295C68">
        <w:rPr>
          <w:rFonts w:ascii="Arial" w:eastAsia="Calibri" w:hAnsi="Arial" w:cs="Arial"/>
        </w:rPr>
        <w:t>The Committee notes the State party’s submission tha</w:t>
      </w:r>
      <w:r>
        <w:rPr>
          <w:rFonts w:ascii="Arial" w:eastAsia="Calibri" w:hAnsi="Arial" w:cs="Arial"/>
        </w:rPr>
        <w:t xml:space="preserve">t the authors’ claims should be </w:t>
      </w:r>
      <w:r w:rsidRPr="00295C68">
        <w:rPr>
          <w:rFonts w:ascii="Arial" w:eastAsia="Calibri" w:hAnsi="Arial" w:cs="Arial"/>
        </w:rPr>
        <w:t xml:space="preserve">found inadmissible for lack of substantiation, under article </w:t>
      </w:r>
      <w:r>
        <w:rPr>
          <w:rFonts w:ascii="Arial" w:eastAsia="Calibri" w:hAnsi="Arial" w:cs="Arial"/>
        </w:rPr>
        <w:t xml:space="preserve">2 (e) of the </w:t>
      </w:r>
      <w:r w:rsidR="00481DFC">
        <w:rPr>
          <w:rFonts w:ascii="Arial" w:eastAsia="Calibri" w:hAnsi="Arial" w:cs="Arial"/>
        </w:rPr>
        <w:t>OP</w:t>
      </w:r>
      <w:r>
        <w:rPr>
          <w:rFonts w:ascii="Arial" w:eastAsia="Calibri" w:hAnsi="Arial" w:cs="Arial"/>
        </w:rPr>
        <w:t>. H</w:t>
      </w:r>
      <w:r w:rsidRPr="00295C68">
        <w:rPr>
          <w:rFonts w:ascii="Arial" w:eastAsia="Calibri" w:hAnsi="Arial" w:cs="Arial"/>
        </w:rPr>
        <w:t>owever</w:t>
      </w:r>
      <w:r>
        <w:rPr>
          <w:rFonts w:ascii="Arial" w:eastAsia="Calibri" w:hAnsi="Arial" w:cs="Arial"/>
        </w:rPr>
        <w:t>,</w:t>
      </w:r>
      <w:r w:rsidRPr="00295C68">
        <w:rPr>
          <w:rFonts w:ascii="Arial" w:eastAsia="Calibri" w:hAnsi="Arial" w:cs="Arial"/>
        </w:rPr>
        <w:t xml:space="preserve"> </w:t>
      </w:r>
      <w:r>
        <w:rPr>
          <w:rFonts w:ascii="Arial" w:eastAsia="Calibri" w:hAnsi="Arial" w:cs="Arial"/>
        </w:rPr>
        <w:t>in noting</w:t>
      </w:r>
      <w:r w:rsidR="0038141E">
        <w:rPr>
          <w:rFonts w:ascii="Arial" w:eastAsia="Calibri" w:hAnsi="Arial" w:cs="Arial"/>
        </w:rPr>
        <w:t>:</w:t>
      </w:r>
      <w:r w:rsidRPr="00295C68">
        <w:rPr>
          <w:rFonts w:ascii="Arial" w:eastAsia="Calibri" w:hAnsi="Arial" w:cs="Arial"/>
        </w:rPr>
        <w:t xml:space="preserve"> the authors’ argument that t</w:t>
      </w:r>
      <w:r>
        <w:rPr>
          <w:rFonts w:ascii="Arial" w:eastAsia="Calibri" w:hAnsi="Arial" w:cs="Arial"/>
        </w:rPr>
        <w:t xml:space="preserve">he requirement of being able to </w:t>
      </w:r>
      <w:r w:rsidRPr="00295C68">
        <w:rPr>
          <w:rFonts w:ascii="Arial" w:eastAsia="Calibri" w:hAnsi="Arial" w:cs="Arial"/>
        </w:rPr>
        <w:t>support oneself financially in order to be granted family reunific</w:t>
      </w:r>
      <w:r>
        <w:rPr>
          <w:rFonts w:ascii="Arial" w:eastAsia="Calibri" w:hAnsi="Arial" w:cs="Arial"/>
        </w:rPr>
        <w:t xml:space="preserve">ation constitutes a barrier for </w:t>
      </w:r>
      <w:r w:rsidRPr="00295C68">
        <w:rPr>
          <w:rFonts w:ascii="Arial" w:eastAsia="Calibri" w:hAnsi="Arial" w:cs="Arial"/>
        </w:rPr>
        <w:t>a person with disability to enjoy the right to family life on an equal</w:t>
      </w:r>
      <w:r>
        <w:rPr>
          <w:rFonts w:ascii="Arial" w:eastAsia="Calibri" w:hAnsi="Arial" w:cs="Arial"/>
        </w:rPr>
        <w:t xml:space="preserve"> basis with others; </w:t>
      </w:r>
      <w:r w:rsidRPr="00295C68">
        <w:rPr>
          <w:rFonts w:ascii="Arial" w:eastAsia="Calibri" w:hAnsi="Arial" w:cs="Arial"/>
        </w:rPr>
        <w:t xml:space="preserve">their claims that </w:t>
      </w:r>
      <w:r>
        <w:rPr>
          <w:rFonts w:ascii="Arial" w:eastAsia="Calibri" w:hAnsi="Arial" w:cs="Arial"/>
        </w:rPr>
        <w:t xml:space="preserve">the domestic </w:t>
      </w:r>
      <w:r w:rsidRPr="00295C68">
        <w:rPr>
          <w:rFonts w:ascii="Arial" w:eastAsia="Calibri" w:hAnsi="Arial" w:cs="Arial"/>
        </w:rPr>
        <w:t>authorities did not take into account that persons with disabilitie</w:t>
      </w:r>
      <w:r>
        <w:rPr>
          <w:rFonts w:ascii="Arial" w:eastAsia="Calibri" w:hAnsi="Arial" w:cs="Arial"/>
        </w:rPr>
        <w:t xml:space="preserve">s are placed in a significantly </w:t>
      </w:r>
      <w:r w:rsidRPr="00295C68">
        <w:rPr>
          <w:rFonts w:ascii="Arial" w:eastAsia="Calibri" w:hAnsi="Arial" w:cs="Arial"/>
        </w:rPr>
        <w:t>less favourable situation than others in access the labour ma</w:t>
      </w:r>
      <w:r>
        <w:rPr>
          <w:rFonts w:ascii="Arial" w:eastAsia="Calibri" w:hAnsi="Arial" w:cs="Arial"/>
        </w:rPr>
        <w:t xml:space="preserve">rket and that the male author’s </w:t>
      </w:r>
      <w:r w:rsidR="0038141E">
        <w:rPr>
          <w:rFonts w:ascii="Arial" w:eastAsia="Calibri" w:hAnsi="Arial" w:cs="Arial"/>
        </w:rPr>
        <w:t>disability</w:t>
      </w:r>
      <w:r w:rsidRPr="00295C68">
        <w:rPr>
          <w:rFonts w:ascii="Arial" w:eastAsia="Calibri" w:hAnsi="Arial" w:cs="Arial"/>
        </w:rPr>
        <w:t xml:space="preserve"> placed him a</w:t>
      </w:r>
      <w:r>
        <w:rPr>
          <w:rFonts w:ascii="Arial" w:eastAsia="Calibri" w:hAnsi="Arial" w:cs="Arial"/>
        </w:rPr>
        <w:t>t a</w:t>
      </w:r>
      <w:r w:rsidR="0038141E">
        <w:rPr>
          <w:rFonts w:ascii="Arial" w:eastAsia="Calibri" w:hAnsi="Arial" w:cs="Arial"/>
        </w:rPr>
        <w:t>n unreasonable disadvantage; and</w:t>
      </w:r>
      <w:r>
        <w:rPr>
          <w:rFonts w:ascii="Arial" w:eastAsia="Calibri" w:hAnsi="Arial" w:cs="Arial"/>
        </w:rPr>
        <w:t xml:space="preserve"> their</w:t>
      </w:r>
      <w:r w:rsidRPr="00295C68">
        <w:rPr>
          <w:rFonts w:ascii="Arial" w:eastAsia="Calibri" w:hAnsi="Arial" w:cs="Arial"/>
        </w:rPr>
        <w:t xml:space="preserve"> claims that the deportation of the female auth</w:t>
      </w:r>
      <w:r>
        <w:rPr>
          <w:rFonts w:ascii="Arial" w:eastAsia="Calibri" w:hAnsi="Arial" w:cs="Arial"/>
        </w:rPr>
        <w:t xml:space="preserve">or to Ukraine would irreparably </w:t>
      </w:r>
      <w:r w:rsidRPr="00295C68">
        <w:rPr>
          <w:rFonts w:ascii="Arial" w:eastAsia="Calibri" w:hAnsi="Arial" w:cs="Arial"/>
        </w:rPr>
        <w:t>harm the established family life between the authors and their</w:t>
      </w:r>
      <w:r>
        <w:rPr>
          <w:rFonts w:ascii="Arial" w:eastAsia="Calibri" w:hAnsi="Arial" w:cs="Arial"/>
        </w:rPr>
        <w:t xml:space="preserve"> child, </w:t>
      </w:r>
      <w:r w:rsidRPr="0038141E">
        <w:rPr>
          <w:rFonts w:ascii="Arial" w:eastAsia="Calibri" w:hAnsi="Arial" w:cs="Arial"/>
          <w:u w:val="single"/>
        </w:rPr>
        <w:t>the Committee considers that the authors have sufficiently substantiated their claims for the purposes of admissibility</w:t>
      </w:r>
      <w:r w:rsidRPr="00295C68">
        <w:rPr>
          <w:rFonts w:ascii="Arial" w:eastAsia="Calibri" w:hAnsi="Arial" w:cs="Arial"/>
        </w:rPr>
        <w:t>.</w:t>
      </w:r>
    </w:p>
    <w:p w14:paraId="51881E64" w14:textId="77777777" w:rsidR="00295C68" w:rsidRDefault="00295C68" w:rsidP="00295C68">
      <w:pPr>
        <w:jc w:val="both"/>
        <w:rPr>
          <w:rFonts w:ascii="Arial" w:eastAsia="Calibri" w:hAnsi="Arial" w:cs="Arial"/>
        </w:rPr>
      </w:pPr>
      <w:r w:rsidRPr="00295C68">
        <w:rPr>
          <w:rFonts w:ascii="Arial" w:eastAsia="Calibri" w:hAnsi="Arial" w:cs="Arial"/>
        </w:rPr>
        <w:t>Accordingly, and in the absence of any other obstacles to admiss</w:t>
      </w:r>
      <w:r>
        <w:rPr>
          <w:rFonts w:ascii="Arial" w:eastAsia="Calibri" w:hAnsi="Arial" w:cs="Arial"/>
        </w:rPr>
        <w:t xml:space="preserve">ibility, </w:t>
      </w:r>
      <w:r w:rsidRPr="00295C68">
        <w:rPr>
          <w:rFonts w:ascii="Arial" w:eastAsia="Calibri" w:hAnsi="Arial" w:cs="Arial"/>
          <w:u w:val="single"/>
        </w:rPr>
        <w:t>the Committee declares the communication admissible and proceeds to the consideration of the claims on the merits</w:t>
      </w:r>
      <w:r w:rsidRPr="00295C68">
        <w:rPr>
          <w:rFonts w:ascii="Arial" w:eastAsia="Calibri" w:hAnsi="Arial" w:cs="Arial"/>
        </w:rPr>
        <w:t>.</w:t>
      </w:r>
    </w:p>
    <w:p w14:paraId="6E02C395" w14:textId="77777777" w:rsidR="00655376" w:rsidRDefault="00655376" w:rsidP="00655376">
      <w:pPr>
        <w:rPr>
          <w:rFonts w:ascii="Arial" w:eastAsia="Calibri" w:hAnsi="Arial" w:cs="Arial"/>
          <w:b/>
          <w:bCs/>
          <w:color w:val="000000"/>
          <w:shd w:val="clear" w:color="auto" w:fill="FFFFFF"/>
          <w:lang w:val="en-US"/>
        </w:rPr>
      </w:pPr>
      <w:r w:rsidRPr="0001113C">
        <w:rPr>
          <w:rFonts w:ascii="Arial" w:eastAsia="Calibri" w:hAnsi="Arial" w:cs="Arial"/>
          <w:b/>
          <w:bCs/>
          <w:color w:val="000000"/>
          <w:shd w:val="clear" w:color="auto" w:fill="FFFFFF"/>
          <w:lang w:val="en-US"/>
        </w:rPr>
        <w:t xml:space="preserve">Consideration of </w:t>
      </w:r>
      <w:r w:rsidR="00C3779D">
        <w:rPr>
          <w:rFonts w:ascii="Arial" w:eastAsia="Calibri" w:hAnsi="Arial" w:cs="Arial"/>
          <w:b/>
          <w:bCs/>
          <w:color w:val="000000"/>
          <w:shd w:val="clear" w:color="auto" w:fill="FFFFFF"/>
          <w:lang w:val="en-US"/>
        </w:rPr>
        <w:t>the merits</w:t>
      </w:r>
    </w:p>
    <w:p w14:paraId="7B16227D" w14:textId="77777777" w:rsidR="00CB1A4D" w:rsidRDefault="00B36AA5" w:rsidP="00295C68">
      <w:pPr>
        <w:jc w:val="both"/>
        <w:rPr>
          <w:rFonts w:ascii="Arial" w:eastAsia="Calibri" w:hAnsi="Arial" w:cs="Arial"/>
          <w:bCs/>
          <w:color w:val="000000"/>
          <w:shd w:val="clear" w:color="auto" w:fill="FFFFFF"/>
          <w:lang w:val="en-US"/>
        </w:rPr>
      </w:pPr>
      <w:r>
        <w:rPr>
          <w:rFonts w:ascii="Arial" w:eastAsia="Calibri" w:hAnsi="Arial" w:cs="Arial"/>
          <w:bCs/>
          <w:color w:val="000000"/>
          <w:shd w:val="clear" w:color="auto" w:fill="FFFFFF"/>
          <w:lang w:val="en-US"/>
        </w:rPr>
        <w:t>T</w:t>
      </w:r>
      <w:r w:rsidR="00295C68" w:rsidRPr="00295C68">
        <w:rPr>
          <w:rFonts w:ascii="Arial" w:eastAsia="Calibri" w:hAnsi="Arial" w:cs="Arial"/>
          <w:bCs/>
          <w:color w:val="000000"/>
          <w:shd w:val="clear" w:color="auto" w:fill="FFFFFF"/>
          <w:lang w:val="en-US"/>
        </w:rPr>
        <w:t>he Committee recalls that under article 2, paragraph 3, of the Convention, disability</w:t>
      </w:r>
      <w:r>
        <w:rPr>
          <w:rFonts w:ascii="Arial" w:eastAsia="Calibri" w:hAnsi="Arial" w:cs="Arial"/>
          <w:bCs/>
          <w:color w:val="000000"/>
          <w:shd w:val="clear" w:color="auto" w:fill="FFFFFF"/>
          <w:lang w:val="en-US"/>
        </w:rPr>
        <w:t xml:space="preserve">-based </w:t>
      </w:r>
      <w:r w:rsidR="00295C68" w:rsidRPr="00295C68">
        <w:rPr>
          <w:rFonts w:ascii="Arial" w:eastAsia="Calibri" w:hAnsi="Arial" w:cs="Arial"/>
          <w:bCs/>
          <w:color w:val="000000"/>
          <w:shd w:val="clear" w:color="auto" w:fill="FFFFFF"/>
          <w:lang w:val="en-US"/>
        </w:rPr>
        <w:t>discrimination is defined as “any distinction, exclusion</w:t>
      </w:r>
      <w:r>
        <w:rPr>
          <w:rFonts w:ascii="Arial" w:eastAsia="Calibri" w:hAnsi="Arial" w:cs="Arial"/>
          <w:bCs/>
          <w:color w:val="000000"/>
          <w:shd w:val="clear" w:color="auto" w:fill="FFFFFF"/>
          <w:lang w:val="en-US"/>
        </w:rPr>
        <w:t xml:space="preserve"> or restriction on the basis of </w:t>
      </w:r>
      <w:r w:rsidR="00295C68" w:rsidRPr="00295C68">
        <w:rPr>
          <w:rFonts w:ascii="Arial" w:eastAsia="Calibri" w:hAnsi="Arial" w:cs="Arial"/>
          <w:bCs/>
          <w:color w:val="000000"/>
          <w:shd w:val="clear" w:color="auto" w:fill="FFFFFF"/>
          <w:lang w:val="en-US"/>
        </w:rPr>
        <w:t>disability which has the purpose or effect of impairing</w:t>
      </w:r>
      <w:r>
        <w:rPr>
          <w:rFonts w:ascii="Arial" w:eastAsia="Calibri" w:hAnsi="Arial" w:cs="Arial"/>
          <w:bCs/>
          <w:color w:val="000000"/>
          <w:shd w:val="clear" w:color="auto" w:fill="FFFFFF"/>
          <w:lang w:val="en-US"/>
        </w:rPr>
        <w:t xml:space="preserve"> or nullifying the recognition, </w:t>
      </w:r>
      <w:r w:rsidR="00295C68" w:rsidRPr="00295C68">
        <w:rPr>
          <w:rFonts w:ascii="Arial" w:eastAsia="Calibri" w:hAnsi="Arial" w:cs="Arial"/>
          <w:bCs/>
          <w:color w:val="000000"/>
          <w:shd w:val="clear" w:color="auto" w:fill="FFFFFF"/>
          <w:lang w:val="en-US"/>
        </w:rPr>
        <w:t>enjoyment or exercise, on an equal basis with others, of a</w:t>
      </w:r>
      <w:r>
        <w:rPr>
          <w:rFonts w:ascii="Arial" w:eastAsia="Calibri" w:hAnsi="Arial" w:cs="Arial"/>
          <w:bCs/>
          <w:color w:val="000000"/>
          <w:shd w:val="clear" w:color="auto" w:fill="FFFFFF"/>
          <w:lang w:val="en-US"/>
        </w:rPr>
        <w:t xml:space="preserve">ll human rights and fundamental </w:t>
      </w:r>
      <w:r w:rsidR="00295C68" w:rsidRPr="00295C68">
        <w:rPr>
          <w:rFonts w:ascii="Arial" w:eastAsia="Calibri" w:hAnsi="Arial" w:cs="Arial"/>
          <w:bCs/>
          <w:color w:val="000000"/>
          <w:shd w:val="clear" w:color="auto" w:fill="FFFFFF"/>
          <w:lang w:val="en-US"/>
        </w:rPr>
        <w:t>freedoms in the political, economic, social, cultural, civil or any other field. It includes all</w:t>
      </w:r>
      <w:r>
        <w:rPr>
          <w:rFonts w:ascii="Arial" w:eastAsia="Calibri" w:hAnsi="Arial" w:cs="Arial"/>
          <w:bCs/>
          <w:color w:val="000000"/>
          <w:shd w:val="clear" w:color="auto" w:fill="FFFFFF"/>
          <w:lang w:val="en-US"/>
        </w:rPr>
        <w:t xml:space="preserve"> </w:t>
      </w:r>
      <w:r w:rsidR="00295C68" w:rsidRPr="00295C68">
        <w:rPr>
          <w:rFonts w:ascii="Arial" w:eastAsia="Calibri" w:hAnsi="Arial" w:cs="Arial"/>
          <w:bCs/>
          <w:color w:val="000000"/>
          <w:shd w:val="clear" w:color="auto" w:fill="FFFFFF"/>
          <w:lang w:val="en-US"/>
        </w:rPr>
        <w:t>forms of discrimination, including denial of reasonable accommodation.” The Committee</w:t>
      </w:r>
      <w:r w:rsidR="00295C68">
        <w:rPr>
          <w:rFonts w:ascii="Arial" w:eastAsia="Calibri" w:hAnsi="Arial" w:cs="Arial"/>
          <w:bCs/>
          <w:color w:val="000000"/>
          <w:shd w:val="clear" w:color="auto" w:fill="FFFFFF"/>
          <w:lang w:val="en-US"/>
        </w:rPr>
        <w:t xml:space="preserve"> </w:t>
      </w:r>
      <w:r w:rsidR="00295C68" w:rsidRPr="00295C68">
        <w:rPr>
          <w:rFonts w:ascii="Arial" w:eastAsia="Calibri" w:hAnsi="Arial" w:cs="Arial"/>
          <w:bCs/>
          <w:color w:val="000000"/>
          <w:shd w:val="clear" w:color="auto" w:fill="FFFFFF"/>
          <w:lang w:val="en-US"/>
        </w:rPr>
        <w:t>further recalls that a law which is applied in a neutral m</w:t>
      </w:r>
      <w:r w:rsidR="00CB1A4D">
        <w:rPr>
          <w:rFonts w:ascii="Arial" w:eastAsia="Calibri" w:hAnsi="Arial" w:cs="Arial"/>
          <w:bCs/>
          <w:color w:val="000000"/>
          <w:shd w:val="clear" w:color="auto" w:fill="FFFFFF"/>
          <w:lang w:val="en-US"/>
        </w:rPr>
        <w:t xml:space="preserve">anner may have a discriminatory </w:t>
      </w:r>
      <w:r w:rsidR="00295C68" w:rsidRPr="00295C68">
        <w:rPr>
          <w:rFonts w:ascii="Arial" w:eastAsia="Calibri" w:hAnsi="Arial" w:cs="Arial"/>
          <w:bCs/>
          <w:color w:val="000000"/>
          <w:shd w:val="clear" w:color="auto" w:fill="FFFFFF"/>
          <w:lang w:val="en-US"/>
        </w:rPr>
        <w:t>effect when the particular circumstances of the individuals to w</w:t>
      </w:r>
      <w:r w:rsidR="00CB1A4D">
        <w:rPr>
          <w:rFonts w:ascii="Arial" w:eastAsia="Calibri" w:hAnsi="Arial" w:cs="Arial"/>
          <w:bCs/>
          <w:color w:val="000000"/>
          <w:shd w:val="clear" w:color="auto" w:fill="FFFFFF"/>
          <w:lang w:val="en-US"/>
        </w:rPr>
        <w:t xml:space="preserve">hom it is applied are not taken </w:t>
      </w:r>
      <w:r w:rsidR="00295C68" w:rsidRPr="00295C68">
        <w:rPr>
          <w:rFonts w:ascii="Arial" w:eastAsia="Calibri" w:hAnsi="Arial" w:cs="Arial"/>
          <w:bCs/>
          <w:color w:val="000000"/>
          <w:shd w:val="clear" w:color="auto" w:fill="FFFFFF"/>
          <w:lang w:val="en-US"/>
        </w:rPr>
        <w:t>into consideration. The right not to be discriminated against in the enjoyment of the right</w:t>
      </w:r>
      <w:r w:rsidR="00CB1A4D">
        <w:rPr>
          <w:rFonts w:ascii="Arial" w:eastAsia="Calibri" w:hAnsi="Arial" w:cs="Arial"/>
          <w:bCs/>
          <w:color w:val="000000"/>
          <w:shd w:val="clear" w:color="auto" w:fill="FFFFFF"/>
          <w:lang w:val="en-US"/>
        </w:rPr>
        <w:t xml:space="preserve">s </w:t>
      </w:r>
      <w:r w:rsidR="00295C68" w:rsidRPr="00295C68">
        <w:rPr>
          <w:rFonts w:ascii="Arial" w:eastAsia="Calibri" w:hAnsi="Arial" w:cs="Arial"/>
          <w:bCs/>
          <w:color w:val="000000"/>
          <w:shd w:val="clear" w:color="auto" w:fill="FFFFFF"/>
          <w:lang w:val="en-US"/>
        </w:rPr>
        <w:t>guaranteed under the Convention can be violated whe</w:t>
      </w:r>
      <w:r w:rsidR="00CB1A4D">
        <w:rPr>
          <w:rFonts w:ascii="Arial" w:eastAsia="Calibri" w:hAnsi="Arial" w:cs="Arial"/>
          <w:bCs/>
          <w:color w:val="000000"/>
          <w:shd w:val="clear" w:color="auto" w:fill="FFFFFF"/>
          <w:lang w:val="en-US"/>
        </w:rPr>
        <w:t xml:space="preserve">n States, without objective and </w:t>
      </w:r>
      <w:r w:rsidR="00295C68" w:rsidRPr="00295C68">
        <w:rPr>
          <w:rFonts w:ascii="Arial" w:eastAsia="Calibri" w:hAnsi="Arial" w:cs="Arial"/>
          <w:bCs/>
          <w:color w:val="000000"/>
          <w:shd w:val="clear" w:color="auto" w:fill="FFFFFF"/>
          <w:lang w:val="en-US"/>
        </w:rPr>
        <w:t>reasonable justification, fail to treat differently persons who</w:t>
      </w:r>
      <w:r w:rsidR="00CB1A4D">
        <w:rPr>
          <w:rFonts w:ascii="Arial" w:eastAsia="Calibri" w:hAnsi="Arial" w:cs="Arial"/>
          <w:bCs/>
          <w:color w:val="000000"/>
          <w:shd w:val="clear" w:color="auto" w:fill="FFFFFF"/>
          <w:lang w:val="en-US"/>
        </w:rPr>
        <w:t xml:space="preserve">se situations are significantly different. </w:t>
      </w:r>
      <w:r w:rsidR="00295C68" w:rsidRPr="00295C68">
        <w:rPr>
          <w:rFonts w:ascii="Arial" w:eastAsia="Calibri" w:hAnsi="Arial" w:cs="Arial"/>
          <w:bCs/>
          <w:color w:val="000000"/>
          <w:shd w:val="clear" w:color="auto" w:fill="FFFFFF"/>
          <w:lang w:val="en-US"/>
        </w:rPr>
        <w:t>The Committee recalls that disability</w:t>
      </w:r>
      <w:r w:rsidR="00CB1A4D">
        <w:rPr>
          <w:rFonts w:ascii="Arial" w:eastAsia="Calibri" w:hAnsi="Arial" w:cs="Arial"/>
          <w:bCs/>
          <w:color w:val="000000"/>
          <w:shd w:val="clear" w:color="auto" w:fill="FFFFFF"/>
          <w:lang w:val="en-US"/>
        </w:rPr>
        <w:t>-</w:t>
      </w:r>
      <w:r w:rsidR="00295C68" w:rsidRPr="00295C68">
        <w:rPr>
          <w:rFonts w:ascii="Arial" w:eastAsia="Calibri" w:hAnsi="Arial" w:cs="Arial"/>
          <w:bCs/>
          <w:color w:val="000000"/>
          <w:shd w:val="clear" w:color="auto" w:fill="FFFFFF"/>
          <w:lang w:val="en-US"/>
        </w:rPr>
        <w:t>based indirect discriminat</w:t>
      </w:r>
      <w:r w:rsidR="00CB1A4D">
        <w:rPr>
          <w:rFonts w:ascii="Arial" w:eastAsia="Calibri" w:hAnsi="Arial" w:cs="Arial"/>
          <w:bCs/>
          <w:color w:val="000000"/>
          <w:shd w:val="clear" w:color="auto" w:fill="FFFFFF"/>
          <w:lang w:val="en-US"/>
        </w:rPr>
        <w:t xml:space="preserve">ion means that </w:t>
      </w:r>
      <w:r w:rsidR="00295C68" w:rsidRPr="00295C68">
        <w:rPr>
          <w:rFonts w:ascii="Arial" w:eastAsia="Calibri" w:hAnsi="Arial" w:cs="Arial"/>
          <w:bCs/>
          <w:color w:val="000000"/>
          <w:shd w:val="clear" w:color="auto" w:fill="FFFFFF"/>
          <w:lang w:val="en-US"/>
        </w:rPr>
        <w:t>laws, policies or practices appear neutral at face value but h</w:t>
      </w:r>
      <w:r w:rsidR="00CB1A4D">
        <w:rPr>
          <w:rFonts w:ascii="Arial" w:eastAsia="Calibri" w:hAnsi="Arial" w:cs="Arial"/>
          <w:bCs/>
          <w:color w:val="000000"/>
          <w:shd w:val="clear" w:color="auto" w:fill="FFFFFF"/>
          <w:lang w:val="en-US"/>
        </w:rPr>
        <w:t xml:space="preserve">ave a disproportionate negative </w:t>
      </w:r>
      <w:r w:rsidR="00295C68" w:rsidRPr="00295C68">
        <w:rPr>
          <w:rFonts w:ascii="Arial" w:eastAsia="Calibri" w:hAnsi="Arial" w:cs="Arial"/>
          <w:bCs/>
          <w:color w:val="000000"/>
          <w:shd w:val="clear" w:color="auto" w:fill="FFFFFF"/>
          <w:lang w:val="en-US"/>
        </w:rPr>
        <w:t>impact on a person with a disability. It occurs when an opportu</w:t>
      </w:r>
      <w:r w:rsidR="00CB1A4D">
        <w:rPr>
          <w:rFonts w:ascii="Arial" w:eastAsia="Calibri" w:hAnsi="Arial" w:cs="Arial"/>
          <w:bCs/>
          <w:color w:val="000000"/>
          <w:shd w:val="clear" w:color="auto" w:fill="FFFFFF"/>
          <w:lang w:val="en-US"/>
        </w:rPr>
        <w:t xml:space="preserve">nity that appears accessible in </w:t>
      </w:r>
      <w:r w:rsidR="00295C68" w:rsidRPr="00295C68">
        <w:rPr>
          <w:rFonts w:ascii="Arial" w:eastAsia="Calibri" w:hAnsi="Arial" w:cs="Arial"/>
          <w:bCs/>
          <w:color w:val="000000"/>
          <w:shd w:val="clear" w:color="auto" w:fill="FFFFFF"/>
          <w:lang w:val="en-US"/>
        </w:rPr>
        <w:t>reality excludes certain persons owing to the fact that thei</w:t>
      </w:r>
      <w:r w:rsidR="00CB1A4D">
        <w:rPr>
          <w:rFonts w:ascii="Arial" w:eastAsia="Calibri" w:hAnsi="Arial" w:cs="Arial"/>
          <w:bCs/>
          <w:color w:val="000000"/>
          <w:shd w:val="clear" w:color="auto" w:fill="FFFFFF"/>
          <w:lang w:val="en-US"/>
        </w:rPr>
        <w:t xml:space="preserve">r status does not allow them to </w:t>
      </w:r>
      <w:r w:rsidR="00295C68" w:rsidRPr="00295C68">
        <w:rPr>
          <w:rFonts w:ascii="Arial" w:eastAsia="Calibri" w:hAnsi="Arial" w:cs="Arial"/>
          <w:bCs/>
          <w:color w:val="000000"/>
          <w:shd w:val="clear" w:color="auto" w:fill="FFFFFF"/>
          <w:lang w:val="en-US"/>
        </w:rPr>
        <w:t>benef</w:t>
      </w:r>
      <w:r w:rsidR="00CB1A4D">
        <w:rPr>
          <w:rFonts w:ascii="Arial" w:eastAsia="Calibri" w:hAnsi="Arial" w:cs="Arial"/>
          <w:bCs/>
          <w:color w:val="000000"/>
          <w:shd w:val="clear" w:color="auto" w:fill="FFFFFF"/>
          <w:lang w:val="en-US"/>
        </w:rPr>
        <w:t>it from the opportunity itself.</w:t>
      </w:r>
      <w:r w:rsidR="00295C68" w:rsidRPr="00295C68">
        <w:rPr>
          <w:rFonts w:ascii="Arial" w:eastAsia="Calibri" w:hAnsi="Arial" w:cs="Arial"/>
          <w:bCs/>
          <w:color w:val="000000"/>
          <w:shd w:val="clear" w:color="auto" w:fill="FFFFFF"/>
          <w:lang w:val="en-US"/>
        </w:rPr>
        <w:t xml:space="preserve"> The Committee notes</w:t>
      </w:r>
      <w:r w:rsidR="00CB1A4D">
        <w:rPr>
          <w:rFonts w:ascii="Arial" w:eastAsia="Calibri" w:hAnsi="Arial" w:cs="Arial"/>
          <w:bCs/>
          <w:color w:val="000000"/>
          <w:shd w:val="clear" w:color="auto" w:fill="FFFFFF"/>
          <w:lang w:val="en-US"/>
        </w:rPr>
        <w:t xml:space="preserve"> that a treatment is indirectly </w:t>
      </w:r>
      <w:r w:rsidR="00295C68" w:rsidRPr="00295C68">
        <w:rPr>
          <w:rFonts w:ascii="Arial" w:eastAsia="Calibri" w:hAnsi="Arial" w:cs="Arial"/>
          <w:bCs/>
          <w:color w:val="000000"/>
          <w:shd w:val="clear" w:color="auto" w:fill="FFFFFF"/>
          <w:lang w:val="en-US"/>
        </w:rPr>
        <w:t>discriminatory if the detrimental effects of a rule or decision ex</w:t>
      </w:r>
      <w:r w:rsidR="00CB1A4D">
        <w:rPr>
          <w:rFonts w:ascii="Arial" w:eastAsia="Calibri" w:hAnsi="Arial" w:cs="Arial"/>
          <w:bCs/>
          <w:color w:val="000000"/>
          <w:shd w:val="clear" w:color="auto" w:fill="FFFFFF"/>
          <w:lang w:val="en-US"/>
        </w:rPr>
        <w:t xml:space="preserve">clusively or disproportionately </w:t>
      </w:r>
      <w:r w:rsidR="00295C68" w:rsidRPr="00295C68">
        <w:rPr>
          <w:rFonts w:ascii="Arial" w:eastAsia="Calibri" w:hAnsi="Arial" w:cs="Arial"/>
          <w:bCs/>
          <w:color w:val="000000"/>
          <w:shd w:val="clear" w:color="auto" w:fill="FFFFFF"/>
          <w:lang w:val="en-US"/>
        </w:rPr>
        <w:t>affect persons of a particular race, colour, sex, language, religi</w:t>
      </w:r>
      <w:r w:rsidR="00CB1A4D">
        <w:rPr>
          <w:rFonts w:ascii="Arial" w:eastAsia="Calibri" w:hAnsi="Arial" w:cs="Arial"/>
          <w:bCs/>
          <w:color w:val="000000"/>
          <w:shd w:val="clear" w:color="auto" w:fill="FFFFFF"/>
          <w:lang w:val="en-US"/>
        </w:rPr>
        <w:t xml:space="preserve">on, political or other opinion, </w:t>
      </w:r>
      <w:r w:rsidR="00295C68" w:rsidRPr="00295C68">
        <w:rPr>
          <w:rFonts w:ascii="Arial" w:eastAsia="Calibri" w:hAnsi="Arial" w:cs="Arial"/>
          <w:bCs/>
          <w:color w:val="000000"/>
          <w:shd w:val="clear" w:color="auto" w:fill="FFFFFF"/>
          <w:lang w:val="en-US"/>
        </w:rPr>
        <w:t>national or social origin, financial</w:t>
      </w:r>
      <w:r w:rsidR="00CB1A4D">
        <w:rPr>
          <w:rFonts w:ascii="Arial" w:eastAsia="Calibri" w:hAnsi="Arial" w:cs="Arial"/>
          <w:bCs/>
          <w:color w:val="000000"/>
          <w:shd w:val="clear" w:color="auto" w:fill="FFFFFF"/>
          <w:lang w:val="en-US"/>
        </w:rPr>
        <w:t xml:space="preserve"> status, birth or other status. Being a person with disability </w:t>
      </w:r>
      <w:r w:rsidR="00295C68" w:rsidRPr="00295C68">
        <w:rPr>
          <w:rFonts w:ascii="Arial" w:eastAsia="Calibri" w:hAnsi="Arial" w:cs="Arial"/>
          <w:bCs/>
          <w:color w:val="000000"/>
          <w:shd w:val="clear" w:color="auto" w:fill="FFFFFF"/>
          <w:lang w:val="en-US"/>
        </w:rPr>
        <w:t>falls within such status. The Committee further observes that article 5, paragraphs 1 a</w:t>
      </w:r>
      <w:r w:rsidR="00CB1A4D">
        <w:rPr>
          <w:rFonts w:ascii="Arial" w:eastAsia="Calibri" w:hAnsi="Arial" w:cs="Arial"/>
          <w:bCs/>
          <w:color w:val="000000"/>
          <w:shd w:val="clear" w:color="auto" w:fill="FFFFFF"/>
          <w:lang w:val="en-US"/>
        </w:rPr>
        <w:t xml:space="preserve">nd 2, </w:t>
      </w:r>
      <w:r w:rsidR="00295C68" w:rsidRPr="00295C68">
        <w:rPr>
          <w:rFonts w:ascii="Arial" w:eastAsia="Calibri" w:hAnsi="Arial" w:cs="Arial"/>
          <w:bCs/>
          <w:color w:val="000000"/>
          <w:shd w:val="clear" w:color="auto" w:fill="FFFFFF"/>
          <w:lang w:val="en-US"/>
        </w:rPr>
        <w:t>imposes on the State party the general obligations to recog</w:t>
      </w:r>
      <w:r w:rsidR="00CB1A4D">
        <w:rPr>
          <w:rFonts w:ascii="Arial" w:eastAsia="Calibri" w:hAnsi="Arial" w:cs="Arial"/>
          <w:bCs/>
          <w:color w:val="000000"/>
          <w:shd w:val="clear" w:color="auto" w:fill="FFFFFF"/>
          <w:lang w:val="en-US"/>
        </w:rPr>
        <w:t xml:space="preserve">nize that all persons are equal </w:t>
      </w:r>
      <w:r w:rsidR="00295C68" w:rsidRPr="00295C68">
        <w:rPr>
          <w:rFonts w:ascii="Arial" w:eastAsia="Calibri" w:hAnsi="Arial" w:cs="Arial"/>
          <w:bCs/>
          <w:color w:val="000000"/>
          <w:shd w:val="clear" w:color="auto" w:fill="FFFFFF"/>
          <w:lang w:val="en-US"/>
        </w:rPr>
        <w:t>before and under the law and are entitled without any discrim</w:t>
      </w:r>
      <w:r w:rsidR="00CB1A4D">
        <w:rPr>
          <w:rFonts w:ascii="Arial" w:eastAsia="Calibri" w:hAnsi="Arial" w:cs="Arial"/>
          <w:bCs/>
          <w:color w:val="000000"/>
          <w:shd w:val="clear" w:color="auto" w:fill="FFFFFF"/>
          <w:lang w:val="en-US"/>
        </w:rPr>
        <w:t xml:space="preserve">ination to the equal protection </w:t>
      </w:r>
      <w:r w:rsidR="00295C68" w:rsidRPr="00295C68">
        <w:rPr>
          <w:rFonts w:ascii="Arial" w:eastAsia="Calibri" w:hAnsi="Arial" w:cs="Arial"/>
          <w:bCs/>
          <w:color w:val="000000"/>
          <w:shd w:val="clear" w:color="auto" w:fill="FFFFFF"/>
          <w:lang w:val="en-US"/>
        </w:rPr>
        <w:t>and equal benefit of the law; and to prohibit all discrimination o</w:t>
      </w:r>
      <w:r w:rsidR="00CB1A4D">
        <w:rPr>
          <w:rFonts w:ascii="Arial" w:eastAsia="Calibri" w:hAnsi="Arial" w:cs="Arial"/>
          <w:bCs/>
          <w:color w:val="000000"/>
          <w:shd w:val="clear" w:color="auto" w:fill="FFFFFF"/>
          <w:lang w:val="en-US"/>
        </w:rPr>
        <w:t xml:space="preserve">n the basis of disability; and </w:t>
      </w:r>
      <w:r w:rsidR="00295C68" w:rsidRPr="00295C68">
        <w:rPr>
          <w:rFonts w:ascii="Arial" w:eastAsia="Calibri" w:hAnsi="Arial" w:cs="Arial"/>
          <w:bCs/>
          <w:color w:val="000000"/>
          <w:shd w:val="clear" w:color="auto" w:fill="FFFFFF"/>
          <w:lang w:val="en-US"/>
        </w:rPr>
        <w:t>to guarantee to persons with disabilities equal and eff</w:t>
      </w:r>
      <w:r w:rsidR="00CB1A4D">
        <w:rPr>
          <w:rFonts w:ascii="Arial" w:eastAsia="Calibri" w:hAnsi="Arial" w:cs="Arial"/>
          <w:bCs/>
          <w:color w:val="000000"/>
          <w:shd w:val="clear" w:color="auto" w:fill="FFFFFF"/>
          <w:lang w:val="en-US"/>
        </w:rPr>
        <w:t xml:space="preserve">ective legal protection against </w:t>
      </w:r>
      <w:r w:rsidR="00295C68" w:rsidRPr="00295C68">
        <w:rPr>
          <w:rFonts w:ascii="Arial" w:eastAsia="Calibri" w:hAnsi="Arial" w:cs="Arial"/>
          <w:bCs/>
          <w:color w:val="000000"/>
          <w:shd w:val="clear" w:color="auto" w:fill="FFFFFF"/>
          <w:lang w:val="en-US"/>
        </w:rPr>
        <w:t>discrimination on all grounds.</w:t>
      </w:r>
      <w:r w:rsidR="00295C68">
        <w:rPr>
          <w:rFonts w:ascii="Arial" w:eastAsia="Calibri" w:hAnsi="Arial" w:cs="Arial"/>
          <w:bCs/>
          <w:color w:val="000000"/>
          <w:shd w:val="clear" w:color="auto" w:fill="FFFFFF"/>
          <w:lang w:val="en-US"/>
        </w:rPr>
        <w:t xml:space="preserve"> </w:t>
      </w:r>
    </w:p>
    <w:p w14:paraId="1B35FCE4" w14:textId="179A0336" w:rsidR="00CB1A4D" w:rsidRDefault="00295C68" w:rsidP="00295C68">
      <w:pPr>
        <w:jc w:val="both"/>
        <w:rPr>
          <w:rFonts w:ascii="Arial" w:eastAsia="Calibri" w:hAnsi="Arial" w:cs="Arial"/>
          <w:bCs/>
          <w:color w:val="000000"/>
          <w:shd w:val="clear" w:color="auto" w:fill="FFFFFF"/>
          <w:lang w:val="en-US"/>
        </w:rPr>
      </w:pPr>
      <w:r w:rsidRPr="00295C68">
        <w:rPr>
          <w:rFonts w:ascii="Arial" w:eastAsia="Calibri" w:hAnsi="Arial" w:cs="Arial"/>
          <w:bCs/>
          <w:color w:val="000000"/>
          <w:shd w:val="clear" w:color="auto" w:fill="FFFFFF"/>
          <w:lang w:val="en-US"/>
        </w:rPr>
        <w:lastRenderedPageBreak/>
        <w:t xml:space="preserve">In the present case, </w:t>
      </w:r>
      <w:r w:rsidR="0038141E" w:rsidRPr="00901DC0">
        <w:rPr>
          <w:rFonts w:ascii="Arial" w:eastAsia="Calibri" w:hAnsi="Arial" w:cs="Arial"/>
          <w:bCs/>
          <w:color w:val="000000"/>
          <w:shd w:val="clear" w:color="auto" w:fill="FFFFFF"/>
          <w:lang w:val="en-US"/>
        </w:rPr>
        <w:t xml:space="preserve">the Committee </w:t>
      </w:r>
      <w:r w:rsidRPr="00901DC0">
        <w:rPr>
          <w:rFonts w:ascii="Arial" w:eastAsia="Calibri" w:hAnsi="Arial" w:cs="Arial"/>
          <w:bCs/>
          <w:color w:val="000000"/>
          <w:shd w:val="clear" w:color="auto" w:fill="FFFFFF"/>
          <w:lang w:val="en-US"/>
        </w:rPr>
        <w:t>notes that</w:t>
      </w:r>
      <w:r w:rsidR="0038141E" w:rsidRPr="00901DC0">
        <w:rPr>
          <w:rFonts w:ascii="Arial" w:eastAsia="Calibri" w:hAnsi="Arial" w:cs="Arial"/>
          <w:bCs/>
          <w:color w:val="000000"/>
          <w:shd w:val="clear" w:color="auto" w:fill="FFFFFF"/>
          <w:lang w:val="en-US"/>
        </w:rPr>
        <w:t>,</w:t>
      </w:r>
      <w:r w:rsidRPr="00901DC0">
        <w:rPr>
          <w:rFonts w:ascii="Arial" w:eastAsia="Calibri" w:hAnsi="Arial" w:cs="Arial"/>
          <w:bCs/>
          <w:color w:val="000000"/>
          <w:shd w:val="clear" w:color="auto" w:fill="FFFFFF"/>
          <w:lang w:val="en-US"/>
        </w:rPr>
        <w:t xml:space="preserve"> when the authors made</w:t>
      </w:r>
      <w:r w:rsidR="00CB1A4D" w:rsidRPr="00901DC0">
        <w:rPr>
          <w:rFonts w:ascii="Arial" w:eastAsia="Calibri" w:hAnsi="Arial" w:cs="Arial"/>
          <w:bCs/>
          <w:color w:val="000000"/>
          <w:shd w:val="clear" w:color="auto" w:fill="FFFFFF"/>
          <w:lang w:val="en-US"/>
        </w:rPr>
        <w:t xml:space="preserve"> </w:t>
      </w:r>
      <w:r w:rsidRPr="00901DC0">
        <w:rPr>
          <w:rFonts w:ascii="Arial" w:eastAsia="Calibri" w:hAnsi="Arial" w:cs="Arial"/>
          <w:bCs/>
          <w:color w:val="000000"/>
          <w:shd w:val="clear" w:color="auto" w:fill="FFFFFF"/>
          <w:lang w:val="en-US"/>
        </w:rPr>
        <w:t>their application for family reunification</w:t>
      </w:r>
      <w:r w:rsidR="0038141E" w:rsidRPr="00901DC0">
        <w:rPr>
          <w:rFonts w:ascii="Arial" w:eastAsia="Calibri" w:hAnsi="Arial" w:cs="Arial"/>
          <w:bCs/>
          <w:color w:val="000000"/>
          <w:shd w:val="clear" w:color="auto" w:fill="FFFFFF"/>
          <w:lang w:val="en-US"/>
        </w:rPr>
        <w:t>,</w:t>
      </w:r>
      <w:r w:rsidRPr="00901DC0">
        <w:rPr>
          <w:rFonts w:ascii="Arial" w:eastAsia="Calibri" w:hAnsi="Arial" w:cs="Arial"/>
          <w:bCs/>
          <w:color w:val="000000"/>
          <w:shd w:val="clear" w:color="auto" w:fill="FFFFFF"/>
          <w:lang w:val="en-US"/>
        </w:rPr>
        <w:t xml:space="preserve"> the male author had not yet qualified for the wage</w:t>
      </w:r>
      <w:r w:rsidR="00CB1A4D" w:rsidRPr="00901DC0">
        <w:rPr>
          <w:rFonts w:ascii="Arial" w:eastAsia="Calibri" w:hAnsi="Arial" w:cs="Arial"/>
          <w:bCs/>
          <w:color w:val="000000"/>
          <w:shd w:val="clear" w:color="auto" w:fill="FFFFFF"/>
          <w:lang w:val="en-US"/>
        </w:rPr>
        <w:t xml:space="preserve"> </w:t>
      </w:r>
      <w:r w:rsidRPr="00901DC0">
        <w:rPr>
          <w:rFonts w:ascii="Arial" w:eastAsia="Calibri" w:hAnsi="Arial" w:cs="Arial"/>
          <w:bCs/>
          <w:color w:val="000000"/>
          <w:shd w:val="clear" w:color="auto" w:fill="FFFFFF"/>
          <w:lang w:val="en-US"/>
        </w:rPr>
        <w:t>subsidy program and could therefore not fulfil the requirement in section 9 (5) for family</w:t>
      </w:r>
      <w:r w:rsidR="00CB1A4D" w:rsidRPr="00901DC0">
        <w:rPr>
          <w:rFonts w:ascii="Arial" w:eastAsia="Calibri" w:hAnsi="Arial" w:cs="Arial"/>
          <w:bCs/>
          <w:color w:val="000000"/>
          <w:shd w:val="clear" w:color="auto" w:fill="FFFFFF"/>
          <w:lang w:val="en-US"/>
        </w:rPr>
        <w:t xml:space="preserve"> </w:t>
      </w:r>
      <w:r w:rsidRPr="00901DC0">
        <w:rPr>
          <w:rFonts w:ascii="Arial" w:eastAsia="Calibri" w:hAnsi="Arial" w:cs="Arial"/>
          <w:bCs/>
          <w:color w:val="000000"/>
          <w:shd w:val="clear" w:color="auto" w:fill="FFFFFF"/>
          <w:lang w:val="en-US"/>
        </w:rPr>
        <w:t>reunification under the Aliens Act. The Committee also notes that at this point in time family</w:t>
      </w:r>
      <w:r w:rsidR="00CB1A4D" w:rsidRPr="00901DC0">
        <w:rPr>
          <w:rFonts w:ascii="Arial" w:eastAsia="Calibri" w:hAnsi="Arial" w:cs="Arial"/>
          <w:bCs/>
          <w:color w:val="000000"/>
          <w:shd w:val="clear" w:color="auto" w:fill="FFFFFF"/>
          <w:lang w:val="en-US"/>
        </w:rPr>
        <w:t xml:space="preserve"> </w:t>
      </w:r>
      <w:r w:rsidRPr="00901DC0">
        <w:rPr>
          <w:rFonts w:ascii="Arial" w:eastAsia="Calibri" w:hAnsi="Arial" w:cs="Arial"/>
          <w:bCs/>
          <w:color w:val="000000"/>
          <w:shd w:val="clear" w:color="auto" w:fill="FFFFFF"/>
          <w:lang w:val="en-US"/>
        </w:rPr>
        <w:t>reunification was already a priorit</w:t>
      </w:r>
      <w:r w:rsidR="00C24ED6">
        <w:rPr>
          <w:rFonts w:ascii="Arial" w:eastAsia="Calibri" w:hAnsi="Arial" w:cs="Arial"/>
          <w:bCs/>
          <w:color w:val="000000"/>
          <w:shd w:val="clear" w:color="auto" w:fill="FFFFFF"/>
          <w:lang w:val="en-US"/>
        </w:rPr>
        <w:t>y for the authors and their son, and</w:t>
      </w:r>
      <w:r w:rsidR="00CB1A4D" w:rsidRPr="00901DC0">
        <w:rPr>
          <w:rFonts w:ascii="Arial" w:eastAsia="Calibri" w:hAnsi="Arial" w:cs="Arial"/>
          <w:bCs/>
          <w:color w:val="000000"/>
          <w:shd w:val="clear" w:color="auto" w:fill="FFFFFF"/>
          <w:lang w:val="en-US"/>
        </w:rPr>
        <w:t xml:space="preserve"> </w:t>
      </w:r>
      <w:r w:rsidRPr="00901DC0">
        <w:rPr>
          <w:rFonts w:ascii="Arial" w:eastAsia="Calibri" w:hAnsi="Arial" w:cs="Arial"/>
          <w:bCs/>
          <w:color w:val="000000"/>
          <w:shd w:val="clear" w:color="auto" w:fill="FFFFFF"/>
          <w:lang w:val="en-US"/>
        </w:rPr>
        <w:t>that the assessment as to whether the male author could qualify for employment under the</w:t>
      </w:r>
      <w:r w:rsidR="00CB1A4D" w:rsidRPr="00901DC0">
        <w:rPr>
          <w:rFonts w:ascii="Arial" w:eastAsia="Calibri" w:hAnsi="Arial" w:cs="Arial"/>
          <w:bCs/>
          <w:color w:val="000000"/>
          <w:shd w:val="clear" w:color="auto" w:fill="FFFFFF"/>
          <w:lang w:val="en-US"/>
        </w:rPr>
        <w:t xml:space="preserve"> </w:t>
      </w:r>
      <w:r w:rsidRPr="00901DC0">
        <w:rPr>
          <w:rFonts w:ascii="Arial" w:eastAsia="Calibri" w:hAnsi="Arial" w:cs="Arial"/>
          <w:bCs/>
          <w:color w:val="000000"/>
          <w:shd w:val="clear" w:color="auto" w:fill="FFFFFF"/>
          <w:lang w:val="en-US"/>
        </w:rPr>
        <w:t xml:space="preserve">wage subsidy program was not </w:t>
      </w:r>
      <w:r w:rsidR="00CB1A4D" w:rsidRPr="00901DC0">
        <w:rPr>
          <w:rFonts w:ascii="Arial" w:eastAsia="Calibri" w:hAnsi="Arial" w:cs="Arial"/>
          <w:bCs/>
          <w:color w:val="000000"/>
          <w:shd w:val="clear" w:color="auto" w:fill="FFFFFF"/>
          <w:lang w:val="en-US"/>
        </w:rPr>
        <w:t>finalized</w:t>
      </w:r>
      <w:r w:rsidRPr="00901DC0">
        <w:rPr>
          <w:rFonts w:ascii="Arial" w:eastAsia="Calibri" w:hAnsi="Arial" w:cs="Arial"/>
          <w:bCs/>
          <w:color w:val="000000"/>
          <w:shd w:val="clear" w:color="auto" w:fill="FFFFFF"/>
          <w:lang w:val="en-US"/>
        </w:rPr>
        <w:t xml:space="preserve"> until March 2015 and that he was not employed</w:t>
      </w:r>
      <w:r w:rsidR="00CB1A4D" w:rsidRPr="00901DC0">
        <w:rPr>
          <w:rFonts w:ascii="Arial" w:eastAsia="Calibri" w:hAnsi="Arial" w:cs="Arial"/>
          <w:bCs/>
          <w:color w:val="000000"/>
          <w:shd w:val="clear" w:color="auto" w:fill="FFFFFF"/>
          <w:lang w:val="en-US"/>
        </w:rPr>
        <w:t xml:space="preserve"> </w:t>
      </w:r>
      <w:r w:rsidRPr="00901DC0">
        <w:rPr>
          <w:rFonts w:ascii="Arial" w:eastAsia="Calibri" w:hAnsi="Arial" w:cs="Arial"/>
          <w:bCs/>
          <w:color w:val="000000"/>
          <w:shd w:val="clear" w:color="auto" w:fill="FFFFFF"/>
          <w:lang w:val="en-US"/>
        </w:rPr>
        <w:t>under the program until October 2015</w:t>
      </w:r>
      <w:r w:rsidRPr="00295C68">
        <w:rPr>
          <w:rFonts w:ascii="Arial" w:eastAsia="Calibri" w:hAnsi="Arial" w:cs="Arial"/>
          <w:bCs/>
          <w:color w:val="000000"/>
          <w:shd w:val="clear" w:color="auto" w:fill="FFFFFF"/>
          <w:lang w:val="en-US"/>
        </w:rPr>
        <w:t>, six years after he first started to receive social benefits</w:t>
      </w:r>
      <w:r>
        <w:rPr>
          <w:rFonts w:ascii="Arial" w:eastAsia="Calibri" w:hAnsi="Arial" w:cs="Arial"/>
          <w:bCs/>
          <w:color w:val="000000"/>
          <w:shd w:val="clear" w:color="auto" w:fill="FFFFFF"/>
          <w:lang w:val="en-US"/>
        </w:rPr>
        <w:t xml:space="preserve"> </w:t>
      </w:r>
      <w:r w:rsidRPr="00295C68">
        <w:rPr>
          <w:rFonts w:ascii="Arial" w:eastAsia="Calibri" w:hAnsi="Arial" w:cs="Arial"/>
          <w:bCs/>
          <w:color w:val="000000"/>
          <w:shd w:val="clear" w:color="auto" w:fill="FFFFFF"/>
          <w:lang w:val="en-US"/>
        </w:rPr>
        <w:t>under the Act on an Active Social Policy, and two and a half years after the authors</w:t>
      </w:r>
      <w:r w:rsidR="00CB1A4D">
        <w:rPr>
          <w:rFonts w:ascii="Arial" w:eastAsia="Calibri" w:hAnsi="Arial" w:cs="Arial"/>
          <w:bCs/>
          <w:color w:val="000000"/>
          <w:shd w:val="clear" w:color="auto" w:fill="FFFFFF"/>
          <w:lang w:val="en-US"/>
        </w:rPr>
        <w:t xml:space="preserve"> had filed </w:t>
      </w:r>
      <w:r w:rsidRPr="00295C68">
        <w:rPr>
          <w:rFonts w:ascii="Arial" w:eastAsia="Calibri" w:hAnsi="Arial" w:cs="Arial"/>
          <w:bCs/>
          <w:color w:val="000000"/>
          <w:shd w:val="clear" w:color="auto" w:fill="FFFFFF"/>
          <w:lang w:val="en-US"/>
        </w:rPr>
        <w:t>their application for family reunification. The Commi</w:t>
      </w:r>
      <w:r w:rsidR="00CB1A4D">
        <w:rPr>
          <w:rFonts w:ascii="Arial" w:eastAsia="Calibri" w:hAnsi="Arial" w:cs="Arial"/>
          <w:bCs/>
          <w:color w:val="000000"/>
          <w:shd w:val="clear" w:color="auto" w:fill="FFFFFF"/>
          <w:lang w:val="en-US"/>
        </w:rPr>
        <w:t xml:space="preserve">ttee further notes the authors’ </w:t>
      </w:r>
      <w:r w:rsidRPr="00295C68">
        <w:rPr>
          <w:rFonts w:ascii="Arial" w:eastAsia="Calibri" w:hAnsi="Arial" w:cs="Arial"/>
          <w:bCs/>
          <w:color w:val="000000"/>
          <w:shd w:val="clear" w:color="auto" w:fill="FFFFFF"/>
          <w:lang w:val="en-US"/>
        </w:rPr>
        <w:t>undisputed claim that in order to fulfil the requirement of secti</w:t>
      </w:r>
      <w:r w:rsidR="00C24ED6">
        <w:rPr>
          <w:rFonts w:ascii="Arial" w:eastAsia="Calibri" w:hAnsi="Arial" w:cs="Arial"/>
          <w:bCs/>
          <w:color w:val="000000"/>
          <w:shd w:val="clear" w:color="auto" w:fill="FFFFFF"/>
          <w:lang w:val="en-US"/>
        </w:rPr>
        <w:t>on 9</w:t>
      </w:r>
      <w:r w:rsidR="00CB1A4D">
        <w:rPr>
          <w:rFonts w:ascii="Arial" w:eastAsia="Calibri" w:hAnsi="Arial" w:cs="Arial"/>
          <w:bCs/>
          <w:color w:val="000000"/>
          <w:shd w:val="clear" w:color="auto" w:fill="FFFFFF"/>
          <w:lang w:val="en-US"/>
        </w:rPr>
        <w:t xml:space="preserve">(5) of the Aliens Act once </w:t>
      </w:r>
      <w:r w:rsidRPr="00295C68">
        <w:rPr>
          <w:rFonts w:ascii="Arial" w:eastAsia="Calibri" w:hAnsi="Arial" w:cs="Arial"/>
          <w:bCs/>
          <w:color w:val="000000"/>
          <w:shd w:val="clear" w:color="auto" w:fill="FFFFFF"/>
          <w:lang w:val="en-US"/>
        </w:rPr>
        <w:t>the male author had qualifie</w:t>
      </w:r>
      <w:r w:rsidR="00CB1A4D">
        <w:rPr>
          <w:rFonts w:ascii="Arial" w:eastAsia="Calibri" w:hAnsi="Arial" w:cs="Arial"/>
          <w:bCs/>
          <w:color w:val="000000"/>
          <w:shd w:val="clear" w:color="auto" w:fill="FFFFFF"/>
          <w:lang w:val="en-US"/>
        </w:rPr>
        <w:t>d for the wage subsidy program</w:t>
      </w:r>
      <w:r w:rsidRPr="00295C68">
        <w:rPr>
          <w:rFonts w:ascii="Arial" w:eastAsia="Calibri" w:hAnsi="Arial" w:cs="Arial"/>
          <w:bCs/>
          <w:color w:val="000000"/>
          <w:shd w:val="clear" w:color="auto" w:fill="FFFFFF"/>
          <w:lang w:val="en-US"/>
        </w:rPr>
        <w:t xml:space="preserve"> in</w:t>
      </w:r>
      <w:r w:rsidR="00CB1A4D">
        <w:rPr>
          <w:rFonts w:ascii="Arial" w:eastAsia="Calibri" w:hAnsi="Arial" w:cs="Arial"/>
          <w:bCs/>
          <w:color w:val="000000"/>
          <w:shd w:val="clear" w:color="auto" w:fill="FFFFFF"/>
          <w:lang w:val="en-US"/>
        </w:rPr>
        <w:t xml:space="preserve"> October 2015, they would </w:t>
      </w:r>
      <w:r w:rsidRPr="00295C68">
        <w:rPr>
          <w:rFonts w:ascii="Arial" w:eastAsia="Calibri" w:hAnsi="Arial" w:cs="Arial"/>
          <w:bCs/>
          <w:color w:val="000000"/>
          <w:shd w:val="clear" w:color="auto" w:fill="FFFFFF"/>
          <w:lang w:val="en-US"/>
        </w:rPr>
        <w:t>have faced an additional waiting period of three years befor</w:t>
      </w:r>
      <w:r w:rsidR="00CB1A4D">
        <w:rPr>
          <w:rFonts w:ascii="Arial" w:eastAsia="Calibri" w:hAnsi="Arial" w:cs="Arial"/>
          <w:bCs/>
          <w:color w:val="000000"/>
          <w:shd w:val="clear" w:color="auto" w:fill="FFFFFF"/>
          <w:lang w:val="en-US"/>
        </w:rPr>
        <w:t xml:space="preserve">e they would have been eligible </w:t>
      </w:r>
      <w:r w:rsidRPr="00295C68">
        <w:rPr>
          <w:rFonts w:ascii="Arial" w:eastAsia="Calibri" w:hAnsi="Arial" w:cs="Arial"/>
          <w:bCs/>
          <w:color w:val="000000"/>
          <w:shd w:val="clear" w:color="auto" w:fill="FFFFFF"/>
          <w:lang w:val="en-US"/>
        </w:rPr>
        <w:t xml:space="preserve">for family reunification under the Act. </w:t>
      </w:r>
      <w:r w:rsidRPr="00CB1A4D">
        <w:rPr>
          <w:rFonts w:ascii="Arial" w:eastAsia="Calibri" w:hAnsi="Arial" w:cs="Arial"/>
          <w:bCs/>
          <w:color w:val="000000"/>
          <w:u w:val="single"/>
          <w:shd w:val="clear" w:color="auto" w:fill="FFFFFF"/>
          <w:lang w:val="en-US"/>
        </w:rPr>
        <w:t>The Committee therefore concludes that in the present</w:t>
      </w:r>
      <w:r w:rsidR="00CB1A4D">
        <w:rPr>
          <w:rFonts w:ascii="Arial" w:eastAsia="Calibri" w:hAnsi="Arial" w:cs="Arial"/>
          <w:bCs/>
          <w:color w:val="000000"/>
          <w:shd w:val="clear" w:color="auto" w:fill="FFFFFF"/>
          <w:lang w:val="en-US"/>
        </w:rPr>
        <w:t xml:space="preserve"> </w:t>
      </w:r>
      <w:r w:rsidRPr="00CB1A4D">
        <w:rPr>
          <w:rFonts w:ascii="Arial" w:eastAsia="Calibri" w:hAnsi="Arial" w:cs="Arial"/>
          <w:bCs/>
          <w:color w:val="000000"/>
          <w:u w:val="single"/>
          <w:shd w:val="clear" w:color="auto" w:fill="FFFFFF"/>
          <w:lang w:val="en-US"/>
        </w:rPr>
        <w:t>case the requirement of self-support under section 9 (5) of the Aliens Act disproportionally</w:t>
      </w:r>
      <w:r w:rsidR="00CB1A4D">
        <w:rPr>
          <w:rFonts w:ascii="Arial" w:eastAsia="Calibri" w:hAnsi="Arial" w:cs="Arial"/>
          <w:bCs/>
          <w:color w:val="000000"/>
          <w:shd w:val="clear" w:color="auto" w:fill="FFFFFF"/>
          <w:lang w:val="en-US"/>
        </w:rPr>
        <w:t xml:space="preserve"> </w:t>
      </w:r>
      <w:r w:rsidRPr="00CB1A4D">
        <w:rPr>
          <w:rFonts w:ascii="Arial" w:eastAsia="Calibri" w:hAnsi="Arial" w:cs="Arial"/>
          <w:bCs/>
          <w:color w:val="000000"/>
          <w:u w:val="single"/>
          <w:shd w:val="clear" w:color="auto" w:fill="FFFFFF"/>
          <w:lang w:val="en-US"/>
        </w:rPr>
        <w:t>affected the male author as a person with disability and subjected him to indirectly</w:t>
      </w:r>
      <w:r w:rsidR="00CB1A4D">
        <w:rPr>
          <w:rFonts w:ascii="Arial" w:eastAsia="Calibri" w:hAnsi="Arial" w:cs="Arial"/>
          <w:bCs/>
          <w:color w:val="000000"/>
          <w:shd w:val="clear" w:color="auto" w:fill="FFFFFF"/>
          <w:lang w:val="en-US"/>
        </w:rPr>
        <w:t xml:space="preserve"> </w:t>
      </w:r>
      <w:r w:rsidRPr="00CB1A4D">
        <w:rPr>
          <w:rFonts w:ascii="Arial" w:eastAsia="Calibri" w:hAnsi="Arial" w:cs="Arial"/>
          <w:bCs/>
          <w:color w:val="000000"/>
          <w:u w:val="single"/>
          <w:shd w:val="clear" w:color="auto" w:fill="FFFFFF"/>
          <w:lang w:val="en-US"/>
        </w:rPr>
        <w:t>discriminatory treatment.</w:t>
      </w:r>
    </w:p>
    <w:p w14:paraId="01336477" w14:textId="77777777" w:rsidR="00295C68" w:rsidRDefault="00295C68" w:rsidP="00295C68">
      <w:pPr>
        <w:jc w:val="both"/>
        <w:rPr>
          <w:rFonts w:ascii="Arial" w:eastAsia="Calibri" w:hAnsi="Arial" w:cs="Arial"/>
          <w:bCs/>
          <w:color w:val="000000"/>
          <w:shd w:val="clear" w:color="auto" w:fill="FFFFFF"/>
          <w:lang w:val="en-US"/>
        </w:rPr>
      </w:pPr>
      <w:r w:rsidRPr="00CB1A4D">
        <w:rPr>
          <w:rFonts w:ascii="Arial" w:eastAsia="Calibri" w:hAnsi="Arial" w:cs="Arial"/>
          <w:bCs/>
          <w:color w:val="000000"/>
          <w:u w:val="single"/>
          <w:shd w:val="clear" w:color="auto" w:fill="FFFFFF"/>
          <w:lang w:val="en-US"/>
        </w:rPr>
        <w:t>The Committee therefore finds that</w:t>
      </w:r>
      <w:r w:rsidRPr="00295C68">
        <w:rPr>
          <w:rFonts w:ascii="Arial" w:eastAsia="Calibri" w:hAnsi="Arial" w:cs="Arial"/>
          <w:bCs/>
          <w:color w:val="000000"/>
          <w:shd w:val="clear" w:color="auto" w:fill="FFFFFF"/>
          <w:lang w:val="en-US"/>
        </w:rPr>
        <w:t xml:space="preserve"> the fact that th</w:t>
      </w:r>
      <w:r w:rsidR="00CB1A4D">
        <w:rPr>
          <w:rFonts w:ascii="Arial" w:eastAsia="Calibri" w:hAnsi="Arial" w:cs="Arial"/>
          <w:bCs/>
          <w:color w:val="000000"/>
          <w:shd w:val="clear" w:color="auto" w:fill="FFFFFF"/>
          <w:lang w:val="en-US"/>
        </w:rPr>
        <w:t xml:space="preserve">e relevant domestic authorities </w:t>
      </w:r>
      <w:r w:rsidRPr="00295C68">
        <w:rPr>
          <w:rFonts w:ascii="Arial" w:eastAsia="Calibri" w:hAnsi="Arial" w:cs="Arial"/>
          <w:bCs/>
          <w:color w:val="000000"/>
          <w:shd w:val="clear" w:color="auto" w:fill="FFFFFF"/>
          <w:lang w:val="en-US"/>
        </w:rPr>
        <w:t xml:space="preserve">rejected the authors’ application for family reunification </w:t>
      </w:r>
      <w:r w:rsidRPr="00421A0E">
        <w:rPr>
          <w:rFonts w:ascii="Arial" w:eastAsia="Calibri" w:hAnsi="Arial" w:cs="Arial"/>
          <w:bCs/>
          <w:color w:val="000000"/>
          <w:u w:val="single"/>
          <w:shd w:val="clear" w:color="auto" w:fill="FFFFFF"/>
          <w:lang w:val="en-US"/>
        </w:rPr>
        <w:t>on</w:t>
      </w:r>
      <w:r w:rsidR="00CB1A4D" w:rsidRPr="00421A0E">
        <w:rPr>
          <w:rFonts w:ascii="Arial" w:eastAsia="Calibri" w:hAnsi="Arial" w:cs="Arial"/>
          <w:bCs/>
          <w:color w:val="000000"/>
          <w:u w:val="single"/>
          <w:shd w:val="clear" w:color="auto" w:fill="FFFFFF"/>
          <w:lang w:val="en-US"/>
        </w:rPr>
        <w:t xml:space="preserve"> the basis of criteria that was </w:t>
      </w:r>
      <w:r w:rsidRPr="00421A0E">
        <w:rPr>
          <w:rFonts w:ascii="Arial" w:eastAsia="Calibri" w:hAnsi="Arial" w:cs="Arial"/>
          <w:bCs/>
          <w:color w:val="000000"/>
          <w:u w:val="single"/>
          <w:shd w:val="clear" w:color="auto" w:fill="FFFFFF"/>
          <w:lang w:val="en-US"/>
        </w:rPr>
        <w:t>indirectly discriminatory for persons with disability had the ef</w:t>
      </w:r>
      <w:r w:rsidR="00CB1A4D" w:rsidRPr="00421A0E">
        <w:rPr>
          <w:rFonts w:ascii="Arial" w:eastAsia="Calibri" w:hAnsi="Arial" w:cs="Arial"/>
          <w:bCs/>
          <w:color w:val="000000"/>
          <w:u w:val="single"/>
          <w:shd w:val="clear" w:color="auto" w:fill="FFFFFF"/>
          <w:lang w:val="en-US"/>
        </w:rPr>
        <w:t xml:space="preserve">fect of impairing or nullifying </w:t>
      </w:r>
      <w:r w:rsidRPr="00421A0E">
        <w:rPr>
          <w:rFonts w:ascii="Arial" w:eastAsia="Calibri" w:hAnsi="Arial" w:cs="Arial"/>
          <w:bCs/>
          <w:color w:val="000000"/>
          <w:u w:val="single"/>
          <w:shd w:val="clear" w:color="auto" w:fill="FFFFFF"/>
          <w:lang w:val="en-US"/>
        </w:rPr>
        <w:t>the authors’ enjoyment and exercise of the right to family life</w:t>
      </w:r>
      <w:r w:rsidRPr="00295C68">
        <w:rPr>
          <w:rFonts w:ascii="Arial" w:eastAsia="Calibri" w:hAnsi="Arial" w:cs="Arial"/>
          <w:bCs/>
          <w:color w:val="000000"/>
          <w:shd w:val="clear" w:color="auto" w:fill="FFFFFF"/>
          <w:lang w:val="en-US"/>
        </w:rPr>
        <w:t xml:space="preserve"> on </w:t>
      </w:r>
      <w:r w:rsidR="00CB1A4D">
        <w:rPr>
          <w:rFonts w:ascii="Arial" w:eastAsia="Calibri" w:hAnsi="Arial" w:cs="Arial"/>
          <w:bCs/>
          <w:color w:val="000000"/>
          <w:shd w:val="clear" w:color="auto" w:fill="FFFFFF"/>
          <w:lang w:val="en-US"/>
        </w:rPr>
        <w:t xml:space="preserve">an equal basis with others, </w:t>
      </w:r>
      <w:r w:rsidRPr="00CB1A4D">
        <w:rPr>
          <w:rFonts w:ascii="Arial" w:eastAsia="Calibri" w:hAnsi="Arial" w:cs="Arial"/>
          <w:bCs/>
          <w:color w:val="000000"/>
          <w:u w:val="single"/>
          <w:shd w:val="clear" w:color="auto" w:fill="FFFFFF"/>
          <w:lang w:val="en-US"/>
        </w:rPr>
        <w:t>in violation of their rights under article 5 (1-2) read alone and</w:t>
      </w:r>
      <w:r w:rsidR="00CB1A4D" w:rsidRPr="00CB1A4D">
        <w:rPr>
          <w:rFonts w:ascii="Arial" w:eastAsia="Calibri" w:hAnsi="Arial" w:cs="Arial"/>
          <w:bCs/>
          <w:color w:val="000000"/>
          <w:u w:val="single"/>
          <w:shd w:val="clear" w:color="auto" w:fill="FFFFFF"/>
          <w:lang w:val="en-US"/>
        </w:rPr>
        <w:t xml:space="preserve"> in conjunction with article 23 </w:t>
      </w:r>
      <w:r w:rsidRPr="00CB1A4D">
        <w:rPr>
          <w:rFonts w:ascii="Arial" w:eastAsia="Calibri" w:hAnsi="Arial" w:cs="Arial"/>
          <w:bCs/>
          <w:color w:val="000000"/>
          <w:u w:val="single"/>
          <w:shd w:val="clear" w:color="auto" w:fill="FFFFFF"/>
          <w:lang w:val="en-US"/>
        </w:rPr>
        <w:t>(1) of the Convention</w:t>
      </w:r>
      <w:r w:rsidRPr="00295C68">
        <w:rPr>
          <w:rFonts w:ascii="Arial" w:eastAsia="Calibri" w:hAnsi="Arial" w:cs="Arial"/>
          <w:bCs/>
          <w:color w:val="000000"/>
          <w:shd w:val="clear" w:color="auto" w:fill="FFFFFF"/>
          <w:lang w:val="en-US"/>
        </w:rPr>
        <w:t>.</w:t>
      </w:r>
    </w:p>
    <w:p w14:paraId="2BA1CE19" w14:textId="77777777" w:rsidR="00655376" w:rsidRPr="00D112ED" w:rsidRDefault="00655376" w:rsidP="00655376">
      <w:pPr>
        <w:jc w:val="both"/>
        <w:rPr>
          <w:rFonts w:ascii="Arial" w:hAnsi="Arial" w:cs="Arial"/>
          <w:b/>
          <w:sz w:val="28"/>
          <w:szCs w:val="28"/>
        </w:rPr>
      </w:pPr>
      <w:r w:rsidRPr="00D112ED">
        <w:rPr>
          <w:rFonts w:ascii="Arial" w:hAnsi="Arial" w:cs="Arial"/>
          <w:b/>
          <w:sz w:val="28"/>
          <w:szCs w:val="28"/>
        </w:rPr>
        <w:t>Conclusion and recommendations</w:t>
      </w:r>
    </w:p>
    <w:p w14:paraId="796C56A4" w14:textId="77777777" w:rsidR="00CB1A4D" w:rsidRPr="00CB1A4D" w:rsidRDefault="00CB1A4D" w:rsidP="00CB1A4D">
      <w:pPr>
        <w:jc w:val="both"/>
        <w:rPr>
          <w:rFonts w:ascii="Arial" w:eastAsia="Calibri" w:hAnsi="Arial" w:cs="Arial"/>
          <w:bCs/>
          <w:color w:val="000000"/>
          <w:shd w:val="clear" w:color="auto" w:fill="FFFFFF"/>
          <w:lang w:val="en-US"/>
        </w:rPr>
      </w:pPr>
      <w:r>
        <w:rPr>
          <w:rFonts w:ascii="Arial" w:eastAsia="Calibri" w:hAnsi="Arial" w:cs="Arial"/>
          <w:bCs/>
          <w:color w:val="000000"/>
          <w:shd w:val="clear" w:color="auto" w:fill="FFFFFF"/>
          <w:lang w:val="en-US"/>
        </w:rPr>
        <w:t xml:space="preserve">The Committee is of the view that the </w:t>
      </w:r>
      <w:r w:rsidRPr="00CB1A4D">
        <w:rPr>
          <w:rFonts w:ascii="Arial" w:eastAsia="Calibri" w:hAnsi="Arial" w:cs="Arial"/>
          <w:bCs/>
          <w:color w:val="000000"/>
          <w:u w:val="single"/>
          <w:shd w:val="clear" w:color="auto" w:fill="FFFFFF"/>
          <w:lang w:val="en-US"/>
        </w:rPr>
        <w:t>State party has failed to fulfil its obligations under article 5 (1-2) read alone and in conjunction with article 23 (1) of the Convention</w:t>
      </w:r>
      <w:r>
        <w:rPr>
          <w:rFonts w:ascii="Arial" w:eastAsia="Calibri" w:hAnsi="Arial" w:cs="Arial"/>
          <w:bCs/>
          <w:color w:val="000000"/>
          <w:shd w:val="clear" w:color="auto" w:fill="FFFFFF"/>
          <w:lang w:val="en-US"/>
        </w:rPr>
        <w:t xml:space="preserve">. The Committee therefore </w:t>
      </w:r>
      <w:r w:rsidRPr="00CB1A4D">
        <w:rPr>
          <w:rFonts w:ascii="Arial" w:eastAsia="Calibri" w:hAnsi="Arial" w:cs="Arial"/>
          <w:bCs/>
          <w:color w:val="000000"/>
          <w:shd w:val="clear" w:color="auto" w:fill="FFFFFF"/>
          <w:lang w:val="en-US"/>
        </w:rPr>
        <w:t>makes the</w:t>
      </w:r>
      <w:r>
        <w:rPr>
          <w:rFonts w:ascii="Arial" w:eastAsia="Calibri" w:hAnsi="Arial" w:cs="Arial"/>
          <w:bCs/>
          <w:color w:val="000000"/>
          <w:shd w:val="clear" w:color="auto" w:fill="FFFFFF"/>
          <w:lang w:val="en-US"/>
        </w:rPr>
        <w:t xml:space="preserve"> </w:t>
      </w:r>
      <w:r w:rsidRPr="00CB1A4D">
        <w:rPr>
          <w:rFonts w:ascii="Arial" w:eastAsia="Calibri" w:hAnsi="Arial" w:cs="Arial"/>
          <w:bCs/>
          <w:color w:val="000000"/>
          <w:shd w:val="clear" w:color="auto" w:fill="FFFFFF"/>
          <w:lang w:val="en-US"/>
        </w:rPr>
        <w:t>following recommendations to the State party:</w:t>
      </w:r>
    </w:p>
    <w:p w14:paraId="4C44DACF" w14:textId="77777777" w:rsidR="00CB1A4D" w:rsidRPr="00CB1A4D" w:rsidRDefault="00CB1A4D" w:rsidP="00CB1A4D">
      <w:pPr>
        <w:jc w:val="both"/>
        <w:rPr>
          <w:rFonts w:ascii="Arial" w:eastAsia="Calibri" w:hAnsi="Arial" w:cs="Arial"/>
          <w:bCs/>
          <w:color w:val="000000"/>
          <w:shd w:val="clear" w:color="auto" w:fill="FFFFFF"/>
          <w:lang w:val="en-US"/>
        </w:rPr>
      </w:pPr>
      <w:r w:rsidRPr="00CB1A4D">
        <w:rPr>
          <w:rFonts w:ascii="Arial" w:eastAsia="Calibri" w:hAnsi="Arial" w:cs="Arial"/>
          <w:bCs/>
          <w:color w:val="000000"/>
          <w:shd w:val="clear" w:color="auto" w:fill="FFFFFF"/>
          <w:lang w:val="en-US"/>
        </w:rPr>
        <w:t>(a) Concerning the authors, the State p</w:t>
      </w:r>
      <w:r>
        <w:rPr>
          <w:rFonts w:ascii="Arial" w:eastAsia="Calibri" w:hAnsi="Arial" w:cs="Arial"/>
          <w:bCs/>
          <w:color w:val="000000"/>
          <w:shd w:val="clear" w:color="auto" w:fill="FFFFFF"/>
          <w:lang w:val="en-US"/>
        </w:rPr>
        <w:t xml:space="preserve">arty is under an obligation to: </w:t>
      </w:r>
      <w:r w:rsidRPr="00CB1A4D">
        <w:rPr>
          <w:rFonts w:ascii="Arial" w:eastAsia="Calibri" w:hAnsi="Arial" w:cs="Arial"/>
          <w:bCs/>
          <w:color w:val="000000"/>
          <w:shd w:val="clear" w:color="auto" w:fill="FFFFFF"/>
          <w:lang w:val="en-US"/>
        </w:rPr>
        <w:t>(</w:t>
      </w:r>
      <w:proofErr w:type="spellStart"/>
      <w:r w:rsidRPr="00CB1A4D">
        <w:rPr>
          <w:rFonts w:ascii="Arial" w:eastAsia="Calibri" w:hAnsi="Arial" w:cs="Arial"/>
          <w:bCs/>
          <w:color w:val="000000"/>
          <w:shd w:val="clear" w:color="auto" w:fill="FFFFFF"/>
          <w:lang w:val="en-US"/>
        </w:rPr>
        <w:t>i</w:t>
      </w:r>
      <w:proofErr w:type="spellEnd"/>
      <w:r w:rsidRPr="00CB1A4D">
        <w:rPr>
          <w:rFonts w:ascii="Arial" w:eastAsia="Calibri" w:hAnsi="Arial" w:cs="Arial"/>
          <w:bCs/>
          <w:color w:val="000000"/>
          <w:shd w:val="clear" w:color="auto" w:fill="FFFFFF"/>
          <w:lang w:val="en-US"/>
        </w:rPr>
        <w:t>) Provide them with an effective remedy, incl</w:t>
      </w:r>
      <w:r>
        <w:rPr>
          <w:rFonts w:ascii="Arial" w:eastAsia="Calibri" w:hAnsi="Arial" w:cs="Arial"/>
          <w:bCs/>
          <w:color w:val="000000"/>
          <w:shd w:val="clear" w:color="auto" w:fill="FFFFFF"/>
          <w:lang w:val="en-US"/>
        </w:rPr>
        <w:t xml:space="preserve">uding adequate compensation for </w:t>
      </w:r>
      <w:r w:rsidRPr="00CB1A4D">
        <w:rPr>
          <w:rFonts w:ascii="Arial" w:eastAsia="Calibri" w:hAnsi="Arial" w:cs="Arial"/>
          <w:bCs/>
          <w:color w:val="000000"/>
          <w:shd w:val="clear" w:color="auto" w:fill="FFFFFF"/>
          <w:lang w:val="en-US"/>
        </w:rPr>
        <w:t>any legal costs incurred in fi</w:t>
      </w:r>
      <w:r>
        <w:rPr>
          <w:rFonts w:ascii="Arial" w:eastAsia="Calibri" w:hAnsi="Arial" w:cs="Arial"/>
          <w:bCs/>
          <w:color w:val="000000"/>
          <w:shd w:val="clear" w:color="auto" w:fill="FFFFFF"/>
          <w:lang w:val="en-US"/>
        </w:rPr>
        <w:t xml:space="preserve">ling the present communication; </w:t>
      </w:r>
      <w:r w:rsidRPr="00CB1A4D">
        <w:rPr>
          <w:rFonts w:ascii="Arial" w:eastAsia="Calibri" w:hAnsi="Arial" w:cs="Arial"/>
          <w:bCs/>
          <w:color w:val="000000"/>
          <w:shd w:val="clear" w:color="auto" w:fill="FFFFFF"/>
          <w:lang w:val="en-US"/>
        </w:rPr>
        <w:t>(ii) Refrain from expelling the female author to</w:t>
      </w:r>
      <w:r>
        <w:rPr>
          <w:rFonts w:ascii="Arial" w:eastAsia="Calibri" w:hAnsi="Arial" w:cs="Arial"/>
          <w:bCs/>
          <w:color w:val="000000"/>
          <w:shd w:val="clear" w:color="auto" w:fill="FFFFFF"/>
          <w:lang w:val="en-US"/>
        </w:rPr>
        <w:t xml:space="preserve"> Ukraine and to ensure that the </w:t>
      </w:r>
      <w:r w:rsidRPr="00CB1A4D">
        <w:rPr>
          <w:rFonts w:ascii="Arial" w:eastAsia="Calibri" w:hAnsi="Arial" w:cs="Arial"/>
          <w:bCs/>
          <w:color w:val="000000"/>
          <w:shd w:val="clear" w:color="auto" w:fill="FFFFFF"/>
          <w:lang w:val="en-US"/>
        </w:rPr>
        <w:t>authors’ right to family life in th</w:t>
      </w:r>
      <w:r>
        <w:rPr>
          <w:rFonts w:ascii="Arial" w:eastAsia="Calibri" w:hAnsi="Arial" w:cs="Arial"/>
          <w:bCs/>
          <w:color w:val="000000"/>
          <w:shd w:val="clear" w:color="auto" w:fill="FFFFFF"/>
          <w:lang w:val="en-US"/>
        </w:rPr>
        <w:t xml:space="preserve">e State party is respected; </w:t>
      </w:r>
      <w:r w:rsidRPr="00CB1A4D">
        <w:rPr>
          <w:rFonts w:ascii="Arial" w:eastAsia="Calibri" w:hAnsi="Arial" w:cs="Arial"/>
          <w:bCs/>
          <w:color w:val="000000"/>
          <w:shd w:val="clear" w:color="auto" w:fill="FFFFFF"/>
          <w:lang w:val="en-US"/>
        </w:rPr>
        <w:t xml:space="preserve">(iii) Publish the present Views and circulate them </w:t>
      </w:r>
      <w:r>
        <w:rPr>
          <w:rFonts w:ascii="Arial" w:eastAsia="Calibri" w:hAnsi="Arial" w:cs="Arial"/>
          <w:bCs/>
          <w:color w:val="000000"/>
          <w:shd w:val="clear" w:color="auto" w:fill="FFFFFF"/>
          <w:lang w:val="en-US"/>
        </w:rPr>
        <w:t xml:space="preserve">widely in accessible formats so </w:t>
      </w:r>
      <w:r w:rsidRPr="00CB1A4D">
        <w:rPr>
          <w:rFonts w:ascii="Arial" w:eastAsia="Calibri" w:hAnsi="Arial" w:cs="Arial"/>
          <w:bCs/>
          <w:color w:val="000000"/>
          <w:shd w:val="clear" w:color="auto" w:fill="FFFFFF"/>
          <w:lang w:val="en-US"/>
        </w:rPr>
        <w:t>that they are available to all sectors of the population.</w:t>
      </w:r>
    </w:p>
    <w:p w14:paraId="088B17C9" w14:textId="77777777" w:rsidR="00CB1A4D" w:rsidRPr="00CB1A4D" w:rsidRDefault="00CB1A4D" w:rsidP="00CB1A4D">
      <w:pPr>
        <w:jc w:val="both"/>
        <w:rPr>
          <w:rFonts w:ascii="Arial" w:eastAsia="Calibri" w:hAnsi="Arial" w:cs="Arial"/>
          <w:bCs/>
          <w:color w:val="000000"/>
          <w:shd w:val="clear" w:color="auto" w:fill="FFFFFF"/>
          <w:lang w:val="en-US"/>
        </w:rPr>
      </w:pPr>
      <w:r w:rsidRPr="00CB1A4D">
        <w:rPr>
          <w:rFonts w:ascii="Arial" w:eastAsia="Calibri" w:hAnsi="Arial" w:cs="Arial"/>
          <w:bCs/>
          <w:color w:val="000000"/>
          <w:shd w:val="clear" w:color="auto" w:fill="FFFFFF"/>
          <w:lang w:val="en-US"/>
        </w:rPr>
        <w:t>(b) In general, the State party is under an obligat</w:t>
      </w:r>
      <w:r>
        <w:rPr>
          <w:rFonts w:ascii="Arial" w:eastAsia="Calibri" w:hAnsi="Arial" w:cs="Arial"/>
          <w:bCs/>
          <w:color w:val="000000"/>
          <w:shd w:val="clear" w:color="auto" w:fill="FFFFFF"/>
          <w:lang w:val="en-US"/>
        </w:rPr>
        <w:t xml:space="preserve">ion to take measures to prevent </w:t>
      </w:r>
      <w:r w:rsidRPr="00CB1A4D">
        <w:rPr>
          <w:rFonts w:ascii="Arial" w:eastAsia="Calibri" w:hAnsi="Arial" w:cs="Arial"/>
          <w:bCs/>
          <w:color w:val="000000"/>
          <w:shd w:val="clear" w:color="auto" w:fill="FFFFFF"/>
          <w:lang w:val="en-US"/>
        </w:rPr>
        <w:t>similar violations in the future. In that regard, the Commit</w:t>
      </w:r>
      <w:r>
        <w:rPr>
          <w:rFonts w:ascii="Arial" w:eastAsia="Calibri" w:hAnsi="Arial" w:cs="Arial"/>
          <w:bCs/>
          <w:color w:val="000000"/>
          <w:shd w:val="clear" w:color="auto" w:fill="FFFFFF"/>
          <w:lang w:val="en-US"/>
        </w:rPr>
        <w:t xml:space="preserve">tee requires the State party to </w:t>
      </w:r>
      <w:r w:rsidRPr="00CB1A4D">
        <w:rPr>
          <w:rFonts w:ascii="Arial" w:eastAsia="Calibri" w:hAnsi="Arial" w:cs="Arial"/>
          <w:bCs/>
          <w:color w:val="000000"/>
          <w:shd w:val="clear" w:color="auto" w:fill="FFFFFF"/>
          <w:lang w:val="en-US"/>
        </w:rPr>
        <w:t>ensure that under the domestic laws of the State party, barri</w:t>
      </w:r>
      <w:r>
        <w:rPr>
          <w:rFonts w:ascii="Arial" w:eastAsia="Calibri" w:hAnsi="Arial" w:cs="Arial"/>
          <w:bCs/>
          <w:color w:val="000000"/>
          <w:shd w:val="clear" w:color="auto" w:fill="FFFFFF"/>
          <w:lang w:val="en-US"/>
        </w:rPr>
        <w:t xml:space="preserve">ers to the enjoyment of persons </w:t>
      </w:r>
      <w:r w:rsidRPr="00CB1A4D">
        <w:rPr>
          <w:rFonts w:ascii="Arial" w:eastAsia="Calibri" w:hAnsi="Arial" w:cs="Arial"/>
          <w:bCs/>
          <w:color w:val="000000"/>
          <w:shd w:val="clear" w:color="auto" w:fill="FFFFFF"/>
          <w:lang w:val="en-US"/>
        </w:rPr>
        <w:t>with disabilities to family life on an equal basis as others are removed.</w:t>
      </w:r>
    </w:p>
    <w:p w14:paraId="5B1C32AA" w14:textId="77777777" w:rsidR="00655376" w:rsidRPr="00CB1A4D" w:rsidRDefault="00CB1A4D" w:rsidP="00CB1A4D">
      <w:pPr>
        <w:jc w:val="both"/>
        <w:rPr>
          <w:rFonts w:ascii="Arial" w:eastAsia="Calibri" w:hAnsi="Arial" w:cs="Arial"/>
          <w:bCs/>
          <w:color w:val="000000"/>
          <w:shd w:val="clear" w:color="auto" w:fill="FFFFFF"/>
          <w:lang w:val="en-US"/>
        </w:rPr>
      </w:pPr>
      <w:r w:rsidRPr="00CB1A4D">
        <w:rPr>
          <w:rFonts w:ascii="Arial" w:eastAsia="Calibri" w:hAnsi="Arial" w:cs="Arial"/>
          <w:bCs/>
          <w:color w:val="000000"/>
          <w:shd w:val="clear" w:color="auto" w:fill="FFFFFF"/>
          <w:lang w:val="en-US"/>
        </w:rPr>
        <w:t>In accordance with article 5 of the Optional Protocol</w:t>
      </w:r>
      <w:r>
        <w:rPr>
          <w:rFonts w:ascii="Arial" w:eastAsia="Calibri" w:hAnsi="Arial" w:cs="Arial"/>
          <w:bCs/>
          <w:color w:val="000000"/>
          <w:shd w:val="clear" w:color="auto" w:fill="FFFFFF"/>
          <w:lang w:val="en-US"/>
        </w:rPr>
        <w:t xml:space="preserve"> and rule 75 of the Committee’s </w:t>
      </w:r>
      <w:r w:rsidRPr="00CB1A4D">
        <w:rPr>
          <w:rFonts w:ascii="Arial" w:eastAsia="Calibri" w:hAnsi="Arial" w:cs="Arial"/>
          <w:bCs/>
          <w:color w:val="000000"/>
          <w:shd w:val="clear" w:color="auto" w:fill="FFFFFF"/>
          <w:lang w:val="en-US"/>
        </w:rPr>
        <w:t xml:space="preserve">rules of procedure, the State party should submit to the </w:t>
      </w:r>
      <w:r>
        <w:rPr>
          <w:rFonts w:ascii="Arial" w:eastAsia="Calibri" w:hAnsi="Arial" w:cs="Arial"/>
          <w:bCs/>
          <w:color w:val="000000"/>
          <w:shd w:val="clear" w:color="auto" w:fill="FFFFFF"/>
          <w:lang w:val="en-US"/>
        </w:rPr>
        <w:t xml:space="preserve">Committee, within six months, a </w:t>
      </w:r>
      <w:r w:rsidRPr="00CB1A4D">
        <w:rPr>
          <w:rFonts w:ascii="Arial" w:eastAsia="Calibri" w:hAnsi="Arial" w:cs="Arial"/>
          <w:bCs/>
          <w:color w:val="000000"/>
          <w:shd w:val="clear" w:color="auto" w:fill="FFFFFF"/>
          <w:lang w:val="en-US"/>
        </w:rPr>
        <w:t>written response, including any information on action taken in the light of the</w:t>
      </w:r>
      <w:r>
        <w:rPr>
          <w:rFonts w:ascii="Arial" w:eastAsia="Calibri" w:hAnsi="Arial" w:cs="Arial"/>
          <w:bCs/>
          <w:color w:val="000000"/>
          <w:shd w:val="clear" w:color="auto" w:fill="FFFFFF"/>
          <w:lang w:val="en-US"/>
        </w:rPr>
        <w:t xml:space="preserve"> present Views </w:t>
      </w:r>
      <w:r w:rsidRPr="00CB1A4D">
        <w:rPr>
          <w:rFonts w:ascii="Arial" w:eastAsia="Calibri" w:hAnsi="Arial" w:cs="Arial"/>
          <w:bCs/>
          <w:color w:val="000000"/>
          <w:shd w:val="clear" w:color="auto" w:fill="FFFFFF"/>
          <w:lang w:val="en-US"/>
        </w:rPr>
        <w:t>and recommendations of the Committee</w:t>
      </w:r>
      <w:bookmarkStart w:id="0" w:name="_GoBack"/>
      <w:bookmarkEnd w:id="0"/>
    </w:p>
    <w:sectPr w:rsidR="00655376" w:rsidRPr="00CB1A4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FBB2C" w14:textId="77777777" w:rsidR="004E3BC0" w:rsidRDefault="004E3BC0" w:rsidP="00655376">
      <w:pPr>
        <w:spacing w:after="0" w:line="240" w:lineRule="auto"/>
      </w:pPr>
      <w:r>
        <w:separator/>
      </w:r>
    </w:p>
  </w:endnote>
  <w:endnote w:type="continuationSeparator" w:id="0">
    <w:p w14:paraId="57E7DF45" w14:textId="77777777" w:rsidR="004E3BC0" w:rsidRDefault="004E3BC0" w:rsidP="0065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09047"/>
      <w:docPartObj>
        <w:docPartGallery w:val="Page Numbers (Bottom of Page)"/>
        <w:docPartUnique/>
      </w:docPartObj>
    </w:sdtPr>
    <w:sdtEndPr/>
    <w:sdtContent>
      <w:p w14:paraId="3ACE2980" w14:textId="77777777" w:rsidR="00DF2C86" w:rsidRDefault="00DF2C86">
        <w:pPr>
          <w:pStyle w:val="Footer"/>
          <w:jc w:val="center"/>
        </w:pPr>
        <w:r>
          <w:fldChar w:fldCharType="begin"/>
        </w:r>
        <w:r>
          <w:instrText>PAGE   \* MERGEFORMAT</w:instrText>
        </w:r>
        <w:r>
          <w:fldChar w:fldCharType="separate"/>
        </w:r>
        <w:r w:rsidR="00C24ED6" w:rsidRPr="00C24ED6">
          <w:rPr>
            <w:noProof/>
            <w:lang w:val="it-IT"/>
          </w:rPr>
          <w:t>6</w:t>
        </w:r>
        <w:r>
          <w:fldChar w:fldCharType="end"/>
        </w:r>
      </w:p>
    </w:sdtContent>
  </w:sdt>
  <w:p w14:paraId="121AF1FD" w14:textId="77777777" w:rsidR="00DF2C86" w:rsidRDefault="00DF2C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2E4F0" w14:textId="77777777" w:rsidR="004E3BC0" w:rsidRDefault="004E3BC0" w:rsidP="00655376">
      <w:pPr>
        <w:spacing w:after="0" w:line="240" w:lineRule="auto"/>
      </w:pPr>
      <w:r>
        <w:separator/>
      </w:r>
    </w:p>
  </w:footnote>
  <w:footnote w:type="continuationSeparator" w:id="0">
    <w:p w14:paraId="300C01DB" w14:textId="77777777" w:rsidR="004E3BC0" w:rsidRDefault="004E3BC0" w:rsidP="00655376">
      <w:pPr>
        <w:spacing w:after="0" w:line="240" w:lineRule="auto"/>
      </w:pPr>
      <w:r>
        <w:continuationSeparator/>
      </w:r>
    </w:p>
  </w:footnote>
  <w:footnote w:id="1">
    <w:p w14:paraId="395042DF" w14:textId="77777777" w:rsidR="00DF2C86" w:rsidRDefault="00DF2C86" w:rsidP="00655376">
      <w:pPr>
        <w:spacing w:after="0"/>
        <w:jc w:val="both"/>
      </w:pPr>
      <w:r>
        <w:rPr>
          <w:rStyle w:val="FootnoteReference"/>
        </w:rPr>
        <w:footnoteRef/>
      </w:r>
      <w:r>
        <w:rPr>
          <w:rFonts w:ascii="Arial" w:hAnsi="Arial"/>
          <w:sz w:val="18"/>
          <w:lang w:val="en-US"/>
        </w:rPr>
        <w:t xml:space="preserve"> </w:t>
      </w:r>
      <w:r>
        <w:rPr>
          <w:rFonts w:ascii="Arial" w:hAnsi="Arial"/>
          <w:sz w:val="18"/>
          <w:szCs w:val="18"/>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Pr>
            <w:rStyle w:val="Hyperlink"/>
            <w:rFonts w:ascii="Arial" w:hAnsi="Arial"/>
            <w:sz w:val="18"/>
            <w:szCs w:val="18"/>
          </w:rPr>
          <w:t xml:space="preserve">IDA’s disability rights litigation website.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76"/>
    <w:rsid w:val="00063DDB"/>
    <w:rsid w:val="000A75EE"/>
    <w:rsid w:val="00116005"/>
    <w:rsid w:val="00122092"/>
    <w:rsid w:val="00187DEC"/>
    <w:rsid w:val="001B00AC"/>
    <w:rsid w:val="001C04A1"/>
    <w:rsid w:val="001D31B7"/>
    <w:rsid w:val="001F7494"/>
    <w:rsid w:val="00230B19"/>
    <w:rsid w:val="00241129"/>
    <w:rsid w:val="00295C68"/>
    <w:rsid w:val="002C1A2C"/>
    <w:rsid w:val="002C3DE1"/>
    <w:rsid w:val="002E29F5"/>
    <w:rsid w:val="0038141E"/>
    <w:rsid w:val="00383504"/>
    <w:rsid w:val="003A32ED"/>
    <w:rsid w:val="004215EC"/>
    <w:rsid w:val="00421A0E"/>
    <w:rsid w:val="00424337"/>
    <w:rsid w:val="00481DFC"/>
    <w:rsid w:val="004C53AF"/>
    <w:rsid w:val="004E3BC0"/>
    <w:rsid w:val="005342B6"/>
    <w:rsid w:val="00545CDB"/>
    <w:rsid w:val="0057421C"/>
    <w:rsid w:val="005C2ED7"/>
    <w:rsid w:val="0061137C"/>
    <w:rsid w:val="00655376"/>
    <w:rsid w:val="006A321C"/>
    <w:rsid w:val="006A34B8"/>
    <w:rsid w:val="006A6D33"/>
    <w:rsid w:val="006B1F2D"/>
    <w:rsid w:val="0070253A"/>
    <w:rsid w:val="00704CEE"/>
    <w:rsid w:val="007109B5"/>
    <w:rsid w:val="00733319"/>
    <w:rsid w:val="007C420F"/>
    <w:rsid w:val="007C5466"/>
    <w:rsid w:val="00816215"/>
    <w:rsid w:val="008376D6"/>
    <w:rsid w:val="0088122C"/>
    <w:rsid w:val="00884CD7"/>
    <w:rsid w:val="00901DC0"/>
    <w:rsid w:val="0094227F"/>
    <w:rsid w:val="00956AEC"/>
    <w:rsid w:val="00977615"/>
    <w:rsid w:val="00985878"/>
    <w:rsid w:val="009B5CCC"/>
    <w:rsid w:val="009E52BB"/>
    <w:rsid w:val="00AB32D6"/>
    <w:rsid w:val="00B12512"/>
    <w:rsid w:val="00B36AA5"/>
    <w:rsid w:val="00B81691"/>
    <w:rsid w:val="00BA6018"/>
    <w:rsid w:val="00C24ED6"/>
    <w:rsid w:val="00C3779D"/>
    <w:rsid w:val="00CB1A4D"/>
    <w:rsid w:val="00D01FA2"/>
    <w:rsid w:val="00D112ED"/>
    <w:rsid w:val="00DF2C86"/>
    <w:rsid w:val="00E01443"/>
    <w:rsid w:val="00E16653"/>
    <w:rsid w:val="00EA5129"/>
    <w:rsid w:val="00EC1948"/>
    <w:rsid w:val="00EC2696"/>
    <w:rsid w:val="00EF2F91"/>
    <w:rsid w:val="00F521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6F51"/>
  <w15:chartTrackingRefBased/>
  <w15:docId w15:val="{64B2CE88-E322-474C-81B7-A29DC521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376"/>
    <w:rPr>
      <w:color w:val="0000FF"/>
      <w:u w:val="single"/>
    </w:rPr>
  </w:style>
  <w:style w:type="character" w:styleId="FootnoteReference">
    <w:name w:val="footnote reference"/>
    <w:rsid w:val="00655376"/>
    <w:rPr>
      <w:rFonts w:ascii="Times New Roman" w:hAnsi="Times New Roman"/>
      <w:position w:val="0"/>
      <w:sz w:val="18"/>
      <w:vertAlign w:val="superscript"/>
    </w:rPr>
  </w:style>
  <w:style w:type="paragraph" w:styleId="Header">
    <w:name w:val="header"/>
    <w:basedOn w:val="Normal"/>
    <w:link w:val="HeaderChar"/>
    <w:uiPriority w:val="99"/>
    <w:unhideWhenUsed/>
    <w:rsid w:val="00D112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112ED"/>
  </w:style>
  <w:style w:type="paragraph" w:styleId="Footer">
    <w:name w:val="footer"/>
    <w:basedOn w:val="Normal"/>
    <w:link w:val="FooterChar"/>
    <w:uiPriority w:val="99"/>
    <w:unhideWhenUsed/>
    <w:rsid w:val="00D112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112ED"/>
  </w:style>
  <w:style w:type="character" w:styleId="FollowedHyperlink">
    <w:name w:val="FollowedHyperlink"/>
    <w:basedOn w:val="DefaultParagraphFont"/>
    <w:uiPriority w:val="99"/>
    <w:semiHidden/>
    <w:unhideWhenUsed/>
    <w:rsid w:val="00881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hchr.org/EN/HRBodies/CRPD/Pages/ConventionRightsPersonsWithDisabilities.aspx"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hchr.org/EN/HRBodies/CRPD/Pages/ConventionRightsPersonsWithDisabilities.aspx" TargetMode="External"/><Relationship Id="rId8" Type="http://schemas.openxmlformats.org/officeDocument/2006/relationships/hyperlink" Target="https://www.ohchr.org/EN/HRBodies/CRPD/Pages/ConventionRightsPersonsWithDisabilities.aspx" TargetMode="External"/><Relationship Id="rId9" Type="http://schemas.openxmlformats.org/officeDocument/2006/relationships/hyperlink" Target="https://www.ohchr.org/EN/HRBodies/CRPD/Pages/OptionalProtocolRightsPersonsWithDisabilities.aspx" TargetMode="External"/><Relationship Id="rId10" Type="http://schemas.openxmlformats.org/officeDocument/2006/relationships/hyperlink" Target="https://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C95FE-D031-ED42-B1C3-0CD70843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3789</Words>
  <Characters>21602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JIPB</cp:lastModifiedBy>
  <cp:revision>17</cp:revision>
  <dcterms:created xsi:type="dcterms:W3CDTF">2018-10-02T08:09:00Z</dcterms:created>
  <dcterms:modified xsi:type="dcterms:W3CDTF">2018-12-06T14:11:00Z</dcterms:modified>
</cp:coreProperties>
</file>