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85401" w14:textId="77777777" w:rsidR="006617C9" w:rsidRPr="00BC04CB" w:rsidRDefault="006617C9" w:rsidP="006617C9">
      <w:pPr>
        <w:spacing w:after="0" w:line="276" w:lineRule="auto"/>
        <w:jc w:val="both"/>
        <w:rPr>
          <w:rFonts w:ascii="Arial" w:hAnsi="Arial" w:cs="Arial"/>
        </w:rPr>
      </w:pPr>
      <w:r w:rsidRPr="00BC04CB">
        <w:rPr>
          <w:rFonts w:ascii="Arial" w:hAnsi="Arial" w:cs="Arial"/>
        </w:rPr>
        <w:t>Case summary:</w:t>
      </w:r>
      <w:r w:rsidRPr="00BC04CB">
        <w:rPr>
          <w:rFonts w:ascii="Arial" w:hAnsi="Arial" w:cs="Arial"/>
          <w:vertAlign w:val="superscript"/>
        </w:rPr>
        <w:footnoteReference w:id="1"/>
      </w:r>
      <w:r w:rsidRPr="00BC04CB">
        <w:rPr>
          <w:rFonts w:ascii="Arial" w:hAnsi="Arial" w:cs="Arial"/>
        </w:rPr>
        <w:t xml:space="preserve">  </w:t>
      </w:r>
      <w:r w:rsidRPr="00BC04CB">
        <w:rPr>
          <w:rFonts w:ascii="Arial" w:hAnsi="Arial" w:cs="Arial"/>
          <w:i/>
        </w:rPr>
        <w:t>Steven Kendall v. Australia</w:t>
      </w:r>
    </w:p>
    <w:p w14:paraId="5E3BAB63" w14:textId="1375D749" w:rsidR="006617C9" w:rsidRPr="00BC04CB" w:rsidRDefault="00FF24D1" w:rsidP="006617C9">
      <w:pPr>
        <w:spacing w:after="0" w:line="276" w:lineRule="auto"/>
        <w:jc w:val="both"/>
        <w:rPr>
          <w:rFonts w:ascii="Arial" w:hAnsi="Arial" w:cs="Arial"/>
        </w:rPr>
      </w:pPr>
      <w:hyperlink r:id="rId6" w:history="1">
        <w:r w:rsidR="006617C9" w:rsidRPr="00FF24D1">
          <w:rPr>
            <w:rStyle w:val="Hyperlink"/>
            <w:rFonts w:ascii="Arial" w:hAnsi="Arial" w:cs="Arial"/>
          </w:rPr>
          <w:t>CRPD/C/21/D/15/2013</w:t>
        </w:r>
      </w:hyperlink>
    </w:p>
    <w:p w14:paraId="322AED13" w14:textId="77777777" w:rsidR="006617C9" w:rsidRPr="00BC04CB" w:rsidRDefault="006617C9" w:rsidP="006617C9">
      <w:pPr>
        <w:spacing w:after="0" w:line="276" w:lineRule="auto"/>
        <w:jc w:val="both"/>
        <w:rPr>
          <w:rFonts w:ascii="Arial" w:hAnsi="Arial" w:cs="Arial"/>
        </w:rPr>
      </w:pPr>
      <w:r w:rsidRPr="00BC04CB">
        <w:rPr>
          <w:rFonts w:ascii="Arial" w:hAnsi="Arial" w:cs="Arial"/>
        </w:rPr>
        <w:t>Communication No. 15/2013</w:t>
      </w:r>
    </w:p>
    <w:p w14:paraId="33D5D243" w14:textId="77777777" w:rsidR="006617C9" w:rsidRPr="00BC04CB" w:rsidRDefault="006617C9" w:rsidP="006617C9">
      <w:pPr>
        <w:spacing w:after="0" w:line="276" w:lineRule="auto"/>
        <w:jc w:val="both"/>
        <w:rPr>
          <w:rFonts w:ascii="Arial" w:hAnsi="Arial" w:cs="Arial"/>
        </w:rPr>
      </w:pPr>
    </w:p>
    <w:p w14:paraId="2CF01E72" w14:textId="77777777" w:rsidR="006617C9" w:rsidRPr="00BC04CB" w:rsidRDefault="006617C9" w:rsidP="006617C9">
      <w:pPr>
        <w:spacing w:after="0" w:line="276" w:lineRule="auto"/>
        <w:jc w:val="both"/>
        <w:rPr>
          <w:rFonts w:ascii="Arial" w:hAnsi="Arial" w:cs="Arial"/>
        </w:rPr>
      </w:pPr>
      <w:r w:rsidRPr="00BC04CB">
        <w:rPr>
          <w:rFonts w:ascii="Arial" w:hAnsi="Arial" w:cs="Arial"/>
        </w:rPr>
        <w:t>Date of communication (initial submission):</w:t>
      </w:r>
      <w:r w:rsidRPr="00BC04CB">
        <w:rPr>
          <w:rFonts w:ascii="Arial" w:hAnsi="Arial" w:cs="Arial"/>
        </w:rPr>
        <w:tab/>
      </w:r>
      <w:r w:rsidRPr="00BC04CB">
        <w:rPr>
          <w:rFonts w:ascii="Arial" w:hAnsi="Arial" w:cs="Arial"/>
        </w:rPr>
        <w:tab/>
        <w:t xml:space="preserve">8 February 2014 </w:t>
      </w:r>
    </w:p>
    <w:p w14:paraId="12CCC78B" w14:textId="77777777" w:rsidR="006617C9" w:rsidRPr="00BC04CB" w:rsidRDefault="006617C9" w:rsidP="006617C9">
      <w:pPr>
        <w:spacing w:after="0" w:line="276" w:lineRule="auto"/>
        <w:jc w:val="both"/>
        <w:rPr>
          <w:rFonts w:ascii="Arial" w:hAnsi="Arial" w:cs="Arial"/>
        </w:rPr>
      </w:pPr>
      <w:r w:rsidRPr="00BC04CB">
        <w:rPr>
          <w:rFonts w:ascii="Arial" w:hAnsi="Arial" w:cs="Arial"/>
        </w:rPr>
        <w:t>Date of adoption of Views:</w:t>
      </w:r>
      <w:r w:rsidRPr="00BC04CB">
        <w:rPr>
          <w:rFonts w:ascii="Arial" w:hAnsi="Arial" w:cs="Arial"/>
        </w:rPr>
        <w:tab/>
      </w:r>
      <w:r w:rsidRPr="00BC04CB">
        <w:rPr>
          <w:rFonts w:ascii="Arial" w:hAnsi="Arial" w:cs="Arial"/>
        </w:rPr>
        <w:tab/>
      </w:r>
      <w:r w:rsidRPr="00BC04CB">
        <w:rPr>
          <w:rFonts w:ascii="Arial" w:hAnsi="Arial" w:cs="Arial"/>
        </w:rPr>
        <w:tab/>
      </w:r>
      <w:r w:rsidRPr="00BC04CB">
        <w:rPr>
          <w:rFonts w:ascii="Arial" w:hAnsi="Arial" w:cs="Arial"/>
        </w:rPr>
        <w:tab/>
      </w:r>
      <w:r w:rsidR="00C16AE4" w:rsidRPr="00BC04CB">
        <w:rPr>
          <w:rFonts w:ascii="Arial" w:hAnsi="Arial" w:cs="Arial"/>
        </w:rPr>
        <w:t>8 April 2019</w:t>
      </w:r>
    </w:p>
    <w:p w14:paraId="550FE7F3" w14:textId="77777777" w:rsidR="000F5917" w:rsidRPr="00BC04CB" w:rsidRDefault="000F5917" w:rsidP="006617C9">
      <w:pPr>
        <w:spacing w:after="0" w:line="276" w:lineRule="auto"/>
        <w:jc w:val="both"/>
        <w:rPr>
          <w:rFonts w:ascii="Arial" w:hAnsi="Arial" w:cs="Arial"/>
        </w:rPr>
      </w:pPr>
      <w:r w:rsidRPr="00BC04CB">
        <w:rPr>
          <w:rFonts w:ascii="Arial" w:hAnsi="Arial" w:cs="Arial"/>
        </w:rPr>
        <w:t>Invoked p</w:t>
      </w:r>
      <w:r w:rsidR="00BC04CB">
        <w:rPr>
          <w:rFonts w:ascii="Arial" w:hAnsi="Arial" w:cs="Arial"/>
        </w:rPr>
        <w:t xml:space="preserve">rovisions of the Convention: </w:t>
      </w:r>
      <w:r w:rsidR="00BC04CB">
        <w:rPr>
          <w:rFonts w:ascii="Arial" w:hAnsi="Arial" w:cs="Arial"/>
        </w:rPr>
        <w:tab/>
      </w:r>
      <w:r w:rsidR="00BC04CB">
        <w:rPr>
          <w:rFonts w:ascii="Arial" w:hAnsi="Arial" w:cs="Arial"/>
        </w:rPr>
        <w:tab/>
      </w:r>
      <w:hyperlink r:id="rId7" w:anchor="14" w:history="1">
        <w:r w:rsidRPr="000C5814">
          <w:rPr>
            <w:rStyle w:val="Hyperlink"/>
            <w:rFonts w:ascii="Arial" w:hAnsi="Arial" w:cs="Arial"/>
          </w:rPr>
          <w:t>14</w:t>
        </w:r>
      </w:hyperlink>
      <w:r w:rsidRPr="00BC04CB">
        <w:rPr>
          <w:rFonts w:ascii="Arial" w:hAnsi="Arial" w:cs="Arial"/>
        </w:rPr>
        <w:t xml:space="preserve">, </w:t>
      </w:r>
      <w:hyperlink r:id="rId8" w:anchor="18" w:history="1">
        <w:r w:rsidRPr="000C5814">
          <w:rPr>
            <w:rStyle w:val="Hyperlink"/>
            <w:rFonts w:ascii="Arial" w:hAnsi="Arial" w:cs="Arial"/>
          </w:rPr>
          <w:t>18</w:t>
        </w:r>
      </w:hyperlink>
      <w:r w:rsidRPr="00BC04CB">
        <w:rPr>
          <w:rFonts w:ascii="Arial" w:hAnsi="Arial" w:cs="Arial"/>
        </w:rPr>
        <w:t xml:space="preserve">, </w:t>
      </w:r>
      <w:hyperlink r:id="rId9" w:anchor="19" w:history="1">
        <w:r w:rsidRPr="000C5814">
          <w:rPr>
            <w:rStyle w:val="Hyperlink"/>
            <w:rFonts w:ascii="Arial" w:hAnsi="Arial" w:cs="Arial"/>
          </w:rPr>
          <w:t>19</w:t>
        </w:r>
      </w:hyperlink>
      <w:r w:rsidRPr="00BC04CB">
        <w:rPr>
          <w:rFonts w:ascii="Arial" w:hAnsi="Arial" w:cs="Arial"/>
        </w:rPr>
        <w:t xml:space="preserve">, </w:t>
      </w:r>
      <w:hyperlink r:id="rId10" w:anchor="22" w:history="1">
        <w:r w:rsidRPr="000C5814">
          <w:rPr>
            <w:rStyle w:val="Hyperlink"/>
            <w:rFonts w:ascii="Arial" w:hAnsi="Arial" w:cs="Arial"/>
          </w:rPr>
          <w:t>22</w:t>
        </w:r>
      </w:hyperlink>
      <w:r w:rsidRPr="00BC04CB">
        <w:rPr>
          <w:rFonts w:ascii="Arial" w:hAnsi="Arial" w:cs="Arial"/>
        </w:rPr>
        <w:t xml:space="preserve">, </w:t>
      </w:r>
      <w:hyperlink r:id="rId11" w:anchor="23" w:history="1">
        <w:r w:rsidRPr="000C5814">
          <w:rPr>
            <w:rStyle w:val="Hyperlink"/>
            <w:rFonts w:ascii="Arial" w:hAnsi="Arial" w:cs="Arial"/>
          </w:rPr>
          <w:t>23</w:t>
        </w:r>
      </w:hyperlink>
      <w:r w:rsidRPr="00BC04CB">
        <w:rPr>
          <w:rFonts w:ascii="Arial" w:hAnsi="Arial" w:cs="Arial"/>
        </w:rPr>
        <w:t xml:space="preserve">, </w:t>
      </w:r>
      <w:hyperlink r:id="rId12" w:anchor="26" w:history="1">
        <w:r w:rsidRPr="000C5814">
          <w:rPr>
            <w:rStyle w:val="Hyperlink"/>
            <w:rFonts w:ascii="Arial" w:hAnsi="Arial" w:cs="Arial"/>
          </w:rPr>
          <w:t>26</w:t>
        </w:r>
      </w:hyperlink>
      <w:r w:rsidRPr="00BC04CB">
        <w:rPr>
          <w:rFonts w:ascii="Arial" w:hAnsi="Arial" w:cs="Arial"/>
        </w:rPr>
        <w:t xml:space="preserve"> and </w:t>
      </w:r>
      <w:hyperlink r:id="rId13" w:anchor="28" w:history="1">
        <w:r w:rsidRPr="000C5814">
          <w:rPr>
            <w:rStyle w:val="Hyperlink"/>
            <w:rFonts w:ascii="Arial" w:hAnsi="Arial" w:cs="Arial"/>
          </w:rPr>
          <w:t>28</w:t>
        </w:r>
      </w:hyperlink>
    </w:p>
    <w:p w14:paraId="5E4247EB" w14:textId="77777777" w:rsidR="006617C9" w:rsidRPr="00BC04CB" w:rsidRDefault="006617C9" w:rsidP="006617C9">
      <w:pPr>
        <w:spacing w:after="0" w:line="276" w:lineRule="auto"/>
        <w:jc w:val="both"/>
        <w:rPr>
          <w:rFonts w:ascii="Arial" w:hAnsi="Arial" w:cs="Arial"/>
        </w:rPr>
      </w:pPr>
    </w:p>
    <w:p w14:paraId="2FCDD8C4" w14:textId="77777777" w:rsidR="006617C9" w:rsidRPr="00BC04CB" w:rsidRDefault="006617C9" w:rsidP="006617C9">
      <w:pPr>
        <w:spacing w:after="0" w:line="276" w:lineRule="auto"/>
        <w:ind w:left="2124" w:hanging="2124"/>
        <w:jc w:val="both"/>
        <w:rPr>
          <w:rFonts w:ascii="Arial" w:hAnsi="Arial" w:cs="Arial"/>
        </w:rPr>
      </w:pPr>
      <w:r w:rsidRPr="00BC04CB">
        <w:rPr>
          <w:rFonts w:ascii="Arial" w:hAnsi="Arial" w:cs="Arial"/>
        </w:rPr>
        <w:t xml:space="preserve">Keywords: </w:t>
      </w:r>
      <w:r w:rsidRPr="00BC04CB">
        <w:rPr>
          <w:rFonts w:ascii="Arial" w:hAnsi="Arial" w:cs="Arial"/>
        </w:rPr>
        <w:tab/>
        <w:t xml:space="preserve">Disability, </w:t>
      </w:r>
      <w:r w:rsidR="006D09C3" w:rsidRPr="00BC04CB">
        <w:rPr>
          <w:rFonts w:ascii="Arial" w:hAnsi="Arial" w:cs="Arial"/>
        </w:rPr>
        <w:t xml:space="preserve">non-discrimination, </w:t>
      </w:r>
      <w:r w:rsidR="00C16AE4" w:rsidRPr="00BC04CB">
        <w:rPr>
          <w:rFonts w:ascii="Arial" w:hAnsi="Arial" w:cs="Arial"/>
        </w:rPr>
        <w:t>reasonable accommodation</w:t>
      </w:r>
      <w:r w:rsidRPr="00BC04CB">
        <w:rPr>
          <w:rFonts w:ascii="Arial" w:hAnsi="Arial" w:cs="Arial"/>
        </w:rPr>
        <w:t xml:space="preserve">, </w:t>
      </w:r>
      <w:r w:rsidR="006D09C3" w:rsidRPr="00BC04CB">
        <w:rPr>
          <w:rFonts w:ascii="Arial" w:hAnsi="Arial" w:cs="Arial"/>
        </w:rPr>
        <w:t>support services</w:t>
      </w:r>
      <w:r w:rsidRPr="00BC04CB">
        <w:rPr>
          <w:rFonts w:ascii="Arial" w:hAnsi="Arial" w:cs="Arial"/>
        </w:rPr>
        <w:t>.</w:t>
      </w:r>
    </w:p>
    <w:p w14:paraId="07019B3E" w14:textId="77777777" w:rsidR="006617C9" w:rsidRPr="00BC04CB" w:rsidRDefault="006617C9" w:rsidP="006617C9">
      <w:pPr>
        <w:spacing w:after="0" w:line="276" w:lineRule="auto"/>
        <w:ind w:left="2124" w:hanging="2124"/>
        <w:jc w:val="both"/>
        <w:rPr>
          <w:rFonts w:ascii="Arial" w:hAnsi="Arial" w:cs="Arial"/>
        </w:rPr>
      </w:pPr>
    </w:p>
    <w:p w14:paraId="63AD4A4D" w14:textId="77777777" w:rsidR="006617C9" w:rsidRPr="00BC04CB" w:rsidRDefault="006617C9" w:rsidP="006617C9">
      <w:pPr>
        <w:spacing w:after="0" w:line="276" w:lineRule="auto"/>
        <w:ind w:left="2124" w:hanging="2124"/>
        <w:jc w:val="both"/>
        <w:rPr>
          <w:rFonts w:ascii="Arial" w:hAnsi="Arial" w:cs="Arial"/>
        </w:rPr>
      </w:pPr>
      <w:r w:rsidRPr="00BC04CB">
        <w:rPr>
          <w:rFonts w:ascii="Arial" w:hAnsi="Arial" w:cs="Arial"/>
        </w:rPr>
        <w:t xml:space="preserve">Decision: </w:t>
      </w:r>
      <w:r w:rsidRPr="00BC04CB">
        <w:rPr>
          <w:rFonts w:ascii="Arial" w:hAnsi="Arial" w:cs="Arial"/>
        </w:rPr>
        <w:tab/>
      </w:r>
      <w:r w:rsidR="00C16AE4" w:rsidRPr="00BC04CB">
        <w:rPr>
          <w:rFonts w:ascii="Arial" w:hAnsi="Arial" w:cs="Arial"/>
        </w:rPr>
        <w:t xml:space="preserve">The Committee decided to discontinue the consideration of the communication as the author was provided </w:t>
      </w:r>
      <w:r w:rsidR="00BC04CB">
        <w:rPr>
          <w:rFonts w:ascii="Arial" w:hAnsi="Arial" w:cs="Arial"/>
        </w:rPr>
        <w:t>with</w:t>
      </w:r>
      <w:r w:rsidR="00C16AE4" w:rsidRPr="00BC04CB">
        <w:rPr>
          <w:rFonts w:ascii="Arial" w:hAnsi="Arial" w:cs="Arial"/>
        </w:rPr>
        <w:t xml:space="preserve"> accommodation and support services.</w:t>
      </w:r>
    </w:p>
    <w:p w14:paraId="0A084F55" w14:textId="53CE7E4E" w:rsidR="00BC04CB" w:rsidRDefault="006617C9" w:rsidP="00BC04CB">
      <w:pPr>
        <w:spacing w:after="0" w:line="276" w:lineRule="auto"/>
        <w:jc w:val="both"/>
        <w:rPr>
          <w:rFonts w:ascii="Arial" w:hAnsi="Arial" w:cs="Arial"/>
        </w:rPr>
      </w:pPr>
      <w:r w:rsidRPr="00BC04CB">
        <w:rPr>
          <w:rFonts w:ascii="Arial" w:hAnsi="Arial" w:cs="Arial"/>
        </w:rPr>
        <w:t xml:space="preserve">Full decision in </w:t>
      </w:r>
      <w:hyperlink r:id="rId14" w:history="1">
        <w:r w:rsidR="00FF24D1" w:rsidRPr="00FF24D1">
          <w:rPr>
            <w:rStyle w:val="Hyperlink"/>
            <w:rFonts w:ascii="Arial" w:hAnsi="Arial" w:cs="Arial"/>
          </w:rPr>
          <w:t xml:space="preserve">PDF </w:t>
        </w:r>
        <w:r w:rsidRPr="00FF24D1">
          <w:rPr>
            <w:rStyle w:val="Hyperlink"/>
            <w:rFonts w:ascii="Arial" w:hAnsi="Arial" w:cs="Arial"/>
          </w:rPr>
          <w:t>English</w:t>
        </w:r>
      </w:hyperlink>
      <w:r w:rsidRPr="00BC04CB">
        <w:rPr>
          <w:rStyle w:val="Hyperlink"/>
          <w:rFonts w:ascii="Arial" w:hAnsi="Arial" w:cs="Arial"/>
        </w:rPr>
        <w:t xml:space="preserve"> </w:t>
      </w:r>
    </w:p>
    <w:p w14:paraId="7BD81DCE" w14:textId="77777777" w:rsidR="00BC04CB" w:rsidRDefault="00BC04CB" w:rsidP="00BC04CB">
      <w:pPr>
        <w:spacing w:after="0" w:line="276" w:lineRule="auto"/>
        <w:jc w:val="both"/>
        <w:rPr>
          <w:rFonts w:ascii="Arial" w:hAnsi="Arial" w:cs="Arial"/>
        </w:rPr>
      </w:pPr>
    </w:p>
    <w:p w14:paraId="2CFC754D" w14:textId="77777777" w:rsidR="00BC04CB" w:rsidRPr="00BC04CB" w:rsidRDefault="00BC04CB" w:rsidP="00BC04CB">
      <w:pPr>
        <w:spacing w:after="0" w:line="276" w:lineRule="auto"/>
        <w:jc w:val="both"/>
        <w:rPr>
          <w:rFonts w:ascii="Arial" w:hAnsi="Arial" w:cs="Arial"/>
        </w:rPr>
      </w:pPr>
      <w:r>
        <w:rPr>
          <w:rFonts w:ascii="Arial" w:hAnsi="Arial" w:cs="Arial"/>
          <w:b/>
          <w:bCs/>
          <w:sz w:val="24"/>
          <w:szCs w:val="24"/>
        </w:rPr>
        <w:t>Facts</w:t>
      </w:r>
    </w:p>
    <w:p w14:paraId="6C2CE269" w14:textId="5AB4939A" w:rsidR="00C16AE4" w:rsidRPr="00BC04CB" w:rsidRDefault="000C5814" w:rsidP="006D09C3">
      <w:pPr>
        <w:spacing w:after="120" w:line="276" w:lineRule="auto"/>
        <w:jc w:val="both"/>
        <w:rPr>
          <w:rFonts w:ascii="Arial" w:hAnsi="Arial" w:cs="Arial"/>
          <w:bCs/>
        </w:rPr>
      </w:pPr>
      <w:r>
        <w:rPr>
          <w:rFonts w:ascii="Arial" w:hAnsi="Arial" w:cs="Arial"/>
          <w:bCs/>
        </w:rPr>
        <w:t xml:space="preserve">The author, </w:t>
      </w:r>
      <w:r w:rsidR="004B5F56" w:rsidRPr="00BC04CB">
        <w:rPr>
          <w:rFonts w:ascii="Arial" w:hAnsi="Arial" w:cs="Arial"/>
          <w:bCs/>
        </w:rPr>
        <w:t>Mr. Steven K</w:t>
      </w:r>
      <w:r w:rsidR="00FD07C6">
        <w:rPr>
          <w:rFonts w:ascii="Arial" w:hAnsi="Arial" w:cs="Arial"/>
          <w:bCs/>
        </w:rPr>
        <w:t>e</w:t>
      </w:r>
      <w:r w:rsidR="004B5F56" w:rsidRPr="00BC04CB">
        <w:rPr>
          <w:rFonts w:ascii="Arial" w:hAnsi="Arial" w:cs="Arial"/>
          <w:bCs/>
        </w:rPr>
        <w:t>ndall</w:t>
      </w:r>
      <w:r>
        <w:rPr>
          <w:rFonts w:ascii="Arial" w:hAnsi="Arial" w:cs="Arial"/>
          <w:bCs/>
        </w:rPr>
        <w:t>,</w:t>
      </w:r>
      <w:r w:rsidR="004B5F56" w:rsidRPr="00BC04CB">
        <w:rPr>
          <w:rFonts w:ascii="Arial" w:hAnsi="Arial" w:cs="Arial"/>
          <w:bCs/>
        </w:rPr>
        <w:t xml:space="preserve"> is </w:t>
      </w:r>
      <w:r w:rsidR="00C16AE4" w:rsidRPr="00BC04CB">
        <w:rPr>
          <w:rFonts w:ascii="Arial" w:hAnsi="Arial" w:cs="Arial"/>
          <w:bCs/>
        </w:rPr>
        <w:t>an Aus</w:t>
      </w:r>
      <w:r>
        <w:rPr>
          <w:rFonts w:ascii="Arial" w:hAnsi="Arial" w:cs="Arial"/>
          <w:bCs/>
        </w:rPr>
        <w:t>tralian citizen born in 1970. I</w:t>
      </w:r>
      <w:r w:rsidR="004B5F56" w:rsidRPr="00BC04CB">
        <w:rPr>
          <w:rFonts w:ascii="Arial" w:hAnsi="Arial" w:cs="Arial"/>
          <w:bCs/>
        </w:rPr>
        <w:t>n 20</w:t>
      </w:r>
      <w:r w:rsidR="00FD07C6">
        <w:rPr>
          <w:rFonts w:ascii="Arial" w:hAnsi="Arial" w:cs="Arial"/>
          <w:bCs/>
        </w:rPr>
        <w:t>0</w:t>
      </w:r>
      <w:r w:rsidR="004B5F56" w:rsidRPr="00BC04CB">
        <w:rPr>
          <w:rFonts w:ascii="Arial" w:hAnsi="Arial" w:cs="Arial"/>
          <w:bCs/>
        </w:rPr>
        <w:t xml:space="preserve">3, </w:t>
      </w:r>
      <w:r w:rsidR="00C16AE4" w:rsidRPr="00BC04CB">
        <w:rPr>
          <w:rFonts w:ascii="Arial" w:hAnsi="Arial" w:cs="Arial"/>
          <w:bCs/>
        </w:rPr>
        <w:t xml:space="preserve">at the time of his complaint, </w:t>
      </w:r>
      <w:r w:rsidR="004B5F56" w:rsidRPr="00BC04CB">
        <w:rPr>
          <w:rFonts w:ascii="Arial" w:hAnsi="Arial" w:cs="Arial"/>
          <w:bCs/>
        </w:rPr>
        <w:t xml:space="preserve">he </w:t>
      </w:r>
      <w:r w:rsidR="00C16AE4" w:rsidRPr="00BC04CB">
        <w:rPr>
          <w:rFonts w:ascii="Arial" w:hAnsi="Arial" w:cs="Arial"/>
          <w:bCs/>
        </w:rPr>
        <w:t xml:space="preserve">was living at the Jacana Acquired Brain Injury Unit in </w:t>
      </w:r>
      <w:r w:rsidR="00FD07C6">
        <w:rPr>
          <w:rFonts w:ascii="Arial" w:hAnsi="Arial" w:cs="Arial"/>
          <w:bCs/>
        </w:rPr>
        <w:t xml:space="preserve">the state of </w:t>
      </w:r>
      <w:r w:rsidR="00C16AE4" w:rsidRPr="00BC04CB">
        <w:rPr>
          <w:rFonts w:ascii="Arial" w:hAnsi="Arial" w:cs="Arial"/>
          <w:bCs/>
        </w:rPr>
        <w:t xml:space="preserve">Queensland. In July 2005, the </w:t>
      </w:r>
      <w:r w:rsidR="0064473A">
        <w:rPr>
          <w:rFonts w:ascii="Arial" w:hAnsi="Arial" w:cs="Arial"/>
          <w:bCs/>
        </w:rPr>
        <w:t xml:space="preserve">medical staff advised </w:t>
      </w:r>
      <w:r w:rsidR="00FD07C6">
        <w:rPr>
          <w:rFonts w:ascii="Arial" w:hAnsi="Arial" w:cs="Arial"/>
          <w:bCs/>
        </w:rPr>
        <w:t>Mr. Kendall</w:t>
      </w:r>
      <w:r w:rsidR="00C16AE4" w:rsidRPr="00BC04CB">
        <w:rPr>
          <w:rFonts w:ascii="Arial" w:hAnsi="Arial" w:cs="Arial"/>
          <w:bCs/>
        </w:rPr>
        <w:t xml:space="preserve"> that his rehabilitation program</w:t>
      </w:r>
      <w:r w:rsidR="004B5F56" w:rsidRPr="00BC04CB">
        <w:rPr>
          <w:rFonts w:ascii="Arial" w:hAnsi="Arial" w:cs="Arial"/>
          <w:bCs/>
        </w:rPr>
        <w:t xml:space="preserve"> would cease and that he was ready for discharge.</w:t>
      </w:r>
      <w:r w:rsidR="00FD07C6">
        <w:rPr>
          <w:rFonts w:ascii="Arial" w:hAnsi="Arial" w:cs="Arial"/>
          <w:bCs/>
        </w:rPr>
        <w:t xml:space="preserve"> T</w:t>
      </w:r>
      <w:r w:rsidR="004B5F56" w:rsidRPr="00BC04CB">
        <w:rPr>
          <w:rFonts w:ascii="Arial" w:hAnsi="Arial" w:cs="Arial"/>
          <w:bCs/>
        </w:rPr>
        <w:t>he</w:t>
      </w:r>
      <w:r w:rsidR="00FD07C6">
        <w:rPr>
          <w:rFonts w:ascii="Arial" w:hAnsi="Arial" w:cs="Arial"/>
          <w:bCs/>
        </w:rPr>
        <w:t xml:space="preserve"> Jacana</w:t>
      </w:r>
      <w:r w:rsidR="004B5F56" w:rsidRPr="00BC04CB">
        <w:rPr>
          <w:rFonts w:ascii="Arial" w:hAnsi="Arial" w:cs="Arial"/>
          <w:bCs/>
        </w:rPr>
        <w:t xml:space="preserve"> medical staff determined that the author would require accommodation and community-based disability support services before being discharged</w:t>
      </w:r>
      <w:r w:rsidR="00FD07C6">
        <w:rPr>
          <w:rFonts w:ascii="Arial" w:hAnsi="Arial" w:cs="Arial"/>
          <w:bCs/>
        </w:rPr>
        <w:t>, therefore, b</w:t>
      </w:r>
      <w:r w:rsidR="00FD07C6" w:rsidRPr="00BC04CB">
        <w:rPr>
          <w:rFonts w:ascii="Arial" w:hAnsi="Arial" w:cs="Arial"/>
          <w:bCs/>
        </w:rPr>
        <w:t>etween July 20</w:t>
      </w:r>
      <w:r w:rsidR="00FD07C6">
        <w:rPr>
          <w:rFonts w:ascii="Arial" w:hAnsi="Arial" w:cs="Arial"/>
          <w:bCs/>
        </w:rPr>
        <w:t>0</w:t>
      </w:r>
      <w:r w:rsidR="00FD07C6" w:rsidRPr="00BC04CB">
        <w:rPr>
          <w:rFonts w:ascii="Arial" w:hAnsi="Arial" w:cs="Arial"/>
          <w:bCs/>
        </w:rPr>
        <w:t>5 and November 2010</w:t>
      </w:r>
      <w:r w:rsidR="00FD07C6">
        <w:rPr>
          <w:rFonts w:ascii="Arial" w:hAnsi="Arial" w:cs="Arial"/>
          <w:bCs/>
        </w:rPr>
        <w:t>,</w:t>
      </w:r>
      <w:r w:rsidR="004B5F56" w:rsidRPr="00BC04CB">
        <w:rPr>
          <w:rFonts w:ascii="Arial" w:hAnsi="Arial" w:cs="Arial"/>
          <w:bCs/>
        </w:rPr>
        <w:t xml:space="preserve"> the</w:t>
      </w:r>
      <w:r w:rsidR="00FD07C6">
        <w:rPr>
          <w:rFonts w:ascii="Arial" w:hAnsi="Arial" w:cs="Arial"/>
          <w:bCs/>
        </w:rPr>
        <w:t>y</w:t>
      </w:r>
      <w:r w:rsidR="004B5F56" w:rsidRPr="00BC04CB">
        <w:rPr>
          <w:rFonts w:ascii="Arial" w:hAnsi="Arial" w:cs="Arial"/>
          <w:bCs/>
        </w:rPr>
        <w:t xml:space="preserve"> attempted several </w:t>
      </w:r>
      <w:r w:rsidR="00FD07C6">
        <w:rPr>
          <w:rFonts w:ascii="Arial" w:hAnsi="Arial" w:cs="Arial"/>
          <w:bCs/>
        </w:rPr>
        <w:t xml:space="preserve">unsuccessful </w:t>
      </w:r>
      <w:r w:rsidR="004B5F56" w:rsidRPr="00BC04CB">
        <w:rPr>
          <w:rFonts w:ascii="Arial" w:hAnsi="Arial" w:cs="Arial"/>
          <w:bCs/>
        </w:rPr>
        <w:t xml:space="preserve">applications on his behalf for </w:t>
      </w:r>
      <w:r w:rsidR="00FF24D1" w:rsidRPr="00BC04CB">
        <w:rPr>
          <w:rFonts w:ascii="Arial" w:hAnsi="Arial" w:cs="Arial"/>
          <w:bCs/>
        </w:rPr>
        <w:t>community-based</w:t>
      </w:r>
      <w:r w:rsidR="004B5F56" w:rsidRPr="00BC04CB">
        <w:rPr>
          <w:rFonts w:ascii="Arial" w:hAnsi="Arial" w:cs="Arial"/>
          <w:bCs/>
        </w:rPr>
        <w:t xml:space="preserve"> </w:t>
      </w:r>
      <w:bookmarkStart w:id="0" w:name="_GoBack"/>
      <w:bookmarkEnd w:id="0"/>
      <w:r w:rsidR="004B5F56" w:rsidRPr="00BC04CB">
        <w:rPr>
          <w:rFonts w:ascii="Arial" w:hAnsi="Arial" w:cs="Arial"/>
          <w:bCs/>
        </w:rPr>
        <w:t>accommodation and support service</w:t>
      </w:r>
      <w:r w:rsidR="00FD07C6">
        <w:rPr>
          <w:rFonts w:ascii="Arial" w:hAnsi="Arial" w:cs="Arial"/>
          <w:bCs/>
        </w:rPr>
        <w:t>s</w:t>
      </w:r>
      <w:r w:rsidR="004B5F56" w:rsidRPr="00BC04CB">
        <w:rPr>
          <w:rFonts w:ascii="Arial" w:hAnsi="Arial" w:cs="Arial"/>
          <w:bCs/>
        </w:rPr>
        <w:t>. On 30 November 2010</w:t>
      </w:r>
      <w:r w:rsidR="006D09C3" w:rsidRPr="00BC04CB">
        <w:rPr>
          <w:rFonts w:ascii="Arial" w:hAnsi="Arial" w:cs="Arial"/>
          <w:bCs/>
        </w:rPr>
        <w:t xml:space="preserve">, the Queensland Department of Communities Housing and Homelessness Services and </w:t>
      </w:r>
      <w:r w:rsidR="00FD07C6">
        <w:rPr>
          <w:rFonts w:ascii="Arial" w:hAnsi="Arial" w:cs="Arial"/>
          <w:bCs/>
        </w:rPr>
        <w:t xml:space="preserve">the </w:t>
      </w:r>
      <w:r w:rsidR="006D09C3" w:rsidRPr="00BC04CB">
        <w:rPr>
          <w:rFonts w:ascii="Arial" w:hAnsi="Arial" w:cs="Arial"/>
          <w:bCs/>
        </w:rPr>
        <w:t xml:space="preserve">Queensland Disability and </w:t>
      </w:r>
      <w:r w:rsidR="0064473A">
        <w:rPr>
          <w:rFonts w:ascii="Arial" w:hAnsi="Arial" w:cs="Arial"/>
          <w:bCs/>
        </w:rPr>
        <w:t xml:space="preserve">the </w:t>
      </w:r>
      <w:r w:rsidR="006D09C3" w:rsidRPr="00BC04CB">
        <w:rPr>
          <w:rFonts w:ascii="Arial" w:hAnsi="Arial" w:cs="Arial"/>
          <w:bCs/>
        </w:rPr>
        <w:t>Community Care Services for social housing and disability support services assessed the author as eligible</w:t>
      </w:r>
      <w:r w:rsidR="0064473A">
        <w:rPr>
          <w:rFonts w:ascii="Arial" w:hAnsi="Arial" w:cs="Arial"/>
          <w:bCs/>
        </w:rPr>
        <w:t xml:space="preserve"> with “high need”</w:t>
      </w:r>
      <w:r w:rsidR="006D09C3" w:rsidRPr="00BC04CB">
        <w:rPr>
          <w:rFonts w:ascii="Arial" w:hAnsi="Arial" w:cs="Arial"/>
          <w:bCs/>
        </w:rPr>
        <w:t xml:space="preserve"> for social housing, and his name was placed on the Housing Register. However, the Communities Housing and Homelessness Services requested that the author was first provided with disability support services before being allocated with social housing. Although the Disability and Community Care Services assessed the </w:t>
      </w:r>
      <w:r w:rsidR="0064473A">
        <w:rPr>
          <w:rFonts w:ascii="Arial" w:hAnsi="Arial" w:cs="Arial"/>
          <w:bCs/>
        </w:rPr>
        <w:t>eligibility</w:t>
      </w:r>
      <w:r w:rsidR="006D09C3" w:rsidRPr="00BC04CB">
        <w:rPr>
          <w:rFonts w:ascii="Arial" w:hAnsi="Arial" w:cs="Arial"/>
          <w:bCs/>
        </w:rPr>
        <w:t xml:space="preserve"> for such services, it also advised that it did not have the capacity to fund disability services for the author. </w:t>
      </w:r>
      <w:r w:rsidR="0064473A">
        <w:rPr>
          <w:rFonts w:ascii="Arial" w:hAnsi="Arial" w:cs="Arial"/>
          <w:bCs/>
        </w:rPr>
        <w:t>Consequently</w:t>
      </w:r>
      <w:r w:rsidR="006D09C3" w:rsidRPr="00BC04CB">
        <w:rPr>
          <w:rFonts w:ascii="Arial" w:hAnsi="Arial" w:cs="Arial"/>
          <w:bCs/>
        </w:rPr>
        <w:t xml:space="preserve">, the author’s application for social housing remained unattended. </w:t>
      </w:r>
    </w:p>
    <w:p w14:paraId="10F6D560" w14:textId="607CC927" w:rsidR="006D09C3" w:rsidRPr="00BC04CB" w:rsidRDefault="006D09C3" w:rsidP="006D09C3">
      <w:pPr>
        <w:spacing w:after="120" w:line="276" w:lineRule="auto"/>
        <w:jc w:val="both"/>
        <w:rPr>
          <w:rFonts w:ascii="Arial" w:hAnsi="Arial" w:cs="Arial"/>
          <w:bCs/>
        </w:rPr>
      </w:pPr>
      <w:r w:rsidRPr="00BC04CB">
        <w:rPr>
          <w:rFonts w:ascii="Arial" w:hAnsi="Arial" w:cs="Arial"/>
          <w:bCs/>
        </w:rPr>
        <w:t>On 27 October 2011, the author lodged a complaint to the Australian Human Rights Commission</w:t>
      </w:r>
      <w:r w:rsidR="000F5917" w:rsidRPr="00BC04CB">
        <w:rPr>
          <w:rFonts w:ascii="Arial" w:hAnsi="Arial" w:cs="Arial"/>
          <w:bCs/>
        </w:rPr>
        <w:t xml:space="preserve"> (AHRC)</w:t>
      </w:r>
      <w:r w:rsidRPr="00BC04CB">
        <w:rPr>
          <w:rFonts w:ascii="Arial" w:hAnsi="Arial" w:cs="Arial"/>
          <w:bCs/>
        </w:rPr>
        <w:t>, alleging</w:t>
      </w:r>
      <w:r w:rsidR="000C5814">
        <w:rPr>
          <w:rFonts w:ascii="Arial" w:hAnsi="Arial" w:cs="Arial"/>
          <w:bCs/>
        </w:rPr>
        <w:t xml:space="preserve"> that</w:t>
      </w:r>
      <w:r w:rsidRPr="00BC04CB">
        <w:rPr>
          <w:rFonts w:ascii="Arial" w:hAnsi="Arial" w:cs="Arial"/>
          <w:bCs/>
        </w:rPr>
        <w:t xml:space="preserve"> he had been discriminated</w:t>
      </w:r>
      <w:r w:rsidR="000C5814">
        <w:rPr>
          <w:rFonts w:ascii="Arial" w:hAnsi="Arial" w:cs="Arial"/>
          <w:bCs/>
        </w:rPr>
        <w:t xml:space="preserve"> against</w:t>
      </w:r>
      <w:r w:rsidRPr="00BC04CB">
        <w:rPr>
          <w:rFonts w:ascii="Arial" w:hAnsi="Arial" w:cs="Arial"/>
          <w:bCs/>
        </w:rPr>
        <w:t xml:space="preserve"> on the basis of disability by the Australian and Queensland Governments. </w:t>
      </w:r>
      <w:r w:rsidR="0064473A">
        <w:rPr>
          <w:rFonts w:ascii="Arial" w:hAnsi="Arial" w:cs="Arial"/>
          <w:bCs/>
        </w:rPr>
        <w:t>U</w:t>
      </w:r>
      <w:r w:rsidR="000F5917" w:rsidRPr="00BC04CB">
        <w:rPr>
          <w:rFonts w:ascii="Arial" w:hAnsi="Arial" w:cs="Arial"/>
          <w:bCs/>
        </w:rPr>
        <w:t xml:space="preserve">nder the AHRC Act 1986, </w:t>
      </w:r>
      <w:r w:rsidR="0064473A">
        <w:rPr>
          <w:rFonts w:ascii="Arial" w:hAnsi="Arial" w:cs="Arial"/>
          <w:bCs/>
        </w:rPr>
        <w:t>the author also complained on alleged acts and practices by t</w:t>
      </w:r>
      <w:r w:rsidR="000F5917" w:rsidRPr="00BC04CB">
        <w:rPr>
          <w:rFonts w:ascii="Arial" w:hAnsi="Arial" w:cs="Arial"/>
          <w:bCs/>
        </w:rPr>
        <w:t xml:space="preserve">he Australian and Queensland Governments </w:t>
      </w:r>
      <w:r w:rsidR="00FD07C6">
        <w:rPr>
          <w:rFonts w:ascii="Arial" w:hAnsi="Arial" w:cs="Arial"/>
          <w:bCs/>
        </w:rPr>
        <w:t xml:space="preserve">being </w:t>
      </w:r>
      <w:r w:rsidR="000F5917" w:rsidRPr="00BC04CB">
        <w:rPr>
          <w:rFonts w:ascii="Arial" w:hAnsi="Arial" w:cs="Arial"/>
          <w:bCs/>
        </w:rPr>
        <w:t xml:space="preserve">inconsistent with or </w:t>
      </w:r>
      <w:r w:rsidR="0064473A">
        <w:rPr>
          <w:rFonts w:ascii="Arial" w:hAnsi="Arial" w:cs="Arial"/>
          <w:bCs/>
        </w:rPr>
        <w:t>contrary to the author’s rights</w:t>
      </w:r>
      <w:r w:rsidR="000F5917" w:rsidRPr="00BC04CB">
        <w:rPr>
          <w:rFonts w:ascii="Arial" w:hAnsi="Arial" w:cs="Arial"/>
          <w:bCs/>
        </w:rPr>
        <w:t xml:space="preserve">. After </w:t>
      </w:r>
      <w:r w:rsidR="0064473A">
        <w:rPr>
          <w:rFonts w:ascii="Arial" w:hAnsi="Arial" w:cs="Arial"/>
          <w:bCs/>
        </w:rPr>
        <w:t>notification of these</w:t>
      </w:r>
      <w:r w:rsidR="000F5917" w:rsidRPr="00BC04CB">
        <w:rPr>
          <w:rFonts w:ascii="Arial" w:hAnsi="Arial" w:cs="Arial"/>
          <w:bCs/>
        </w:rPr>
        <w:t xml:space="preserve"> complaints</w:t>
      </w:r>
      <w:r w:rsidR="0064473A">
        <w:rPr>
          <w:rFonts w:ascii="Arial" w:hAnsi="Arial" w:cs="Arial"/>
          <w:bCs/>
        </w:rPr>
        <w:t xml:space="preserve"> to</w:t>
      </w:r>
      <w:r w:rsidR="000F5917" w:rsidRPr="00BC04CB">
        <w:rPr>
          <w:rFonts w:ascii="Arial" w:hAnsi="Arial" w:cs="Arial"/>
          <w:bCs/>
        </w:rPr>
        <w:t xml:space="preserve"> governments agencies, on 12 January 2012 the Australian Government Attorney-General’s Department responded and denied that such acts and practices were contrary to the author’s human rights</w:t>
      </w:r>
      <w:r w:rsidR="0064473A">
        <w:rPr>
          <w:rFonts w:ascii="Arial" w:hAnsi="Arial" w:cs="Arial"/>
          <w:bCs/>
        </w:rPr>
        <w:t xml:space="preserve"> enshrined in the Convention</w:t>
      </w:r>
      <w:r w:rsidR="000F5917" w:rsidRPr="00BC04CB">
        <w:rPr>
          <w:rFonts w:ascii="Arial" w:hAnsi="Arial" w:cs="Arial"/>
          <w:bCs/>
        </w:rPr>
        <w:t xml:space="preserve">. On 2 July 2012, Queensland Crown Law on behalf of the State of Queensland </w:t>
      </w:r>
      <w:r w:rsidR="0064473A">
        <w:rPr>
          <w:rFonts w:ascii="Arial" w:hAnsi="Arial" w:cs="Arial"/>
          <w:bCs/>
        </w:rPr>
        <w:t xml:space="preserve">also </w:t>
      </w:r>
      <w:r w:rsidR="000F5917" w:rsidRPr="00BC04CB">
        <w:rPr>
          <w:rFonts w:ascii="Arial" w:hAnsi="Arial" w:cs="Arial"/>
          <w:bCs/>
        </w:rPr>
        <w:t>argued that the AHRC had no power to inquire into acts or practices of the Queensland Government that are inconsistent with or contrary to the author’s human rights. The author then presented his complaint to the CRPD Committee.</w:t>
      </w:r>
    </w:p>
    <w:p w14:paraId="686487D5" w14:textId="1179D6FC" w:rsidR="00BC04CB" w:rsidRPr="00BC04CB" w:rsidRDefault="000F5917" w:rsidP="006D09C3">
      <w:pPr>
        <w:spacing w:after="120" w:line="276" w:lineRule="auto"/>
        <w:jc w:val="both"/>
        <w:rPr>
          <w:rFonts w:ascii="Arial" w:hAnsi="Arial" w:cs="Arial"/>
          <w:bCs/>
        </w:rPr>
      </w:pPr>
      <w:r w:rsidRPr="00BC04CB">
        <w:rPr>
          <w:rFonts w:ascii="Arial" w:hAnsi="Arial" w:cs="Arial"/>
          <w:bCs/>
        </w:rPr>
        <w:t xml:space="preserve">In its observations on admissibility and merits sent to the Committee on 22 December 2014, the State party </w:t>
      </w:r>
      <w:r w:rsidR="00BC04CB" w:rsidRPr="00BC04CB">
        <w:rPr>
          <w:rFonts w:ascii="Arial" w:hAnsi="Arial" w:cs="Arial"/>
          <w:bCs/>
        </w:rPr>
        <w:t xml:space="preserve">claimed the </w:t>
      </w:r>
      <w:r w:rsidR="00FD07C6">
        <w:rPr>
          <w:rFonts w:ascii="Arial" w:hAnsi="Arial" w:cs="Arial"/>
          <w:bCs/>
        </w:rPr>
        <w:t>Mr. Kendall</w:t>
      </w:r>
      <w:r w:rsidR="00BC04CB" w:rsidRPr="00BC04CB">
        <w:rPr>
          <w:rFonts w:ascii="Arial" w:hAnsi="Arial" w:cs="Arial"/>
          <w:bCs/>
        </w:rPr>
        <w:t xml:space="preserve">’s complaint should be held inadmissible for non-exhaustion of domestic remedies and for lack of substantiation. Moreover, </w:t>
      </w:r>
      <w:r w:rsidR="00FD07C6">
        <w:rPr>
          <w:rFonts w:ascii="Arial" w:hAnsi="Arial" w:cs="Arial"/>
          <w:bCs/>
        </w:rPr>
        <w:t>Australia</w:t>
      </w:r>
      <w:r w:rsidR="00BC04CB" w:rsidRPr="00BC04CB">
        <w:rPr>
          <w:rFonts w:ascii="Arial" w:hAnsi="Arial" w:cs="Arial"/>
          <w:bCs/>
        </w:rPr>
        <w:t xml:space="preserve"> informed that, after the </w:t>
      </w:r>
      <w:r w:rsidR="00FD07C6">
        <w:rPr>
          <w:rFonts w:ascii="Arial" w:hAnsi="Arial" w:cs="Arial"/>
          <w:bCs/>
        </w:rPr>
        <w:t xml:space="preserve">Mr. </w:t>
      </w:r>
      <w:r w:rsidR="00FD07C6">
        <w:rPr>
          <w:rFonts w:ascii="Arial" w:hAnsi="Arial" w:cs="Arial"/>
          <w:bCs/>
        </w:rPr>
        <w:lastRenderedPageBreak/>
        <w:t>Kendall</w:t>
      </w:r>
      <w:r w:rsidR="00BC04CB" w:rsidRPr="00BC04CB">
        <w:rPr>
          <w:rFonts w:ascii="Arial" w:hAnsi="Arial" w:cs="Arial"/>
          <w:bCs/>
        </w:rPr>
        <w:t xml:space="preserve"> submitted his complaint to the Committee, </w:t>
      </w:r>
      <w:r w:rsidR="0064473A">
        <w:rPr>
          <w:rFonts w:ascii="Arial" w:hAnsi="Arial" w:cs="Arial"/>
          <w:bCs/>
        </w:rPr>
        <w:t xml:space="preserve">he was </w:t>
      </w:r>
      <w:r w:rsidR="00BC04CB" w:rsidRPr="00BC04CB">
        <w:rPr>
          <w:rFonts w:ascii="Arial" w:hAnsi="Arial" w:cs="Arial"/>
          <w:bCs/>
        </w:rPr>
        <w:t>provided with community housing</w:t>
      </w:r>
      <w:r w:rsidR="0064473A">
        <w:rPr>
          <w:rFonts w:ascii="Arial" w:hAnsi="Arial" w:cs="Arial"/>
          <w:bCs/>
        </w:rPr>
        <w:t>,</w:t>
      </w:r>
      <w:r w:rsidR="00BC04CB" w:rsidRPr="00BC04CB">
        <w:rPr>
          <w:rFonts w:ascii="Arial" w:hAnsi="Arial" w:cs="Arial"/>
          <w:bCs/>
        </w:rPr>
        <w:t xml:space="preserve"> as both the housing and the funding </w:t>
      </w:r>
      <w:r w:rsidR="0064473A">
        <w:rPr>
          <w:rFonts w:ascii="Arial" w:hAnsi="Arial" w:cs="Arial"/>
          <w:bCs/>
        </w:rPr>
        <w:t>became</w:t>
      </w:r>
      <w:r w:rsidR="00BC04CB" w:rsidRPr="00BC04CB">
        <w:rPr>
          <w:rFonts w:ascii="Arial" w:hAnsi="Arial" w:cs="Arial"/>
          <w:bCs/>
        </w:rPr>
        <w:t xml:space="preserve"> available. The Committee sent various requests to </w:t>
      </w:r>
      <w:r w:rsidR="00FD07C6">
        <w:rPr>
          <w:rFonts w:ascii="Arial" w:hAnsi="Arial" w:cs="Arial"/>
          <w:bCs/>
        </w:rPr>
        <w:t>Mr. Kendall</w:t>
      </w:r>
      <w:r w:rsidR="00BC04CB" w:rsidRPr="00BC04CB">
        <w:rPr>
          <w:rFonts w:ascii="Arial" w:hAnsi="Arial" w:cs="Arial"/>
          <w:bCs/>
        </w:rPr>
        <w:t xml:space="preserve"> to provide comments in this regar</w:t>
      </w:r>
      <w:r w:rsidR="0064473A">
        <w:rPr>
          <w:rFonts w:ascii="Arial" w:hAnsi="Arial" w:cs="Arial"/>
          <w:bCs/>
        </w:rPr>
        <w:t>d, the last one on 18 December 2018 to inform</w:t>
      </w:r>
      <w:r w:rsidR="00BC04CB" w:rsidRPr="00BC04CB">
        <w:rPr>
          <w:rFonts w:ascii="Arial" w:hAnsi="Arial" w:cs="Arial"/>
          <w:bCs/>
        </w:rPr>
        <w:t xml:space="preserve"> him that the Committee might </w:t>
      </w:r>
      <w:r w:rsidR="0064473A">
        <w:rPr>
          <w:rFonts w:ascii="Arial" w:hAnsi="Arial" w:cs="Arial"/>
          <w:bCs/>
        </w:rPr>
        <w:t xml:space="preserve">have </w:t>
      </w:r>
      <w:r w:rsidR="00BC04CB" w:rsidRPr="00BC04CB">
        <w:rPr>
          <w:rFonts w:ascii="Arial" w:hAnsi="Arial" w:cs="Arial"/>
          <w:bCs/>
        </w:rPr>
        <w:t>decide</w:t>
      </w:r>
      <w:r w:rsidR="0064473A">
        <w:rPr>
          <w:rFonts w:ascii="Arial" w:hAnsi="Arial" w:cs="Arial"/>
          <w:bCs/>
        </w:rPr>
        <w:t>d</w:t>
      </w:r>
      <w:r w:rsidR="00BC04CB" w:rsidRPr="00BC04CB">
        <w:rPr>
          <w:rFonts w:ascii="Arial" w:hAnsi="Arial" w:cs="Arial"/>
          <w:bCs/>
        </w:rPr>
        <w:t xml:space="preserve"> to discontinue the complaint. On 18 January 2019, the author confirmed that he was not living in the Jacana Centre anymore. </w:t>
      </w:r>
    </w:p>
    <w:p w14:paraId="73BBECEA" w14:textId="77777777" w:rsidR="000F5917" w:rsidRPr="00BC04CB" w:rsidRDefault="00BC04CB" w:rsidP="006D09C3">
      <w:pPr>
        <w:spacing w:after="120" w:line="276" w:lineRule="auto"/>
        <w:jc w:val="both"/>
        <w:rPr>
          <w:rFonts w:ascii="Arial" w:hAnsi="Arial" w:cs="Arial"/>
          <w:bCs/>
        </w:rPr>
      </w:pPr>
      <w:r w:rsidRPr="000C5814">
        <w:rPr>
          <w:rFonts w:ascii="Arial" w:hAnsi="Arial" w:cs="Arial"/>
          <w:bCs/>
          <w:u w:val="single"/>
        </w:rPr>
        <w:t>The Committee decided to discontinue the consideration of communication 15/2013 as the author was provided with the housing and accommodation support services referred to in his complaint</w:t>
      </w:r>
      <w:r w:rsidRPr="00BC04CB">
        <w:rPr>
          <w:rFonts w:ascii="Arial" w:hAnsi="Arial" w:cs="Arial"/>
          <w:bCs/>
        </w:rPr>
        <w:t xml:space="preserve">. </w:t>
      </w:r>
    </w:p>
    <w:p w14:paraId="0B7CB47D" w14:textId="77777777" w:rsidR="00743ACE" w:rsidRPr="00BC04CB" w:rsidRDefault="00743ACE">
      <w:pPr>
        <w:rPr>
          <w:rFonts w:ascii="Arial" w:hAnsi="Arial" w:cs="Arial"/>
        </w:rPr>
      </w:pPr>
    </w:p>
    <w:sectPr w:rsidR="00743ACE" w:rsidRPr="00BC04C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62867" w14:textId="77777777" w:rsidR="00785424" w:rsidRDefault="00785424" w:rsidP="006617C9">
      <w:pPr>
        <w:spacing w:after="0" w:line="240" w:lineRule="auto"/>
      </w:pPr>
      <w:r>
        <w:separator/>
      </w:r>
    </w:p>
  </w:endnote>
  <w:endnote w:type="continuationSeparator" w:id="0">
    <w:p w14:paraId="2016984E" w14:textId="77777777" w:rsidR="00785424" w:rsidRDefault="00785424" w:rsidP="0066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5551" w14:textId="77777777" w:rsidR="00785424" w:rsidRDefault="00785424" w:rsidP="006617C9">
      <w:pPr>
        <w:spacing w:after="0" w:line="240" w:lineRule="auto"/>
      </w:pPr>
      <w:r>
        <w:separator/>
      </w:r>
    </w:p>
  </w:footnote>
  <w:footnote w:type="continuationSeparator" w:id="0">
    <w:p w14:paraId="522844E2" w14:textId="77777777" w:rsidR="00785424" w:rsidRDefault="00785424" w:rsidP="006617C9">
      <w:pPr>
        <w:spacing w:after="0" w:line="240" w:lineRule="auto"/>
      </w:pPr>
      <w:r>
        <w:continuationSeparator/>
      </w:r>
    </w:p>
  </w:footnote>
  <w:footnote w:id="1">
    <w:p w14:paraId="4DDC1130" w14:textId="77777777" w:rsidR="006617C9" w:rsidRDefault="006617C9" w:rsidP="006617C9">
      <w:pPr>
        <w:spacing w:after="0"/>
        <w:jc w:val="both"/>
      </w:pPr>
      <w:r>
        <w:rPr>
          <w:rStyle w:val="FootnoteReference"/>
        </w:rPr>
        <w:footnoteRef/>
      </w:r>
      <w:r>
        <w:rPr>
          <w:rFonts w:ascii="Arial" w:hAnsi="Arial"/>
          <w:sz w:val="18"/>
          <w:lang w:val="en-US"/>
        </w:rPr>
        <w:t xml:space="preserve"> </w:t>
      </w:r>
      <w:r>
        <w:rPr>
          <w:rFonts w:ascii="Arial" w:hAnsi="Arial"/>
          <w:sz w:val="18"/>
          <w:szCs w:val="18"/>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Pr>
            <w:rStyle w:val="Hyperlink"/>
            <w:rFonts w:ascii="Arial" w:hAnsi="Arial"/>
            <w:sz w:val="18"/>
            <w:szCs w:val="18"/>
          </w:rPr>
          <w:t xml:space="preserve">IDA’s disability rights litigation website. </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C9"/>
    <w:rsid w:val="00072FC3"/>
    <w:rsid w:val="000C5814"/>
    <w:rsid w:val="000F5917"/>
    <w:rsid w:val="004B5F56"/>
    <w:rsid w:val="0064473A"/>
    <w:rsid w:val="006617C9"/>
    <w:rsid w:val="006662A2"/>
    <w:rsid w:val="006D09C3"/>
    <w:rsid w:val="00743ACE"/>
    <w:rsid w:val="00785424"/>
    <w:rsid w:val="0094784F"/>
    <w:rsid w:val="00A84F79"/>
    <w:rsid w:val="00AB6A71"/>
    <w:rsid w:val="00BC04CB"/>
    <w:rsid w:val="00C16AE4"/>
    <w:rsid w:val="00D4415A"/>
    <w:rsid w:val="00E315F4"/>
    <w:rsid w:val="00FD07C6"/>
    <w:rsid w:val="00FF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4BA5"/>
  <w15:chartTrackingRefBased/>
  <w15:docId w15:val="{4A4E3B58-25CB-4797-B43C-19FB4CA6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7C9"/>
    <w:rPr>
      <w:color w:val="0000FF"/>
      <w:u w:val="single"/>
    </w:rPr>
  </w:style>
  <w:style w:type="character" w:styleId="FootnoteReference">
    <w:name w:val="footnote reference"/>
    <w:rsid w:val="006617C9"/>
    <w:rPr>
      <w:rFonts w:ascii="Times New Roman" w:hAnsi="Times New Roman"/>
      <w:position w:val="0"/>
      <w:sz w:val="18"/>
      <w:vertAlign w:val="superscript"/>
    </w:rPr>
  </w:style>
  <w:style w:type="character" w:styleId="UnresolvedMention">
    <w:name w:val="Unresolved Mention"/>
    <w:basedOn w:val="DefaultParagraphFont"/>
    <w:uiPriority w:val="99"/>
    <w:semiHidden/>
    <w:unhideWhenUsed/>
    <w:rsid w:val="00FF2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www.ohchr.org/EN/HRBodies/CRPD/Pages/ConventionRightsPersonsWithDisabilities.aspx" TargetMode="External"/><Relationship Id="rId3" Type="http://schemas.openxmlformats.org/officeDocument/2006/relationships/webSettings" Target="webSettings.xml"/><Relationship Id="rId7" Type="http://schemas.openxmlformats.org/officeDocument/2006/relationships/hyperlink" Target="https://www.ohchr.org/EN/HRBodies/CRPD/Pages/ConventionRightsPersonsWithDisabilities.aspx" TargetMode="External"/><Relationship Id="rId12" Type="http://schemas.openxmlformats.org/officeDocument/2006/relationships/hyperlink" Target="https://www.ohchr.org/EN/HRBodies/CRPD/Pages/ConventionRightsPersonsWithDisabilities.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binternet.ohchr.org/_layouts/15/treatybodyexternal/Download.aspx?symbolno=CRPD%2fC%2f21%2fD%2f15%2f2013&amp;Lang=en" TargetMode="External"/><Relationship Id="rId11" Type="http://schemas.openxmlformats.org/officeDocument/2006/relationships/hyperlink" Target="https://www.ohchr.org/EN/HRBodies/CRPD/Pages/ConventionRightsPersonsWithDisabilities.asp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ohchr.org/EN/HRBodies/CRPD/Pages/ConventionRightsPersonsWithDisabilities.aspx" TargetMode="External"/><Relationship Id="rId4" Type="http://schemas.openxmlformats.org/officeDocument/2006/relationships/footnotes" Target="footnote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docstore.ohchr.org/SelfServices/FilesHandler.ashx?enc=6QkG1d%2fPPRiCAqhKb7yhsjUFu35WL78LztCL12TZZEDmoElNRI%2fzlpr3x0o8u2iEbOOrCdVNrwWHE%2b5of5co%2f4KeHSFW9yNdhkbRpQ1HXSgyCnGuO3H2l9ql7ZQDbJ7T6XmqtLzc5bygZlRc7ABzJA%3d%3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Eleonora Guzzi</cp:lastModifiedBy>
  <cp:revision>3</cp:revision>
  <dcterms:created xsi:type="dcterms:W3CDTF">2020-01-09T13:29:00Z</dcterms:created>
  <dcterms:modified xsi:type="dcterms:W3CDTF">2020-01-09T13:37:00Z</dcterms:modified>
</cp:coreProperties>
</file>