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4BF7" w14:textId="45E152F1" w:rsidR="006C7296" w:rsidRPr="00712E35" w:rsidRDefault="007E15C2" w:rsidP="00FD1280">
      <w:pPr>
        <w:jc w:val="both"/>
        <w:rPr>
          <w:rFonts w:ascii="Arial" w:hAnsi="Arial" w:cs="Arial"/>
          <w:lang w:val="es-ES_tradnl"/>
        </w:rPr>
      </w:pPr>
      <w:r w:rsidRPr="00712E35">
        <w:rPr>
          <w:rFonts w:ascii="Arial" w:eastAsia="Calibri" w:hAnsi="Arial" w:cs="Arial"/>
          <w:lang w:val="es-ES_tradnl"/>
        </w:rPr>
        <w:t xml:space="preserve">Case </w:t>
      </w:r>
      <w:proofErr w:type="spellStart"/>
      <w:r w:rsidRPr="00712E35">
        <w:rPr>
          <w:rFonts w:ascii="Arial" w:eastAsia="Calibri" w:hAnsi="Arial" w:cs="Arial"/>
          <w:lang w:val="es-ES_tradnl"/>
        </w:rPr>
        <w:t>summary</w:t>
      </w:r>
      <w:proofErr w:type="spellEnd"/>
      <w:r w:rsidRPr="00712E35">
        <w:rPr>
          <w:rFonts w:ascii="Arial" w:eastAsia="Calibri" w:hAnsi="Arial" w:cs="Arial"/>
          <w:lang w:val="es-ES_tradnl"/>
        </w:rPr>
        <w:t>:</w:t>
      </w:r>
      <w:r w:rsidRPr="00712E35">
        <w:rPr>
          <w:rFonts w:ascii="Arial" w:eastAsia="Calibri" w:hAnsi="Arial" w:cs="Arial"/>
          <w:vertAlign w:val="superscript"/>
        </w:rPr>
        <w:footnoteReference w:id="1"/>
      </w:r>
      <w:r w:rsidRPr="00712E35">
        <w:rPr>
          <w:rFonts w:ascii="Arial" w:eastAsia="Calibri" w:hAnsi="Arial" w:cs="Arial"/>
          <w:lang w:val="es-ES_tradnl"/>
        </w:rPr>
        <w:t xml:space="preserve">  </w:t>
      </w:r>
      <w:r w:rsidR="006C7296" w:rsidRPr="00712E35">
        <w:rPr>
          <w:rFonts w:ascii="Arial" w:hAnsi="Arial" w:cs="Arial"/>
          <w:color w:val="000000"/>
          <w:lang w:val="es-ES_tradnl"/>
        </w:rPr>
        <w:t>Arturo Medina Vela (</w:t>
      </w:r>
      <w:proofErr w:type="spellStart"/>
      <w:r w:rsidR="006C7296" w:rsidRPr="00712E35">
        <w:rPr>
          <w:rFonts w:ascii="Arial" w:hAnsi="Arial" w:cs="Arial"/>
          <w:color w:val="000000"/>
          <w:lang w:val="es-ES_tradnl"/>
        </w:rPr>
        <w:t>represented</w:t>
      </w:r>
      <w:proofErr w:type="spellEnd"/>
      <w:r w:rsidR="006C7296" w:rsidRPr="00712E35">
        <w:rPr>
          <w:rFonts w:ascii="Arial" w:hAnsi="Arial" w:cs="Arial"/>
          <w:color w:val="000000"/>
          <w:lang w:val="es-ES_tradnl"/>
        </w:rPr>
        <w:t xml:space="preserve"> </w:t>
      </w:r>
      <w:proofErr w:type="spellStart"/>
      <w:r w:rsidR="006C7296" w:rsidRPr="00712E35">
        <w:rPr>
          <w:rFonts w:ascii="Arial" w:hAnsi="Arial" w:cs="Arial"/>
          <w:color w:val="000000"/>
          <w:lang w:val="es-ES_tradnl"/>
        </w:rPr>
        <w:t>by</w:t>
      </w:r>
      <w:proofErr w:type="spellEnd"/>
      <w:r w:rsidR="006C7296" w:rsidRPr="00712E35">
        <w:rPr>
          <w:rFonts w:ascii="Arial" w:hAnsi="Arial" w:cs="Arial"/>
          <w:color w:val="000000"/>
          <w:lang w:val="es-ES_tradnl"/>
        </w:rPr>
        <w:t xml:space="preserve"> </w:t>
      </w:r>
      <w:proofErr w:type="spellStart"/>
      <w:r w:rsidR="006C7296" w:rsidRPr="00712E35">
        <w:rPr>
          <w:rFonts w:ascii="Arial" w:hAnsi="Arial" w:cs="Arial"/>
          <w:color w:val="000000"/>
          <w:lang w:val="es-ES_tradnl"/>
        </w:rPr>
        <w:t>counsel</w:t>
      </w:r>
      <w:proofErr w:type="spellEnd"/>
      <w:r w:rsidR="006C7296" w:rsidRPr="00712E35">
        <w:rPr>
          <w:rFonts w:ascii="Arial" w:hAnsi="Arial" w:cs="Arial"/>
          <w:color w:val="000000"/>
          <w:lang w:val="es-ES_tradnl"/>
        </w:rPr>
        <w:t>, Eunice Leyva García and María Sirvent Bravo-</w:t>
      </w:r>
      <w:proofErr w:type="spellStart"/>
      <w:r w:rsidR="006C7296" w:rsidRPr="00712E35">
        <w:rPr>
          <w:rFonts w:ascii="Arial" w:hAnsi="Arial" w:cs="Arial"/>
          <w:color w:val="000000"/>
          <w:lang w:val="es-ES_tradnl"/>
        </w:rPr>
        <w:t>Ahuja</w:t>
      </w:r>
      <w:proofErr w:type="spellEnd"/>
      <w:r w:rsidR="006C7296" w:rsidRPr="00712E35">
        <w:rPr>
          <w:rFonts w:ascii="Arial" w:hAnsi="Arial" w:cs="Arial"/>
          <w:color w:val="000000"/>
          <w:lang w:val="es-ES_tradnl"/>
        </w:rPr>
        <w:t xml:space="preserve">) v. </w:t>
      </w:r>
      <w:proofErr w:type="spellStart"/>
      <w:r w:rsidR="006C7296" w:rsidRPr="00712E35">
        <w:rPr>
          <w:rFonts w:ascii="Arial" w:hAnsi="Arial" w:cs="Arial"/>
          <w:color w:val="000000"/>
          <w:lang w:val="es-ES_tradnl"/>
        </w:rPr>
        <w:t>Mexico</w:t>
      </w:r>
      <w:proofErr w:type="spellEnd"/>
      <w:r w:rsidR="006C7296" w:rsidRPr="00712E35">
        <w:rPr>
          <w:rFonts w:ascii="Arial" w:hAnsi="Arial" w:cs="Arial"/>
          <w:color w:val="000000"/>
          <w:lang w:val="es-ES_tradnl"/>
        </w:rPr>
        <w:t>.</w:t>
      </w:r>
    </w:p>
    <w:p w14:paraId="22A7DD0E" w14:textId="416B607E" w:rsidR="008C0AC5" w:rsidRPr="00712E35" w:rsidRDefault="00C62822" w:rsidP="00FD1280">
      <w:pPr>
        <w:jc w:val="both"/>
        <w:rPr>
          <w:rFonts w:ascii="Arial" w:hAnsi="Arial" w:cs="Arial"/>
          <w:lang w:val="es-ES_tradnl"/>
        </w:rPr>
      </w:pPr>
      <w:hyperlink r:id="rId6" w:history="1">
        <w:r w:rsidR="008C0AC5" w:rsidRPr="00712E35">
          <w:rPr>
            <w:rStyle w:val="Hyperlink"/>
            <w:rFonts w:ascii="Arial" w:hAnsi="Arial" w:cs="Arial"/>
            <w:lang w:val="es-ES_tradnl"/>
          </w:rPr>
          <w:t>CRPD/C/22/D/32/2015</w:t>
        </w:r>
      </w:hyperlink>
    </w:p>
    <w:p w14:paraId="4B0F2DEF" w14:textId="0D5B245E" w:rsidR="007E15C2" w:rsidRPr="00712E35" w:rsidRDefault="007E15C2" w:rsidP="00FD1280">
      <w:pPr>
        <w:jc w:val="both"/>
        <w:rPr>
          <w:rFonts w:ascii="Arial" w:eastAsia="Calibri" w:hAnsi="Arial" w:cs="Arial"/>
          <w:i/>
          <w:lang w:val="es-ES_tradnl"/>
        </w:rPr>
      </w:pPr>
    </w:p>
    <w:p w14:paraId="2061FFFE" w14:textId="798B5389" w:rsidR="007E15C2" w:rsidRPr="00712E35" w:rsidRDefault="007E15C2" w:rsidP="00FD1280">
      <w:pPr>
        <w:jc w:val="both"/>
        <w:rPr>
          <w:rFonts w:ascii="Arial" w:hAnsi="Arial" w:cs="Arial"/>
        </w:rPr>
      </w:pPr>
      <w:r w:rsidRPr="00712E35">
        <w:rPr>
          <w:rFonts w:ascii="Arial" w:hAnsi="Arial" w:cs="Arial"/>
        </w:rPr>
        <w:t xml:space="preserve">Communication No. </w:t>
      </w:r>
      <w:r w:rsidR="006C7296" w:rsidRPr="00712E35">
        <w:rPr>
          <w:rFonts w:ascii="Arial" w:hAnsi="Arial" w:cs="Arial"/>
        </w:rPr>
        <w:t>32</w:t>
      </w:r>
      <w:r w:rsidRPr="00712E35">
        <w:rPr>
          <w:rFonts w:ascii="Arial" w:hAnsi="Arial" w:cs="Arial"/>
        </w:rPr>
        <w:t>/201</w:t>
      </w:r>
      <w:r w:rsidR="006C7296" w:rsidRPr="00712E35">
        <w:rPr>
          <w:rFonts w:ascii="Arial" w:hAnsi="Arial" w:cs="Arial"/>
        </w:rPr>
        <w:t>5</w:t>
      </w:r>
    </w:p>
    <w:p w14:paraId="6AA688C4" w14:textId="588A63C9" w:rsidR="007E15C2" w:rsidRPr="00712E35" w:rsidRDefault="007E15C2" w:rsidP="00FD1280">
      <w:pPr>
        <w:spacing w:line="276" w:lineRule="auto"/>
        <w:jc w:val="both"/>
        <w:rPr>
          <w:rFonts w:ascii="Arial" w:eastAsia="Calibri" w:hAnsi="Arial" w:cs="Arial"/>
        </w:rPr>
      </w:pPr>
      <w:r w:rsidRPr="00712E35">
        <w:rPr>
          <w:rFonts w:ascii="Arial" w:eastAsia="Calibri" w:hAnsi="Arial" w:cs="Arial"/>
        </w:rPr>
        <w:t>Date of communication (initial submission):</w:t>
      </w:r>
      <w:r w:rsidRPr="00712E35">
        <w:rPr>
          <w:rFonts w:ascii="Arial" w:eastAsia="Calibri" w:hAnsi="Arial" w:cs="Arial"/>
        </w:rPr>
        <w:tab/>
      </w:r>
      <w:r w:rsidR="006C7296" w:rsidRPr="00712E35">
        <w:rPr>
          <w:rFonts w:ascii="Arial" w:eastAsia="Calibri" w:hAnsi="Arial" w:cs="Arial"/>
        </w:rPr>
        <w:t>19 August 2015</w:t>
      </w:r>
      <w:r w:rsidRPr="00712E35">
        <w:rPr>
          <w:rFonts w:ascii="Arial" w:eastAsia="Calibri" w:hAnsi="Arial" w:cs="Arial"/>
        </w:rPr>
        <w:t xml:space="preserve"> </w:t>
      </w:r>
    </w:p>
    <w:p w14:paraId="11D9AAB6" w14:textId="0234E836" w:rsidR="007E15C2" w:rsidRPr="00712E35" w:rsidRDefault="007E15C2" w:rsidP="00FD1280">
      <w:pPr>
        <w:spacing w:line="276" w:lineRule="auto"/>
        <w:jc w:val="both"/>
        <w:rPr>
          <w:rFonts w:ascii="Arial" w:eastAsia="Calibri" w:hAnsi="Arial" w:cs="Arial"/>
        </w:rPr>
      </w:pPr>
      <w:r w:rsidRPr="00712E35">
        <w:rPr>
          <w:rFonts w:ascii="Arial" w:eastAsia="Calibri" w:hAnsi="Arial" w:cs="Arial"/>
        </w:rPr>
        <w:t>Date of adoption of Views:</w:t>
      </w:r>
      <w:r w:rsidRPr="00712E35">
        <w:rPr>
          <w:rFonts w:ascii="Arial" w:eastAsia="Calibri" w:hAnsi="Arial" w:cs="Arial"/>
        </w:rPr>
        <w:tab/>
      </w:r>
      <w:r w:rsidRPr="00712E35">
        <w:rPr>
          <w:rFonts w:ascii="Arial" w:eastAsia="Calibri" w:hAnsi="Arial" w:cs="Arial"/>
        </w:rPr>
        <w:tab/>
      </w:r>
      <w:r w:rsidRPr="00712E35">
        <w:rPr>
          <w:rFonts w:ascii="Arial" w:eastAsia="Calibri" w:hAnsi="Arial" w:cs="Arial"/>
        </w:rPr>
        <w:tab/>
      </w:r>
      <w:r w:rsidRPr="00712E35">
        <w:rPr>
          <w:rFonts w:ascii="Arial" w:eastAsia="Calibri" w:hAnsi="Arial" w:cs="Arial"/>
        </w:rPr>
        <w:tab/>
      </w:r>
      <w:r w:rsidR="006C7296" w:rsidRPr="00712E35">
        <w:rPr>
          <w:rFonts w:ascii="Arial" w:eastAsia="Calibri" w:hAnsi="Arial" w:cs="Arial"/>
        </w:rPr>
        <w:t>6</w:t>
      </w:r>
      <w:r w:rsidRPr="00712E35">
        <w:rPr>
          <w:rFonts w:ascii="Arial" w:eastAsia="Calibri" w:hAnsi="Arial" w:cs="Arial"/>
        </w:rPr>
        <w:t xml:space="preserve"> September 201</w:t>
      </w:r>
      <w:r w:rsidR="006C7296" w:rsidRPr="00712E35">
        <w:rPr>
          <w:rFonts w:ascii="Arial" w:eastAsia="Calibri" w:hAnsi="Arial" w:cs="Arial"/>
        </w:rPr>
        <w:t>9</w:t>
      </w:r>
    </w:p>
    <w:p w14:paraId="13C9141B" w14:textId="307FD31C" w:rsidR="006C7296" w:rsidRPr="00712E35" w:rsidRDefault="007E15C2" w:rsidP="00FD1280">
      <w:pPr>
        <w:ind w:left="5040" w:hanging="5040"/>
        <w:jc w:val="both"/>
        <w:rPr>
          <w:rFonts w:ascii="Arial" w:hAnsi="Arial" w:cs="Arial"/>
        </w:rPr>
      </w:pPr>
      <w:r w:rsidRPr="00712E35">
        <w:rPr>
          <w:rFonts w:ascii="Arial" w:eastAsia="Calibri" w:hAnsi="Arial" w:cs="Arial"/>
        </w:rPr>
        <w:t>Invoked provisions of the Convention:</w:t>
      </w:r>
      <w:r w:rsidRPr="00712E35">
        <w:rPr>
          <w:rFonts w:ascii="Arial" w:eastAsia="Calibri" w:hAnsi="Arial" w:cs="Arial"/>
        </w:rPr>
        <w:tab/>
      </w:r>
      <w:hyperlink r:id="rId7" w:anchor="5" w:history="1">
        <w:r w:rsidR="006C7296" w:rsidRPr="00712E35">
          <w:rPr>
            <w:rStyle w:val="Hyperlink"/>
            <w:rFonts w:ascii="Arial" w:hAnsi="Arial" w:cs="Arial"/>
          </w:rPr>
          <w:t>5</w:t>
        </w:r>
      </w:hyperlink>
      <w:r w:rsidR="006C7296" w:rsidRPr="00712E35">
        <w:rPr>
          <w:rFonts w:ascii="Arial" w:hAnsi="Arial" w:cs="Arial"/>
          <w:color w:val="000000"/>
        </w:rPr>
        <w:t xml:space="preserve">, </w:t>
      </w:r>
      <w:hyperlink r:id="rId8" w:anchor="9" w:history="1">
        <w:r w:rsidR="006C7296" w:rsidRPr="00712E35">
          <w:rPr>
            <w:rStyle w:val="Hyperlink"/>
            <w:rFonts w:ascii="Arial" w:hAnsi="Arial" w:cs="Arial"/>
          </w:rPr>
          <w:t>9</w:t>
        </w:r>
      </w:hyperlink>
      <w:r w:rsidR="006C7296" w:rsidRPr="00712E35">
        <w:rPr>
          <w:rFonts w:ascii="Arial" w:hAnsi="Arial" w:cs="Arial"/>
          <w:color w:val="000000"/>
        </w:rPr>
        <w:t xml:space="preserve">, </w:t>
      </w:r>
      <w:hyperlink r:id="rId9" w:anchor="12" w:history="1">
        <w:r w:rsidR="006C7296" w:rsidRPr="00712E35">
          <w:rPr>
            <w:rStyle w:val="Hyperlink"/>
            <w:rFonts w:ascii="Arial" w:hAnsi="Arial" w:cs="Arial"/>
          </w:rPr>
          <w:t>12</w:t>
        </w:r>
      </w:hyperlink>
      <w:r w:rsidR="006C7296" w:rsidRPr="00712E35">
        <w:rPr>
          <w:rFonts w:ascii="Arial" w:hAnsi="Arial" w:cs="Arial"/>
          <w:color w:val="000000"/>
        </w:rPr>
        <w:t xml:space="preserve">, </w:t>
      </w:r>
      <w:hyperlink r:id="rId10" w:anchor="13" w:history="1">
        <w:r w:rsidR="006C7296" w:rsidRPr="00712E35">
          <w:rPr>
            <w:rStyle w:val="Hyperlink"/>
            <w:rFonts w:ascii="Arial" w:hAnsi="Arial" w:cs="Arial"/>
          </w:rPr>
          <w:t>13</w:t>
        </w:r>
      </w:hyperlink>
      <w:r w:rsidR="006C7296" w:rsidRPr="00712E35">
        <w:rPr>
          <w:rFonts w:ascii="Arial" w:hAnsi="Arial" w:cs="Arial"/>
          <w:color w:val="000000"/>
        </w:rPr>
        <w:t xml:space="preserve">, </w:t>
      </w:r>
      <w:hyperlink r:id="rId11" w:anchor="14" w:history="1">
        <w:r w:rsidR="006C7296" w:rsidRPr="00712E35">
          <w:rPr>
            <w:rStyle w:val="Hyperlink"/>
            <w:rFonts w:ascii="Arial" w:hAnsi="Arial" w:cs="Arial"/>
          </w:rPr>
          <w:t>14</w:t>
        </w:r>
      </w:hyperlink>
      <w:r w:rsidR="006C7296" w:rsidRPr="00712E35">
        <w:rPr>
          <w:rFonts w:ascii="Arial" w:hAnsi="Arial" w:cs="Arial"/>
          <w:color w:val="000000"/>
        </w:rPr>
        <w:t xml:space="preserve"> and </w:t>
      </w:r>
      <w:hyperlink r:id="rId12" w:anchor="19" w:history="1">
        <w:r w:rsidR="006C7296" w:rsidRPr="00712E35">
          <w:rPr>
            <w:rStyle w:val="Hyperlink"/>
            <w:rFonts w:ascii="Arial" w:hAnsi="Arial" w:cs="Arial"/>
          </w:rPr>
          <w:t>19</w:t>
        </w:r>
      </w:hyperlink>
      <w:r w:rsidR="006C7296" w:rsidRPr="00712E35">
        <w:rPr>
          <w:rFonts w:ascii="Arial" w:hAnsi="Arial" w:cs="Arial"/>
          <w:color w:val="000000"/>
        </w:rPr>
        <w:t xml:space="preserve">, read in conjunction with article </w:t>
      </w:r>
      <w:hyperlink r:id="rId13" w:anchor="4" w:history="1">
        <w:r w:rsidR="006C7296" w:rsidRPr="00712E35">
          <w:rPr>
            <w:rStyle w:val="Hyperlink"/>
            <w:rFonts w:ascii="Arial" w:hAnsi="Arial" w:cs="Arial"/>
          </w:rPr>
          <w:t>4</w:t>
        </w:r>
      </w:hyperlink>
    </w:p>
    <w:p w14:paraId="75497967" w14:textId="502304FD" w:rsidR="007E15C2" w:rsidRPr="00712E35" w:rsidRDefault="007E15C2" w:rsidP="00FD1280">
      <w:pPr>
        <w:spacing w:line="276" w:lineRule="auto"/>
        <w:jc w:val="both"/>
        <w:rPr>
          <w:rFonts w:ascii="Arial" w:hAnsi="Arial" w:cs="Arial"/>
        </w:rPr>
      </w:pPr>
      <w:r w:rsidRPr="00712E35">
        <w:rPr>
          <w:rFonts w:ascii="Arial" w:eastAsia="Calibri" w:hAnsi="Arial" w:cs="Arial"/>
        </w:rPr>
        <w:t>Provisions of the Optional Protocol:</w:t>
      </w:r>
      <w:r w:rsidRPr="00712E35">
        <w:rPr>
          <w:rFonts w:ascii="Arial" w:eastAsia="Calibri" w:hAnsi="Arial" w:cs="Arial"/>
        </w:rPr>
        <w:tab/>
      </w:r>
      <w:r w:rsidRPr="00712E35">
        <w:rPr>
          <w:rFonts w:ascii="Arial" w:eastAsia="Calibri" w:hAnsi="Arial" w:cs="Arial"/>
        </w:rPr>
        <w:tab/>
      </w:r>
      <w:hyperlink r:id="rId14" w:anchor="1" w:history="1">
        <w:r w:rsidR="006C7296" w:rsidRPr="00712E35">
          <w:rPr>
            <w:rStyle w:val="Hyperlink"/>
            <w:rFonts w:ascii="Arial" w:eastAsia="Calibri" w:hAnsi="Arial" w:cs="Arial"/>
          </w:rPr>
          <w:t>1</w:t>
        </w:r>
      </w:hyperlink>
      <w:r w:rsidR="006C7296" w:rsidRPr="00712E35">
        <w:rPr>
          <w:rFonts w:ascii="Arial" w:eastAsia="Calibri" w:hAnsi="Arial" w:cs="Arial"/>
        </w:rPr>
        <w:t xml:space="preserve"> and </w:t>
      </w:r>
      <w:hyperlink r:id="rId15" w:anchor="2" w:history="1">
        <w:r w:rsidR="00CB43AD" w:rsidRPr="00712E35">
          <w:rPr>
            <w:rStyle w:val="Hyperlink"/>
            <w:rFonts w:ascii="Arial" w:eastAsia="Calibri" w:hAnsi="Arial" w:cs="Arial"/>
          </w:rPr>
          <w:t>2</w:t>
        </w:r>
      </w:hyperlink>
    </w:p>
    <w:p w14:paraId="1EC362F9" w14:textId="77777777" w:rsidR="007E15C2" w:rsidRPr="00712E35" w:rsidRDefault="007E15C2" w:rsidP="00FD1280">
      <w:pPr>
        <w:spacing w:line="276" w:lineRule="auto"/>
        <w:jc w:val="both"/>
        <w:rPr>
          <w:rFonts w:ascii="Arial" w:hAnsi="Arial" w:cs="Arial"/>
        </w:rPr>
      </w:pPr>
    </w:p>
    <w:p w14:paraId="48B8BC5A" w14:textId="15DB556C" w:rsidR="007E15C2" w:rsidRPr="00712E35" w:rsidRDefault="007E15C2" w:rsidP="00712E35">
      <w:pPr>
        <w:ind w:left="1440" w:hanging="1440"/>
        <w:jc w:val="both"/>
        <w:rPr>
          <w:rFonts w:ascii="Arial" w:hAnsi="Arial" w:cs="Arial"/>
        </w:rPr>
      </w:pPr>
      <w:r w:rsidRPr="00712E35">
        <w:rPr>
          <w:rFonts w:ascii="Arial" w:eastAsia="Calibri" w:hAnsi="Arial" w:cs="Arial"/>
        </w:rPr>
        <w:t xml:space="preserve">Keywords: </w:t>
      </w:r>
      <w:r w:rsidR="00CB43AD" w:rsidRPr="00712E35">
        <w:rPr>
          <w:rFonts w:ascii="Arial" w:eastAsia="Calibri" w:hAnsi="Arial" w:cs="Arial"/>
        </w:rPr>
        <w:tab/>
      </w:r>
      <w:r w:rsidR="00736737" w:rsidRPr="00712E35">
        <w:rPr>
          <w:rFonts w:ascii="Arial" w:hAnsi="Arial" w:cs="Arial"/>
          <w:color w:val="000000"/>
        </w:rPr>
        <w:t>Access to the courts; intellectual and psychosocial disability; exercise of legal capacity; deprivation of liberty; discrimination on grounds of disability; restrictions on rights</w:t>
      </w:r>
      <w:r w:rsidR="00736737" w:rsidRPr="00712E35">
        <w:rPr>
          <w:rFonts w:ascii="Arial" w:hAnsi="Arial" w:cs="Arial"/>
        </w:rPr>
        <w:t>;</w:t>
      </w:r>
      <w:r w:rsidR="00CB43AD" w:rsidRPr="00712E35">
        <w:rPr>
          <w:rFonts w:ascii="Arial" w:eastAsia="Calibri" w:hAnsi="Arial" w:cs="Arial"/>
        </w:rPr>
        <w:t xml:space="preserve"> criminal justice system; </w:t>
      </w:r>
      <w:proofErr w:type="spellStart"/>
      <w:r w:rsidR="00CB43AD" w:rsidRPr="00712E35">
        <w:rPr>
          <w:rFonts w:ascii="Arial" w:eastAsia="Calibri" w:hAnsi="Arial" w:cs="Arial"/>
        </w:rPr>
        <w:t>inimputabilidad</w:t>
      </w:r>
      <w:proofErr w:type="spellEnd"/>
      <w:r w:rsidR="00CB43AD" w:rsidRPr="00712E35">
        <w:rPr>
          <w:rFonts w:ascii="Arial" w:eastAsia="Calibri" w:hAnsi="Arial" w:cs="Arial"/>
        </w:rPr>
        <w:t>; non-discrimination; accommodations; accessibility; criminal trial</w:t>
      </w:r>
      <w:r w:rsidR="004A6CFE" w:rsidRPr="00712E35">
        <w:rPr>
          <w:rFonts w:ascii="Arial" w:eastAsia="Calibri" w:hAnsi="Arial" w:cs="Arial"/>
        </w:rPr>
        <w:t>; due process</w:t>
      </w:r>
    </w:p>
    <w:p w14:paraId="721EB6FD" w14:textId="77777777" w:rsidR="007E15C2" w:rsidRPr="00712E35" w:rsidRDefault="007E15C2" w:rsidP="00FD1280">
      <w:pPr>
        <w:autoSpaceDE w:val="0"/>
        <w:autoSpaceDN w:val="0"/>
        <w:adjustRightInd w:val="0"/>
        <w:jc w:val="both"/>
        <w:rPr>
          <w:rFonts w:ascii="Arial" w:eastAsia="Calibri" w:hAnsi="Arial" w:cs="Arial"/>
        </w:rPr>
      </w:pPr>
    </w:p>
    <w:p w14:paraId="182F3BAB" w14:textId="253939E2" w:rsidR="007E15C2" w:rsidRPr="00712E35" w:rsidRDefault="007E15C2" w:rsidP="00712E35">
      <w:pPr>
        <w:autoSpaceDE w:val="0"/>
        <w:autoSpaceDN w:val="0"/>
        <w:adjustRightInd w:val="0"/>
        <w:ind w:left="1440" w:hanging="1440"/>
        <w:jc w:val="both"/>
        <w:rPr>
          <w:rFonts w:ascii="Arial" w:eastAsia="Calibri" w:hAnsi="Arial" w:cs="Arial"/>
        </w:rPr>
      </w:pPr>
      <w:r w:rsidRPr="00712E35">
        <w:rPr>
          <w:rFonts w:ascii="Arial" w:eastAsia="Calibri" w:hAnsi="Arial" w:cs="Arial"/>
        </w:rPr>
        <w:t xml:space="preserve">Decision: </w:t>
      </w:r>
      <w:r w:rsidRPr="00712E35">
        <w:rPr>
          <w:rFonts w:ascii="Arial" w:eastAsia="Calibri" w:hAnsi="Arial" w:cs="Arial"/>
        </w:rPr>
        <w:tab/>
        <w:t xml:space="preserve">The State party has failed to fulfil its obligations under </w:t>
      </w:r>
      <w:r w:rsidR="00736737" w:rsidRPr="00712E35">
        <w:rPr>
          <w:rFonts w:ascii="Arial" w:eastAsia="Calibri" w:hAnsi="Arial" w:cs="Arial"/>
        </w:rPr>
        <w:t>articles 5, 9, 12, 13 and 14, read in conju</w:t>
      </w:r>
      <w:r w:rsidR="004A6CFE" w:rsidRPr="00712E35">
        <w:rPr>
          <w:rFonts w:ascii="Arial" w:eastAsia="Calibri" w:hAnsi="Arial" w:cs="Arial"/>
        </w:rPr>
        <w:t xml:space="preserve">nction with article 4. </w:t>
      </w:r>
    </w:p>
    <w:p w14:paraId="6710D780" w14:textId="77777777" w:rsidR="007E15C2" w:rsidRPr="00712E35" w:rsidRDefault="007E15C2" w:rsidP="00FD1280">
      <w:pPr>
        <w:autoSpaceDE w:val="0"/>
        <w:autoSpaceDN w:val="0"/>
        <w:adjustRightInd w:val="0"/>
        <w:jc w:val="both"/>
        <w:rPr>
          <w:rFonts w:ascii="Arial" w:eastAsia="Calibri" w:hAnsi="Arial" w:cs="Arial"/>
        </w:rPr>
      </w:pPr>
    </w:p>
    <w:p w14:paraId="692B38AC" w14:textId="28C1A59D" w:rsidR="004A6CFE" w:rsidRPr="00712E35" w:rsidRDefault="007E15C2" w:rsidP="00FD1280">
      <w:pPr>
        <w:jc w:val="both"/>
        <w:rPr>
          <w:rFonts w:ascii="Arial" w:hAnsi="Arial" w:cs="Arial"/>
        </w:rPr>
      </w:pPr>
      <w:r w:rsidRPr="00712E35">
        <w:rPr>
          <w:rFonts w:ascii="Arial" w:hAnsi="Arial" w:cs="Arial"/>
        </w:rPr>
        <w:t xml:space="preserve">Full decision in PDF format: </w:t>
      </w:r>
      <w:hyperlink r:id="rId16" w:history="1">
        <w:r w:rsidR="00CB43AD" w:rsidRPr="00712E35">
          <w:rPr>
            <w:rStyle w:val="Hyperlink"/>
            <w:rFonts w:ascii="Arial" w:hAnsi="Arial" w:cs="Arial"/>
          </w:rPr>
          <w:t>English</w:t>
        </w:r>
      </w:hyperlink>
      <w:r w:rsidR="00CB43AD" w:rsidRPr="00712E35">
        <w:rPr>
          <w:rFonts w:ascii="Arial" w:hAnsi="Arial" w:cs="Arial"/>
        </w:rPr>
        <w:t xml:space="preserve">; </w:t>
      </w:r>
      <w:hyperlink r:id="rId17" w:history="1">
        <w:r w:rsidR="00CB43AD" w:rsidRPr="00712E35">
          <w:rPr>
            <w:rStyle w:val="Hyperlink"/>
            <w:rFonts w:ascii="Arial" w:hAnsi="Arial" w:cs="Arial"/>
          </w:rPr>
          <w:t>Spanish</w:t>
        </w:r>
      </w:hyperlink>
      <w:r w:rsidR="00CB43AD" w:rsidRPr="00712E35">
        <w:rPr>
          <w:rFonts w:ascii="Arial" w:hAnsi="Arial" w:cs="Arial"/>
        </w:rPr>
        <w:t xml:space="preserve">; </w:t>
      </w:r>
      <w:hyperlink r:id="rId18" w:history="1">
        <w:r w:rsidR="00CB43AD" w:rsidRPr="00712E35">
          <w:rPr>
            <w:rStyle w:val="Hyperlink"/>
            <w:rFonts w:ascii="Arial" w:hAnsi="Arial" w:cs="Arial"/>
          </w:rPr>
          <w:t>Arabic</w:t>
        </w:r>
      </w:hyperlink>
      <w:r w:rsidR="00CB43AD" w:rsidRPr="00712E35">
        <w:rPr>
          <w:rFonts w:ascii="Arial" w:hAnsi="Arial" w:cs="Arial"/>
        </w:rPr>
        <w:t xml:space="preserve">; </w:t>
      </w:r>
      <w:hyperlink r:id="rId19" w:history="1">
        <w:r w:rsidR="00CB43AD" w:rsidRPr="00712E35">
          <w:rPr>
            <w:rStyle w:val="Hyperlink"/>
            <w:rFonts w:ascii="Arial" w:hAnsi="Arial" w:cs="Arial"/>
          </w:rPr>
          <w:t>Russian</w:t>
        </w:r>
      </w:hyperlink>
      <w:r w:rsidR="00CB43AD" w:rsidRPr="00712E35">
        <w:rPr>
          <w:rFonts w:ascii="Arial" w:hAnsi="Arial" w:cs="Arial"/>
        </w:rPr>
        <w:t xml:space="preserve">; </w:t>
      </w:r>
      <w:hyperlink r:id="rId20" w:history="1">
        <w:r w:rsidR="00CB43AD" w:rsidRPr="00712E35">
          <w:rPr>
            <w:rStyle w:val="Hyperlink"/>
            <w:rFonts w:ascii="Arial" w:hAnsi="Arial" w:cs="Arial"/>
          </w:rPr>
          <w:t>Chinese</w:t>
        </w:r>
      </w:hyperlink>
      <w:r w:rsidR="00CB43AD" w:rsidRPr="00712E35">
        <w:rPr>
          <w:rFonts w:ascii="Arial" w:hAnsi="Arial" w:cs="Arial"/>
        </w:rPr>
        <w:t>.</w:t>
      </w:r>
    </w:p>
    <w:p w14:paraId="78140F37" w14:textId="2CCEA5A7" w:rsidR="004A6CFE" w:rsidRPr="00712E35" w:rsidRDefault="004A6CFE" w:rsidP="00FD1280">
      <w:pPr>
        <w:pStyle w:val="Heading3"/>
        <w:jc w:val="both"/>
        <w:rPr>
          <w:rFonts w:ascii="Arial" w:hAnsi="Arial" w:cs="Arial"/>
          <w:color w:val="000000"/>
          <w:sz w:val="24"/>
          <w:szCs w:val="24"/>
        </w:rPr>
      </w:pPr>
      <w:r w:rsidRPr="00712E35">
        <w:rPr>
          <w:rFonts w:ascii="Arial" w:hAnsi="Arial" w:cs="Arial"/>
          <w:sz w:val="24"/>
          <w:szCs w:val="24"/>
        </w:rPr>
        <w:t>Facts</w:t>
      </w:r>
      <w:r w:rsidR="006F182C" w:rsidRPr="00712E35">
        <w:rPr>
          <w:rFonts w:ascii="Arial" w:hAnsi="Arial" w:cs="Arial"/>
          <w:sz w:val="24"/>
          <w:szCs w:val="24"/>
        </w:rPr>
        <w:t xml:space="preserve"> (</w:t>
      </w:r>
      <w:r w:rsidR="006F182C" w:rsidRPr="00712E35">
        <w:rPr>
          <w:rFonts w:ascii="Arial" w:hAnsi="Arial" w:cs="Arial"/>
          <w:color w:val="000000"/>
          <w:sz w:val="24"/>
          <w:szCs w:val="24"/>
        </w:rPr>
        <w:t>as submitted by the author):</w:t>
      </w:r>
    </w:p>
    <w:p w14:paraId="22627394" w14:textId="2795038A" w:rsidR="00836D3D" w:rsidRPr="00712E35" w:rsidRDefault="00836D3D" w:rsidP="00FD1280">
      <w:pPr>
        <w:jc w:val="both"/>
        <w:rPr>
          <w:rFonts w:ascii="Arial" w:hAnsi="Arial" w:cs="Arial"/>
        </w:rPr>
      </w:pPr>
      <w:r w:rsidRPr="00712E35">
        <w:rPr>
          <w:rFonts w:ascii="Arial" w:hAnsi="Arial" w:cs="Arial"/>
          <w:color w:val="000000"/>
        </w:rPr>
        <w:t xml:space="preserve">On </w:t>
      </w:r>
      <w:proofErr w:type="gramStart"/>
      <w:r w:rsidRPr="00712E35">
        <w:rPr>
          <w:rFonts w:ascii="Arial" w:hAnsi="Arial" w:cs="Arial"/>
          <w:color w:val="000000"/>
        </w:rPr>
        <w:t>14 September 2011</w:t>
      </w:r>
      <w:proofErr w:type="gramEnd"/>
      <w:r w:rsidRPr="00712E35">
        <w:rPr>
          <w:rFonts w:ascii="Arial" w:hAnsi="Arial" w:cs="Arial"/>
          <w:color w:val="000000"/>
        </w:rPr>
        <w:t xml:space="preserve"> the author was arrested by the police on suspicion of having stolen a vehicle, as attested to by security camera footage from where the vehicle was parked. The author submits that his court-appointed defence lawyer requested that the footage be presented during the trial, but this was never done. On the same day, the author was “handed over” to the public prosecutor’s office. At approximately </w:t>
      </w:r>
      <w:r w:rsidR="00B216A7" w:rsidRPr="00712E35">
        <w:rPr>
          <w:rFonts w:ascii="Arial" w:hAnsi="Arial" w:cs="Arial"/>
          <w:color w:val="000000"/>
        </w:rPr>
        <w:t>9 hours after the author’s detention,</w:t>
      </w:r>
      <w:r w:rsidRPr="00712E35">
        <w:rPr>
          <w:rFonts w:ascii="Arial" w:hAnsi="Arial" w:cs="Arial"/>
          <w:color w:val="000000"/>
        </w:rPr>
        <w:t xml:space="preserve"> the public prosecutor notified the family of the charges against him.</w:t>
      </w:r>
    </w:p>
    <w:p w14:paraId="5F03A886" w14:textId="58E336B1" w:rsidR="004A6CFE" w:rsidRPr="00712E35" w:rsidRDefault="004A6CFE" w:rsidP="00FD1280">
      <w:pPr>
        <w:jc w:val="both"/>
        <w:rPr>
          <w:rFonts w:ascii="Arial" w:hAnsi="Arial" w:cs="Arial"/>
        </w:rPr>
      </w:pPr>
    </w:p>
    <w:p w14:paraId="1FB5FB85" w14:textId="68ED0547" w:rsidR="00836D3D" w:rsidRPr="00712E35" w:rsidRDefault="00836D3D" w:rsidP="00FD1280">
      <w:pPr>
        <w:jc w:val="both"/>
        <w:rPr>
          <w:rFonts w:ascii="Arial" w:hAnsi="Arial" w:cs="Arial"/>
        </w:rPr>
      </w:pPr>
      <w:r w:rsidRPr="00712E35">
        <w:rPr>
          <w:rFonts w:ascii="Arial" w:hAnsi="Arial" w:cs="Arial"/>
        </w:rPr>
        <w:t>The author’s mother explained to the public prosecutor that</w:t>
      </w:r>
      <w:r w:rsidR="00D42AE6" w:rsidRPr="00712E35">
        <w:rPr>
          <w:rFonts w:ascii="Arial" w:hAnsi="Arial" w:cs="Arial"/>
        </w:rPr>
        <w:t xml:space="preserve">, owing to his disability, </w:t>
      </w:r>
      <w:r w:rsidR="00B216A7" w:rsidRPr="00712E35">
        <w:rPr>
          <w:rFonts w:ascii="Arial" w:hAnsi="Arial" w:cs="Arial"/>
        </w:rPr>
        <w:t xml:space="preserve">the author did not know how to </w:t>
      </w:r>
      <w:r w:rsidR="00F946DD" w:rsidRPr="00712E35">
        <w:rPr>
          <w:rFonts w:ascii="Arial" w:hAnsi="Arial" w:cs="Arial"/>
        </w:rPr>
        <w:t>drive,</w:t>
      </w:r>
      <w:r w:rsidR="00B216A7" w:rsidRPr="00712E35">
        <w:rPr>
          <w:rFonts w:ascii="Arial" w:hAnsi="Arial" w:cs="Arial"/>
        </w:rPr>
        <w:t xml:space="preserve"> and he has never done it before</w:t>
      </w:r>
      <w:r w:rsidR="00F946DD" w:rsidRPr="00712E35">
        <w:rPr>
          <w:rFonts w:ascii="Arial" w:hAnsi="Arial" w:cs="Arial"/>
        </w:rPr>
        <w:t>. She submitted documentation attesting the author’s disability. The author claims that the account of events was changed to indicate that he had stolen the car by pushing</w:t>
      </w:r>
      <w:r w:rsidR="009C2F8F" w:rsidRPr="00712E35">
        <w:rPr>
          <w:rFonts w:ascii="Arial" w:hAnsi="Arial" w:cs="Arial"/>
        </w:rPr>
        <w:t xml:space="preserve"> rather than driving it and that there were contradictions in the statements of the police officers who arrested him. </w:t>
      </w:r>
    </w:p>
    <w:p w14:paraId="67F07405" w14:textId="0E9FCDFE" w:rsidR="009C2F8F" w:rsidRPr="00712E35" w:rsidRDefault="009C2F8F" w:rsidP="00FD1280">
      <w:pPr>
        <w:jc w:val="both"/>
        <w:rPr>
          <w:rFonts w:ascii="Arial" w:hAnsi="Arial" w:cs="Arial"/>
        </w:rPr>
      </w:pPr>
    </w:p>
    <w:p w14:paraId="35E90172" w14:textId="2412AF23" w:rsidR="008426C1" w:rsidRPr="00712E35" w:rsidRDefault="009C2F8F" w:rsidP="00FD1280">
      <w:pPr>
        <w:jc w:val="both"/>
        <w:rPr>
          <w:rFonts w:ascii="Arial" w:hAnsi="Arial" w:cs="Arial"/>
        </w:rPr>
      </w:pPr>
      <w:r w:rsidRPr="00712E35">
        <w:rPr>
          <w:rFonts w:ascii="Arial" w:hAnsi="Arial" w:cs="Arial"/>
        </w:rPr>
        <w:t>Between September 15 and 16, 2011, at the request of the public prosecutor, the author underwent a psychiatric evaluation</w:t>
      </w:r>
      <w:r w:rsidR="00EE1401" w:rsidRPr="00712E35">
        <w:rPr>
          <w:rFonts w:ascii="Arial" w:hAnsi="Arial" w:cs="Arial"/>
        </w:rPr>
        <w:t xml:space="preserve">, which diagnosed a personality disorder </w:t>
      </w:r>
      <w:r w:rsidR="008426C1" w:rsidRPr="00712E35">
        <w:rPr>
          <w:rFonts w:ascii="Arial" w:hAnsi="Arial" w:cs="Arial"/>
        </w:rPr>
        <w:t xml:space="preserve">and probable mental retardation. Also, a forensic doctor examined the author, who determined that the author presented an antisocial personality disorder and possible slight mental retardation </w:t>
      </w:r>
      <w:r w:rsidR="008426C1" w:rsidRPr="00712E35">
        <w:rPr>
          <w:rFonts w:ascii="Arial" w:hAnsi="Arial" w:cs="Arial"/>
        </w:rPr>
        <w:lastRenderedPageBreak/>
        <w:t>and was, therefore, unfit to testify. On 16 September, the criminal proceeding against the author began and his detention was ordered at the men’s psychosocial rehabilitation centre.</w:t>
      </w:r>
    </w:p>
    <w:p w14:paraId="3E067CEE" w14:textId="7A5967EC" w:rsidR="005125BA" w:rsidRPr="00712E35" w:rsidRDefault="008426C1" w:rsidP="00FD1280">
      <w:pPr>
        <w:jc w:val="both"/>
        <w:rPr>
          <w:rFonts w:ascii="Arial" w:hAnsi="Arial" w:cs="Arial"/>
          <w:color w:val="000000"/>
        </w:rPr>
      </w:pPr>
      <w:r w:rsidRPr="00712E35">
        <w:rPr>
          <w:rFonts w:ascii="Arial" w:hAnsi="Arial" w:cs="Arial"/>
        </w:rPr>
        <w:t xml:space="preserve">On 22 September 2011, the </w:t>
      </w:r>
      <w:r w:rsidR="00492D45" w:rsidRPr="00712E35">
        <w:rPr>
          <w:rFonts w:ascii="Arial" w:hAnsi="Arial" w:cs="Arial"/>
        </w:rPr>
        <w:t xml:space="preserve">Ninth </w:t>
      </w:r>
      <w:r w:rsidRPr="00712E35">
        <w:rPr>
          <w:rFonts w:ascii="Arial" w:hAnsi="Arial" w:cs="Arial"/>
        </w:rPr>
        <w:t>Criminal Court</w:t>
      </w:r>
      <w:r w:rsidR="00492D45" w:rsidRPr="00712E35">
        <w:rPr>
          <w:rFonts w:ascii="Arial" w:hAnsi="Arial" w:cs="Arial"/>
        </w:rPr>
        <w:t xml:space="preserve"> (herein after, Criminal Court)</w:t>
      </w:r>
      <w:r w:rsidRPr="00712E35">
        <w:rPr>
          <w:rFonts w:ascii="Arial" w:hAnsi="Arial" w:cs="Arial"/>
        </w:rPr>
        <w:t xml:space="preserve"> decided to apply the special procedure for persons exempt from criminal liability</w:t>
      </w:r>
      <w:r w:rsidR="00333C02" w:rsidRPr="00712E35">
        <w:rPr>
          <w:rFonts w:ascii="Arial" w:hAnsi="Arial" w:cs="Arial"/>
        </w:rPr>
        <w:t xml:space="preserve"> to the author and ordered additional psychiatric evaluations </w:t>
      </w:r>
      <w:r w:rsidR="00F878AE" w:rsidRPr="00712E35">
        <w:rPr>
          <w:rFonts w:ascii="Arial" w:hAnsi="Arial" w:cs="Arial"/>
        </w:rPr>
        <w:t>to evaluate the author’s criminal liability. On October 11, 2011, the results showed that the author has a permanent mental disability</w:t>
      </w:r>
      <w:r w:rsidR="005125BA" w:rsidRPr="00712E35">
        <w:rPr>
          <w:rFonts w:ascii="Arial" w:hAnsi="Arial" w:cs="Arial"/>
        </w:rPr>
        <w:t xml:space="preserve"> </w:t>
      </w:r>
      <w:r w:rsidR="005125BA" w:rsidRPr="00712E35">
        <w:rPr>
          <w:rFonts w:ascii="Arial" w:hAnsi="Arial" w:cs="Arial"/>
          <w:color w:val="000000"/>
        </w:rPr>
        <w:t>that prevents him from understanding the unlawfulness of his actions and from testifying before the judicial authorities, and that he would require “close, ongoing psychiatric treatment and appropriate monitoring”.</w:t>
      </w:r>
    </w:p>
    <w:p w14:paraId="224B2545" w14:textId="37E197F1" w:rsidR="005125BA" w:rsidRPr="00712E35" w:rsidRDefault="005125BA" w:rsidP="00FD1280">
      <w:pPr>
        <w:jc w:val="both"/>
        <w:rPr>
          <w:rFonts w:ascii="Arial" w:hAnsi="Arial" w:cs="Arial"/>
          <w:color w:val="000000"/>
        </w:rPr>
      </w:pPr>
    </w:p>
    <w:p w14:paraId="12A90C3B" w14:textId="52F4C890" w:rsidR="005125BA" w:rsidRPr="00712E35" w:rsidRDefault="005125BA" w:rsidP="00FD1280">
      <w:pPr>
        <w:jc w:val="both"/>
        <w:rPr>
          <w:rFonts w:ascii="Arial" w:hAnsi="Arial" w:cs="Arial"/>
          <w:color w:val="000000"/>
        </w:rPr>
      </w:pPr>
      <w:r w:rsidRPr="00712E35">
        <w:rPr>
          <w:rFonts w:ascii="Arial" w:hAnsi="Arial" w:cs="Arial"/>
          <w:color w:val="000000"/>
        </w:rPr>
        <w:t>The author claims that he was not permitted to testify and that he was not informed of what was happening in the proceedings or notified that he was being tried under the special procedure. On the day of his arrest, the author’s mother requested that the Criminal Court dismissed the court-appointed lawyer and designated private lawyers to defend him. On 23 September, the judge rejected the designation of the private lawyers on the grounds that, under article 462 of the Civil Code of Mexico City, the mother was not the legal guardian of the author, who was an adult and had not been declared legally incapable.</w:t>
      </w:r>
    </w:p>
    <w:p w14:paraId="263E62A5" w14:textId="425B1F05" w:rsidR="005125BA" w:rsidRPr="00712E35" w:rsidRDefault="005125BA" w:rsidP="00FD1280">
      <w:pPr>
        <w:jc w:val="both"/>
        <w:rPr>
          <w:rFonts w:ascii="Arial" w:hAnsi="Arial" w:cs="Arial"/>
          <w:color w:val="000000"/>
        </w:rPr>
      </w:pPr>
    </w:p>
    <w:p w14:paraId="090E4F35" w14:textId="6EE7998C" w:rsidR="005125BA" w:rsidRPr="00712E35" w:rsidRDefault="005125BA" w:rsidP="00FD1280">
      <w:pPr>
        <w:jc w:val="both"/>
        <w:rPr>
          <w:rFonts w:ascii="Arial" w:hAnsi="Arial" w:cs="Arial"/>
        </w:rPr>
      </w:pPr>
      <w:r w:rsidRPr="00712E35">
        <w:rPr>
          <w:rFonts w:ascii="Arial" w:hAnsi="Arial" w:cs="Arial"/>
          <w:color w:val="000000"/>
        </w:rPr>
        <w:t>On 26 September 2011, the author made two written submissions to the Criminal Court</w:t>
      </w:r>
      <w:r w:rsidR="00D1661E" w:rsidRPr="00712E35">
        <w:rPr>
          <w:rFonts w:ascii="Arial" w:hAnsi="Arial" w:cs="Arial"/>
          <w:color w:val="000000"/>
        </w:rPr>
        <w:t>.</w:t>
      </w:r>
      <w:r w:rsidRPr="00712E35">
        <w:rPr>
          <w:rFonts w:ascii="Arial" w:hAnsi="Arial" w:cs="Arial"/>
          <w:color w:val="000000"/>
        </w:rPr>
        <w:t xml:space="preserve"> </w:t>
      </w:r>
      <w:r w:rsidR="00D1661E" w:rsidRPr="00712E35">
        <w:rPr>
          <w:rFonts w:ascii="Arial" w:hAnsi="Arial" w:cs="Arial"/>
          <w:color w:val="000000"/>
        </w:rPr>
        <w:t>T</w:t>
      </w:r>
      <w:r w:rsidRPr="00712E35">
        <w:rPr>
          <w:rFonts w:ascii="Arial" w:hAnsi="Arial" w:cs="Arial"/>
          <w:color w:val="000000"/>
        </w:rPr>
        <w:t>he first</w:t>
      </w:r>
      <w:r w:rsidR="00D1661E" w:rsidRPr="00712E35">
        <w:rPr>
          <w:rFonts w:ascii="Arial" w:hAnsi="Arial" w:cs="Arial"/>
          <w:color w:val="000000"/>
        </w:rPr>
        <w:t>,</w:t>
      </w:r>
      <w:r w:rsidRPr="00712E35">
        <w:rPr>
          <w:rFonts w:ascii="Arial" w:hAnsi="Arial" w:cs="Arial"/>
          <w:color w:val="000000"/>
        </w:rPr>
        <w:t xml:space="preserve"> designating a new defence lawyer and requesting the dismissal of the court-appointed defence lawyer and</w:t>
      </w:r>
      <w:r w:rsidR="00D1661E" w:rsidRPr="00712E35">
        <w:rPr>
          <w:rFonts w:ascii="Arial" w:hAnsi="Arial" w:cs="Arial"/>
          <w:color w:val="000000"/>
        </w:rPr>
        <w:t>,</w:t>
      </w:r>
      <w:r w:rsidRPr="00712E35">
        <w:rPr>
          <w:rFonts w:ascii="Arial" w:hAnsi="Arial" w:cs="Arial"/>
          <w:color w:val="000000"/>
        </w:rPr>
        <w:t xml:space="preserve"> the second</w:t>
      </w:r>
      <w:r w:rsidR="00D1661E" w:rsidRPr="00712E35">
        <w:rPr>
          <w:rFonts w:ascii="Arial" w:hAnsi="Arial" w:cs="Arial"/>
          <w:color w:val="000000"/>
        </w:rPr>
        <w:t>,</w:t>
      </w:r>
      <w:r w:rsidRPr="00712E35">
        <w:rPr>
          <w:rFonts w:ascii="Arial" w:hAnsi="Arial" w:cs="Arial"/>
          <w:color w:val="000000"/>
        </w:rPr>
        <w:t xml:space="preserve"> appealing the decision of 22 September 2011. On 28 September 2011, the Court dismissed the appeal, noting that it should have been filed by the court-appointed defence lawyer and that it was not aware that the author had designated a private lawyer. </w:t>
      </w:r>
      <w:r w:rsidR="00492D45" w:rsidRPr="00712E35">
        <w:rPr>
          <w:rFonts w:ascii="Arial" w:hAnsi="Arial" w:cs="Arial"/>
          <w:color w:val="000000"/>
        </w:rPr>
        <w:t>T</w:t>
      </w:r>
      <w:r w:rsidRPr="00712E35">
        <w:rPr>
          <w:rFonts w:ascii="Arial" w:hAnsi="Arial" w:cs="Arial"/>
          <w:color w:val="000000"/>
        </w:rPr>
        <w:t xml:space="preserve">he Court </w:t>
      </w:r>
      <w:r w:rsidR="00492D45" w:rsidRPr="00712E35">
        <w:rPr>
          <w:rFonts w:ascii="Arial" w:hAnsi="Arial" w:cs="Arial"/>
          <w:color w:val="000000"/>
        </w:rPr>
        <w:t xml:space="preserve">also </w:t>
      </w:r>
      <w:r w:rsidRPr="00712E35">
        <w:rPr>
          <w:rFonts w:ascii="Arial" w:hAnsi="Arial" w:cs="Arial"/>
          <w:color w:val="000000"/>
        </w:rPr>
        <w:t>rejected the author’s request to designate a defence lawyer of his own choosing.</w:t>
      </w:r>
    </w:p>
    <w:p w14:paraId="1EAC9EB8" w14:textId="77777777" w:rsidR="005125BA" w:rsidRPr="00712E35" w:rsidRDefault="005125BA" w:rsidP="00FD1280">
      <w:pPr>
        <w:jc w:val="both"/>
        <w:rPr>
          <w:rFonts w:ascii="Arial" w:hAnsi="Arial" w:cs="Arial"/>
          <w:color w:val="000000"/>
        </w:rPr>
      </w:pPr>
    </w:p>
    <w:p w14:paraId="70EB60A9" w14:textId="2438A89F" w:rsidR="005125BA" w:rsidRPr="00712E35" w:rsidRDefault="005125BA" w:rsidP="00FD1280">
      <w:pPr>
        <w:jc w:val="both"/>
        <w:rPr>
          <w:rFonts w:ascii="Arial" w:hAnsi="Arial" w:cs="Arial"/>
          <w:color w:val="000000"/>
        </w:rPr>
      </w:pPr>
      <w:r w:rsidRPr="00712E35">
        <w:rPr>
          <w:rFonts w:ascii="Arial" w:hAnsi="Arial" w:cs="Arial"/>
          <w:color w:val="000000"/>
        </w:rPr>
        <w:t xml:space="preserve">On 13 October 2011, the author’s mother, through the court-appointed defence lawyer, applied for the author’s release before the Criminal Court, saying that she would take responsibility for his care, </w:t>
      </w:r>
      <w:proofErr w:type="gramStart"/>
      <w:r w:rsidRPr="00712E35">
        <w:rPr>
          <w:rFonts w:ascii="Arial" w:hAnsi="Arial" w:cs="Arial"/>
          <w:color w:val="000000"/>
        </w:rPr>
        <w:t>treatment</w:t>
      </w:r>
      <w:proofErr w:type="gramEnd"/>
      <w:r w:rsidRPr="00712E35">
        <w:rPr>
          <w:rFonts w:ascii="Arial" w:hAnsi="Arial" w:cs="Arial"/>
          <w:color w:val="000000"/>
        </w:rPr>
        <w:t xml:space="preserve"> and supervision. On 17 October 2011, the judge rejected the application on the grounds that the mother had failed to demonstrate what form of treatment and supervision she would provide, and that the application did not, therefore, meet the requirements set out in the medical report of 11 October 2011.</w:t>
      </w:r>
    </w:p>
    <w:p w14:paraId="35045865" w14:textId="02BFF150" w:rsidR="005125BA" w:rsidRPr="00712E35" w:rsidRDefault="005125BA" w:rsidP="00FD1280">
      <w:pPr>
        <w:jc w:val="both"/>
        <w:rPr>
          <w:rFonts w:ascii="Arial" w:hAnsi="Arial" w:cs="Arial"/>
          <w:color w:val="000000"/>
        </w:rPr>
      </w:pPr>
    </w:p>
    <w:p w14:paraId="648EC427" w14:textId="262A1C24" w:rsidR="005125BA" w:rsidRPr="00712E35" w:rsidRDefault="005125BA" w:rsidP="00FD1280">
      <w:pPr>
        <w:jc w:val="both"/>
        <w:rPr>
          <w:rFonts w:ascii="Arial" w:hAnsi="Arial" w:cs="Arial"/>
          <w:color w:val="000000"/>
        </w:rPr>
      </w:pPr>
      <w:r w:rsidRPr="00712E35">
        <w:rPr>
          <w:rFonts w:ascii="Arial" w:hAnsi="Arial" w:cs="Arial"/>
          <w:color w:val="000000"/>
        </w:rPr>
        <w:t xml:space="preserve">There were three hearings during the trial. The author was not notified nor attended any of them. </w:t>
      </w:r>
    </w:p>
    <w:p w14:paraId="388652F1" w14:textId="1428B46E" w:rsidR="005125BA" w:rsidRPr="00712E35" w:rsidRDefault="005125BA" w:rsidP="00FD1280">
      <w:pPr>
        <w:jc w:val="both"/>
        <w:rPr>
          <w:rFonts w:ascii="Arial" w:hAnsi="Arial" w:cs="Arial"/>
          <w:color w:val="000000"/>
        </w:rPr>
      </w:pPr>
    </w:p>
    <w:p w14:paraId="3B06A44B" w14:textId="6E47A16B" w:rsidR="005125BA" w:rsidRPr="00712E35" w:rsidRDefault="005125BA" w:rsidP="00FD1280">
      <w:pPr>
        <w:jc w:val="both"/>
        <w:rPr>
          <w:rFonts w:ascii="Arial" w:hAnsi="Arial" w:cs="Arial"/>
          <w:color w:val="000000"/>
        </w:rPr>
      </w:pPr>
      <w:r w:rsidRPr="00712E35">
        <w:rPr>
          <w:rFonts w:ascii="Arial" w:hAnsi="Arial" w:cs="Arial"/>
          <w:color w:val="000000"/>
        </w:rPr>
        <w:t xml:space="preserve">On 5 December 2011, the Criminal Court </w:t>
      </w:r>
      <w:r w:rsidR="007A57C4" w:rsidRPr="00712E35">
        <w:rPr>
          <w:rFonts w:ascii="Arial" w:hAnsi="Arial" w:cs="Arial"/>
          <w:color w:val="000000"/>
        </w:rPr>
        <w:t xml:space="preserve">convicted the author </w:t>
      </w:r>
      <w:r w:rsidRPr="00712E35">
        <w:rPr>
          <w:rFonts w:ascii="Arial" w:hAnsi="Arial" w:cs="Arial"/>
          <w:color w:val="000000"/>
        </w:rPr>
        <w:t>of theft and imposed a security measure on him</w:t>
      </w:r>
      <w:r w:rsidR="008C6192" w:rsidRPr="00712E35">
        <w:rPr>
          <w:rFonts w:ascii="Arial" w:hAnsi="Arial" w:cs="Arial"/>
          <w:color w:val="000000"/>
        </w:rPr>
        <w:t xml:space="preserve">: </w:t>
      </w:r>
      <w:r w:rsidRPr="00712E35">
        <w:rPr>
          <w:rFonts w:ascii="Arial" w:hAnsi="Arial" w:cs="Arial"/>
          <w:color w:val="000000"/>
        </w:rPr>
        <w:t xml:space="preserve">four years in a psychosocial rehabilitation institution or facility run by the </w:t>
      </w:r>
      <w:r w:rsidR="007A57C4" w:rsidRPr="00712E35">
        <w:rPr>
          <w:rFonts w:ascii="Arial" w:hAnsi="Arial" w:cs="Arial"/>
          <w:color w:val="000000"/>
        </w:rPr>
        <w:t>penitentiary</w:t>
      </w:r>
      <w:r w:rsidRPr="00712E35">
        <w:rPr>
          <w:rFonts w:ascii="Arial" w:hAnsi="Arial" w:cs="Arial"/>
          <w:color w:val="000000"/>
        </w:rPr>
        <w:t xml:space="preserve"> system. In addition, the Court decided that, once he had served his sentence, the author would be placed in the custody of his family or, in the absence thereof, in the custody of the health authorities or a care institution. The judgment was transmitted only to the court-appointed defence lawyer and not to the author, who was not informed of the remedies open to him.</w:t>
      </w:r>
    </w:p>
    <w:p w14:paraId="2B62F2A2" w14:textId="0E030599" w:rsidR="007A57C4" w:rsidRPr="00712E35" w:rsidRDefault="007A57C4" w:rsidP="00FD1280">
      <w:pPr>
        <w:jc w:val="both"/>
        <w:rPr>
          <w:rFonts w:ascii="Arial" w:hAnsi="Arial" w:cs="Arial"/>
          <w:color w:val="000000"/>
        </w:rPr>
      </w:pPr>
    </w:p>
    <w:p w14:paraId="31D2BE28" w14:textId="47549206" w:rsidR="007A57C4" w:rsidRPr="00712E35" w:rsidRDefault="007A57C4" w:rsidP="00FD1280">
      <w:pPr>
        <w:jc w:val="both"/>
        <w:rPr>
          <w:rFonts w:ascii="Arial" w:hAnsi="Arial" w:cs="Arial"/>
        </w:rPr>
      </w:pPr>
      <w:r w:rsidRPr="00712E35">
        <w:rPr>
          <w:rFonts w:ascii="Arial" w:hAnsi="Arial" w:cs="Arial"/>
          <w:color w:val="000000"/>
        </w:rPr>
        <w:lastRenderedPageBreak/>
        <w:t xml:space="preserve">On 13 December 2011, the judgment of the </w:t>
      </w:r>
      <w:r w:rsidR="008C6192" w:rsidRPr="00712E35">
        <w:rPr>
          <w:rFonts w:ascii="Arial" w:hAnsi="Arial" w:cs="Arial"/>
          <w:color w:val="000000"/>
        </w:rPr>
        <w:t>Criminal Court</w:t>
      </w:r>
      <w:r w:rsidRPr="00712E35">
        <w:rPr>
          <w:rFonts w:ascii="Arial" w:hAnsi="Arial" w:cs="Arial"/>
          <w:color w:val="000000"/>
        </w:rPr>
        <w:t xml:space="preserve"> became enforceable, as no appeal had been filed. The author was not informed of the decision declaring the judgment enforceable.</w:t>
      </w:r>
    </w:p>
    <w:p w14:paraId="24FA82C5" w14:textId="757D0C2A" w:rsidR="007A57C4" w:rsidRPr="00712E35" w:rsidRDefault="007A57C4" w:rsidP="00FD1280">
      <w:pPr>
        <w:jc w:val="both"/>
        <w:rPr>
          <w:rFonts w:ascii="Arial" w:hAnsi="Arial" w:cs="Arial"/>
          <w:color w:val="000000"/>
        </w:rPr>
      </w:pPr>
    </w:p>
    <w:p w14:paraId="21DB52DC" w14:textId="2D6B1138" w:rsidR="00FC6F1C" w:rsidRPr="00712E35" w:rsidRDefault="008C6192" w:rsidP="00FD1280">
      <w:pPr>
        <w:jc w:val="both"/>
        <w:rPr>
          <w:rFonts w:ascii="Arial" w:hAnsi="Arial" w:cs="Arial"/>
        </w:rPr>
      </w:pPr>
      <w:r w:rsidRPr="00712E35">
        <w:rPr>
          <w:rFonts w:ascii="Arial" w:hAnsi="Arial" w:cs="Arial"/>
          <w:color w:val="000000"/>
        </w:rPr>
        <w:t>It was until</w:t>
      </w:r>
      <w:r w:rsidR="0037666A" w:rsidRPr="00712E35">
        <w:rPr>
          <w:rFonts w:ascii="Arial" w:hAnsi="Arial" w:cs="Arial"/>
          <w:color w:val="000000"/>
        </w:rPr>
        <w:t xml:space="preserve"> January 2012 </w:t>
      </w:r>
      <w:r w:rsidRPr="00712E35">
        <w:rPr>
          <w:rFonts w:ascii="Arial" w:hAnsi="Arial" w:cs="Arial"/>
          <w:color w:val="000000"/>
        </w:rPr>
        <w:t>t</w:t>
      </w:r>
      <w:r w:rsidR="0037666A" w:rsidRPr="00712E35">
        <w:rPr>
          <w:rFonts w:ascii="Arial" w:hAnsi="Arial" w:cs="Arial"/>
          <w:color w:val="000000"/>
        </w:rPr>
        <w:t xml:space="preserve">hat the author’s mother was told that the judgment of the lower court had become enforceable. </w:t>
      </w:r>
      <w:r w:rsidR="00FC6F1C" w:rsidRPr="00712E35">
        <w:rPr>
          <w:rFonts w:ascii="Arial" w:hAnsi="Arial" w:cs="Arial"/>
          <w:color w:val="000000"/>
        </w:rPr>
        <w:t>She then requested the court-appointed lawyer to file an incidental motion to obtain a non-custodial placement for the author. The trial Court denied the request.</w:t>
      </w:r>
    </w:p>
    <w:p w14:paraId="5DFC17B6" w14:textId="77777777" w:rsidR="005125BA" w:rsidRPr="00712E35" w:rsidRDefault="005125BA" w:rsidP="00FD1280">
      <w:pPr>
        <w:jc w:val="both"/>
        <w:rPr>
          <w:rFonts w:ascii="Arial" w:hAnsi="Arial" w:cs="Arial"/>
        </w:rPr>
      </w:pPr>
    </w:p>
    <w:p w14:paraId="3F7F7B79" w14:textId="60F264D5" w:rsidR="00FC6F1C" w:rsidRPr="00712E35" w:rsidRDefault="00FC6F1C" w:rsidP="00FD1280">
      <w:pPr>
        <w:jc w:val="both"/>
        <w:rPr>
          <w:rFonts w:ascii="Arial" w:hAnsi="Arial" w:cs="Arial"/>
          <w:color w:val="000000"/>
        </w:rPr>
      </w:pPr>
      <w:r w:rsidRPr="00712E35">
        <w:rPr>
          <w:rFonts w:ascii="Arial" w:hAnsi="Arial" w:cs="Arial"/>
          <w:color w:val="000000"/>
        </w:rPr>
        <w:t>In June 2012, the author’s mother once again applied for a non-custodial placement but was denied by the Criminal Court. In addition, she requested copies of his case file from the court-appointed defence lawyer in order to find alternative solutions, but she was never given them.</w:t>
      </w:r>
    </w:p>
    <w:p w14:paraId="4E132BE0" w14:textId="50870AD0" w:rsidR="0037666A" w:rsidRPr="00712E35" w:rsidRDefault="0037666A" w:rsidP="00FD1280">
      <w:pPr>
        <w:jc w:val="both"/>
        <w:rPr>
          <w:rFonts w:ascii="Arial" w:hAnsi="Arial" w:cs="Arial"/>
          <w:color w:val="000000"/>
        </w:rPr>
      </w:pPr>
    </w:p>
    <w:p w14:paraId="19CA2EF0" w14:textId="4B2F5723" w:rsidR="0037666A" w:rsidRPr="00712E35" w:rsidRDefault="0037666A" w:rsidP="00FD1280">
      <w:pPr>
        <w:jc w:val="both"/>
        <w:rPr>
          <w:rFonts w:ascii="Arial" w:hAnsi="Arial" w:cs="Arial"/>
        </w:rPr>
      </w:pPr>
      <w:r w:rsidRPr="00712E35">
        <w:rPr>
          <w:rFonts w:ascii="Arial" w:hAnsi="Arial" w:cs="Arial"/>
          <w:color w:val="000000"/>
        </w:rPr>
        <w:t xml:space="preserve">In 2014, the author’s mother sought help from the social justice organization </w:t>
      </w:r>
      <w:proofErr w:type="spellStart"/>
      <w:r w:rsidRPr="00712E35">
        <w:rPr>
          <w:rFonts w:ascii="Arial" w:hAnsi="Arial" w:cs="Arial"/>
          <w:i/>
          <w:iCs/>
          <w:color w:val="000000"/>
        </w:rPr>
        <w:t>Documenta</w:t>
      </w:r>
      <w:proofErr w:type="spellEnd"/>
      <w:r w:rsidRPr="00712E35">
        <w:rPr>
          <w:rFonts w:ascii="Arial" w:hAnsi="Arial" w:cs="Arial"/>
          <w:color w:val="000000"/>
        </w:rPr>
        <w:t xml:space="preserve">. In October of that year, </w:t>
      </w:r>
      <w:proofErr w:type="spellStart"/>
      <w:r w:rsidRPr="00712E35">
        <w:rPr>
          <w:rFonts w:ascii="Arial" w:hAnsi="Arial" w:cs="Arial"/>
          <w:i/>
          <w:iCs/>
          <w:color w:val="000000"/>
        </w:rPr>
        <w:t>Documenta</w:t>
      </w:r>
      <w:proofErr w:type="spellEnd"/>
      <w:r w:rsidRPr="00712E35">
        <w:rPr>
          <w:rFonts w:ascii="Arial" w:hAnsi="Arial" w:cs="Arial"/>
          <w:color w:val="000000"/>
        </w:rPr>
        <w:t xml:space="preserve"> lawyers filed a direct </w:t>
      </w:r>
      <w:r w:rsidRPr="00712E35">
        <w:rPr>
          <w:rFonts w:ascii="Arial" w:hAnsi="Arial" w:cs="Arial"/>
          <w:i/>
          <w:iCs/>
          <w:color w:val="000000"/>
        </w:rPr>
        <w:t>amparo</w:t>
      </w:r>
      <w:r w:rsidRPr="00712E35">
        <w:rPr>
          <w:rFonts w:ascii="Arial" w:hAnsi="Arial" w:cs="Arial"/>
          <w:color w:val="000000"/>
        </w:rPr>
        <w:t xml:space="preserve"> petition against the conviction of 5 December 2011. In the petition, the author claimed that due process guarantees had not been respected, as he had not been heard during the trial; that he had not been permitted to designate a defence lawyer of his choosing or to present evidence in his defence; that the presumption of innocence, among other rights, was infringed when he was declared exempt from criminal liability. The author requested the </w:t>
      </w:r>
      <w:r w:rsidR="00653E40" w:rsidRPr="00712E35">
        <w:rPr>
          <w:rFonts w:ascii="Arial" w:hAnsi="Arial" w:cs="Arial"/>
          <w:color w:val="000000"/>
        </w:rPr>
        <w:t>Constitutional Tribunal</w:t>
      </w:r>
      <w:r w:rsidRPr="00712E35">
        <w:rPr>
          <w:rFonts w:ascii="Arial" w:hAnsi="Arial" w:cs="Arial"/>
          <w:color w:val="000000"/>
        </w:rPr>
        <w:t xml:space="preserve"> to make an exception to the “principle of finality” on the grounds that the failure to recognize his legal capacity had led to serious due process violations, as he had not been given the opportunity to appeal the judgment of the lower court. In addition, the author pointed out the unconstitutionality of the provisions of the Criminal Code and Code of Criminal Procedure of the Federal District concerning exemption from criminal liability and the special procedure for persons exempt from criminal liability.</w:t>
      </w:r>
    </w:p>
    <w:p w14:paraId="70759B8D" w14:textId="336C7EF9" w:rsidR="0037666A" w:rsidRPr="00712E35" w:rsidRDefault="0037666A" w:rsidP="00FD1280">
      <w:pPr>
        <w:pStyle w:val="NormalWeb"/>
        <w:jc w:val="both"/>
        <w:rPr>
          <w:rFonts w:ascii="Arial" w:hAnsi="Arial" w:cs="Arial"/>
          <w:color w:val="000000"/>
        </w:rPr>
      </w:pPr>
      <w:r w:rsidRPr="00712E35">
        <w:rPr>
          <w:rFonts w:ascii="Arial" w:hAnsi="Arial" w:cs="Arial"/>
          <w:color w:val="000000"/>
        </w:rPr>
        <w:t xml:space="preserve">The petition was transmitted to the Seventh Collegiate Court for Criminal Matters of </w:t>
      </w:r>
      <w:r w:rsidR="00A5110F" w:rsidRPr="00712E35">
        <w:rPr>
          <w:rFonts w:ascii="Arial" w:hAnsi="Arial" w:cs="Arial"/>
          <w:color w:val="000000"/>
        </w:rPr>
        <w:t>Mexico City</w:t>
      </w:r>
      <w:r w:rsidR="00653E40" w:rsidRPr="00712E35">
        <w:rPr>
          <w:rFonts w:ascii="Arial" w:hAnsi="Arial" w:cs="Arial"/>
          <w:color w:val="000000"/>
        </w:rPr>
        <w:t xml:space="preserve"> (herein after, </w:t>
      </w:r>
      <w:r w:rsidR="00A5110F" w:rsidRPr="00712E35">
        <w:rPr>
          <w:rFonts w:ascii="Arial" w:hAnsi="Arial" w:cs="Arial"/>
          <w:color w:val="000000"/>
        </w:rPr>
        <w:t>Collegiate Court</w:t>
      </w:r>
      <w:r w:rsidR="00653E40" w:rsidRPr="00712E35">
        <w:rPr>
          <w:rFonts w:ascii="Arial" w:hAnsi="Arial" w:cs="Arial"/>
          <w:color w:val="000000"/>
        </w:rPr>
        <w:t>)</w:t>
      </w:r>
      <w:r w:rsidRPr="00712E35">
        <w:rPr>
          <w:rFonts w:ascii="Arial" w:hAnsi="Arial" w:cs="Arial"/>
          <w:color w:val="000000"/>
        </w:rPr>
        <w:t>. On 24 November 2014, the Collegiate Court declared that it did not have jurisdiction because the impugned judgment was not final and direct </w:t>
      </w:r>
      <w:r w:rsidRPr="00712E35">
        <w:rPr>
          <w:rFonts w:ascii="Arial" w:hAnsi="Arial" w:cs="Arial"/>
          <w:i/>
          <w:iCs/>
          <w:color w:val="000000"/>
        </w:rPr>
        <w:t>amparo</w:t>
      </w:r>
      <w:r w:rsidRPr="00712E35">
        <w:rPr>
          <w:rFonts w:ascii="Arial" w:hAnsi="Arial" w:cs="Arial"/>
          <w:color w:val="000000"/>
        </w:rPr>
        <w:t> applied only to final judgments. In order to “not leave the author without a proper remedy”, it decided to transfer the petition to a district court with a view to reaching a resolution through</w:t>
      </w:r>
      <w:r w:rsidR="00A5110F" w:rsidRPr="00712E35">
        <w:rPr>
          <w:rFonts w:ascii="Arial" w:hAnsi="Arial" w:cs="Arial"/>
          <w:color w:val="000000"/>
        </w:rPr>
        <w:t xml:space="preserve"> </w:t>
      </w:r>
      <w:r w:rsidRPr="00712E35">
        <w:rPr>
          <w:rFonts w:ascii="Arial" w:hAnsi="Arial" w:cs="Arial"/>
          <w:i/>
          <w:iCs/>
          <w:color w:val="000000"/>
        </w:rPr>
        <w:t>indirect</w:t>
      </w:r>
      <w:r w:rsidRPr="00712E35">
        <w:rPr>
          <w:rFonts w:ascii="Arial" w:hAnsi="Arial" w:cs="Arial"/>
          <w:color w:val="000000"/>
        </w:rPr>
        <w:t> </w:t>
      </w:r>
      <w:r w:rsidRPr="00712E35">
        <w:rPr>
          <w:rFonts w:ascii="Arial" w:hAnsi="Arial" w:cs="Arial"/>
          <w:i/>
          <w:iCs/>
          <w:color w:val="000000"/>
        </w:rPr>
        <w:t>amparo</w:t>
      </w:r>
      <w:r w:rsidRPr="00712E35">
        <w:rPr>
          <w:rFonts w:ascii="Arial" w:hAnsi="Arial" w:cs="Arial"/>
          <w:color w:val="000000"/>
        </w:rPr>
        <w:t> proceedings.</w:t>
      </w:r>
    </w:p>
    <w:p w14:paraId="6ADD6987" w14:textId="7A4065CE" w:rsidR="0037666A" w:rsidRPr="00712E35" w:rsidRDefault="0037666A" w:rsidP="00FD1280">
      <w:pPr>
        <w:pStyle w:val="NormalWeb"/>
        <w:jc w:val="both"/>
        <w:rPr>
          <w:rFonts w:ascii="Arial" w:hAnsi="Arial" w:cs="Arial"/>
          <w:color w:val="000000"/>
        </w:rPr>
      </w:pPr>
      <w:r w:rsidRPr="00712E35">
        <w:rPr>
          <w:rFonts w:ascii="Arial" w:hAnsi="Arial" w:cs="Arial"/>
          <w:color w:val="000000"/>
        </w:rPr>
        <w:t xml:space="preserve">On 1 December 2014, the author filed a procedural complaint against the decision of the </w:t>
      </w:r>
      <w:r w:rsidR="00A5110F" w:rsidRPr="00712E35">
        <w:rPr>
          <w:rFonts w:ascii="Arial" w:hAnsi="Arial" w:cs="Arial"/>
          <w:color w:val="000000"/>
        </w:rPr>
        <w:t>Collegiate Court</w:t>
      </w:r>
      <w:r w:rsidRPr="00712E35">
        <w:rPr>
          <w:rFonts w:ascii="Arial" w:hAnsi="Arial" w:cs="Arial"/>
          <w:color w:val="000000"/>
        </w:rPr>
        <w:t xml:space="preserve">, noting that </w:t>
      </w:r>
      <w:r w:rsidR="00A5110F" w:rsidRPr="00712E35">
        <w:rPr>
          <w:rFonts w:ascii="Arial" w:hAnsi="Arial" w:cs="Arial"/>
          <w:color w:val="000000"/>
        </w:rPr>
        <w:t xml:space="preserve">the </w:t>
      </w:r>
      <w:r w:rsidRPr="00712E35">
        <w:rPr>
          <w:rFonts w:ascii="Arial" w:hAnsi="Arial" w:cs="Arial"/>
          <w:i/>
          <w:iCs/>
          <w:color w:val="000000"/>
        </w:rPr>
        <w:t>indirect</w:t>
      </w:r>
      <w:r w:rsidRPr="00712E35">
        <w:rPr>
          <w:rFonts w:ascii="Arial" w:hAnsi="Arial" w:cs="Arial"/>
          <w:color w:val="000000"/>
        </w:rPr>
        <w:t> </w:t>
      </w:r>
      <w:r w:rsidRPr="00712E35">
        <w:rPr>
          <w:rFonts w:ascii="Arial" w:hAnsi="Arial" w:cs="Arial"/>
          <w:i/>
          <w:iCs/>
          <w:color w:val="000000"/>
        </w:rPr>
        <w:t>amparo</w:t>
      </w:r>
      <w:r w:rsidRPr="00712E35">
        <w:rPr>
          <w:rFonts w:ascii="Arial" w:hAnsi="Arial" w:cs="Arial"/>
          <w:color w:val="000000"/>
        </w:rPr>
        <w:t xml:space="preserve"> proceedings could not address all the claims and violations raised by the case. In his complaint, the author argued that the impugned judgment was final as it had been declared enforceable and was not subject to ordinary appeal. The author was also precluded from filing an appeal because he had been excluded from the trial and did not know what had happened </w:t>
      </w:r>
      <w:proofErr w:type="gramStart"/>
      <w:r w:rsidRPr="00712E35">
        <w:rPr>
          <w:rFonts w:ascii="Arial" w:hAnsi="Arial" w:cs="Arial"/>
          <w:color w:val="000000"/>
        </w:rPr>
        <w:t>in the course of</w:t>
      </w:r>
      <w:proofErr w:type="gramEnd"/>
      <w:r w:rsidRPr="00712E35">
        <w:rPr>
          <w:rFonts w:ascii="Arial" w:hAnsi="Arial" w:cs="Arial"/>
          <w:color w:val="000000"/>
        </w:rPr>
        <w:t xml:space="preserve"> the proceedings. However, the Collegiate Court had already referred the case to the Thirteenth District </w:t>
      </w:r>
      <w:r w:rsidRPr="00712E35">
        <w:rPr>
          <w:rFonts w:ascii="Arial" w:hAnsi="Arial" w:cs="Arial"/>
          <w:i/>
          <w:iCs/>
          <w:color w:val="000000"/>
        </w:rPr>
        <w:t>Amparo</w:t>
      </w:r>
      <w:r w:rsidRPr="00712E35">
        <w:rPr>
          <w:rFonts w:ascii="Arial" w:hAnsi="Arial" w:cs="Arial"/>
          <w:color w:val="000000"/>
        </w:rPr>
        <w:t> Court for Criminal Matters</w:t>
      </w:r>
      <w:r w:rsidR="00A5110F" w:rsidRPr="00712E35">
        <w:rPr>
          <w:rFonts w:ascii="Arial" w:hAnsi="Arial" w:cs="Arial"/>
          <w:color w:val="000000"/>
        </w:rPr>
        <w:t xml:space="preserve"> (herein after, District Court)</w:t>
      </w:r>
      <w:r w:rsidRPr="00712E35">
        <w:rPr>
          <w:rFonts w:ascii="Arial" w:hAnsi="Arial" w:cs="Arial"/>
          <w:color w:val="000000"/>
        </w:rPr>
        <w:t>. On 26 November 2014, the District</w:t>
      </w:r>
      <w:r w:rsidR="00A5110F" w:rsidRPr="00712E35">
        <w:rPr>
          <w:rFonts w:ascii="Arial" w:hAnsi="Arial" w:cs="Arial"/>
          <w:color w:val="000000"/>
        </w:rPr>
        <w:t xml:space="preserve"> </w:t>
      </w:r>
      <w:r w:rsidRPr="00712E35">
        <w:rPr>
          <w:rFonts w:ascii="Arial" w:hAnsi="Arial" w:cs="Arial"/>
          <w:color w:val="000000"/>
        </w:rPr>
        <w:t xml:space="preserve">Court </w:t>
      </w:r>
      <w:r w:rsidR="00A5110F" w:rsidRPr="00712E35">
        <w:rPr>
          <w:rFonts w:ascii="Arial" w:hAnsi="Arial" w:cs="Arial"/>
          <w:color w:val="000000"/>
        </w:rPr>
        <w:t>accepted the jurisdiction</w:t>
      </w:r>
      <w:r w:rsidRPr="00712E35">
        <w:rPr>
          <w:rFonts w:ascii="Arial" w:hAnsi="Arial" w:cs="Arial"/>
          <w:color w:val="000000"/>
        </w:rPr>
        <w:t xml:space="preserve"> </w:t>
      </w:r>
      <w:r w:rsidR="00A5110F" w:rsidRPr="00712E35">
        <w:rPr>
          <w:rFonts w:ascii="Arial" w:hAnsi="Arial" w:cs="Arial"/>
          <w:color w:val="000000"/>
        </w:rPr>
        <w:t xml:space="preserve">of the </w:t>
      </w:r>
      <w:r w:rsidRPr="00712E35">
        <w:rPr>
          <w:rFonts w:ascii="Arial" w:hAnsi="Arial" w:cs="Arial"/>
          <w:color w:val="000000"/>
        </w:rPr>
        <w:t xml:space="preserve">case, but dismissed the petition on the grounds that “the principle of ‘finality’ had not been satisfied”. On 9 December 2014, the author applied for the remedy of complaint with the Collegiate Court </w:t>
      </w:r>
      <w:r w:rsidRPr="00712E35">
        <w:rPr>
          <w:rFonts w:ascii="Arial" w:hAnsi="Arial" w:cs="Arial"/>
          <w:color w:val="000000"/>
        </w:rPr>
        <w:lastRenderedPageBreak/>
        <w:t>against the decision of the District</w:t>
      </w:r>
      <w:r w:rsidR="00A5110F" w:rsidRPr="00712E35">
        <w:rPr>
          <w:rFonts w:ascii="Arial" w:hAnsi="Arial" w:cs="Arial"/>
          <w:color w:val="000000"/>
        </w:rPr>
        <w:t xml:space="preserve"> </w:t>
      </w:r>
      <w:r w:rsidRPr="00712E35">
        <w:rPr>
          <w:rFonts w:ascii="Arial" w:hAnsi="Arial" w:cs="Arial"/>
          <w:color w:val="000000"/>
        </w:rPr>
        <w:t>Court, claiming that he was left without a proper remedy since he had been denied access to all forms of appeal</w:t>
      </w:r>
      <w:r w:rsidR="00A5110F" w:rsidRPr="00712E35">
        <w:rPr>
          <w:rFonts w:ascii="Arial" w:hAnsi="Arial" w:cs="Arial"/>
          <w:color w:val="000000"/>
        </w:rPr>
        <w:t xml:space="preserve">. </w:t>
      </w:r>
    </w:p>
    <w:p w14:paraId="494B330E" w14:textId="4A7EB94B" w:rsidR="00397DDB" w:rsidRPr="00712E35" w:rsidRDefault="00397DDB" w:rsidP="00FD1280">
      <w:pPr>
        <w:jc w:val="both"/>
        <w:rPr>
          <w:rFonts w:ascii="Arial" w:hAnsi="Arial" w:cs="Arial"/>
          <w:color w:val="000000"/>
        </w:rPr>
      </w:pPr>
      <w:r w:rsidRPr="00712E35">
        <w:rPr>
          <w:rFonts w:ascii="Arial" w:hAnsi="Arial" w:cs="Arial"/>
          <w:color w:val="000000"/>
        </w:rPr>
        <w:t>On 22 January 2015, the Collegiate Court ruled on the procedural complaint against its own declaration that it did not have jurisdiction. The Collegiate Court maintained its position on the grounds that the impugned judgment was not “final” and that the District Court to which it had referred the case had declared itself competent to hear the case.</w:t>
      </w:r>
    </w:p>
    <w:p w14:paraId="7A97536D" w14:textId="1A686CFE" w:rsidR="00A125BF" w:rsidRPr="00712E35" w:rsidRDefault="00A125BF" w:rsidP="00FD1280">
      <w:pPr>
        <w:jc w:val="both"/>
        <w:rPr>
          <w:rFonts w:ascii="Arial" w:hAnsi="Arial" w:cs="Arial"/>
          <w:color w:val="000000"/>
        </w:rPr>
      </w:pPr>
    </w:p>
    <w:p w14:paraId="23E676A7" w14:textId="6D7DA12B" w:rsidR="00A125BF" w:rsidRPr="00712E35" w:rsidRDefault="00A125BF" w:rsidP="00FD1280">
      <w:pPr>
        <w:jc w:val="both"/>
        <w:rPr>
          <w:rFonts w:ascii="Arial" w:hAnsi="Arial" w:cs="Arial"/>
        </w:rPr>
      </w:pPr>
      <w:r w:rsidRPr="00712E35">
        <w:rPr>
          <w:rFonts w:ascii="Arial" w:hAnsi="Arial" w:cs="Arial"/>
          <w:color w:val="000000"/>
        </w:rPr>
        <w:t xml:space="preserve">On 29 January 2015, the Collegiate Tribunal ruled on the remedy of complaint against the decision of the District Court of 26 November. The ruling established that the District Court was competent to hear the case but not the entirety of the judgment. </w:t>
      </w:r>
      <w:r w:rsidR="003530E1" w:rsidRPr="00712E35">
        <w:rPr>
          <w:rFonts w:ascii="Arial" w:hAnsi="Arial" w:cs="Arial"/>
          <w:color w:val="000000"/>
        </w:rPr>
        <w:t xml:space="preserve">Thus, the Collegiate </w:t>
      </w:r>
      <w:r w:rsidRPr="00712E35">
        <w:rPr>
          <w:rFonts w:ascii="Arial" w:hAnsi="Arial" w:cs="Arial"/>
          <w:color w:val="000000"/>
        </w:rPr>
        <w:t xml:space="preserve">ordered the District Court to limit its analysis to the failure to notify the author of the Criminal Court’s judgment and on </w:t>
      </w:r>
      <w:proofErr w:type="gramStart"/>
      <w:r w:rsidRPr="00712E35">
        <w:rPr>
          <w:rFonts w:ascii="Arial" w:hAnsi="Arial" w:cs="Arial"/>
          <w:color w:val="000000"/>
        </w:rPr>
        <w:t>whether or not</w:t>
      </w:r>
      <w:proofErr w:type="gramEnd"/>
      <w:r w:rsidRPr="00712E35">
        <w:rPr>
          <w:rFonts w:ascii="Arial" w:hAnsi="Arial" w:cs="Arial"/>
          <w:color w:val="000000"/>
        </w:rPr>
        <w:t xml:space="preserve"> the author had been prevented from filing an appeal. At the request of the defence, the Collegiate Court made a reasonable accommodation by drafting a simplified version of its decision. However, it failed to do so for the other decisions taken in the proceedings.</w:t>
      </w:r>
    </w:p>
    <w:p w14:paraId="021643B4" w14:textId="77777777" w:rsidR="00397DDB" w:rsidRPr="00712E35" w:rsidRDefault="00397DDB" w:rsidP="00FD1280">
      <w:pPr>
        <w:jc w:val="both"/>
        <w:rPr>
          <w:rFonts w:ascii="Arial" w:hAnsi="Arial" w:cs="Arial"/>
        </w:rPr>
      </w:pPr>
    </w:p>
    <w:p w14:paraId="3722A389" w14:textId="3D108032" w:rsidR="003530E1" w:rsidRPr="00712E35" w:rsidRDefault="003530E1" w:rsidP="00FD1280">
      <w:pPr>
        <w:jc w:val="both"/>
        <w:rPr>
          <w:rFonts w:ascii="Arial" w:hAnsi="Arial" w:cs="Arial"/>
          <w:color w:val="000000"/>
        </w:rPr>
      </w:pPr>
      <w:r w:rsidRPr="00712E35">
        <w:rPr>
          <w:rFonts w:ascii="Arial" w:hAnsi="Arial" w:cs="Arial"/>
          <w:color w:val="000000"/>
        </w:rPr>
        <w:t xml:space="preserve">The author, then, submitted an expanded petition on the </w:t>
      </w:r>
      <w:r w:rsidRPr="00712E35">
        <w:rPr>
          <w:rFonts w:ascii="Arial" w:hAnsi="Arial" w:cs="Arial"/>
          <w:i/>
          <w:iCs/>
          <w:color w:val="000000"/>
        </w:rPr>
        <w:t>indirect amparo</w:t>
      </w:r>
      <w:r w:rsidRPr="00712E35">
        <w:rPr>
          <w:rFonts w:ascii="Arial" w:hAnsi="Arial" w:cs="Arial"/>
          <w:color w:val="000000"/>
        </w:rPr>
        <w:t xml:space="preserve"> with a view to also challenging the constitutionality of the of the laws on exemption of criminal liability and security measures in the context of criminal proceedings against persons exempt from criminal liability. In addition, he requested that all the documents relating to the proceedings be drafted in simplified form to facilitate his comprehension.</w:t>
      </w:r>
    </w:p>
    <w:p w14:paraId="33C32504" w14:textId="606FD4B5" w:rsidR="003530E1" w:rsidRPr="00712E35" w:rsidRDefault="003530E1" w:rsidP="00FD1280">
      <w:pPr>
        <w:jc w:val="both"/>
        <w:rPr>
          <w:rFonts w:ascii="Arial" w:hAnsi="Arial" w:cs="Arial"/>
          <w:color w:val="000000"/>
        </w:rPr>
      </w:pPr>
    </w:p>
    <w:p w14:paraId="76548C8D" w14:textId="273B5B73" w:rsidR="003530E1" w:rsidRPr="00712E35" w:rsidRDefault="003530E1" w:rsidP="00FD1280">
      <w:pPr>
        <w:jc w:val="both"/>
        <w:rPr>
          <w:rFonts w:ascii="Arial" w:hAnsi="Arial" w:cs="Arial"/>
          <w:color w:val="000000"/>
        </w:rPr>
      </w:pPr>
      <w:r w:rsidRPr="00712E35">
        <w:rPr>
          <w:rFonts w:ascii="Arial" w:hAnsi="Arial" w:cs="Arial"/>
          <w:color w:val="000000"/>
        </w:rPr>
        <w:t xml:space="preserve">On 12 February 2015, the expanded petition was dismissed by the District Court on the grounds that the constitutionality </w:t>
      </w:r>
      <w:r w:rsidR="00860013" w:rsidRPr="00712E35">
        <w:rPr>
          <w:rFonts w:ascii="Arial" w:hAnsi="Arial" w:cs="Arial"/>
          <w:color w:val="000000"/>
        </w:rPr>
        <w:t>issues</w:t>
      </w:r>
      <w:r w:rsidRPr="00712E35">
        <w:rPr>
          <w:rFonts w:ascii="Arial" w:hAnsi="Arial" w:cs="Arial"/>
          <w:color w:val="000000"/>
        </w:rPr>
        <w:t xml:space="preserve"> w</w:t>
      </w:r>
      <w:r w:rsidR="00860013" w:rsidRPr="00712E35">
        <w:rPr>
          <w:rFonts w:ascii="Arial" w:hAnsi="Arial" w:cs="Arial"/>
          <w:color w:val="000000"/>
        </w:rPr>
        <w:t>ere</w:t>
      </w:r>
      <w:r w:rsidRPr="00712E35">
        <w:rPr>
          <w:rFonts w:ascii="Arial" w:hAnsi="Arial" w:cs="Arial"/>
          <w:color w:val="000000"/>
        </w:rPr>
        <w:t xml:space="preserve"> unrelated to the case. The Court </w:t>
      </w:r>
      <w:r w:rsidR="00860013" w:rsidRPr="00712E35">
        <w:rPr>
          <w:rFonts w:ascii="Arial" w:hAnsi="Arial" w:cs="Arial"/>
          <w:color w:val="000000"/>
        </w:rPr>
        <w:t>denied the</w:t>
      </w:r>
      <w:r w:rsidRPr="00712E35">
        <w:rPr>
          <w:rFonts w:ascii="Arial" w:hAnsi="Arial" w:cs="Arial"/>
          <w:color w:val="000000"/>
        </w:rPr>
        <w:t xml:space="preserve"> reasonable accommodation</w:t>
      </w:r>
      <w:r w:rsidR="00860013" w:rsidRPr="00712E35">
        <w:rPr>
          <w:rFonts w:ascii="Arial" w:hAnsi="Arial" w:cs="Arial"/>
          <w:color w:val="000000"/>
        </w:rPr>
        <w:t>s</w:t>
      </w:r>
      <w:r w:rsidRPr="00712E35">
        <w:rPr>
          <w:rFonts w:ascii="Arial" w:hAnsi="Arial" w:cs="Arial"/>
          <w:color w:val="000000"/>
        </w:rPr>
        <w:t xml:space="preserve"> </w:t>
      </w:r>
      <w:r w:rsidR="00860013" w:rsidRPr="00712E35">
        <w:rPr>
          <w:rFonts w:ascii="Arial" w:hAnsi="Arial" w:cs="Arial"/>
          <w:color w:val="000000"/>
        </w:rPr>
        <w:t>arguing that</w:t>
      </w:r>
      <w:r w:rsidRPr="00712E35">
        <w:rPr>
          <w:rFonts w:ascii="Arial" w:hAnsi="Arial" w:cs="Arial"/>
          <w:color w:val="000000"/>
        </w:rPr>
        <w:t xml:space="preserve"> the author had received the assistance of two individuals during the trial. On 25 February 2015, the author applied again for the remedy of complaint against the aforementioned decision, arguing that his right to an effective remedy had been violated by not being able to challenge laws that were contrary to the Convention because they violated his right to access to justice. The remedy of complaint was referred to the </w:t>
      </w:r>
      <w:r w:rsidR="00860013" w:rsidRPr="00712E35">
        <w:rPr>
          <w:rFonts w:ascii="Arial" w:hAnsi="Arial" w:cs="Arial"/>
          <w:color w:val="000000"/>
        </w:rPr>
        <w:t xml:space="preserve">same </w:t>
      </w:r>
      <w:r w:rsidRPr="00712E35">
        <w:rPr>
          <w:rFonts w:ascii="Arial" w:hAnsi="Arial" w:cs="Arial"/>
          <w:color w:val="000000"/>
        </w:rPr>
        <w:t>Collegiate Court</w:t>
      </w:r>
      <w:r w:rsidR="00A41BEC" w:rsidRPr="00712E35">
        <w:rPr>
          <w:rFonts w:ascii="Arial" w:hAnsi="Arial" w:cs="Arial"/>
          <w:color w:val="000000"/>
        </w:rPr>
        <w:t>.</w:t>
      </w:r>
    </w:p>
    <w:p w14:paraId="0F92F9D1" w14:textId="14867589" w:rsidR="00A41BEC" w:rsidRPr="00712E35" w:rsidRDefault="00A41BEC" w:rsidP="00FD1280">
      <w:pPr>
        <w:jc w:val="both"/>
        <w:rPr>
          <w:rFonts w:ascii="Arial" w:hAnsi="Arial" w:cs="Arial"/>
          <w:color w:val="000000"/>
        </w:rPr>
      </w:pPr>
    </w:p>
    <w:p w14:paraId="2C45F8BA" w14:textId="0C6804DE" w:rsidR="00A41BEC" w:rsidRPr="00712E35" w:rsidRDefault="00A41BEC" w:rsidP="00FD1280">
      <w:pPr>
        <w:jc w:val="both"/>
        <w:rPr>
          <w:rFonts w:ascii="Arial" w:hAnsi="Arial" w:cs="Arial"/>
          <w:color w:val="000000"/>
        </w:rPr>
      </w:pPr>
      <w:r w:rsidRPr="00712E35">
        <w:rPr>
          <w:rFonts w:ascii="Arial" w:hAnsi="Arial" w:cs="Arial"/>
          <w:color w:val="000000"/>
        </w:rPr>
        <w:t xml:space="preserve">On 5 June 2015, the Collegiate Court </w:t>
      </w:r>
      <w:r w:rsidR="00860013" w:rsidRPr="00712E35">
        <w:rPr>
          <w:rFonts w:ascii="Arial" w:hAnsi="Arial" w:cs="Arial"/>
          <w:color w:val="000000"/>
        </w:rPr>
        <w:t>decided on</w:t>
      </w:r>
      <w:r w:rsidRPr="00712E35">
        <w:rPr>
          <w:rFonts w:ascii="Arial" w:hAnsi="Arial" w:cs="Arial"/>
          <w:color w:val="000000"/>
        </w:rPr>
        <w:t xml:space="preserve"> the remedy of complaint, finding that </w:t>
      </w:r>
      <w:r w:rsidR="00860013" w:rsidRPr="00712E35">
        <w:rPr>
          <w:rFonts w:ascii="Arial" w:hAnsi="Arial" w:cs="Arial"/>
          <w:color w:val="000000"/>
        </w:rPr>
        <w:t>it</w:t>
      </w:r>
      <w:r w:rsidRPr="00712E35">
        <w:rPr>
          <w:rFonts w:ascii="Arial" w:hAnsi="Arial" w:cs="Arial"/>
          <w:color w:val="000000"/>
        </w:rPr>
        <w:t xml:space="preserve"> was partially founded and requesting the District Court to rule on the failure </w:t>
      </w:r>
      <w:r w:rsidR="00205B68" w:rsidRPr="00712E35">
        <w:rPr>
          <w:rFonts w:ascii="Arial" w:hAnsi="Arial" w:cs="Arial"/>
          <w:color w:val="000000"/>
        </w:rPr>
        <w:t xml:space="preserve">of the Criminal Court </w:t>
      </w:r>
      <w:r w:rsidRPr="00712E35">
        <w:rPr>
          <w:rFonts w:ascii="Arial" w:hAnsi="Arial" w:cs="Arial"/>
          <w:color w:val="000000"/>
        </w:rPr>
        <w:t xml:space="preserve">to notify the author of the judgment and of the decision that the judgment was enforceable. </w:t>
      </w:r>
      <w:r w:rsidR="00860013" w:rsidRPr="00712E35">
        <w:rPr>
          <w:rFonts w:ascii="Arial" w:hAnsi="Arial" w:cs="Arial"/>
          <w:color w:val="000000"/>
        </w:rPr>
        <w:t>Also</w:t>
      </w:r>
      <w:r w:rsidRPr="00712E35">
        <w:rPr>
          <w:rFonts w:ascii="Arial" w:hAnsi="Arial" w:cs="Arial"/>
          <w:color w:val="000000"/>
        </w:rPr>
        <w:t xml:space="preserve">, the </w:t>
      </w:r>
      <w:r w:rsidR="00860013" w:rsidRPr="00712E35">
        <w:rPr>
          <w:rFonts w:ascii="Arial" w:hAnsi="Arial" w:cs="Arial"/>
          <w:color w:val="000000"/>
        </w:rPr>
        <w:t>Collegiate Court</w:t>
      </w:r>
      <w:r w:rsidRPr="00712E35">
        <w:rPr>
          <w:rFonts w:ascii="Arial" w:hAnsi="Arial" w:cs="Arial"/>
          <w:color w:val="000000"/>
        </w:rPr>
        <w:t xml:space="preserve"> ruled that the author’s initial grievances were unrelated to the articles of the Criminal Code and Code of Criminal Procedure that he contended were unconstitutional. As for the district court’s refusal to produce a simplified version of all the decisions, including the judgment, the Collegiate Court determined that it was partially founded, though it applied only </w:t>
      </w:r>
      <w:proofErr w:type="gramStart"/>
      <w:r w:rsidRPr="00712E35">
        <w:rPr>
          <w:rFonts w:ascii="Arial" w:hAnsi="Arial" w:cs="Arial"/>
          <w:color w:val="000000"/>
        </w:rPr>
        <w:t>with regard to</w:t>
      </w:r>
      <w:proofErr w:type="gramEnd"/>
      <w:r w:rsidRPr="00712E35">
        <w:rPr>
          <w:rFonts w:ascii="Arial" w:hAnsi="Arial" w:cs="Arial"/>
          <w:color w:val="000000"/>
        </w:rPr>
        <w:t xml:space="preserve"> the </w:t>
      </w:r>
      <w:r w:rsidR="00860013" w:rsidRPr="00712E35">
        <w:rPr>
          <w:rFonts w:ascii="Arial" w:hAnsi="Arial" w:cs="Arial"/>
          <w:color w:val="000000"/>
        </w:rPr>
        <w:t xml:space="preserve">sentence. </w:t>
      </w:r>
    </w:p>
    <w:p w14:paraId="0D8F745F" w14:textId="53700B12" w:rsidR="00860013" w:rsidRPr="00712E35" w:rsidRDefault="00860013" w:rsidP="00FD1280">
      <w:pPr>
        <w:jc w:val="both"/>
        <w:rPr>
          <w:rFonts w:ascii="Arial" w:hAnsi="Arial" w:cs="Arial"/>
          <w:color w:val="000000"/>
        </w:rPr>
      </w:pPr>
    </w:p>
    <w:p w14:paraId="345FBE32" w14:textId="6C2038B3" w:rsidR="00860013" w:rsidRPr="00712E35" w:rsidRDefault="00860013" w:rsidP="00FD1280">
      <w:pPr>
        <w:jc w:val="both"/>
        <w:rPr>
          <w:rFonts w:ascii="Arial" w:hAnsi="Arial" w:cs="Arial"/>
        </w:rPr>
      </w:pPr>
      <w:r w:rsidRPr="00712E35">
        <w:rPr>
          <w:rFonts w:ascii="Arial" w:hAnsi="Arial" w:cs="Arial"/>
          <w:color w:val="000000"/>
        </w:rPr>
        <w:t xml:space="preserve">On the basis of the aforementioned decision, on 29 June 2015, the District Court ruled on the </w:t>
      </w:r>
      <w:r w:rsidRPr="00712E35">
        <w:rPr>
          <w:rFonts w:ascii="Arial" w:hAnsi="Arial" w:cs="Arial"/>
          <w:i/>
          <w:iCs/>
          <w:color w:val="000000"/>
        </w:rPr>
        <w:t>indirect</w:t>
      </w:r>
      <w:r w:rsidRPr="00712E35">
        <w:rPr>
          <w:rFonts w:ascii="Arial" w:hAnsi="Arial" w:cs="Arial"/>
          <w:color w:val="000000"/>
        </w:rPr>
        <w:t> </w:t>
      </w:r>
      <w:r w:rsidRPr="00712E35">
        <w:rPr>
          <w:rFonts w:ascii="Arial" w:hAnsi="Arial" w:cs="Arial"/>
          <w:i/>
          <w:iCs/>
          <w:color w:val="000000"/>
        </w:rPr>
        <w:t>amparo</w:t>
      </w:r>
      <w:r w:rsidRPr="00712E35">
        <w:rPr>
          <w:rFonts w:ascii="Arial" w:hAnsi="Arial" w:cs="Arial"/>
          <w:color w:val="000000"/>
        </w:rPr>
        <w:t xml:space="preserve"> petition, finding that the Criminal Court had violated the author’s right under article 20 of the Constitution by not notifying </w:t>
      </w:r>
      <w:r w:rsidRPr="00712E35">
        <w:rPr>
          <w:rFonts w:ascii="Arial" w:hAnsi="Arial" w:cs="Arial"/>
          <w:b/>
          <w:bCs/>
          <w:color w:val="000000"/>
        </w:rPr>
        <w:t>his legal representative</w:t>
      </w:r>
      <w:r w:rsidRPr="00712E35">
        <w:rPr>
          <w:rFonts w:ascii="Arial" w:hAnsi="Arial" w:cs="Arial"/>
          <w:color w:val="000000"/>
        </w:rPr>
        <w:t xml:space="preserve"> of the </w:t>
      </w:r>
      <w:r w:rsidRPr="00712E35">
        <w:rPr>
          <w:rFonts w:ascii="Arial" w:hAnsi="Arial" w:cs="Arial"/>
          <w:color w:val="000000"/>
        </w:rPr>
        <w:lastRenderedPageBreak/>
        <w:t xml:space="preserve">judgment. In addition, it ordered the Criminal Court to annul the decision declaring the final judgment enforceable and to notify the author’s legal representative of this fact. </w:t>
      </w:r>
    </w:p>
    <w:p w14:paraId="3D3FFDD1" w14:textId="77777777" w:rsidR="003530E1" w:rsidRPr="00712E35" w:rsidRDefault="003530E1" w:rsidP="00FD1280">
      <w:pPr>
        <w:jc w:val="both"/>
        <w:rPr>
          <w:rFonts w:ascii="Arial" w:hAnsi="Arial" w:cs="Arial"/>
          <w:color w:val="000000"/>
        </w:rPr>
      </w:pPr>
    </w:p>
    <w:p w14:paraId="707512F4" w14:textId="7BD586FC" w:rsidR="00541DF6" w:rsidRPr="00712E35" w:rsidRDefault="00CF29D8" w:rsidP="00FD1280">
      <w:pPr>
        <w:jc w:val="both"/>
        <w:rPr>
          <w:rFonts w:ascii="Arial" w:hAnsi="Arial" w:cs="Arial"/>
          <w:color w:val="000000"/>
        </w:rPr>
      </w:pPr>
      <w:r w:rsidRPr="00712E35">
        <w:rPr>
          <w:rFonts w:ascii="Arial" w:hAnsi="Arial" w:cs="Arial"/>
          <w:color w:val="000000"/>
        </w:rPr>
        <w:t>In a separate procedure, t</w:t>
      </w:r>
      <w:r w:rsidR="00860013" w:rsidRPr="00712E35">
        <w:rPr>
          <w:rFonts w:ascii="Arial" w:hAnsi="Arial" w:cs="Arial"/>
          <w:color w:val="000000"/>
        </w:rPr>
        <w:t xml:space="preserve">he author applied to </w:t>
      </w:r>
      <w:r w:rsidRPr="00712E35">
        <w:rPr>
          <w:rFonts w:ascii="Arial" w:hAnsi="Arial" w:cs="Arial"/>
          <w:color w:val="000000"/>
        </w:rPr>
        <w:t xml:space="preserve">an early release before the Criminal Sentence Enforcement Courts of the Federal District on the basis of the work that </w:t>
      </w:r>
      <w:r w:rsidR="00860013" w:rsidRPr="00712E35">
        <w:rPr>
          <w:rFonts w:ascii="Arial" w:hAnsi="Arial" w:cs="Arial"/>
          <w:color w:val="000000"/>
        </w:rPr>
        <w:t>he had done at the men’s psychosocial rehabilitation centre with a view to obtaining early release. The judge asked the author to provide further details, because the application did not meet the requirements under the la</w:t>
      </w:r>
      <w:r w:rsidR="00541DF6" w:rsidRPr="00712E35">
        <w:rPr>
          <w:rFonts w:ascii="Arial" w:hAnsi="Arial" w:cs="Arial"/>
          <w:color w:val="000000"/>
        </w:rPr>
        <w:t>w.</w:t>
      </w:r>
      <w:r w:rsidR="00860013" w:rsidRPr="00712E35">
        <w:rPr>
          <w:rFonts w:ascii="Arial" w:hAnsi="Arial" w:cs="Arial"/>
          <w:color w:val="000000"/>
        </w:rPr>
        <w:t xml:space="preserve"> </w:t>
      </w:r>
    </w:p>
    <w:p w14:paraId="7CAD25B4" w14:textId="77777777" w:rsidR="00541DF6" w:rsidRPr="00712E35" w:rsidRDefault="00541DF6" w:rsidP="00FD1280">
      <w:pPr>
        <w:jc w:val="both"/>
        <w:rPr>
          <w:rFonts w:ascii="Arial" w:hAnsi="Arial" w:cs="Arial"/>
          <w:color w:val="000000"/>
        </w:rPr>
      </w:pPr>
    </w:p>
    <w:p w14:paraId="46103796" w14:textId="0B1526DA" w:rsidR="00A5110F" w:rsidRPr="00712E35" w:rsidRDefault="00860013" w:rsidP="00FD1280">
      <w:pPr>
        <w:jc w:val="both"/>
        <w:rPr>
          <w:rFonts w:ascii="Arial" w:hAnsi="Arial" w:cs="Arial"/>
          <w:color w:val="000000"/>
        </w:rPr>
      </w:pPr>
      <w:r w:rsidRPr="00712E35">
        <w:rPr>
          <w:rFonts w:ascii="Arial" w:hAnsi="Arial" w:cs="Arial"/>
          <w:color w:val="000000"/>
        </w:rPr>
        <w:t xml:space="preserve">The author inferred from this that any dispute regarding his </w:t>
      </w:r>
      <w:r w:rsidR="00541DF6" w:rsidRPr="00712E35">
        <w:rPr>
          <w:rFonts w:ascii="Arial" w:hAnsi="Arial" w:cs="Arial"/>
          <w:color w:val="000000"/>
        </w:rPr>
        <w:t>eligibility</w:t>
      </w:r>
      <w:r w:rsidRPr="00712E35">
        <w:rPr>
          <w:rFonts w:ascii="Arial" w:hAnsi="Arial" w:cs="Arial"/>
          <w:color w:val="000000"/>
        </w:rPr>
        <w:t xml:space="preserve"> would not be resolved before he had served the entirety of his sentence. Therefore, he decided to request a non-custodial placement for persons with psychosocial disabilities, as provided </w:t>
      </w:r>
      <w:r w:rsidR="00541DF6" w:rsidRPr="00712E35">
        <w:rPr>
          <w:rFonts w:ascii="Arial" w:hAnsi="Arial" w:cs="Arial"/>
          <w:color w:val="000000"/>
        </w:rPr>
        <w:t>on</w:t>
      </w:r>
      <w:r w:rsidRPr="00712E35">
        <w:rPr>
          <w:rFonts w:ascii="Arial" w:hAnsi="Arial" w:cs="Arial"/>
          <w:color w:val="000000"/>
        </w:rPr>
        <w:t xml:space="preserve"> the Sentence Enforcement Act. However, </w:t>
      </w:r>
      <w:proofErr w:type="gramStart"/>
      <w:r w:rsidRPr="00712E35">
        <w:rPr>
          <w:rFonts w:ascii="Arial" w:hAnsi="Arial" w:cs="Arial"/>
          <w:color w:val="000000"/>
        </w:rPr>
        <w:t>on the basis of</w:t>
      </w:r>
      <w:proofErr w:type="gramEnd"/>
      <w:r w:rsidRPr="00712E35">
        <w:rPr>
          <w:rFonts w:ascii="Arial" w:hAnsi="Arial" w:cs="Arial"/>
          <w:color w:val="000000"/>
        </w:rPr>
        <w:t xml:space="preserve"> the medical reports by the board of the men’s psychosocial rehabilitation centre, the judge denied the author’s request on the grounds that the prospects for his rehabilitation were slim.</w:t>
      </w:r>
    </w:p>
    <w:p w14:paraId="29B2BBB2" w14:textId="77777777" w:rsidR="001B497B" w:rsidRPr="00712E35" w:rsidRDefault="001B497B" w:rsidP="00FD1280">
      <w:pPr>
        <w:jc w:val="both"/>
        <w:rPr>
          <w:rFonts w:ascii="Arial" w:hAnsi="Arial" w:cs="Arial"/>
          <w:color w:val="000000"/>
        </w:rPr>
      </w:pPr>
    </w:p>
    <w:p w14:paraId="257A8226" w14:textId="0BB293D3" w:rsidR="00541DF6" w:rsidRPr="00712E35" w:rsidRDefault="00541DF6" w:rsidP="00FD1280">
      <w:pPr>
        <w:jc w:val="both"/>
        <w:rPr>
          <w:rFonts w:ascii="Arial" w:hAnsi="Arial" w:cs="Arial"/>
          <w:color w:val="000000"/>
        </w:rPr>
      </w:pPr>
      <w:r w:rsidRPr="00712E35">
        <w:rPr>
          <w:rFonts w:ascii="Arial" w:hAnsi="Arial" w:cs="Arial"/>
          <w:color w:val="000000"/>
        </w:rPr>
        <w:t xml:space="preserve">The author claims that he was excluded from the criminal proceedings against him. He points out that he was not notified of the decisions or the final judgment and that, consequently, he was unable to appeal the decision of the lower court or petition for </w:t>
      </w:r>
      <w:r w:rsidRPr="00712E35">
        <w:rPr>
          <w:rFonts w:ascii="Arial" w:hAnsi="Arial" w:cs="Arial"/>
          <w:i/>
          <w:iCs/>
          <w:color w:val="000000"/>
        </w:rPr>
        <w:t>direct</w:t>
      </w:r>
      <w:r w:rsidRPr="00712E35">
        <w:rPr>
          <w:rFonts w:ascii="Arial" w:hAnsi="Arial" w:cs="Arial"/>
          <w:color w:val="000000"/>
        </w:rPr>
        <w:t> </w:t>
      </w:r>
      <w:r w:rsidRPr="00712E35">
        <w:rPr>
          <w:rFonts w:ascii="Arial" w:hAnsi="Arial" w:cs="Arial"/>
          <w:i/>
          <w:iCs/>
          <w:color w:val="000000"/>
        </w:rPr>
        <w:t>amparo</w:t>
      </w:r>
      <w:r w:rsidRPr="00712E35">
        <w:rPr>
          <w:rFonts w:ascii="Arial" w:hAnsi="Arial" w:cs="Arial"/>
          <w:color w:val="000000"/>
        </w:rPr>
        <w:t xml:space="preserve">, since this requires a decision to have first been appealed. The author requested that an exception be made to this rule, </w:t>
      </w:r>
      <w:proofErr w:type="gramStart"/>
      <w:r w:rsidRPr="00712E35">
        <w:rPr>
          <w:rFonts w:ascii="Arial" w:hAnsi="Arial" w:cs="Arial"/>
          <w:color w:val="000000"/>
        </w:rPr>
        <w:t>taking into account</w:t>
      </w:r>
      <w:proofErr w:type="gramEnd"/>
      <w:r w:rsidRPr="00712E35">
        <w:rPr>
          <w:rFonts w:ascii="Arial" w:hAnsi="Arial" w:cs="Arial"/>
          <w:color w:val="000000"/>
        </w:rPr>
        <w:t xml:space="preserve"> that it was the criminal law and judicial practices that had left him without a remedy by failing to recognize his legal capacity.</w:t>
      </w:r>
    </w:p>
    <w:p w14:paraId="5CDDC08B" w14:textId="42308BDB" w:rsidR="001B497B" w:rsidRPr="00712E35" w:rsidRDefault="001B497B" w:rsidP="00FD1280">
      <w:pPr>
        <w:jc w:val="both"/>
        <w:rPr>
          <w:rFonts w:ascii="Arial" w:hAnsi="Arial" w:cs="Arial"/>
          <w:color w:val="000000"/>
        </w:rPr>
      </w:pPr>
    </w:p>
    <w:p w14:paraId="5B7237F5" w14:textId="383C17BC" w:rsidR="001B497B" w:rsidRPr="00712E35" w:rsidRDefault="001B497B" w:rsidP="00FD1280">
      <w:pPr>
        <w:jc w:val="both"/>
        <w:rPr>
          <w:rFonts w:ascii="Arial" w:hAnsi="Arial" w:cs="Arial"/>
          <w:b/>
          <w:bCs/>
          <w:color w:val="000000"/>
        </w:rPr>
      </w:pPr>
      <w:r w:rsidRPr="00712E35">
        <w:rPr>
          <w:rFonts w:ascii="Arial" w:hAnsi="Arial" w:cs="Arial"/>
          <w:b/>
          <w:bCs/>
          <w:color w:val="000000"/>
        </w:rPr>
        <w:t xml:space="preserve">The complaint </w:t>
      </w:r>
    </w:p>
    <w:p w14:paraId="74674AF4" w14:textId="77777777" w:rsidR="001B497B" w:rsidRPr="00712E35" w:rsidRDefault="001B497B" w:rsidP="00FD1280">
      <w:pPr>
        <w:jc w:val="both"/>
        <w:rPr>
          <w:rFonts w:ascii="Arial" w:hAnsi="Arial" w:cs="Arial"/>
        </w:rPr>
      </w:pPr>
    </w:p>
    <w:p w14:paraId="7291D7F8" w14:textId="66C2C54E" w:rsidR="001B497B" w:rsidRPr="00712E35" w:rsidRDefault="001B497B" w:rsidP="00FD1280">
      <w:pPr>
        <w:jc w:val="both"/>
        <w:rPr>
          <w:rFonts w:ascii="Arial" w:hAnsi="Arial" w:cs="Arial"/>
          <w:b/>
          <w:bCs/>
          <w:color w:val="000000"/>
          <w:u w:val="single"/>
        </w:rPr>
      </w:pPr>
      <w:r w:rsidRPr="00712E35">
        <w:rPr>
          <w:rFonts w:ascii="Arial" w:hAnsi="Arial" w:cs="Arial"/>
          <w:b/>
          <w:bCs/>
          <w:color w:val="000000"/>
          <w:u w:val="single"/>
        </w:rPr>
        <w:t>The author contends that his rights under articles 5, 9, 12, 13, 14 and 19, read in conjunction with article 4, of the Convention were violated.</w:t>
      </w:r>
    </w:p>
    <w:p w14:paraId="59181D46" w14:textId="458032F7" w:rsidR="001B497B" w:rsidRPr="00712E35" w:rsidRDefault="001B497B" w:rsidP="00FD1280">
      <w:pPr>
        <w:jc w:val="both"/>
        <w:rPr>
          <w:rFonts w:ascii="Arial" w:hAnsi="Arial" w:cs="Arial"/>
          <w:color w:val="000000"/>
        </w:rPr>
      </w:pPr>
    </w:p>
    <w:p w14:paraId="4D18B125" w14:textId="14401C73" w:rsidR="001B497B" w:rsidRPr="00712E35" w:rsidRDefault="00ED2431" w:rsidP="00FD1280">
      <w:pPr>
        <w:jc w:val="both"/>
        <w:rPr>
          <w:rFonts w:ascii="Arial" w:hAnsi="Arial" w:cs="Arial"/>
          <w:color w:val="000000"/>
        </w:rPr>
      </w:pPr>
      <w:r w:rsidRPr="00712E35">
        <w:rPr>
          <w:rFonts w:ascii="Arial" w:hAnsi="Arial" w:cs="Arial"/>
          <w:color w:val="000000"/>
          <w:u w:val="single"/>
        </w:rPr>
        <w:t>Regarding article 5, read alone and in conjunction with article 4</w:t>
      </w:r>
      <w:r w:rsidRPr="00712E35">
        <w:rPr>
          <w:rFonts w:ascii="Arial" w:hAnsi="Arial" w:cs="Arial"/>
          <w:color w:val="000000"/>
        </w:rPr>
        <w:t>, t</w:t>
      </w:r>
      <w:r w:rsidR="00C719D5" w:rsidRPr="00712E35">
        <w:rPr>
          <w:rFonts w:ascii="Arial" w:hAnsi="Arial" w:cs="Arial"/>
          <w:color w:val="000000"/>
        </w:rPr>
        <w:t xml:space="preserve">he author submits that, by being declared exempt from criminal liability and subject to </w:t>
      </w:r>
      <w:r w:rsidR="004A7758" w:rsidRPr="00712E35">
        <w:rPr>
          <w:rFonts w:ascii="Arial" w:hAnsi="Arial" w:cs="Arial"/>
          <w:color w:val="000000"/>
        </w:rPr>
        <w:t>a</w:t>
      </w:r>
      <w:r w:rsidR="00C719D5" w:rsidRPr="00712E35">
        <w:rPr>
          <w:rFonts w:ascii="Arial" w:hAnsi="Arial" w:cs="Arial"/>
          <w:color w:val="000000"/>
        </w:rPr>
        <w:t xml:space="preserve"> special procedure, he was a victim of discrimination on grounds of disability. He claims that he was excluded from the proceedings and was not given the opportunity to be heard by a court, to attend his own trial, to present evidence in his defence, to designate a defence counsel of his choice or to access the ordinary remedies provided for under criminal law, in particular the appeal. Also, that the security measure imposed on him was discriminatory</w:t>
      </w:r>
      <w:r w:rsidR="004A7758" w:rsidRPr="00712E35">
        <w:rPr>
          <w:rFonts w:ascii="Arial" w:hAnsi="Arial" w:cs="Arial"/>
          <w:color w:val="000000"/>
        </w:rPr>
        <w:t>, n</w:t>
      </w:r>
      <w:r w:rsidR="00C719D5" w:rsidRPr="00712E35">
        <w:rPr>
          <w:rFonts w:ascii="Arial" w:hAnsi="Arial" w:cs="Arial"/>
          <w:color w:val="000000"/>
        </w:rPr>
        <w:t xml:space="preserve">ot only </w:t>
      </w:r>
      <w:r w:rsidR="004A7758" w:rsidRPr="00712E35">
        <w:rPr>
          <w:rFonts w:ascii="Arial" w:hAnsi="Arial" w:cs="Arial"/>
          <w:color w:val="000000"/>
        </w:rPr>
        <w:t>because it was a</w:t>
      </w:r>
      <w:r w:rsidR="00C719D5" w:rsidRPr="00712E35">
        <w:rPr>
          <w:rFonts w:ascii="Arial" w:hAnsi="Arial" w:cs="Arial"/>
          <w:color w:val="000000"/>
        </w:rPr>
        <w:t xml:space="preserve"> criminal penalty, </w:t>
      </w:r>
      <w:r w:rsidR="004A7758" w:rsidRPr="00712E35">
        <w:rPr>
          <w:rFonts w:ascii="Arial" w:hAnsi="Arial" w:cs="Arial"/>
          <w:color w:val="000000"/>
        </w:rPr>
        <w:t xml:space="preserve">but also because </w:t>
      </w:r>
      <w:r w:rsidR="00C719D5" w:rsidRPr="00712E35">
        <w:rPr>
          <w:rFonts w:ascii="Arial" w:hAnsi="Arial" w:cs="Arial"/>
          <w:color w:val="000000"/>
        </w:rPr>
        <w:t>it consisted in psychiatric and drug treatment to which he was subjected involuntarily for being considered a danger to society. Because of his disability, he was denied access to early release despite meeting the legal requirements. He further claims that the State party failed to discharge its obligation to make the necessary accommodations he requested and to amend or repeal legislation that encourages discrimination against persons with disabilities</w:t>
      </w:r>
      <w:r w:rsidRPr="00712E35">
        <w:rPr>
          <w:rFonts w:ascii="Arial" w:hAnsi="Arial" w:cs="Arial"/>
          <w:color w:val="000000"/>
        </w:rPr>
        <w:t>.</w:t>
      </w:r>
    </w:p>
    <w:p w14:paraId="7A902657" w14:textId="071BCB26" w:rsidR="00ED2431" w:rsidRPr="00712E35" w:rsidRDefault="00ED2431" w:rsidP="00FD1280">
      <w:pPr>
        <w:jc w:val="both"/>
        <w:rPr>
          <w:rFonts w:ascii="Arial" w:hAnsi="Arial" w:cs="Arial"/>
          <w:color w:val="000000"/>
        </w:rPr>
      </w:pPr>
    </w:p>
    <w:p w14:paraId="34F64738" w14:textId="491881A5" w:rsidR="00ED2431" w:rsidRPr="00712E35" w:rsidRDefault="00ED2431" w:rsidP="00FD1280">
      <w:pPr>
        <w:jc w:val="both"/>
        <w:rPr>
          <w:rFonts w:ascii="Arial" w:hAnsi="Arial" w:cs="Arial"/>
          <w:color w:val="000000"/>
        </w:rPr>
      </w:pPr>
      <w:r w:rsidRPr="00712E35">
        <w:rPr>
          <w:rFonts w:ascii="Arial" w:hAnsi="Arial" w:cs="Arial"/>
          <w:color w:val="000000"/>
          <w:u w:val="single"/>
        </w:rPr>
        <w:t>Regarding the violation of article 9, read alone and in conjunction with article 4,</w:t>
      </w:r>
      <w:r w:rsidRPr="00712E35">
        <w:rPr>
          <w:rFonts w:ascii="Arial" w:hAnsi="Arial" w:cs="Arial"/>
          <w:color w:val="000000"/>
        </w:rPr>
        <w:t xml:space="preserve"> the author argues that the State party failed to meet its obligation to ensure access to information during judicial procedures. As things stand, no information is accessible for persons with </w:t>
      </w:r>
      <w:r w:rsidRPr="00712E35">
        <w:rPr>
          <w:rFonts w:ascii="Arial" w:hAnsi="Arial" w:cs="Arial"/>
          <w:color w:val="000000"/>
        </w:rPr>
        <w:lastRenderedPageBreak/>
        <w:t>disabilities regarding the course of judicial proceedings or the content of criminal laws. Furthermore, the State party has not adopted legislative, administrative or other measures to ensure the accessibility of information on proceedings involving persons with disabilities or to ensure communication between accused persons with disabilities and the judicial system since, as in his case, they are denied the right to attend their trial.</w:t>
      </w:r>
    </w:p>
    <w:p w14:paraId="4C326910" w14:textId="44F567A6" w:rsidR="00ED2431" w:rsidRPr="00712E35" w:rsidRDefault="00ED2431" w:rsidP="00FD1280">
      <w:pPr>
        <w:jc w:val="both"/>
        <w:rPr>
          <w:rFonts w:ascii="Arial" w:hAnsi="Arial" w:cs="Arial"/>
          <w:color w:val="000000"/>
        </w:rPr>
      </w:pPr>
    </w:p>
    <w:p w14:paraId="0656E32D" w14:textId="6EE0DEBA" w:rsidR="00ED2431" w:rsidRPr="00712E35" w:rsidRDefault="00ED2431" w:rsidP="00FD1280">
      <w:pPr>
        <w:jc w:val="both"/>
        <w:rPr>
          <w:rFonts w:ascii="Arial" w:hAnsi="Arial" w:cs="Arial"/>
          <w:color w:val="000000"/>
        </w:rPr>
      </w:pPr>
      <w:r w:rsidRPr="00712E35">
        <w:rPr>
          <w:rFonts w:ascii="Arial" w:hAnsi="Arial" w:cs="Arial"/>
          <w:color w:val="000000"/>
          <w:u w:val="single"/>
        </w:rPr>
        <w:t>Regarding the violation to article 12, read in conjunction with article 4</w:t>
      </w:r>
      <w:r w:rsidRPr="00712E35">
        <w:rPr>
          <w:rFonts w:ascii="Arial" w:hAnsi="Arial" w:cs="Arial"/>
          <w:color w:val="000000"/>
        </w:rPr>
        <w:t>, the author claims that his legal capacity was not recognized</w:t>
      </w:r>
      <w:r w:rsidR="0068569B" w:rsidRPr="00712E35">
        <w:rPr>
          <w:rFonts w:ascii="Arial" w:hAnsi="Arial" w:cs="Arial"/>
          <w:color w:val="000000"/>
        </w:rPr>
        <w:t xml:space="preserve"> and </w:t>
      </w:r>
      <w:r w:rsidRPr="00712E35">
        <w:rPr>
          <w:rFonts w:ascii="Arial" w:hAnsi="Arial" w:cs="Arial"/>
          <w:color w:val="000000"/>
        </w:rPr>
        <w:t xml:space="preserve">that procedural safeguards were violated because he was declared exempt from criminal liability and unfit to testify. Also, </w:t>
      </w:r>
      <w:r w:rsidR="0068569B" w:rsidRPr="00712E35">
        <w:rPr>
          <w:rFonts w:ascii="Arial" w:hAnsi="Arial" w:cs="Arial"/>
          <w:color w:val="000000"/>
        </w:rPr>
        <w:t>that the current criminal legislation and judicial practices allow that</w:t>
      </w:r>
      <w:r w:rsidRPr="00712E35">
        <w:rPr>
          <w:rFonts w:ascii="Arial" w:hAnsi="Arial" w:cs="Arial"/>
          <w:color w:val="000000"/>
        </w:rPr>
        <w:t xml:space="preserve"> persons with disabilities </w:t>
      </w:r>
      <w:r w:rsidR="0068569B" w:rsidRPr="00712E35">
        <w:rPr>
          <w:rFonts w:ascii="Arial" w:hAnsi="Arial" w:cs="Arial"/>
          <w:color w:val="000000"/>
        </w:rPr>
        <w:t>are</w:t>
      </w:r>
      <w:r w:rsidRPr="00712E35">
        <w:rPr>
          <w:rFonts w:ascii="Arial" w:hAnsi="Arial" w:cs="Arial"/>
          <w:color w:val="000000"/>
        </w:rPr>
        <w:t xml:space="preserve"> excluded from proceedings because they are considered unfit to stand trial.</w:t>
      </w:r>
    </w:p>
    <w:p w14:paraId="43CD87CC" w14:textId="3EDF6B43" w:rsidR="0068569B" w:rsidRPr="00712E35" w:rsidRDefault="0068569B" w:rsidP="00FD1280">
      <w:pPr>
        <w:jc w:val="both"/>
        <w:rPr>
          <w:rFonts w:ascii="Arial" w:hAnsi="Arial" w:cs="Arial"/>
          <w:color w:val="000000"/>
        </w:rPr>
      </w:pPr>
    </w:p>
    <w:p w14:paraId="7566A030" w14:textId="081E2F50" w:rsidR="00731E8E" w:rsidRPr="00712E35" w:rsidRDefault="0068569B" w:rsidP="00FD1280">
      <w:pPr>
        <w:jc w:val="both"/>
        <w:rPr>
          <w:rFonts w:ascii="Arial" w:hAnsi="Arial" w:cs="Arial"/>
          <w:color w:val="000000"/>
        </w:rPr>
      </w:pPr>
      <w:r w:rsidRPr="00712E35">
        <w:rPr>
          <w:rFonts w:ascii="Arial" w:hAnsi="Arial" w:cs="Arial"/>
          <w:color w:val="000000"/>
          <w:u w:val="single"/>
        </w:rPr>
        <w:t>Regarding the violation to article 13, read in conjunction with article 4</w:t>
      </w:r>
      <w:r w:rsidRPr="00712E35">
        <w:rPr>
          <w:rFonts w:ascii="Arial" w:hAnsi="Arial" w:cs="Arial"/>
          <w:color w:val="000000"/>
        </w:rPr>
        <w:t>, the author claims that by being excluded from his own procedure</w:t>
      </w:r>
      <w:r w:rsidR="00731E8E" w:rsidRPr="00712E35">
        <w:rPr>
          <w:rFonts w:ascii="Arial" w:hAnsi="Arial" w:cs="Arial"/>
          <w:color w:val="000000"/>
        </w:rPr>
        <w:t xml:space="preserve"> resulted in a violation to his right to access justice. He also notes that the centre where he was institutionalized lacks an area for confidential communications between inmates and their lawyers. Also, that he was never read the documents related to the judicial proceedings nor received a simplified version to help him understand them better; the accommodation measures he needed in order to express himself were not taken either.</w:t>
      </w:r>
    </w:p>
    <w:p w14:paraId="0909BC46" w14:textId="55888359" w:rsidR="00731E8E" w:rsidRPr="00712E35" w:rsidRDefault="00731E8E" w:rsidP="00FD1280">
      <w:pPr>
        <w:jc w:val="both"/>
        <w:rPr>
          <w:rFonts w:ascii="Arial" w:hAnsi="Arial" w:cs="Arial"/>
          <w:color w:val="000000"/>
        </w:rPr>
      </w:pPr>
    </w:p>
    <w:p w14:paraId="35EC9E1C" w14:textId="56BFC650" w:rsidR="00731E8E" w:rsidRPr="00712E35" w:rsidRDefault="00731E8E" w:rsidP="00FD1280">
      <w:pPr>
        <w:jc w:val="both"/>
        <w:rPr>
          <w:rFonts w:ascii="Arial" w:hAnsi="Arial" w:cs="Arial"/>
          <w:color w:val="000000"/>
        </w:rPr>
      </w:pPr>
      <w:r w:rsidRPr="00712E35">
        <w:rPr>
          <w:rFonts w:ascii="Arial" w:hAnsi="Arial" w:cs="Arial"/>
          <w:color w:val="000000"/>
          <w:u w:val="single"/>
        </w:rPr>
        <w:t>Regarding the violation to article 14, read in conjunction with article 4</w:t>
      </w:r>
      <w:r w:rsidRPr="00712E35">
        <w:rPr>
          <w:rFonts w:ascii="Arial" w:hAnsi="Arial" w:cs="Arial"/>
          <w:color w:val="000000"/>
        </w:rPr>
        <w:t xml:space="preserve">, </w:t>
      </w:r>
      <w:r w:rsidR="000C0D8E" w:rsidRPr="00712E35">
        <w:rPr>
          <w:rFonts w:ascii="Arial" w:hAnsi="Arial" w:cs="Arial"/>
          <w:color w:val="000000"/>
        </w:rPr>
        <w:t xml:space="preserve">the author claims that the imposition of the security measure consisting of temporary committal, from the time of his arrest, for the purpose of medical treatment, as well as the security measure consisting of committal once he was found guilty of the offence of theft, constitute a violation of article 14, read in conjunction with article 4, of the CRPD. Also, that </w:t>
      </w:r>
      <w:r w:rsidRPr="00712E35">
        <w:rPr>
          <w:rFonts w:ascii="Arial" w:hAnsi="Arial" w:cs="Arial"/>
          <w:color w:val="000000"/>
        </w:rPr>
        <w:t xml:space="preserve">he was tried without the benefit of procedural safeguards. He refers to the Committee’s concluding observations of September 2014, in which it expressed concern about persons with disabilities being declared exempt from criminal liability and the absence of procedural </w:t>
      </w:r>
      <w:r w:rsidR="000C0D8E" w:rsidRPr="00712E35">
        <w:rPr>
          <w:rFonts w:ascii="Arial" w:hAnsi="Arial" w:cs="Arial"/>
          <w:color w:val="000000"/>
        </w:rPr>
        <w:t>safeguards and</w:t>
      </w:r>
      <w:r w:rsidRPr="00712E35">
        <w:rPr>
          <w:rFonts w:ascii="Arial" w:hAnsi="Arial" w:cs="Arial"/>
          <w:color w:val="000000"/>
        </w:rPr>
        <w:t xml:space="preserve"> requested the State party to eliminate security measures involving forced medical treatment</w:t>
      </w:r>
      <w:r w:rsidR="000C0D8E" w:rsidRPr="00712E35">
        <w:rPr>
          <w:rFonts w:ascii="Arial" w:hAnsi="Arial" w:cs="Arial"/>
          <w:color w:val="000000"/>
        </w:rPr>
        <w:t>.</w:t>
      </w:r>
      <w:r w:rsidR="000C0D8E" w:rsidRPr="00712E35">
        <w:rPr>
          <w:rStyle w:val="FootnoteReference"/>
          <w:rFonts w:ascii="Arial" w:hAnsi="Arial" w:cs="Arial"/>
          <w:color w:val="000000"/>
          <w:sz w:val="24"/>
        </w:rPr>
        <w:footnoteReference w:id="2"/>
      </w:r>
      <w:r w:rsidRPr="00712E35">
        <w:rPr>
          <w:rFonts w:ascii="Arial" w:hAnsi="Arial" w:cs="Arial"/>
          <w:color w:val="000000"/>
        </w:rPr>
        <w:t xml:space="preserve"> </w:t>
      </w:r>
    </w:p>
    <w:p w14:paraId="517A56E3" w14:textId="77777777" w:rsidR="00731E8E" w:rsidRPr="00712E35" w:rsidRDefault="00731E8E" w:rsidP="00FD1280">
      <w:pPr>
        <w:jc w:val="both"/>
        <w:rPr>
          <w:rFonts w:ascii="Arial" w:hAnsi="Arial" w:cs="Arial"/>
        </w:rPr>
      </w:pPr>
    </w:p>
    <w:p w14:paraId="28E34DE9" w14:textId="59D5F9E8" w:rsidR="000C0D8E" w:rsidRPr="00712E35" w:rsidRDefault="000C0D8E" w:rsidP="00FD1280">
      <w:pPr>
        <w:jc w:val="both"/>
        <w:rPr>
          <w:rFonts w:ascii="Arial" w:hAnsi="Arial" w:cs="Arial"/>
          <w:color w:val="000000"/>
        </w:rPr>
      </w:pPr>
      <w:r w:rsidRPr="00712E35">
        <w:rPr>
          <w:rFonts w:ascii="Arial" w:hAnsi="Arial" w:cs="Arial"/>
          <w:color w:val="000000"/>
        </w:rPr>
        <w:t xml:space="preserve">Additionally, the author claims that the current criminal legislation violates </w:t>
      </w:r>
      <w:r w:rsidRPr="00712E35">
        <w:rPr>
          <w:rFonts w:ascii="Arial" w:hAnsi="Arial" w:cs="Arial"/>
          <w:color w:val="000000"/>
          <w:u w:val="single"/>
        </w:rPr>
        <w:t>article 19, read in conjunction with article 4</w:t>
      </w:r>
      <w:r w:rsidRPr="00712E35">
        <w:rPr>
          <w:rFonts w:ascii="Arial" w:hAnsi="Arial" w:cs="Arial"/>
          <w:color w:val="000000"/>
        </w:rPr>
        <w:t>, as it establishes that persons exempt from criminal liability must be “handed over” to the person who, by law, must take responsibility for them. Thus, when the author completes his sentence, his mother will have to come to the men’s psychosocial rehabilitation centre for him to be released. Otherwise, he will not be released. Furthermore, the author argues that, by denying him early release, the State party has prevented him from accessing community services that would promote his development and inclusion, in breach of article 19 of the CRPD. He also noted that persons with disabilities who complete their sentences face a double stigma: being considered as “delinquents” but also as “dangerous” and “unfit”.</w:t>
      </w:r>
    </w:p>
    <w:p w14:paraId="00E12867" w14:textId="10B8D842" w:rsidR="000C0D8E" w:rsidRPr="00712E35" w:rsidRDefault="000C0D8E" w:rsidP="00FD1280">
      <w:pPr>
        <w:jc w:val="both"/>
        <w:rPr>
          <w:rFonts w:ascii="Arial" w:hAnsi="Arial" w:cs="Arial"/>
          <w:color w:val="000000"/>
        </w:rPr>
      </w:pPr>
    </w:p>
    <w:p w14:paraId="3E334802" w14:textId="39FF711C" w:rsidR="00B9024B" w:rsidRPr="00712E35" w:rsidRDefault="000C0D8E" w:rsidP="00FD1280">
      <w:pPr>
        <w:jc w:val="both"/>
        <w:rPr>
          <w:rFonts w:ascii="Arial" w:hAnsi="Arial" w:cs="Arial"/>
          <w:color w:val="000000"/>
        </w:rPr>
      </w:pPr>
      <w:r w:rsidRPr="00712E35">
        <w:rPr>
          <w:rFonts w:ascii="Arial" w:hAnsi="Arial" w:cs="Arial"/>
          <w:color w:val="000000"/>
        </w:rPr>
        <w:t xml:space="preserve">The author requested the Committee to </w:t>
      </w:r>
      <w:r w:rsidR="00B9024B" w:rsidRPr="00712E35">
        <w:rPr>
          <w:rFonts w:ascii="Arial" w:hAnsi="Arial" w:cs="Arial"/>
          <w:color w:val="000000"/>
        </w:rPr>
        <w:t xml:space="preserve">declare a violation to the above-mentioned articles of the CRPD, as well as: (a) a public acknowledgement in the media that the State party violated his rights; (b) a public apology from the President of the High Court of </w:t>
      </w:r>
      <w:r w:rsidR="00B9024B" w:rsidRPr="00712E35">
        <w:rPr>
          <w:rFonts w:ascii="Arial" w:hAnsi="Arial" w:cs="Arial"/>
          <w:color w:val="000000"/>
        </w:rPr>
        <w:lastRenderedPageBreak/>
        <w:t>Justice of the Federal District, the Ninth Criminal Court and the clerk responsible for handling his case for considering him “unfit”, for convicting him with no regard for the fundamental safeguards of due process and for the systematic discrimination he experienced during the proceedings; (c) compensation for the time he spent unjustly deprived of liberty; (d) a plan, in keeping with the principles of the CRPD, to enable him to access inclusive education, inclusive recreational activities and job training, and a decently paid job of his choosing; (e) guarantees of non-repetition, including the amendment of current legislation on exemption from criminal liability and the related special procedure with a view to harmonizing it with the CRPD; a ban on denying the legal capacity of persons with disabilities facing trial until the National Code of Criminal Procedure enters into force; and the roll-out of training and awareness-raising campaigns on the rights of persons with disabilities aimed at the judicial authorities, the judiciary, public defenders and public prosecutors.</w:t>
      </w:r>
    </w:p>
    <w:p w14:paraId="1596272B" w14:textId="1CF4810F" w:rsidR="00ED2431" w:rsidRPr="00712E35" w:rsidRDefault="00A71D79" w:rsidP="00FD1280">
      <w:pPr>
        <w:spacing w:before="100" w:beforeAutospacing="1" w:after="100" w:afterAutospacing="1"/>
        <w:jc w:val="both"/>
        <w:outlineLvl w:val="2"/>
        <w:rPr>
          <w:rFonts w:ascii="Arial" w:hAnsi="Arial" w:cs="Arial"/>
          <w:b/>
          <w:bCs/>
          <w:color w:val="000000"/>
        </w:rPr>
      </w:pPr>
      <w:r w:rsidRPr="00712E35">
        <w:rPr>
          <w:rFonts w:ascii="Arial" w:hAnsi="Arial" w:cs="Arial"/>
          <w:b/>
          <w:bCs/>
          <w:color w:val="000000"/>
        </w:rPr>
        <w:t>State party’s observations</w:t>
      </w:r>
    </w:p>
    <w:p w14:paraId="451F88E4" w14:textId="07708208" w:rsidR="00ED2431" w:rsidRPr="00712E35" w:rsidRDefault="00D06DB4" w:rsidP="00FD1280">
      <w:pPr>
        <w:jc w:val="both"/>
        <w:rPr>
          <w:rFonts w:ascii="Arial" w:hAnsi="Arial" w:cs="Arial"/>
        </w:rPr>
      </w:pPr>
      <w:r w:rsidRPr="00712E35">
        <w:rPr>
          <w:rFonts w:ascii="Arial" w:hAnsi="Arial" w:cs="Arial"/>
        </w:rPr>
        <w:t>T</w:t>
      </w:r>
      <w:r w:rsidR="00A71D79" w:rsidRPr="00712E35">
        <w:rPr>
          <w:rFonts w:ascii="Arial" w:hAnsi="Arial" w:cs="Arial"/>
        </w:rPr>
        <w:t xml:space="preserve">he State party requested that that the admissibility of the communication was considered separately from the merits, under rule 70(5) of the Committee’s rules of procedures. </w:t>
      </w:r>
    </w:p>
    <w:p w14:paraId="278F53F3" w14:textId="40945F6E" w:rsidR="00A71D79" w:rsidRPr="00712E35" w:rsidRDefault="00A71D79" w:rsidP="00FD1280">
      <w:pPr>
        <w:jc w:val="both"/>
        <w:rPr>
          <w:rFonts w:ascii="Arial" w:hAnsi="Arial" w:cs="Arial"/>
        </w:rPr>
      </w:pPr>
    </w:p>
    <w:p w14:paraId="0F66FC49" w14:textId="77777777" w:rsidR="00D06DB4" w:rsidRPr="00712E35" w:rsidRDefault="00D06DB4" w:rsidP="00FD1280">
      <w:pPr>
        <w:jc w:val="both"/>
        <w:rPr>
          <w:rFonts w:ascii="Arial" w:hAnsi="Arial" w:cs="Arial"/>
          <w:color w:val="000000"/>
        </w:rPr>
      </w:pPr>
      <w:r w:rsidRPr="00712E35">
        <w:rPr>
          <w:rFonts w:ascii="Arial" w:hAnsi="Arial" w:cs="Arial"/>
          <w:u w:val="single"/>
        </w:rPr>
        <w:t>Regarding the admissibility</w:t>
      </w:r>
      <w:r w:rsidRPr="00712E35">
        <w:rPr>
          <w:rFonts w:ascii="Arial" w:hAnsi="Arial" w:cs="Arial"/>
        </w:rPr>
        <w:t>, t</w:t>
      </w:r>
      <w:r w:rsidR="00A71D79" w:rsidRPr="00712E35">
        <w:rPr>
          <w:rFonts w:ascii="Arial" w:hAnsi="Arial" w:cs="Arial"/>
        </w:rPr>
        <w:t xml:space="preserve">he State submitted that the communication was inadmissible because the author did not exhaust the domestic remedies despite having full access to them. Also, that the domestic courts had not found that the author’s rights were violated. The State affirmed that the special procedure for persons exempt from criminal liability was not conducted differently than a regular criminal process, because of his disability; he was provided with the necessary tools to make it easier for him to follow the proceedings, thereby, </w:t>
      </w:r>
      <w:r w:rsidR="00A71D79" w:rsidRPr="00712E35">
        <w:rPr>
          <w:rFonts w:ascii="Arial" w:hAnsi="Arial" w:cs="Arial"/>
          <w:color w:val="000000"/>
        </w:rPr>
        <w:t>affording him the same rights and legal capacity as any person involved in a judicial procedure.</w:t>
      </w:r>
    </w:p>
    <w:p w14:paraId="19B4F1DF" w14:textId="77777777" w:rsidR="00D06DB4" w:rsidRPr="00712E35" w:rsidRDefault="00D06DB4" w:rsidP="00FD1280">
      <w:pPr>
        <w:jc w:val="both"/>
        <w:rPr>
          <w:rFonts w:ascii="Arial" w:hAnsi="Arial" w:cs="Arial"/>
          <w:color w:val="000000"/>
        </w:rPr>
      </w:pPr>
    </w:p>
    <w:p w14:paraId="0562B802" w14:textId="1D4D7FB2" w:rsidR="006F182C" w:rsidRPr="00712E35" w:rsidRDefault="00A71D79" w:rsidP="00FD1280">
      <w:pPr>
        <w:jc w:val="both"/>
        <w:rPr>
          <w:rFonts w:ascii="Arial" w:hAnsi="Arial" w:cs="Arial"/>
        </w:rPr>
      </w:pPr>
      <w:r w:rsidRPr="00712E35">
        <w:rPr>
          <w:rFonts w:ascii="Arial" w:hAnsi="Arial" w:cs="Arial"/>
        </w:rPr>
        <w:t xml:space="preserve">The State party argued that the author did not seek </w:t>
      </w:r>
      <w:r w:rsidRPr="00712E35">
        <w:rPr>
          <w:rFonts w:ascii="Arial" w:hAnsi="Arial" w:cs="Arial"/>
          <w:color w:val="000000"/>
        </w:rPr>
        <w:t xml:space="preserve">the appropriate remedy to address his grievances insofar as he did not appeal the judgment of 5 December 2011, and that the </w:t>
      </w:r>
      <w:r w:rsidRPr="00712E35">
        <w:rPr>
          <w:rFonts w:ascii="Arial" w:hAnsi="Arial" w:cs="Arial"/>
          <w:i/>
          <w:iCs/>
          <w:color w:val="000000"/>
        </w:rPr>
        <w:t xml:space="preserve">amparo </w:t>
      </w:r>
      <w:proofErr w:type="spellStart"/>
      <w:r w:rsidRPr="00712E35">
        <w:rPr>
          <w:rFonts w:ascii="Arial" w:hAnsi="Arial" w:cs="Arial"/>
          <w:i/>
          <w:iCs/>
          <w:color w:val="000000"/>
        </w:rPr>
        <w:t>directo</w:t>
      </w:r>
      <w:proofErr w:type="spellEnd"/>
      <w:r w:rsidRPr="00712E35">
        <w:rPr>
          <w:rFonts w:ascii="Arial" w:hAnsi="Arial" w:cs="Arial"/>
          <w:color w:val="000000"/>
        </w:rPr>
        <w:t xml:space="preserve"> proceeding was clearly inadmissible because the author did not </w:t>
      </w:r>
      <w:r w:rsidR="00D06DB4" w:rsidRPr="00712E35">
        <w:rPr>
          <w:rFonts w:ascii="Arial" w:hAnsi="Arial" w:cs="Arial"/>
          <w:color w:val="000000"/>
        </w:rPr>
        <w:t>file</w:t>
      </w:r>
      <w:r w:rsidRPr="00712E35">
        <w:rPr>
          <w:rFonts w:ascii="Arial" w:hAnsi="Arial" w:cs="Arial"/>
          <w:color w:val="000000"/>
        </w:rPr>
        <w:t xml:space="preserve"> an appeal against the Criminal Court’s decision. According to the State, even after the District Court</w:t>
      </w:r>
      <w:r w:rsidR="00D06DB4" w:rsidRPr="00712E35">
        <w:rPr>
          <w:rFonts w:ascii="Arial" w:hAnsi="Arial" w:cs="Arial"/>
          <w:color w:val="000000"/>
        </w:rPr>
        <w:t>’s decision of 29 June 2015, the author did not file the corresponding appeal</w:t>
      </w:r>
      <w:r w:rsidR="006F182C" w:rsidRPr="00712E35">
        <w:rPr>
          <w:rFonts w:ascii="Arial" w:hAnsi="Arial" w:cs="Arial"/>
          <w:color w:val="000000"/>
        </w:rPr>
        <w:t>, despite on 23 July 2015, the Criminal Court notified the author’s legal representative of the final judgment of 5 December 2011 at the address listed in the case file.</w:t>
      </w:r>
      <w:r w:rsidR="00D06DB4" w:rsidRPr="00712E35">
        <w:rPr>
          <w:rFonts w:ascii="Arial" w:hAnsi="Arial" w:cs="Arial"/>
          <w:color w:val="000000"/>
        </w:rPr>
        <w:t xml:space="preserve"> </w:t>
      </w:r>
      <w:r w:rsidRPr="00712E35">
        <w:rPr>
          <w:rFonts w:ascii="Arial" w:hAnsi="Arial" w:cs="Arial"/>
          <w:color w:val="000000"/>
        </w:rPr>
        <w:t>Therefore, on 5 August 2015, the </w:t>
      </w:r>
      <w:r w:rsidR="00D06DB4" w:rsidRPr="00712E35">
        <w:rPr>
          <w:rFonts w:ascii="Arial" w:hAnsi="Arial" w:cs="Arial"/>
          <w:color w:val="000000"/>
        </w:rPr>
        <w:t>sentence</w:t>
      </w:r>
      <w:r w:rsidRPr="00712E35">
        <w:rPr>
          <w:rFonts w:ascii="Arial" w:hAnsi="Arial" w:cs="Arial"/>
          <w:color w:val="000000"/>
        </w:rPr>
        <w:t xml:space="preserve"> was held to have been enforced, given that the author’s grievances had been addressed. </w:t>
      </w:r>
      <w:r w:rsidR="00D06DB4" w:rsidRPr="00712E35">
        <w:rPr>
          <w:rFonts w:ascii="Arial" w:hAnsi="Arial" w:cs="Arial"/>
          <w:color w:val="000000"/>
        </w:rPr>
        <w:t>The</w:t>
      </w:r>
      <w:r w:rsidRPr="00712E35">
        <w:rPr>
          <w:rFonts w:ascii="Arial" w:hAnsi="Arial" w:cs="Arial"/>
          <w:color w:val="000000"/>
        </w:rPr>
        <w:t xml:space="preserve"> author did not file an objection against the decision of 5 August 2015 which held that the </w:t>
      </w:r>
      <w:r w:rsidRPr="00712E35">
        <w:rPr>
          <w:rFonts w:ascii="Arial" w:hAnsi="Arial" w:cs="Arial"/>
          <w:i/>
          <w:iCs/>
          <w:color w:val="000000"/>
        </w:rPr>
        <w:t>amparo</w:t>
      </w:r>
      <w:r w:rsidRPr="00712E35">
        <w:rPr>
          <w:rFonts w:ascii="Arial" w:hAnsi="Arial" w:cs="Arial"/>
          <w:color w:val="000000"/>
        </w:rPr>
        <w:t> decision had been enforced in accordance with the </w:t>
      </w:r>
      <w:r w:rsidRPr="00712E35">
        <w:rPr>
          <w:rFonts w:ascii="Arial" w:hAnsi="Arial" w:cs="Arial"/>
          <w:i/>
          <w:iCs/>
          <w:color w:val="000000"/>
        </w:rPr>
        <w:t>Amparo</w:t>
      </w:r>
      <w:r w:rsidRPr="00712E35">
        <w:rPr>
          <w:rFonts w:ascii="Arial" w:hAnsi="Arial" w:cs="Arial"/>
          <w:color w:val="000000"/>
        </w:rPr>
        <w:t> Ac</w:t>
      </w:r>
      <w:r w:rsidR="00D06DB4" w:rsidRPr="00712E35">
        <w:rPr>
          <w:rFonts w:ascii="Arial" w:hAnsi="Arial" w:cs="Arial"/>
          <w:color w:val="000000"/>
        </w:rPr>
        <w:t xml:space="preserve">t. </w:t>
      </w:r>
    </w:p>
    <w:p w14:paraId="17B837E9" w14:textId="1145AA95" w:rsidR="00D06DB4" w:rsidRPr="00712E35" w:rsidRDefault="00D06DB4" w:rsidP="00FD1280">
      <w:pPr>
        <w:jc w:val="both"/>
        <w:rPr>
          <w:rFonts w:ascii="Arial" w:hAnsi="Arial" w:cs="Arial"/>
          <w:color w:val="000000"/>
        </w:rPr>
      </w:pPr>
    </w:p>
    <w:p w14:paraId="67BFA8F5" w14:textId="4C3252A7" w:rsidR="00D06DB4" w:rsidRPr="00712E35" w:rsidRDefault="00D06DB4" w:rsidP="00FD1280">
      <w:pPr>
        <w:jc w:val="both"/>
        <w:rPr>
          <w:rFonts w:ascii="Arial" w:hAnsi="Arial" w:cs="Arial"/>
        </w:rPr>
      </w:pPr>
      <w:r w:rsidRPr="00712E35">
        <w:rPr>
          <w:rFonts w:ascii="Arial" w:hAnsi="Arial" w:cs="Arial"/>
          <w:color w:val="000000"/>
        </w:rPr>
        <w:t>The State party added that the author did not exhaust domestic remedies with regard to the Criminal Court’s denial of his request to designate private lawyers of his own choosing, as the author had the opportunity to file an incidental motion, after which, in the event that the decision went against him, he could have filed an appeal, followed by an indirect </w:t>
      </w:r>
      <w:r w:rsidRPr="00712E35">
        <w:rPr>
          <w:rFonts w:ascii="Arial" w:hAnsi="Arial" w:cs="Arial"/>
          <w:i/>
          <w:iCs/>
          <w:color w:val="000000"/>
        </w:rPr>
        <w:t>amparo</w:t>
      </w:r>
      <w:r w:rsidRPr="00712E35">
        <w:rPr>
          <w:rFonts w:ascii="Arial" w:hAnsi="Arial" w:cs="Arial"/>
          <w:color w:val="000000"/>
        </w:rPr>
        <w:t> petition. The State party adds that the author’s mother had not exhausted available domestic remedies either.</w:t>
      </w:r>
    </w:p>
    <w:p w14:paraId="67B08177" w14:textId="40D7BD8E" w:rsidR="00D06DB4" w:rsidRPr="00712E35" w:rsidRDefault="00D06DB4" w:rsidP="00FD1280">
      <w:pPr>
        <w:spacing w:before="100" w:beforeAutospacing="1" w:after="100" w:afterAutospacing="1"/>
        <w:jc w:val="both"/>
        <w:rPr>
          <w:rFonts w:ascii="Arial" w:hAnsi="Arial" w:cs="Arial"/>
          <w:color w:val="000000"/>
        </w:rPr>
      </w:pPr>
      <w:r w:rsidRPr="00712E35">
        <w:rPr>
          <w:rFonts w:ascii="Arial" w:hAnsi="Arial" w:cs="Arial"/>
          <w:color w:val="000000"/>
          <w:u w:val="single"/>
        </w:rPr>
        <w:lastRenderedPageBreak/>
        <w:t>Concerning the merits</w:t>
      </w:r>
      <w:r w:rsidRPr="00712E35">
        <w:rPr>
          <w:rFonts w:ascii="Arial" w:hAnsi="Arial" w:cs="Arial"/>
          <w:color w:val="000000"/>
        </w:rPr>
        <w:t>, the State party noted that the decision to apply the special procedure to the author was correct as the decision was based on medical certificates provided by his relatives, his medical history and medical reports produced by specialists in the field. These steps were taken to provide the author with the most appropriate measures to ensure his access to justice on an equal basis with others.</w:t>
      </w:r>
    </w:p>
    <w:p w14:paraId="7963A923" w14:textId="0F3AD9C2" w:rsidR="00D06DB4" w:rsidRPr="00712E35" w:rsidRDefault="00D06DB4" w:rsidP="00FD1280">
      <w:pPr>
        <w:spacing w:before="100" w:beforeAutospacing="1" w:after="100" w:afterAutospacing="1"/>
        <w:jc w:val="both"/>
        <w:rPr>
          <w:rFonts w:ascii="Arial" w:hAnsi="Arial" w:cs="Arial"/>
          <w:color w:val="000000"/>
        </w:rPr>
      </w:pPr>
      <w:r w:rsidRPr="00712E35">
        <w:rPr>
          <w:rFonts w:ascii="Arial" w:hAnsi="Arial" w:cs="Arial"/>
          <w:color w:val="000000"/>
        </w:rPr>
        <w:t>The State party argued that the committal to an institution of persons with disabilities is designed to ensure that they have access to justice on an equal basis with others, including through procedural accommodations. In the present case, the medical reports showed that he had an antisocial personality disorder and probable “slight mental retardation” and is, therefore, unfit to testify. The judge determined that the author was accountable to society for committing aggravated theft and ordered his committal to a facility where he would be provided with appropriate treatment for four years. That committal to a psychiatric institution and the assignment of a public defender met the standards of the Convention and other international legal instruments, according to the State.</w:t>
      </w:r>
    </w:p>
    <w:p w14:paraId="01DB2B98" w14:textId="3274448C" w:rsidR="006F182C" w:rsidRPr="00712E35" w:rsidRDefault="00D06DB4" w:rsidP="00FD1280">
      <w:pPr>
        <w:spacing w:before="100" w:beforeAutospacing="1" w:after="100" w:afterAutospacing="1"/>
        <w:jc w:val="both"/>
        <w:rPr>
          <w:rFonts w:ascii="Arial" w:hAnsi="Arial" w:cs="Arial"/>
          <w:color w:val="000000"/>
        </w:rPr>
      </w:pPr>
      <w:r w:rsidRPr="00712E35">
        <w:rPr>
          <w:rFonts w:ascii="Arial" w:hAnsi="Arial" w:cs="Arial"/>
          <w:color w:val="000000"/>
        </w:rPr>
        <w:t xml:space="preserve">The State party submitted that the special procedure was applied to the author based on his ability to understand the unlawfulness of the act he had committed, which did not imply that any determination was made regarding his legal capacity. In addition, he was assigned a guardian, in this case the court-appointed defence lawyer, to assist him. This was done to facilitate the access to justice of a person who has legal capacity but has difficulty understanding the unlawfulness of the act committed by giving him the means to defend himself. The defence lawyer submitted evidence, </w:t>
      </w:r>
      <w:proofErr w:type="gramStart"/>
      <w:r w:rsidRPr="00712E35">
        <w:rPr>
          <w:rFonts w:ascii="Arial" w:hAnsi="Arial" w:cs="Arial"/>
          <w:color w:val="000000"/>
        </w:rPr>
        <w:t>arguments</w:t>
      </w:r>
      <w:proofErr w:type="gramEnd"/>
      <w:r w:rsidRPr="00712E35">
        <w:rPr>
          <w:rFonts w:ascii="Arial" w:hAnsi="Arial" w:cs="Arial"/>
          <w:color w:val="000000"/>
        </w:rPr>
        <w:t xml:space="preserve"> and motions on behalf of the author. On </w:t>
      </w:r>
      <w:proofErr w:type="gramStart"/>
      <w:r w:rsidRPr="00712E35">
        <w:rPr>
          <w:rFonts w:ascii="Arial" w:hAnsi="Arial" w:cs="Arial"/>
          <w:color w:val="000000"/>
        </w:rPr>
        <w:t>a number of</w:t>
      </w:r>
      <w:proofErr w:type="gramEnd"/>
      <w:r w:rsidRPr="00712E35">
        <w:rPr>
          <w:rFonts w:ascii="Arial" w:hAnsi="Arial" w:cs="Arial"/>
          <w:color w:val="000000"/>
        </w:rPr>
        <w:t xml:space="preserve"> occasions, he informed the author and his relatives of the status of the proceedings. Furthermore, the author sought various remedies through both his private lawyers and the court-appointed lawyer. Therefore, the State party submitted that the special procedure was appropriate for giving the author access to justice on an equal basis with others.</w:t>
      </w:r>
      <w:r w:rsidR="006F182C" w:rsidRPr="00712E35">
        <w:rPr>
          <w:rFonts w:ascii="Arial" w:hAnsi="Arial" w:cs="Arial"/>
          <w:color w:val="000000"/>
        </w:rPr>
        <w:t xml:space="preserve"> Moreover, the State argued that treating the author under the special procedure for persons exempt from criminal liability did not mean his legal capacity was revoked. For this to happen, interdiction proceedings must be initiated under the Code of Civil Procedure, which was not done in the present case.</w:t>
      </w:r>
    </w:p>
    <w:p w14:paraId="29ABC79C" w14:textId="7F8E490F" w:rsidR="00D06DB4" w:rsidRPr="00712E35" w:rsidRDefault="00D06DB4" w:rsidP="00FD1280">
      <w:pPr>
        <w:spacing w:before="100" w:beforeAutospacing="1" w:after="100" w:afterAutospacing="1"/>
        <w:jc w:val="both"/>
        <w:rPr>
          <w:rFonts w:ascii="Arial" w:hAnsi="Arial" w:cs="Arial"/>
          <w:color w:val="000000"/>
        </w:rPr>
      </w:pPr>
      <w:r w:rsidRPr="00712E35">
        <w:rPr>
          <w:rFonts w:ascii="Arial" w:hAnsi="Arial" w:cs="Arial"/>
          <w:color w:val="000000"/>
        </w:rPr>
        <w:t xml:space="preserve"> Finally, the State requested the Committee to find that the author’s rights were not violated.</w:t>
      </w:r>
    </w:p>
    <w:p w14:paraId="31ED0E22" w14:textId="1095BA17" w:rsidR="00D06DB4" w:rsidRPr="00712E35" w:rsidRDefault="00D06DB4" w:rsidP="00FD1280">
      <w:pPr>
        <w:pStyle w:val="Heading3"/>
        <w:jc w:val="both"/>
        <w:rPr>
          <w:rFonts w:ascii="Arial" w:hAnsi="Arial" w:cs="Arial"/>
          <w:color w:val="000000"/>
          <w:sz w:val="24"/>
          <w:szCs w:val="24"/>
        </w:rPr>
      </w:pPr>
      <w:r w:rsidRPr="00712E35">
        <w:rPr>
          <w:rFonts w:ascii="Arial" w:hAnsi="Arial" w:cs="Arial"/>
          <w:color w:val="000000"/>
          <w:sz w:val="24"/>
          <w:szCs w:val="24"/>
        </w:rPr>
        <w:t>Authors’ comments on the State party’s observations</w:t>
      </w:r>
    </w:p>
    <w:p w14:paraId="485168F6" w14:textId="1E3F41AA" w:rsidR="003756A3" w:rsidRPr="00712E35" w:rsidRDefault="003756A3" w:rsidP="00FD1280">
      <w:pPr>
        <w:jc w:val="both"/>
        <w:rPr>
          <w:rFonts w:ascii="Arial" w:hAnsi="Arial" w:cs="Arial"/>
          <w:color w:val="000000"/>
        </w:rPr>
      </w:pPr>
      <w:r w:rsidRPr="00712E35">
        <w:rPr>
          <w:rFonts w:ascii="Arial" w:hAnsi="Arial" w:cs="Arial"/>
          <w:color w:val="000000"/>
        </w:rPr>
        <w:t>The author claimed that the remedies that the State party considers appropriate are not effective insofar as the lack of recognition of his legal capacity prevented him from accessing justice on an equal basis with others.</w:t>
      </w:r>
    </w:p>
    <w:p w14:paraId="7BC6E5A7" w14:textId="18654223" w:rsidR="003756A3" w:rsidRPr="00712E35" w:rsidRDefault="003756A3" w:rsidP="00FD1280">
      <w:pPr>
        <w:jc w:val="both"/>
        <w:rPr>
          <w:rFonts w:ascii="Arial" w:hAnsi="Arial" w:cs="Arial"/>
          <w:color w:val="000000"/>
        </w:rPr>
      </w:pPr>
    </w:p>
    <w:p w14:paraId="501C641E" w14:textId="053FDDA3" w:rsidR="003756A3" w:rsidRPr="00712E35" w:rsidRDefault="003756A3" w:rsidP="00FD1280">
      <w:pPr>
        <w:jc w:val="both"/>
        <w:rPr>
          <w:rFonts w:ascii="Arial" w:hAnsi="Arial" w:cs="Arial"/>
          <w:color w:val="000000"/>
        </w:rPr>
      </w:pPr>
      <w:r w:rsidRPr="00712E35">
        <w:rPr>
          <w:rFonts w:ascii="Arial" w:hAnsi="Arial" w:cs="Arial"/>
          <w:color w:val="000000"/>
          <w:u w:val="single"/>
        </w:rPr>
        <w:t>Regarding the exhaustion of domestic remedies</w:t>
      </w:r>
      <w:r w:rsidRPr="00712E35">
        <w:rPr>
          <w:rFonts w:ascii="Arial" w:hAnsi="Arial" w:cs="Arial"/>
          <w:color w:val="000000"/>
        </w:rPr>
        <w:t xml:space="preserve">, although under Mexican criminal law an appeal is the appropriate remedy for challenging the decision of a lower criminal court, this remedy is not effective for persons declared exempt from criminal liability since it hinders their access to remedies and, more broadly, to justice. The author was never </w:t>
      </w:r>
      <w:r w:rsidRPr="00712E35">
        <w:rPr>
          <w:rFonts w:ascii="Arial" w:hAnsi="Arial" w:cs="Arial"/>
          <w:color w:val="000000"/>
        </w:rPr>
        <w:lastRenderedPageBreak/>
        <w:t>notified personally of the decisions or informed of the available remedies. Therefore, it cannot be said that he decided not to file an appeal. Moreover, an appeal cannot establish violations of the rights under the CRPD or remedy the infringements of judicial safeguards that persons with disabilities experience under the special procedure for persons exempt from criminal liability.</w:t>
      </w:r>
    </w:p>
    <w:p w14:paraId="7A293166" w14:textId="77777777" w:rsidR="003756A3" w:rsidRPr="00712E35" w:rsidRDefault="003756A3" w:rsidP="00FD1280">
      <w:pPr>
        <w:jc w:val="both"/>
        <w:rPr>
          <w:rFonts w:ascii="Arial" w:hAnsi="Arial" w:cs="Arial"/>
        </w:rPr>
      </w:pPr>
    </w:p>
    <w:p w14:paraId="14886A81" w14:textId="62DD3CFB" w:rsidR="003756A3" w:rsidRPr="00712E35" w:rsidRDefault="003756A3" w:rsidP="00FD1280">
      <w:pPr>
        <w:jc w:val="both"/>
        <w:rPr>
          <w:rFonts w:ascii="Arial" w:hAnsi="Arial" w:cs="Arial"/>
          <w:color w:val="000000"/>
        </w:rPr>
      </w:pPr>
      <w:r w:rsidRPr="00712E35">
        <w:rPr>
          <w:rFonts w:ascii="Arial" w:hAnsi="Arial" w:cs="Arial"/>
          <w:color w:val="000000"/>
          <w:u w:val="single"/>
        </w:rPr>
        <w:t>Regarding the merits</w:t>
      </w:r>
      <w:r w:rsidRPr="00712E35">
        <w:rPr>
          <w:rFonts w:ascii="Arial" w:hAnsi="Arial" w:cs="Arial"/>
          <w:color w:val="000000"/>
        </w:rPr>
        <w:t xml:space="preserve">, the denial of the legal capacity of persons declared exempt from criminal liability contravenes the State party’s obligation to guarantee equal conditions and non-discrimination. This type of discrimination is legally </w:t>
      </w:r>
      <w:proofErr w:type="gramStart"/>
      <w:r w:rsidRPr="00712E35">
        <w:rPr>
          <w:rFonts w:ascii="Arial" w:hAnsi="Arial" w:cs="Arial"/>
          <w:color w:val="000000"/>
        </w:rPr>
        <w:t>condoned, since</w:t>
      </w:r>
      <w:proofErr w:type="gramEnd"/>
      <w:r w:rsidRPr="00712E35">
        <w:rPr>
          <w:rFonts w:ascii="Arial" w:hAnsi="Arial" w:cs="Arial"/>
          <w:color w:val="000000"/>
        </w:rPr>
        <w:t xml:space="preserve"> the application of the special procedure is permitted under the Code of Criminal Procedure. In its decision on the </w:t>
      </w:r>
      <w:r w:rsidRPr="00712E35">
        <w:rPr>
          <w:rFonts w:ascii="Arial" w:hAnsi="Arial" w:cs="Arial"/>
          <w:i/>
          <w:iCs/>
          <w:color w:val="000000"/>
        </w:rPr>
        <w:t>indirect amparo</w:t>
      </w:r>
      <w:r w:rsidRPr="00712E35">
        <w:rPr>
          <w:rFonts w:ascii="Arial" w:hAnsi="Arial" w:cs="Arial"/>
          <w:color w:val="000000"/>
        </w:rPr>
        <w:t xml:space="preserve"> proceedings, the District Court ordered that the failure to notify the author of the judgment was rectified by ordering that he should be notified </w:t>
      </w:r>
      <w:r w:rsidRPr="00712E35">
        <w:rPr>
          <w:rFonts w:ascii="Arial" w:hAnsi="Arial" w:cs="Arial"/>
          <w:color w:val="000000"/>
          <w:u w:val="single"/>
        </w:rPr>
        <w:t>through his legal representative</w:t>
      </w:r>
      <w:r w:rsidRPr="00712E35">
        <w:rPr>
          <w:rFonts w:ascii="Arial" w:hAnsi="Arial" w:cs="Arial"/>
          <w:color w:val="000000"/>
        </w:rPr>
        <w:t>, not directly. When the notification was delivered, the author was in State custody and the notification was sent to his mother’s home. Therefore, the judgment was not notified to him personally and he was unable to appeal it. According to the author, this constitutes a violation of his right to be personally notified of the judgment and to have it explained to him. He is of the view that he did not file challenges incorrectly since, not having access to the appeal procedure, he remained without a remedy. The authorities did not rectify their mistakes and he did not have access to an effective remedy.</w:t>
      </w:r>
    </w:p>
    <w:p w14:paraId="5C7959E0" w14:textId="3679C768" w:rsidR="003756A3" w:rsidRPr="00712E35" w:rsidRDefault="003756A3" w:rsidP="00FD1280">
      <w:pPr>
        <w:jc w:val="both"/>
        <w:rPr>
          <w:rFonts w:ascii="Arial" w:hAnsi="Arial" w:cs="Arial"/>
          <w:color w:val="000000"/>
        </w:rPr>
      </w:pPr>
    </w:p>
    <w:p w14:paraId="2651983D" w14:textId="33A9A0A9" w:rsidR="003756A3" w:rsidRPr="00712E35" w:rsidRDefault="003756A3" w:rsidP="00FD1280">
      <w:pPr>
        <w:jc w:val="both"/>
        <w:rPr>
          <w:rFonts w:ascii="Arial" w:hAnsi="Arial" w:cs="Arial"/>
          <w:color w:val="000000"/>
        </w:rPr>
      </w:pPr>
      <w:r w:rsidRPr="00712E35">
        <w:rPr>
          <w:rFonts w:ascii="Arial" w:hAnsi="Arial" w:cs="Arial"/>
          <w:color w:val="000000"/>
        </w:rPr>
        <w:t>Regarding the State party’s argument that he should have exhausted all remedies in relation to the denial of his request to designate a defence lawyer of his choosing, the author states that he was not notified of this decision or provided with the necessary means of defence. Also, that his mother cannot be required to exhaust remedies in respect of that decision since the State party has an obligation to respect the author’s legal capacity to act on his own behalf.</w:t>
      </w:r>
      <w:r w:rsidR="007406D3" w:rsidRPr="00712E35">
        <w:rPr>
          <w:rFonts w:ascii="Arial" w:hAnsi="Arial" w:cs="Arial"/>
          <w:color w:val="000000"/>
        </w:rPr>
        <w:t xml:space="preserve"> T</w:t>
      </w:r>
      <w:r w:rsidRPr="00712E35">
        <w:rPr>
          <w:rFonts w:ascii="Arial" w:hAnsi="Arial" w:cs="Arial"/>
          <w:color w:val="000000"/>
        </w:rPr>
        <w:t>he special procedure for persons exempt from is</w:t>
      </w:r>
      <w:r w:rsidR="007406D3" w:rsidRPr="00712E35">
        <w:rPr>
          <w:rFonts w:ascii="Arial" w:hAnsi="Arial" w:cs="Arial"/>
          <w:color w:val="000000"/>
        </w:rPr>
        <w:t xml:space="preserve">, in fact, a </w:t>
      </w:r>
      <w:r w:rsidRPr="00712E35">
        <w:rPr>
          <w:rFonts w:ascii="Arial" w:hAnsi="Arial" w:cs="Arial"/>
          <w:color w:val="000000"/>
        </w:rPr>
        <w:t>procedure for declaring a person legally incompetent, since it involves the imposition of a third party to act in the person’s stead and “assume responsibility” for him or her. The “exempt from liability” concept implies subjecting a person to criminal proceedings without procedural safeguards and imposing security measures supposedly designed to protect society and the person concerned from the alleged danger he or she represents. The application of the special procedure is based solely on medical examinations. The moment a medical examination reveals that a person cannot testify, it is used as justification for the judge to exclude the person from his or her own trial.</w:t>
      </w:r>
    </w:p>
    <w:p w14:paraId="0D854598" w14:textId="4CCB95A9" w:rsidR="007406D3" w:rsidRPr="00712E35" w:rsidRDefault="007406D3" w:rsidP="00FD1280">
      <w:pPr>
        <w:jc w:val="both"/>
        <w:rPr>
          <w:rFonts w:ascii="Arial" w:hAnsi="Arial" w:cs="Arial"/>
          <w:color w:val="000000"/>
        </w:rPr>
      </w:pPr>
    </w:p>
    <w:p w14:paraId="12CA8554" w14:textId="07A98DAB" w:rsidR="007406D3" w:rsidRPr="00712E35" w:rsidRDefault="007406D3" w:rsidP="00FD1280">
      <w:pPr>
        <w:jc w:val="both"/>
        <w:rPr>
          <w:rFonts w:ascii="Arial" w:hAnsi="Arial" w:cs="Arial"/>
          <w:color w:val="000000"/>
        </w:rPr>
      </w:pPr>
      <w:r w:rsidRPr="00712E35">
        <w:rPr>
          <w:rFonts w:ascii="Arial" w:hAnsi="Arial" w:cs="Arial"/>
          <w:color w:val="000000"/>
        </w:rPr>
        <w:t xml:space="preserve">In addition, the author claimed that the imposition of security measures imposed on persons declared exempt from criminal liability leads to persons with disabilities being deprived of their liberty for an indeterminate period and limits the possibility of accessing an early release. The Criminal Code of the Federal District requires that once the period of treatment is over, the authority must release a person exempt from criminal liability into the care of his or her relatives; in the absence of relatives, the person is released into the care of the health authorities or a welfare institution, which then acts in accordance with the applicable laws. The author noted that his case illustrates how the right to access to justice and procedural safeguards and the right to liberty and personal safety are </w:t>
      </w:r>
      <w:r w:rsidRPr="00712E35">
        <w:rPr>
          <w:rFonts w:ascii="Arial" w:hAnsi="Arial" w:cs="Arial"/>
          <w:color w:val="000000"/>
        </w:rPr>
        <w:lastRenderedPageBreak/>
        <w:t>undermined extensively and systematically by the State party’s failure to discharge its obligations under the Convention and by the social model of disability.</w:t>
      </w:r>
    </w:p>
    <w:p w14:paraId="001651A3" w14:textId="77777777" w:rsidR="006F182C" w:rsidRPr="00712E35" w:rsidRDefault="006F182C" w:rsidP="00FD1280">
      <w:pPr>
        <w:pStyle w:val="Heading3"/>
        <w:jc w:val="both"/>
        <w:rPr>
          <w:rFonts w:ascii="Arial" w:hAnsi="Arial" w:cs="Arial"/>
          <w:color w:val="000000"/>
          <w:sz w:val="24"/>
          <w:szCs w:val="24"/>
        </w:rPr>
      </w:pPr>
      <w:r w:rsidRPr="00712E35">
        <w:rPr>
          <w:rFonts w:ascii="Arial" w:hAnsi="Arial" w:cs="Arial"/>
          <w:color w:val="000000"/>
          <w:sz w:val="24"/>
          <w:szCs w:val="24"/>
        </w:rPr>
        <w:t>Third-party interventions</w:t>
      </w:r>
    </w:p>
    <w:p w14:paraId="39394C23" w14:textId="23F66AF3" w:rsidR="007406D3" w:rsidRPr="00712E35" w:rsidRDefault="006F182C" w:rsidP="00FD1280">
      <w:pPr>
        <w:jc w:val="both"/>
        <w:rPr>
          <w:rFonts w:ascii="Arial" w:hAnsi="Arial" w:cs="Arial"/>
          <w:color w:val="000000"/>
        </w:rPr>
      </w:pPr>
      <w:r w:rsidRPr="00712E35">
        <w:rPr>
          <w:rFonts w:ascii="Arial" w:hAnsi="Arial" w:cs="Arial"/>
          <w:color w:val="000000"/>
        </w:rPr>
        <w:t xml:space="preserve">There interventions were submitted by two lawyers and a doctor. </w:t>
      </w:r>
    </w:p>
    <w:p w14:paraId="0D1075F4" w14:textId="77777777" w:rsidR="006A7EF9" w:rsidRPr="00712E35" w:rsidRDefault="006A7EF9" w:rsidP="00FD1280">
      <w:pPr>
        <w:jc w:val="both"/>
        <w:rPr>
          <w:rFonts w:ascii="Arial" w:hAnsi="Arial" w:cs="Arial"/>
          <w:color w:val="000000"/>
        </w:rPr>
      </w:pPr>
    </w:p>
    <w:p w14:paraId="34B3AC10" w14:textId="0EAC8FAC" w:rsidR="006F182C" w:rsidRPr="00712E35" w:rsidRDefault="006F182C" w:rsidP="00FD1280">
      <w:pPr>
        <w:jc w:val="both"/>
        <w:rPr>
          <w:rFonts w:ascii="Arial" w:hAnsi="Arial" w:cs="Arial"/>
          <w:color w:val="000000"/>
        </w:rPr>
      </w:pPr>
      <w:r w:rsidRPr="00712E35">
        <w:rPr>
          <w:rFonts w:ascii="Arial" w:hAnsi="Arial" w:cs="Arial"/>
          <w:color w:val="000000"/>
        </w:rPr>
        <w:t>The first one referred to the obligation of States parties to introduce measures to promote the rights of persons with disabilities and combat discrimination, which implies making the necessary and appropriate procedural accommodations, in all judicial proceedings, including at the investigation and other preliminary stages.</w:t>
      </w:r>
    </w:p>
    <w:p w14:paraId="0CF34DDE" w14:textId="4FAAC3B5" w:rsidR="006F182C" w:rsidRPr="00712E35" w:rsidRDefault="006F182C" w:rsidP="00FD1280">
      <w:pPr>
        <w:spacing w:before="100" w:beforeAutospacing="1" w:after="100" w:afterAutospacing="1"/>
        <w:jc w:val="both"/>
        <w:rPr>
          <w:rFonts w:ascii="Arial" w:hAnsi="Arial" w:cs="Arial"/>
          <w:color w:val="000000"/>
        </w:rPr>
      </w:pPr>
      <w:r w:rsidRPr="00712E35">
        <w:rPr>
          <w:rFonts w:ascii="Arial" w:hAnsi="Arial" w:cs="Arial"/>
          <w:color w:val="000000"/>
        </w:rPr>
        <w:t xml:space="preserve">The second intervention presents arguments that show how the special procedure for persons exempt from criminal liability infringes the rights of persons with disabilities. The exemption from liability is decided </w:t>
      </w:r>
      <w:proofErr w:type="gramStart"/>
      <w:r w:rsidRPr="00712E35">
        <w:rPr>
          <w:rFonts w:ascii="Arial" w:hAnsi="Arial" w:cs="Arial"/>
          <w:color w:val="000000"/>
        </w:rPr>
        <w:t>on the basis of</w:t>
      </w:r>
      <w:proofErr w:type="gramEnd"/>
      <w:r w:rsidRPr="00712E35">
        <w:rPr>
          <w:rFonts w:ascii="Arial" w:hAnsi="Arial" w:cs="Arial"/>
          <w:color w:val="000000"/>
        </w:rPr>
        <w:t xml:space="preserve"> a medical diagnosis. From that point on, the person is excluded from criminal proceedings and his or her fundamental rights are restricted: the person loses the status of rights-holder and becomes an object of guardianship on whose behalf others have the authority to act. In the present case, psychosocial disability was the only reason for imposing restrictions on rights and safeguards. </w:t>
      </w:r>
      <w:r w:rsidR="006A7EF9" w:rsidRPr="00712E35">
        <w:rPr>
          <w:rFonts w:ascii="Arial" w:hAnsi="Arial" w:cs="Arial"/>
          <w:color w:val="000000"/>
        </w:rPr>
        <w:t>The</w:t>
      </w:r>
      <w:r w:rsidRPr="00712E35">
        <w:rPr>
          <w:rFonts w:ascii="Arial" w:hAnsi="Arial" w:cs="Arial"/>
          <w:color w:val="000000"/>
        </w:rPr>
        <w:t xml:space="preserve"> imposition of security measures based on the risk posed by a person infringes the Convention inasmuch as it is founded on a medical model in which psychosocial and intellectual disabilities are automatically grounds for permanent exemption from criminal liability. The person ceases to be a subject of rights and becomes an object of guardianship.</w:t>
      </w:r>
    </w:p>
    <w:p w14:paraId="6CFEF039" w14:textId="6522CF8B" w:rsidR="006F182C" w:rsidRPr="00712E35" w:rsidRDefault="006F182C" w:rsidP="00FD1280">
      <w:pPr>
        <w:spacing w:before="100" w:beforeAutospacing="1" w:after="100" w:afterAutospacing="1"/>
        <w:jc w:val="both"/>
        <w:rPr>
          <w:rFonts w:ascii="Arial" w:hAnsi="Arial" w:cs="Arial"/>
          <w:color w:val="000000"/>
        </w:rPr>
      </w:pPr>
      <w:r w:rsidRPr="00712E35">
        <w:rPr>
          <w:rFonts w:ascii="Arial" w:hAnsi="Arial" w:cs="Arial"/>
          <w:color w:val="000000"/>
        </w:rPr>
        <w:t>The third intervention focused on the fact that a security measure based on the risk posed by the author and motivated by a concern for public protection and defence is not in line with international standards on the treatment of persons with disabilities. The use of the security measure in the present case goes against the spirit of articles 9, 12, 14, 19 and 25 of the Convention since there were other, less restrictive measures available that were more respectful of a person’s autonomy and dignity, such as outpatient hospital treatment and supervised treatment at home.</w:t>
      </w:r>
    </w:p>
    <w:p w14:paraId="01FD121D" w14:textId="77777777" w:rsidR="006A7EF9" w:rsidRPr="00712E35" w:rsidRDefault="006A7EF9" w:rsidP="00FD1280">
      <w:pPr>
        <w:pStyle w:val="NormalWeb"/>
        <w:spacing w:before="0" w:beforeAutospacing="0" w:after="0" w:afterAutospacing="0"/>
        <w:jc w:val="both"/>
        <w:rPr>
          <w:rStyle w:val="Strong"/>
          <w:rFonts w:ascii="Arial" w:hAnsi="Arial" w:cs="Arial"/>
          <w:color w:val="0E101A"/>
        </w:rPr>
      </w:pPr>
      <w:r w:rsidRPr="00712E35">
        <w:rPr>
          <w:rStyle w:val="Strong"/>
          <w:rFonts w:ascii="Arial" w:hAnsi="Arial" w:cs="Arial"/>
          <w:color w:val="0E101A"/>
        </w:rPr>
        <w:t>Issues and proceeding before the Committee</w:t>
      </w:r>
    </w:p>
    <w:p w14:paraId="02B75AE8" w14:textId="77777777" w:rsidR="006A7EF9" w:rsidRPr="00712E35" w:rsidRDefault="006A7EF9" w:rsidP="00FD1280">
      <w:pPr>
        <w:pStyle w:val="NormalWeb"/>
        <w:spacing w:before="0" w:beforeAutospacing="0" w:after="0" w:afterAutospacing="0"/>
        <w:jc w:val="both"/>
        <w:rPr>
          <w:rFonts w:ascii="Arial" w:hAnsi="Arial" w:cs="Arial"/>
          <w:color w:val="000000"/>
          <w:u w:val="single"/>
        </w:rPr>
      </w:pPr>
    </w:p>
    <w:p w14:paraId="74C1AA47" w14:textId="4B89DB85" w:rsidR="006A7EF9" w:rsidRPr="00712E35" w:rsidRDefault="006A7EF9" w:rsidP="00FD1280">
      <w:pPr>
        <w:pStyle w:val="NormalWeb"/>
        <w:spacing w:before="0" w:beforeAutospacing="0" w:after="0" w:afterAutospacing="0"/>
        <w:jc w:val="both"/>
        <w:rPr>
          <w:rFonts w:ascii="Arial" w:hAnsi="Arial" w:cs="Arial"/>
          <w:b/>
          <w:bCs/>
          <w:color w:val="0E101A"/>
        </w:rPr>
      </w:pPr>
      <w:r w:rsidRPr="00712E35">
        <w:rPr>
          <w:rFonts w:ascii="Arial" w:hAnsi="Arial" w:cs="Arial"/>
          <w:b/>
          <w:bCs/>
          <w:color w:val="000000"/>
          <w:u w:val="single"/>
        </w:rPr>
        <w:t>Consideration of admissibility</w:t>
      </w:r>
    </w:p>
    <w:p w14:paraId="28A2A8BB" w14:textId="1B6771B3" w:rsidR="006A7EF9" w:rsidRPr="00712E35" w:rsidRDefault="006A7EF9" w:rsidP="00FD1280">
      <w:pPr>
        <w:jc w:val="both"/>
        <w:rPr>
          <w:rFonts w:ascii="Arial" w:hAnsi="Arial" w:cs="Arial"/>
          <w:color w:val="000000"/>
        </w:rPr>
      </w:pPr>
      <w:r w:rsidRPr="00712E35">
        <w:rPr>
          <w:rFonts w:ascii="Arial" w:hAnsi="Arial" w:cs="Arial"/>
          <w:color w:val="0E101A"/>
        </w:rPr>
        <w:t>The Committee ascertained that the same matter has not already been examined by itself and has not been and is not being examined under another procedure of international investigation or settlement.</w:t>
      </w:r>
    </w:p>
    <w:p w14:paraId="6A8194C6" w14:textId="77777777" w:rsidR="006A7EF9" w:rsidRPr="00712E35" w:rsidRDefault="006A7EF9" w:rsidP="00FD1280">
      <w:pPr>
        <w:jc w:val="both"/>
        <w:rPr>
          <w:rFonts w:ascii="Arial" w:hAnsi="Arial" w:cs="Arial"/>
          <w:color w:val="000000"/>
        </w:rPr>
      </w:pPr>
    </w:p>
    <w:p w14:paraId="7D749478" w14:textId="7AC5525D" w:rsidR="006A7EF9" w:rsidRPr="00712E35" w:rsidRDefault="006A7EF9" w:rsidP="00FD1280">
      <w:pPr>
        <w:jc w:val="both"/>
        <w:rPr>
          <w:rFonts w:ascii="Arial" w:hAnsi="Arial" w:cs="Arial"/>
          <w:color w:val="000000"/>
        </w:rPr>
      </w:pPr>
      <w:r w:rsidRPr="00712E35">
        <w:rPr>
          <w:rFonts w:ascii="Arial" w:hAnsi="Arial" w:cs="Arial"/>
          <w:color w:val="000000"/>
        </w:rPr>
        <w:t>Regarding the violation of article 19, read in conjunction with article 4, of the CRPD, the Committee noted that no specific information was provided on the alleged violation of the author’s right to live independently and be included in the community. Consequently, the Committee finds that this part of the complaint has not been sufficiently substantiated and declares it inadmissible under article 2 (e) of the Optional Protocol.</w:t>
      </w:r>
    </w:p>
    <w:p w14:paraId="7EF5BFE7" w14:textId="34D00684" w:rsidR="006A7EF9" w:rsidRPr="00712E35" w:rsidRDefault="006A7EF9" w:rsidP="00FD1280">
      <w:pPr>
        <w:jc w:val="both"/>
        <w:rPr>
          <w:rFonts w:ascii="Arial" w:hAnsi="Arial" w:cs="Arial"/>
          <w:color w:val="000000"/>
        </w:rPr>
      </w:pPr>
    </w:p>
    <w:p w14:paraId="1B75744B" w14:textId="77777777" w:rsidR="00610490" w:rsidRPr="00712E35" w:rsidRDefault="006A7EF9" w:rsidP="00FD1280">
      <w:pPr>
        <w:jc w:val="both"/>
        <w:rPr>
          <w:rFonts w:ascii="Arial" w:hAnsi="Arial" w:cs="Arial"/>
          <w:color w:val="000000"/>
        </w:rPr>
      </w:pPr>
      <w:r w:rsidRPr="00712E35">
        <w:rPr>
          <w:rFonts w:ascii="Arial" w:hAnsi="Arial" w:cs="Arial"/>
          <w:color w:val="000000"/>
        </w:rPr>
        <w:lastRenderedPageBreak/>
        <w:t>Regarding the State’s arguments on the author’s failure to exhaust domestic remedies, the Committee noted that, according to the information provided, the author was unable to participate directly in the proceedings and, consequently, he did not have access to the available legal remedies. It also noted that all the notifications of the proceedings, including notification of the judgment convicting the author of theft, were sent to his court-appointed defence lawyer. The author was therefore unable to appeal the judgment of the lower court because he was not informed about it in a timely manner. The Committee noted that the author petitioned for </w:t>
      </w:r>
      <w:r w:rsidRPr="00712E35">
        <w:rPr>
          <w:rFonts w:ascii="Arial" w:hAnsi="Arial" w:cs="Arial"/>
          <w:i/>
          <w:iCs/>
          <w:color w:val="000000"/>
        </w:rPr>
        <w:t>amparo</w:t>
      </w:r>
      <w:r w:rsidRPr="00712E35">
        <w:rPr>
          <w:rFonts w:ascii="Arial" w:hAnsi="Arial" w:cs="Arial"/>
          <w:color w:val="000000"/>
        </w:rPr>
        <w:t xml:space="preserve">, requesting an exception to the principle of finality on the grounds that he had not had the possibility of filing an appeal since he had not been notified of the judgment. However, the court denied the request, stating that it was not competent to hear a petition for </w:t>
      </w:r>
      <w:r w:rsidRPr="00712E35">
        <w:rPr>
          <w:rFonts w:ascii="Arial" w:hAnsi="Arial" w:cs="Arial"/>
          <w:i/>
          <w:iCs/>
          <w:color w:val="000000"/>
        </w:rPr>
        <w:t>direct</w:t>
      </w:r>
      <w:r w:rsidRPr="00712E35">
        <w:rPr>
          <w:rFonts w:ascii="Arial" w:hAnsi="Arial" w:cs="Arial"/>
          <w:color w:val="000000"/>
        </w:rPr>
        <w:t> </w:t>
      </w:r>
      <w:r w:rsidRPr="00712E35">
        <w:rPr>
          <w:rFonts w:ascii="Arial" w:hAnsi="Arial" w:cs="Arial"/>
          <w:i/>
          <w:iCs/>
          <w:color w:val="000000"/>
        </w:rPr>
        <w:t>amparo</w:t>
      </w:r>
      <w:r w:rsidRPr="00712E35">
        <w:rPr>
          <w:rFonts w:ascii="Arial" w:hAnsi="Arial" w:cs="Arial"/>
          <w:color w:val="000000"/>
        </w:rPr>
        <w:t xml:space="preserve">, and referred the case for </w:t>
      </w:r>
      <w:r w:rsidRPr="00712E35">
        <w:rPr>
          <w:rFonts w:ascii="Arial" w:hAnsi="Arial" w:cs="Arial"/>
          <w:i/>
          <w:iCs/>
          <w:color w:val="000000"/>
        </w:rPr>
        <w:t>indirect amparo</w:t>
      </w:r>
      <w:r w:rsidRPr="00712E35">
        <w:rPr>
          <w:rFonts w:ascii="Arial" w:hAnsi="Arial" w:cs="Arial"/>
          <w:color w:val="000000"/>
        </w:rPr>
        <w:t xml:space="preserve"> proceedings. </w:t>
      </w:r>
      <w:r w:rsidR="00610490" w:rsidRPr="00712E35">
        <w:rPr>
          <w:rFonts w:ascii="Arial" w:hAnsi="Arial" w:cs="Arial"/>
          <w:color w:val="000000"/>
        </w:rPr>
        <w:t>Also, t</w:t>
      </w:r>
      <w:r w:rsidRPr="00712E35">
        <w:rPr>
          <w:rFonts w:ascii="Arial" w:hAnsi="Arial" w:cs="Arial"/>
          <w:color w:val="000000"/>
        </w:rPr>
        <w:t xml:space="preserve">he </w:t>
      </w:r>
      <w:r w:rsidR="00610490" w:rsidRPr="00712E35">
        <w:rPr>
          <w:rFonts w:ascii="Arial" w:hAnsi="Arial" w:cs="Arial"/>
          <w:color w:val="000000"/>
        </w:rPr>
        <w:t xml:space="preserve">District </w:t>
      </w:r>
      <w:r w:rsidRPr="00712E35">
        <w:rPr>
          <w:rFonts w:ascii="Arial" w:hAnsi="Arial" w:cs="Arial"/>
          <w:color w:val="000000"/>
        </w:rPr>
        <w:t xml:space="preserve">court </w:t>
      </w:r>
      <w:r w:rsidR="00610490" w:rsidRPr="00712E35">
        <w:rPr>
          <w:rFonts w:ascii="Arial" w:hAnsi="Arial" w:cs="Arial"/>
          <w:color w:val="000000"/>
        </w:rPr>
        <w:t>that</w:t>
      </w:r>
      <w:r w:rsidRPr="00712E35">
        <w:rPr>
          <w:rFonts w:ascii="Arial" w:hAnsi="Arial" w:cs="Arial"/>
          <w:color w:val="000000"/>
        </w:rPr>
        <w:t xml:space="preserve"> adjudicate</w:t>
      </w:r>
      <w:r w:rsidR="00610490" w:rsidRPr="00712E35">
        <w:rPr>
          <w:rFonts w:ascii="Arial" w:hAnsi="Arial" w:cs="Arial"/>
          <w:color w:val="000000"/>
        </w:rPr>
        <w:t>d</w:t>
      </w:r>
      <w:r w:rsidRPr="00712E35">
        <w:rPr>
          <w:rFonts w:ascii="Arial" w:hAnsi="Arial" w:cs="Arial"/>
          <w:color w:val="000000"/>
        </w:rPr>
        <w:t xml:space="preserve"> the indirect </w:t>
      </w:r>
      <w:r w:rsidRPr="00712E35">
        <w:rPr>
          <w:rFonts w:ascii="Arial" w:hAnsi="Arial" w:cs="Arial"/>
          <w:i/>
          <w:iCs/>
          <w:color w:val="000000"/>
        </w:rPr>
        <w:t>amparo</w:t>
      </w:r>
      <w:r w:rsidRPr="00712E35">
        <w:rPr>
          <w:rFonts w:ascii="Arial" w:hAnsi="Arial" w:cs="Arial"/>
          <w:color w:val="000000"/>
        </w:rPr>
        <w:t xml:space="preserve"> petition ordered the Criminal Court to notify him, through his legal representative, of the conviction of 5 December 2011. The Committee is of the view that the failure to notify the author personally of the final judgment and the fact that it was impossible for him to participate directly in the various stages of the judicial proceedings against him constituted a barrier to access to the legal remedies available. </w:t>
      </w:r>
      <w:r w:rsidR="00610490" w:rsidRPr="00712E35">
        <w:rPr>
          <w:rFonts w:ascii="Arial" w:hAnsi="Arial" w:cs="Arial"/>
          <w:color w:val="000000"/>
        </w:rPr>
        <w:t>T</w:t>
      </w:r>
      <w:r w:rsidRPr="00712E35">
        <w:rPr>
          <w:rFonts w:ascii="Arial" w:hAnsi="Arial" w:cs="Arial"/>
          <w:color w:val="000000"/>
        </w:rPr>
        <w:t xml:space="preserve">he author cannot be expected to file an appeal when the notification of the conviction was made to his legal representative on 23 July 2015, in other words nearly four years after the conviction was handed down. </w:t>
      </w:r>
    </w:p>
    <w:p w14:paraId="56BD9C2F" w14:textId="77777777" w:rsidR="00610490" w:rsidRPr="00712E35" w:rsidRDefault="00610490" w:rsidP="00FD1280">
      <w:pPr>
        <w:jc w:val="both"/>
        <w:rPr>
          <w:rFonts w:ascii="Arial" w:hAnsi="Arial" w:cs="Arial"/>
          <w:color w:val="000000"/>
        </w:rPr>
      </w:pPr>
    </w:p>
    <w:p w14:paraId="2FC7FECE" w14:textId="32346102" w:rsidR="00610490" w:rsidRPr="00712E35" w:rsidRDefault="006A7EF9" w:rsidP="00FD1280">
      <w:pPr>
        <w:jc w:val="both"/>
        <w:rPr>
          <w:rFonts w:ascii="Arial" w:hAnsi="Arial" w:cs="Arial"/>
          <w:color w:val="000000"/>
        </w:rPr>
      </w:pPr>
      <w:r w:rsidRPr="00712E35">
        <w:rPr>
          <w:rFonts w:ascii="Arial" w:hAnsi="Arial" w:cs="Arial"/>
          <w:color w:val="000000"/>
        </w:rPr>
        <w:t>In this connection, the Committee recall</w:t>
      </w:r>
      <w:r w:rsidR="00610490" w:rsidRPr="00712E35">
        <w:rPr>
          <w:rFonts w:ascii="Arial" w:hAnsi="Arial" w:cs="Arial"/>
          <w:color w:val="000000"/>
        </w:rPr>
        <w:t>ed</w:t>
      </w:r>
      <w:r w:rsidRPr="00712E35">
        <w:rPr>
          <w:rFonts w:ascii="Arial" w:hAnsi="Arial" w:cs="Arial"/>
          <w:color w:val="000000"/>
        </w:rPr>
        <w:t xml:space="preserve"> that, under article 2 (d) of the Optional Protocol, only remedies which provide a reasonable expectation of effective relief and are not unjustifiably prolonged must have been exhausted. In the light of the above and bearing in mind the limitations imposed on the author under the special procedure for persons exempt from criminal liability, the Committee is of the view that the author made sufficient efforts to bring his complaints before the national authorities. </w:t>
      </w:r>
    </w:p>
    <w:p w14:paraId="20E2A72E" w14:textId="77777777" w:rsidR="00610490" w:rsidRPr="00712E35" w:rsidRDefault="00610490" w:rsidP="00FD1280">
      <w:pPr>
        <w:jc w:val="both"/>
        <w:rPr>
          <w:rFonts w:ascii="Arial" w:hAnsi="Arial" w:cs="Arial"/>
          <w:color w:val="000000"/>
        </w:rPr>
      </w:pPr>
    </w:p>
    <w:p w14:paraId="3D94AB1E" w14:textId="27FB31BB" w:rsidR="006A7EF9" w:rsidRPr="00712E35" w:rsidRDefault="006A7EF9" w:rsidP="00FD1280">
      <w:pPr>
        <w:jc w:val="both"/>
        <w:rPr>
          <w:rFonts w:ascii="Arial" w:hAnsi="Arial" w:cs="Arial"/>
        </w:rPr>
      </w:pPr>
      <w:r w:rsidRPr="00712E35">
        <w:rPr>
          <w:rFonts w:ascii="Arial" w:hAnsi="Arial" w:cs="Arial"/>
          <w:color w:val="000000"/>
        </w:rPr>
        <w:t>Accordingly, the communication is admissible under article 2 (d) of the Optional Protocol</w:t>
      </w:r>
      <w:r w:rsidR="00610490" w:rsidRPr="00712E35">
        <w:rPr>
          <w:rFonts w:ascii="Arial" w:hAnsi="Arial" w:cs="Arial"/>
          <w:color w:val="000000"/>
        </w:rPr>
        <w:t>, as regards the author’s claims of a violation of articles 5, 9, 12, 13 and 14, read in conjunction with article 4, of the Convention and proceeds to its consideration of the merits.</w:t>
      </w:r>
    </w:p>
    <w:p w14:paraId="0BB75569" w14:textId="77777777" w:rsidR="00610490" w:rsidRPr="00712E35" w:rsidRDefault="00610490" w:rsidP="00FD1280">
      <w:pPr>
        <w:pStyle w:val="Heading3"/>
        <w:jc w:val="both"/>
        <w:rPr>
          <w:rFonts w:ascii="Arial" w:hAnsi="Arial" w:cs="Arial"/>
          <w:color w:val="000000"/>
          <w:sz w:val="24"/>
          <w:szCs w:val="24"/>
          <w:u w:val="single"/>
        </w:rPr>
      </w:pPr>
      <w:r w:rsidRPr="00712E35">
        <w:rPr>
          <w:rFonts w:ascii="Arial" w:hAnsi="Arial" w:cs="Arial"/>
          <w:color w:val="000000"/>
          <w:sz w:val="24"/>
          <w:szCs w:val="24"/>
          <w:u w:val="single"/>
        </w:rPr>
        <w:t>Consideration of the merits</w:t>
      </w:r>
    </w:p>
    <w:p w14:paraId="3E1AD3F2" w14:textId="5C2EA0AB" w:rsidR="00610490" w:rsidRPr="00712E35" w:rsidRDefault="00610490" w:rsidP="00FD1280">
      <w:pPr>
        <w:jc w:val="both"/>
        <w:rPr>
          <w:rFonts w:ascii="Arial" w:hAnsi="Arial" w:cs="Arial"/>
          <w:i/>
          <w:iCs/>
          <w:color w:val="000000"/>
        </w:rPr>
      </w:pPr>
      <w:r w:rsidRPr="00712E35">
        <w:rPr>
          <w:rFonts w:ascii="Arial" w:hAnsi="Arial" w:cs="Arial"/>
          <w:u w:val="single"/>
        </w:rPr>
        <w:t xml:space="preserve">Regarding </w:t>
      </w:r>
      <w:r w:rsidRPr="00712E35">
        <w:rPr>
          <w:rFonts w:ascii="Arial" w:hAnsi="Arial" w:cs="Arial"/>
          <w:color w:val="000000"/>
          <w:u w:val="single"/>
        </w:rPr>
        <w:t>article 5, read in conjunction with article 4 of the CRPD</w:t>
      </w:r>
      <w:r w:rsidRPr="00712E35">
        <w:rPr>
          <w:rFonts w:ascii="Arial" w:hAnsi="Arial" w:cs="Arial"/>
          <w:color w:val="000000"/>
        </w:rPr>
        <w:t xml:space="preserve">, the Committee recalled that States parties must recognize that all persons are equal before and under the law and are entitled without any discrimination to the equal protection and equal benefit of the law. In order to promote equality and eliminate discrimination, States parties must take all appropriate steps to ensure that reasonable accommodation is provided. Also, that discrimination can result from the discriminatory effect of a rule or measure that is not intended to discriminate, but that disproportionately affects persons with disabilities. In the present case, the special procedure for persons exempt from criminal liability, provided for in the Code of Criminal Procedure of the Federal District, establishes the rules governing proceedings against persons with psychosocial and intellectual disabilities. Consequently, </w:t>
      </w:r>
      <w:r w:rsidRPr="00712E35">
        <w:rPr>
          <w:rFonts w:ascii="Arial" w:hAnsi="Arial" w:cs="Arial"/>
          <w:i/>
          <w:iCs/>
          <w:color w:val="000000"/>
        </w:rPr>
        <w:t xml:space="preserve">the matter before the Committee is to determine whether the </w:t>
      </w:r>
      <w:r w:rsidRPr="00712E35">
        <w:rPr>
          <w:rFonts w:ascii="Arial" w:hAnsi="Arial" w:cs="Arial"/>
          <w:i/>
          <w:iCs/>
          <w:color w:val="000000"/>
        </w:rPr>
        <w:lastRenderedPageBreak/>
        <w:t>differential treatment under the special procedure applied to the author was discriminatory.</w:t>
      </w:r>
    </w:p>
    <w:p w14:paraId="7C1237FD" w14:textId="6AF83E2B" w:rsidR="00FD1280" w:rsidRPr="00712E35" w:rsidRDefault="00610490" w:rsidP="00FD1280">
      <w:pPr>
        <w:spacing w:before="100" w:beforeAutospacing="1" w:after="100" w:afterAutospacing="1"/>
        <w:jc w:val="both"/>
        <w:rPr>
          <w:rFonts w:ascii="Arial" w:hAnsi="Arial" w:cs="Arial"/>
          <w:color w:val="000000"/>
        </w:rPr>
      </w:pPr>
      <w:r w:rsidRPr="00712E35">
        <w:rPr>
          <w:rFonts w:ascii="Arial" w:hAnsi="Arial" w:cs="Arial"/>
          <w:color w:val="000000"/>
        </w:rPr>
        <w:t xml:space="preserve">The Committee noted that, under the special procedure, the judicial authority must evaluate how a person exempt from criminal liability conducts and expresses him or herself, assign the person a defence lawyer and issue the order to apply the special procedure for persons permanently exempt from criminal liability. In order to evaluate the “degree of liability or insanity, the judge ‘may take the measures he or she sees fit’”. In the present case, the author was charged on 14 September 2011 with stealing a vehicle. In the course of the steps taken by both the public prosecutor’s office and the criminal court, it was determined to apply the special procedure to the author on the basis of medical assessment according to which the author has a “antisocial personality disorder” and “possible slight retardation” and was, therefore, “unfit to testify”. According to the information provided by the author, he was never given the opportunity to testify or to refute the statements of the police officers who arrested him. Nor was he permitted to designate his own defence lawyer as one was appointed for him by the judicial authority. Furthermore, he was not provided with support or reasonable accommodation to enable him to mount a substantive defence. The information provided also shows that the author never received a summons to the hearings conducted </w:t>
      </w:r>
      <w:proofErr w:type="gramStart"/>
      <w:r w:rsidRPr="00712E35">
        <w:rPr>
          <w:rFonts w:ascii="Arial" w:hAnsi="Arial" w:cs="Arial"/>
          <w:color w:val="000000"/>
        </w:rPr>
        <w:t>in the course of</w:t>
      </w:r>
      <w:proofErr w:type="gramEnd"/>
      <w:r w:rsidRPr="00712E35">
        <w:rPr>
          <w:rFonts w:ascii="Arial" w:hAnsi="Arial" w:cs="Arial"/>
          <w:color w:val="000000"/>
        </w:rPr>
        <w:t xml:space="preserve"> the proceedings. Owing to his psychosocial and intellectual disability, he was subject to a special procedure which prevented him from participating directly and seeking remedies, thereby undermining his right to due process.</w:t>
      </w:r>
      <w:r w:rsidR="00FD1280" w:rsidRPr="00712E35">
        <w:rPr>
          <w:rFonts w:ascii="Arial" w:hAnsi="Arial" w:cs="Arial"/>
          <w:color w:val="000000"/>
        </w:rPr>
        <w:t xml:space="preserve"> </w:t>
      </w:r>
      <w:r w:rsidRPr="00712E35">
        <w:rPr>
          <w:rFonts w:ascii="Arial" w:hAnsi="Arial" w:cs="Arial"/>
          <w:color w:val="000000"/>
        </w:rPr>
        <w:t xml:space="preserve">Although the Committee acknowledges that, in some cases, exceptions can be made to due process safeguards, in the present case, there is no reason whatsoever to justify the failure to comply with these safeguards. Moreover, the procedure did not guarantee that procedural accommodations </w:t>
      </w:r>
      <w:r w:rsidR="00FD1280" w:rsidRPr="00712E35">
        <w:rPr>
          <w:rFonts w:ascii="Arial" w:hAnsi="Arial" w:cs="Arial"/>
          <w:color w:val="000000"/>
        </w:rPr>
        <w:t>were</w:t>
      </w:r>
      <w:r w:rsidRPr="00712E35">
        <w:rPr>
          <w:rFonts w:ascii="Arial" w:hAnsi="Arial" w:cs="Arial"/>
          <w:color w:val="000000"/>
        </w:rPr>
        <w:t xml:space="preserve"> provided </w:t>
      </w:r>
      <w:r w:rsidR="00FD1280" w:rsidRPr="00712E35">
        <w:rPr>
          <w:rFonts w:ascii="Arial" w:hAnsi="Arial" w:cs="Arial"/>
          <w:color w:val="000000"/>
        </w:rPr>
        <w:t>to</w:t>
      </w:r>
      <w:r w:rsidRPr="00712E35">
        <w:rPr>
          <w:rFonts w:ascii="Arial" w:hAnsi="Arial" w:cs="Arial"/>
          <w:color w:val="000000"/>
        </w:rPr>
        <w:t xml:space="preserve"> the author. </w:t>
      </w:r>
    </w:p>
    <w:p w14:paraId="7CA03ADB" w14:textId="034DDDF9" w:rsidR="00FD1280" w:rsidRPr="00712E35" w:rsidRDefault="00610490" w:rsidP="00FD1280">
      <w:pPr>
        <w:spacing w:before="100" w:beforeAutospacing="1" w:after="100" w:afterAutospacing="1"/>
        <w:jc w:val="both"/>
        <w:rPr>
          <w:rFonts w:ascii="Arial" w:hAnsi="Arial" w:cs="Arial"/>
          <w:color w:val="000000"/>
        </w:rPr>
      </w:pPr>
      <w:r w:rsidRPr="00712E35">
        <w:rPr>
          <w:rFonts w:ascii="Arial" w:hAnsi="Arial" w:cs="Arial"/>
          <w:color w:val="000000"/>
        </w:rPr>
        <w:t>Consequently, the Committee is of the view that the application of the special procedure for persons exempt from criminal liability, as provided for in the Code of Criminal Procedure of the Federal District, led to discriminatory treatment of the author, in violation of article 5, read in conjunction with article 4, of the Convention.</w:t>
      </w:r>
    </w:p>
    <w:p w14:paraId="05957F52" w14:textId="77777777" w:rsidR="00FD1280" w:rsidRPr="00712E35" w:rsidRDefault="00FD1280" w:rsidP="00FD1280">
      <w:pPr>
        <w:jc w:val="both"/>
        <w:rPr>
          <w:rFonts w:ascii="Arial" w:hAnsi="Arial" w:cs="Arial"/>
          <w:color w:val="000000"/>
        </w:rPr>
      </w:pPr>
      <w:r w:rsidRPr="00712E35">
        <w:rPr>
          <w:rFonts w:ascii="Arial" w:hAnsi="Arial" w:cs="Arial"/>
          <w:color w:val="000000"/>
          <w:u w:val="single"/>
        </w:rPr>
        <w:t xml:space="preserve">Regarding article 9, read in conjunction with article 4, </w:t>
      </w:r>
      <w:r w:rsidRPr="00712E35">
        <w:rPr>
          <w:rFonts w:ascii="Arial" w:hAnsi="Arial" w:cs="Arial"/>
          <w:color w:val="000000"/>
        </w:rPr>
        <w:t xml:space="preserve">the Committee noted the arguments of the author and that the State party omitted to describe how it provided information on the author’s trial in an accessible format. Under article 9 (1) and (2) (f) of the Convention, States parties must take appropriate measures to ensure to persons with disabilities access, on an equal basis with others, to information and must promote other appropriate forms of assistance and support to persons with disabilities to ensure their access to information. In the present case, the Committee noted that, owing to his intellectual and psychosocial disability, the author was not included in the proceedings and he did not have access to information on them. All the information on the judicial proceedings and procedure was conveyed to the court-appointed defence lawyer. The Committee further notes that the author’s request to the District Court for a simplified version of the decisions was denied on the grounds that he “received appropriate assistance from the lawyers he had designated”. Only one of the decisions handed down by the Collegiate Court was drafted in an accessible format. </w:t>
      </w:r>
    </w:p>
    <w:p w14:paraId="29C8AECB" w14:textId="77777777" w:rsidR="00FD1280" w:rsidRPr="00712E35" w:rsidRDefault="00FD1280" w:rsidP="00FD1280">
      <w:pPr>
        <w:jc w:val="both"/>
        <w:rPr>
          <w:rFonts w:ascii="Arial" w:hAnsi="Arial" w:cs="Arial"/>
          <w:color w:val="000000"/>
        </w:rPr>
      </w:pPr>
    </w:p>
    <w:p w14:paraId="6A1BC9C8" w14:textId="75BE4525" w:rsidR="00FD1280" w:rsidRPr="00712E35" w:rsidRDefault="00FD1280" w:rsidP="00FD1280">
      <w:pPr>
        <w:jc w:val="both"/>
        <w:rPr>
          <w:rFonts w:ascii="Arial" w:hAnsi="Arial" w:cs="Arial"/>
        </w:rPr>
      </w:pPr>
      <w:r w:rsidRPr="00712E35">
        <w:rPr>
          <w:rFonts w:ascii="Arial" w:hAnsi="Arial" w:cs="Arial"/>
          <w:color w:val="000000"/>
        </w:rPr>
        <w:t>Thus, the Committee found that the author’s lack of participation in the proceedings and the refusal to draft a simplified version of the decisions in the </w:t>
      </w:r>
      <w:r w:rsidRPr="00712E35">
        <w:rPr>
          <w:rFonts w:ascii="Arial" w:hAnsi="Arial" w:cs="Arial"/>
          <w:i/>
          <w:iCs/>
          <w:color w:val="000000"/>
        </w:rPr>
        <w:t>amparo</w:t>
      </w:r>
      <w:r w:rsidRPr="00712E35">
        <w:rPr>
          <w:rFonts w:ascii="Arial" w:hAnsi="Arial" w:cs="Arial"/>
          <w:color w:val="000000"/>
        </w:rPr>
        <w:t> proceedings constitute a violation of article 9, read in conjunction with article 4, of the Convention.</w:t>
      </w:r>
    </w:p>
    <w:p w14:paraId="053E4EEE" w14:textId="77777777" w:rsidR="00FD1280" w:rsidRPr="00712E35" w:rsidRDefault="00FD1280" w:rsidP="00D50038">
      <w:pPr>
        <w:spacing w:before="100" w:beforeAutospacing="1" w:after="100" w:afterAutospacing="1"/>
        <w:jc w:val="both"/>
        <w:rPr>
          <w:rFonts w:ascii="Arial" w:hAnsi="Arial" w:cs="Arial"/>
          <w:color w:val="000000"/>
        </w:rPr>
      </w:pPr>
      <w:r w:rsidRPr="00712E35">
        <w:rPr>
          <w:rFonts w:ascii="Arial" w:hAnsi="Arial" w:cs="Arial"/>
          <w:color w:val="000000"/>
          <w:u w:val="single"/>
        </w:rPr>
        <w:t>Concerning article 12 of the CRPD</w:t>
      </w:r>
      <w:r w:rsidRPr="00712E35">
        <w:rPr>
          <w:rFonts w:ascii="Arial" w:hAnsi="Arial" w:cs="Arial"/>
          <w:color w:val="000000"/>
        </w:rPr>
        <w:t xml:space="preserve">, the Committee noted the author’s claims that, because he was considered exempt from criminal liability, his legal capacity to stand trial on an equal basis with others was denied. </w:t>
      </w:r>
    </w:p>
    <w:p w14:paraId="6248E848" w14:textId="7181761D" w:rsidR="00FD1280" w:rsidRPr="00712E35" w:rsidRDefault="00FD1280" w:rsidP="00D50038">
      <w:pPr>
        <w:spacing w:before="100" w:beforeAutospacing="1" w:after="100" w:afterAutospacing="1"/>
        <w:jc w:val="both"/>
        <w:rPr>
          <w:rFonts w:ascii="Arial" w:hAnsi="Arial" w:cs="Arial"/>
          <w:color w:val="000000"/>
        </w:rPr>
      </w:pPr>
      <w:r w:rsidRPr="00712E35">
        <w:rPr>
          <w:rFonts w:ascii="Arial" w:hAnsi="Arial" w:cs="Arial"/>
          <w:color w:val="000000"/>
        </w:rPr>
        <w:t>The Committee recalled that, under article 12 of the Convention, States parties are obliged to recognize that persons with disabilities enjoy legal capacity on an equal basis with others in all aspects of life. They are also obliged to provide access by persons with disabilities to the support they may require in exercising their legal capacity. According to the State, the decision to apply the special procedure for persons exempt from criminal liability to the author was based on his ability to understand the unlawfulness of his acts and did not imply any determination about his legal capacity.</w:t>
      </w:r>
      <w:r w:rsidR="00D50038" w:rsidRPr="00712E35">
        <w:rPr>
          <w:rFonts w:ascii="Arial" w:hAnsi="Arial" w:cs="Arial"/>
          <w:color w:val="000000"/>
        </w:rPr>
        <w:t xml:space="preserve"> </w:t>
      </w:r>
      <w:r w:rsidRPr="00712E35">
        <w:rPr>
          <w:rFonts w:ascii="Arial" w:hAnsi="Arial" w:cs="Arial"/>
          <w:color w:val="000000"/>
        </w:rPr>
        <w:t xml:space="preserve">The Committee </w:t>
      </w:r>
      <w:r w:rsidR="00D50038" w:rsidRPr="00712E35">
        <w:rPr>
          <w:rFonts w:ascii="Arial" w:hAnsi="Arial" w:cs="Arial"/>
          <w:color w:val="000000"/>
        </w:rPr>
        <w:t>found that</w:t>
      </w:r>
      <w:r w:rsidRPr="00712E35">
        <w:rPr>
          <w:rFonts w:ascii="Arial" w:hAnsi="Arial" w:cs="Arial"/>
          <w:color w:val="000000"/>
        </w:rPr>
        <w:t xml:space="preserve">, by being declared “unfit to testify”, </w:t>
      </w:r>
      <w:r w:rsidR="00D50038" w:rsidRPr="00712E35">
        <w:rPr>
          <w:rFonts w:ascii="Arial" w:hAnsi="Arial" w:cs="Arial"/>
          <w:color w:val="000000"/>
        </w:rPr>
        <w:t xml:space="preserve">the author </w:t>
      </w:r>
      <w:r w:rsidRPr="00712E35">
        <w:rPr>
          <w:rFonts w:ascii="Arial" w:hAnsi="Arial" w:cs="Arial"/>
          <w:color w:val="000000"/>
        </w:rPr>
        <w:t>was denied the possibility of exercising his legal capacity</w:t>
      </w:r>
      <w:r w:rsidR="00D50038" w:rsidRPr="00712E35">
        <w:rPr>
          <w:rFonts w:ascii="Arial" w:hAnsi="Arial" w:cs="Arial"/>
          <w:color w:val="000000"/>
        </w:rPr>
        <w:t>,</w:t>
      </w:r>
      <w:r w:rsidRPr="00712E35">
        <w:rPr>
          <w:rFonts w:ascii="Arial" w:hAnsi="Arial" w:cs="Arial"/>
          <w:color w:val="000000"/>
        </w:rPr>
        <w:t xml:space="preserve"> to plead not guilty, challenge the evidence against him, designate a defence lawyer of his choosing and challenge any decisions not in his favour. </w:t>
      </w:r>
      <w:r w:rsidR="00D50038" w:rsidRPr="00712E35">
        <w:rPr>
          <w:rFonts w:ascii="Arial" w:hAnsi="Arial" w:cs="Arial"/>
          <w:color w:val="000000"/>
        </w:rPr>
        <w:t>W</w:t>
      </w:r>
      <w:r w:rsidRPr="00712E35">
        <w:rPr>
          <w:rFonts w:ascii="Arial" w:hAnsi="Arial" w:cs="Arial"/>
          <w:color w:val="000000"/>
        </w:rPr>
        <w:t xml:space="preserve">hile States parties have some leeway to determine what procedural arrangements could enable persons with disabilities to exercise their legal capacity, they must respect procedural safeguards and the person’s rights. </w:t>
      </w:r>
      <w:r w:rsidR="00D50038" w:rsidRPr="00712E35">
        <w:rPr>
          <w:rFonts w:ascii="Arial" w:hAnsi="Arial" w:cs="Arial"/>
          <w:color w:val="000000"/>
        </w:rPr>
        <w:t>The author</w:t>
      </w:r>
      <w:r w:rsidRPr="00712E35">
        <w:rPr>
          <w:rFonts w:ascii="Arial" w:hAnsi="Arial" w:cs="Arial"/>
          <w:color w:val="000000"/>
        </w:rPr>
        <w:t xml:space="preserve"> was not given that opportunity or provided with the support or necessary accommodations to exercise his rights. The Committee recall</w:t>
      </w:r>
      <w:r w:rsidR="00D50038" w:rsidRPr="00712E35">
        <w:rPr>
          <w:rFonts w:ascii="Arial" w:hAnsi="Arial" w:cs="Arial"/>
          <w:color w:val="000000"/>
        </w:rPr>
        <w:t>ed</w:t>
      </w:r>
      <w:r w:rsidRPr="00712E35">
        <w:rPr>
          <w:rFonts w:ascii="Arial" w:hAnsi="Arial" w:cs="Arial"/>
          <w:color w:val="000000"/>
        </w:rPr>
        <w:t xml:space="preserve"> that, in keeping with its </w:t>
      </w:r>
      <w:hyperlink r:id="rId21" w:history="1">
        <w:r w:rsidRPr="00712E35">
          <w:rPr>
            <w:rStyle w:val="Hyperlink"/>
            <w:rFonts w:ascii="Arial" w:hAnsi="Arial" w:cs="Arial"/>
          </w:rPr>
          <w:t>general comment No. 1 (2014)</w:t>
        </w:r>
      </w:hyperlink>
      <w:r w:rsidRPr="00712E35">
        <w:rPr>
          <w:rFonts w:ascii="Arial" w:hAnsi="Arial" w:cs="Arial"/>
          <w:color w:val="000000"/>
        </w:rPr>
        <w:t xml:space="preserve"> on equal recognition before the law, in order to seek enforcement of their rights and obligations on an equal basis with others, persons with disabilities must be recognized as persons before the law with equal standing in courts and tribunals (para. 38).</w:t>
      </w:r>
    </w:p>
    <w:p w14:paraId="6CDC2FB7" w14:textId="546D5C24" w:rsidR="00D50038" w:rsidRPr="00712E35" w:rsidRDefault="00D50038" w:rsidP="00D50038">
      <w:pPr>
        <w:rPr>
          <w:rFonts w:ascii="Arial" w:hAnsi="Arial" w:cs="Arial"/>
        </w:rPr>
      </w:pPr>
      <w:r w:rsidRPr="00712E35">
        <w:rPr>
          <w:rFonts w:ascii="Arial" w:hAnsi="Arial" w:cs="Arial"/>
          <w:color w:val="000000"/>
        </w:rPr>
        <w:t>According to the Committee, the above-mentioned facts constitute a violation of article 12, read in conjunction with article 4, of the Convention.</w:t>
      </w:r>
    </w:p>
    <w:p w14:paraId="0274B809" w14:textId="77777777" w:rsidR="00D50038" w:rsidRPr="00712E35" w:rsidRDefault="00D50038" w:rsidP="00D50038">
      <w:pPr>
        <w:rPr>
          <w:rFonts w:ascii="Arial" w:hAnsi="Arial" w:cs="Arial"/>
        </w:rPr>
      </w:pPr>
    </w:p>
    <w:p w14:paraId="0A850675" w14:textId="32BC3354" w:rsidR="00D50038" w:rsidRPr="00712E35" w:rsidRDefault="00D50038" w:rsidP="0083023E">
      <w:pPr>
        <w:jc w:val="both"/>
        <w:rPr>
          <w:rFonts w:ascii="Arial" w:hAnsi="Arial" w:cs="Arial"/>
          <w:color w:val="000000"/>
        </w:rPr>
      </w:pPr>
      <w:r w:rsidRPr="00712E35">
        <w:rPr>
          <w:rFonts w:ascii="Arial" w:hAnsi="Arial" w:cs="Arial"/>
          <w:color w:val="000000"/>
          <w:u w:val="single"/>
        </w:rPr>
        <w:t>Concerning the violation of article 13, read in conjunction with article 4, of the Convention,</w:t>
      </w:r>
      <w:r w:rsidRPr="00712E35">
        <w:rPr>
          <w:rFonts w:ascii="Arial" w:hAnsi="Arial" w:cs="Arial"/>
          <w:color w:val="000000"/>
        </w:rPr>
        <w:t xml:space="preserve"> the Committee noted the arguments of the author saying that he was excluded from the criminal proceedings brought against him. Also, that the State argued that the decision to apply the special procedure for persons exempt from criminal liability to the author was based on medical reports and was intended to ensure his access to justice on an equal basis with others. The Committee observed that this was not achieved since the information received did not suggest that the actions of the court-appointed lawyer enabled the author to effectively participate in the proceedings. </w:t>
      </w:r>
    </w:p>
    <w:p w14:paraId="1F45DCF2" w14:textId="77777777" w:rsidR="00D50038" w:rsidRPr="00712E35" w:rsidRDefault="00D50038" w:rsidP="0083023E">
      <w:pPr>
        <w:jc w:val="both"/>
        <w:rPr>
          <w:rFonts w:ascii="Arial" w:hAnsi="Arial" w:cs="Arial"/>
          <w:color w:val="000000"/>
        </w:rPr>
      </w:pPr>
    </w:p>
    <w:p w14:paraId="41E48CE0" w14:textId="77777777" w:rsidR="0083023E" w:rsidRPr="00712E35" w:rsidRDefault="00D50038" w:rsidP="0083023E">
      <w:pPr>
        <w:jc w:val="both"/>
        <w:rPr>
          <w:rFonts w:ascii="Arial" w:hAnsi="Arial" w:cs="Arial"/>
          <w:color w:val="000000"/>
        </w:rPr>
      </w:pPr>
      <w:r w:rsidRPr="00712E35">
        <w:rPr>
          <w:rFonts w:ascii="Arial" w:hAnsi="Arial" w:cs="Arial"/>
          <w:color w:val="000000"/>
        </w:rPr>
        <w:t xml:space="preserve">It recalled that, under article 13 of the Convention, States parties must ensure effective access to justice for persons with disabilities on an equal basis with others, including through the provision of procedural accommodations, in order to facilitate their effective role as direct and indirect participants in all legal proceedings. In the present case, the judicial authorities repeatedly denied the author the possibility of exercising his rights in that: (a) the author, from the outset of the criminal proceedings, did not have the </w:t>
      </w:r>
      <w:r w:rsidRPr="00712E35">
        <w:rPr>
          <w:rFonts w:ascii="Arial" w:hAnsi="Arial" w:cs="Arial"/>
          <w:color w:val="000000"/>
        </w:rPr>
        <w:lastRenderedPageBreak/>
        <w:t>opportunity to participate in the judicial proceedings and was not permitted to testify, refute evidence or attend the hearings; (b) he was not notified of the decisions taken; (c) the author’s attempts to intervene in the proceedings, such as when he filed an appeal against the decision of the Criminal Court of 22 September 2011 and when he requested the dismissal of the court-appointed defence lawyer so that he could designate a private lawyer of his own choosing, were rejected by the judge; and (d) the application of the special procedure did not guarantee that procedural accommodations would be made to enable the author to access justice on an equal basis with others. Even in rectifying the failure to notify the author of the final judgment, the court ordered that the notification be carried out</w:t>
      </w:r>
      <w:r w:rsidR="0083023E" w:rsidRPr="00712E35">
        <w:rPr>
          <w:rFonts w:ascii="Arial" w:hAnsi="Arial" w:cs="Arial"/>
          <w:color w:val="000000"/>
        </w:rPr>
        <w:t xml:space="preserve"> </w:t>
      </w:r>
      <w:r w:rsidRPr="00712E35">
        <w:rPr>
          <w:rFonts w:ascii="Arial" w:hAnsi="Arial" w:cs="Arial"/>
          <w:color w:val="000000"/>
        </w:rPr>
        <w:t xml:space="preserve">through his legal representative, thereby denying him the opportunity to actively participate in the proceedings. </w:t>
      </w:r>
    </w:p>
    <w:p w14:paraId="4AD59853" w14:textId="77777777" w:rsidR="0083023E" w:rsidRPr="00712E35" w:rsidRDefault="0083023E" w:rsidP="0083023E">
      <w:pPr>
        <w:jc w:val="both"/>
        <w:rPr>
          <w:rFonts w:ascii="Arial" w:hAnsi="Arial" w:cs="Arial"/>
          <w:color w:val="000000"/>
        </w:rPr>
      </w:pPr>
    </w:p>
    <w:p w14:paraId="162787D6" w14:textId="7F418416" w:rsidR="00D50038" w:rsidRPr="00712E35" w:rsidRDefault="00D50038" w:rsidP="0083023E">
      <w:pPr>
        <w:jc w:val="both"/>
        <w:rPr>
          <w:rFonts w:ascii="Arial" w:hAnsi="Arial" w:cs="Arial"/>
          <w:color w:val="000000"/>
        </w:rPr>
      </w:pPr>
      <w:r w:rsidRPr="00712E35">
        <w:rPr>
          <w:rFonts w:ascii="Arial" w:hAnsi="Arial" w:cs="Arial"/>
          <w:color w:val="000000"/>
        </w:rPr>
        <w:t>Therefore, the Committee is of the view that the State party violated article 13, read in conjunction with article 4, of the Convention.</w:t>
      </w:r>
    </w:p>
    <w:p w14:paraId="0F753B54" w14:textId="1F71B865" w:rsidR="0083023E" w:rsidRPr="00712E35" w:rsidRDefault="0083023E" w:rsidP="0083023E">
      <w:pPr>
        <w:jc w:val="both"/>
        <w:rPr>
          <w:rFonts w:ascii="Arial" w:hAnsi="Arial" w:cs="Arial"/>
          <w:color w:val="000000"/>
        </w:rPr>
      </w:pPr>
    </w:p>
    <w:p w14:paraId="2FCCF0A2" w14:textId="77777777" w:rsidR="0083023E" w:rsidRPr="00712E35" w:rsidRDefault="0083023E" w:rsidP="0083023E">
      <w:pPr>
        <w:jc w:val="both"/>
        <w:rPr>
          <w:rFonts w:ascii="Arial" w:hAnsi="Arial" w:cs="Arial"/>
          <w:color w:val="000000"/>
        </w:rPr>
      </w:pPr>
      <w:r w:rsidRPr="00712E35">
        <w:rPr>
          <w:rFonts w:ascii="Arial" w:hAnsi="Arial" w:cs="Arial"/>
          <w:color w:val="000000"/>
          <w:u w:val="single"/>
        </w:rPr>
        <w:t>Regarding article 14 of the CRPD,</w:t>
      </w:r>
      <w:r w:rsidRPr="00712E35">
        <w:rPr>
          <w:rFonts w:ascii="Arial" w:hAnsi="Arial" w:cs="Arial"/>
          <w:color w:val="000000"/>
        </w:rPr>
        <w:t xml:space="preserve"> the Committee acknowledge the author’s allegations about his detention and reaffirmed that liberty and security of the person is one of the most precious rights to which everyone is entitled. All persons with disabilities, and especially persons with intellectual and psychosocial disabilities, are entitled to liberty pursuant to article 14 of the Convention. </w:t>
      </w:r>
    </w:p>
    <w:p w14:paraId="5E5A1508" w14:textId="77777777" w:rsidR="0083023E" w:rsidRPr="00712E35" w:rsidRDefault="0083023E" w:rsidP="0083023E">
      <w:pPr>
        <w:jc w:val="both"/>
        <w:rPr>
          <w:rFonts w:ascii="Arial" w:hAnsi="Arial" w:cs="Arial"/>
          <w:color w:val="000000"/>
        </w:rPr>
      </w:pPr>
    </w:p>
    <w:p w14:paraId="27728D56" w14:textId="77777777" w:rsidR="0083023E" w:rsidRPr="00712E35" w:rsidRDefault="0083023E" w:rsidP="0083023E">
      <w:pPr>
        <w:jc w:val="both"/>
        <w:rPr>
          <w:rFonts w:ascii="Arial" w:hAnsi="Arial" w:cs="Arial"/>
          <w:color w:val="000000"/>
        </w:rPr>
      </w:pPr>
      <w:r w:rsidRPr="00712E35">
        <w:rPr>
          <w:rFonts w:ascii="Arial" w:hAnsi="Arial" w:cs="Arial"/>
          <w:color w:val="000000"/>
        </w:rPr>
        <w:t xml:space="preserve">On this case, the Committee noted that a temporary security measure was imposed on the author from the outset of the proceedings and continued after he was convicted (security measure and committal for four years). Even though the judge who ruled on his criminal liability found that the risk posed by the author was “minimal”, he ordered his committal to a psychosocial rehabilitation facility under the criminal justice system of the Federal District. From the beginning, the author’s committal was based solely on medical reports and the potential danger he posed to society. The Committee recalled that article 14 (1) (b) of the Convention stipulates that the existence of a disability in no case justifies a deprivation of liberty. Similarly, under the United Nations Basic Principles and Guidelines on Remedies and Procedures on the Right of Anyone Deprived of Their Liberty to Bring Proceedings Before a Court, committal on the basis of psychosocial or intellectual disability, whether real or perceived, is prohibited and States must take the necessary measures to prevent and provide compensation for involuntary committals and committals on grounds of disability. According to the information provided, the main argument used to justify the committal of the author was that he had a disability that required medical treatment. The Committee further noted that the request for early release submitted by the author and his mother was dismissed by the judge because it had not been determined how the treatment the author needed would be provided. </w:t>
      </w:r>
    </w:p>
    <w:p w14:paraId="01C6A939" w14:textId="77777777" w:rsidR="0083023E" w:rsidRPr="00712E35" w:rsidRDefault="0083023E" w:rsidP="0083023E">
      <w:pPr>
        <w:jc w:val="both"/>
        <w:rPr>
          <w:rFonts w:ascii="Arial" w:hAnsi="Arial" w:cs="Arial"/>
          <w:color w:val="000000"/>
        </w:rPr>
      </w:pPr>
    </w:p>
    <w:p w14:paraId="6762CD3E" w14:textId="70A4EA8A" w:rsidR="0083023E" w:rsidRPr="00712E35" w:rsidRDefault="0083023E" w:rsidP="0083023E">
      <w:pPr>
        <w:jc w:val="both"/>
        <w:rPr>
          <w:rFonts w:ascii="Arial" w:hAnsi="Arial" w:cs="Arial"/>
          <w:color w:val="000000"/>
        </w:rPr>
      </w:pPr>
      <w:r w:rsidRPr="00712E35">
        <w:rPr>
          <w:rFonts w:ascii="Arial" w:hAnsi="Arial" w:cs="Arial"/>
          <w:color w:val="000000"/>
        </w:rPr>
        <w:t>Thus, the Committee notes that the author’s disability became the chief reason for his deprivation of liberty, resulting in a violation of article 14 (1) (b) of the Convention.</w:t>
      </w:r>
    </w:p>
    <w:p w14:paraId="12E3C6F1" w14:textId="77777777" w:rsidR="0083023E" w:rsidRPr="00712E35" w:rsidRDefault="0083023E" w:rsidP="0083023E">
      <w:pPr>
        <w:jc w:val="both"/>
        <w:rPr>
          <w:rFonts w:ascii="Arial" w:hAnsi="Arial" w:cs="Arial"/>
          <w:color w:val="000000"/>
        </w:rPr>
      </w:pPr>
    </w:p>
    <w:p w14:paraId="63C438E2" w14:textId="77777777" w:rsidR="00B21EA5" w:rsidRPr="00712E35" w:rsidRDefault="00B21EA5" w:rsidP="00A54B12">
      <w:pPr>
        <w:pStyle w:val="Heading3"/>
        <w:jc w:val="both"/>
        <w:rPr>
          <w:rFonts w:ascii="Arial" w:hAnsi="Arial" w:cs="Arial"/>
          <w:color w:val="000000"/>
          <w:sz w:val="24"/>
          <w:szCs w:val="24"/>
        </w:rPr>
      </w:pPr>
      <w:r w:rsidRPr="00712E35">
        <w:rPr>
          <w:rFonts w:ascii="Arial" w:hAnsi="Arial" w:cs="Arial"/>
          <w:color w:val="000000"/>
          <w:sz w:val="24"/>
          <w:szCs w:val="24"/>
        </w:rPr>
        <w:t xml:space="preserve">Conclusion </w:t>
      </w:r>
    </w:p>
    <w:p w14:paraId="688CB640" w14:textId="3F0ADD26" w:rsidR="00B21EA5" w:rsidRPr="00712E35" w:rsidRDefault="00B21EA5" w:rsidP="00A54B12">
      <w:pPr>
        <w:jc w:val="both"/>
        <w:rPr>
          <w:rFonts w:ascii="Arial" w:hAnsi="Arial" w:cs="Arial"/>
          <w:b/>
          <w:bCs/>
          <w:u w:val="single"/>
        </w:rPr>
      </w:pPr>
      <w:r w:rsidRPr="00712E35">
        <w:rPr>
          <w:rFonts w:ascii="Arial" w:hAnsi="Arial" w:cs="Arial"/>
          <w:b/>
          <w:bCs/>
          <w:color w:val="000000"/>
          <w:u w:val="single"/>
        </w:rPr>
        <w:lastRenderedPageBreak/>
        <w:t>The Committee found that the State party failed to discharge its obligations under articles 5, 9, 12, 13, 14 and 19, read in conjunction with article 4, of the Convention.</w:t>
      </w:r>
    </w:p>
    <w:p w14:paraId="692D2031" w14:textId="0C8817FE" w:rsidR="00B21EA5" w:rsidRPr="00712E35" w:rsidRDefault="00B21EA5" w:rsidP="00A54B12">
      <w:pPr>
        <w:pStyle w:val="Heading3"/>
        <w:jc w:val="both"/>
        <w:rPr>
          <w:rFonts w:ascii="Arial" w:hAnsi="Arial" w:cs="Arial"/>
          <w:color w:val="000000"/>
          <w:sz w:val="24"/>
          <w:szCs w:val="24"/>
        </w:rPr>
      </w:pPr>
      <w:r w:rsidRPr="00712E35">
        <w:rPr>
          <w:rFonts w:ascii="Arial" w:hAnsi="Arial" w:cs="Arial"/>
          <w:color w:val="000000"/>
          <w:sz w:val="24"/>
          <w:szCs w:val="24"/>
        </w:rPr>
        <w:t>Recommendations</w:t>
      </w:r>
    </w:p>
    <w:p w14:paraId="07C5E5D7" w14:textId="77777777" w:rsidR="00B21EA5" w:rsidRPr="00712E35" w:rsidRDefault="00B21EA5" w:rsidP="00A54B12">
      <w:pPr>
        <w:jc w:val="both"/>
        <w:rPr>
          <w:rFonts w:ascii="Arial" w:hAnsi="Arial" w:cs="Arial"/>
          <w:color w:val="000000"/>
        </w:rPr>
      </w:pPr>
      <w:r w:rsidRPr="00712E35">
        <w:rPr>
          <w:rFonts w:ascii="Arial" w:hAnsi="Arial" w:cs="Arial"/>
          <w:color w:val="000000"/>
        </w:rPr>
        <w:t>Concerning the author, the Committee asserted that the State has the obligation to:</w:t>
      </w:r>
    </w:p>
    <w:p w14:paraId="778D640D" w14:textId="4825C468" w:rsidR="00B21EA5" w:rsidRPr="00712E35" w:rsidRDefault="00B21EA5" w:rsidP="00A54B12">
      <w:pPr>
        <w:spacing w:before="100" w:beforeAutospacing="1" w:after="100" w:afterAutospacing="1"/>
        <w:jc w:val="both"/>
        <w:rPr>
          <w:rFonts w:ascii="Arial" w:hAnsi="Arial" w:cs="Arial"/>
          <w:color w:val="000000"/>
        </w:rPr>
      </w:pPr>
      <w:r w:rsidRPr="00712E35">
        <w:rPr>
          <w:rFonts w:ascii="Arial" w:hAnsi="Arial" w:cs="Arial"/>
          <w:color w:val="000000"/>
        </w:rPr>
        <w:t>(</w:t>
      </w:r>
      <w:proofErr w:type="spellStart"/>
      <w:r w:rsidRPr="00712E35">
        <w:rPr>
          <w:rFonts w:ascii="Arial" w:hAnsi="Arial" w:cs="Arial"/>
          <w:color w:val="000000"/>
        </w:rPr>
        <w:t>i</w:t>
      </w:r>
      <w:proofErr w:type="spellEnd"/>
      <w:r w:rsidRPr="00712E35">
        <w:rPr>
          <w:rFonts w:ascii="Arial" w:hAnsi="Arial" w:cs="Arial"/>
          <w:color w:val="000000"/>
        </w:rPr>
        <w:t xml:space="preserve">) Provide him with an effective remedy, including reimbursement of any legal costs incurred by him, together with </w:t>
      </w:r>
      <w:proofErr w:type="gramStart"/>
      <w:r w:rsidRPr="00712E35">
        <w:rPr>
          <w:rFonts w:ascii="Arial" w:hAnsi="Arial" w:cs="Arial"/>
          <w:color w:val="000000"/>
        </w:rPr>
        <w:t>compensation;</w:t>
      </w:r>
      <w:proofErr w:type="gramEnd"/>
    </w:p>
    <w:p w14:paraId="0644510B" w14:textId="77777777" w:rsidR="00B21EA5" w:rsidRPr="00712E35" w:rsidRDefault="00B21EA5" w:rsidP="00A54B12">
      <w:pPr>
        <w:spacing w:before="100" w:beforeAutospacing="1" w:after="100" w:afterAutospacing="1"/>
        <w:jc w:val="both"/>
        <w:rPr>
          <w:rFonts w:ascii="Arial" w:hAnsi="Arial" w:cs="Arial"/>
          <w:color w:val="000000"/>
        </w:rPr>
      </w:pPr>
      <w:r w:rsidRPr="00712E35">
        <w:rPr>
          <w:rFonts w:ascii="Arial" w:hAnsi="Arial" w:cs="Arial"/>
          <w:color w:val="000000"/>
        </w:rPr>
        <w:t xml:space="preserve">(ii)Make a public acknowledgement of the violation of the author’s rights in accordance with the present Views and adopt any other appropriate measure of </w:t>
      </w:r>
      <w:proofErr w:type="gramStart"/>
      <w:r w:rsidRPr="00712E35">
        <w:rPr>
          <w:rFonts w:ascii="Arial" w:hAnsi="Arial" w:cs="Arial"/>
          <w:color w:val="000000"/>
        </w:rPr>
        <w:t>satisfaction;</w:t>
      </w:r>
      <w:proofErr w:type="gramEnd"/>
    </w:p>
    <w:p w14:paraId="05E5D277" w14:textId="77777777" w:rsidR="00B21EA5" w:rsidRPr="00712E35" w:rsidRDefault="00B21EA5" w:rsidP="00A54B12">
      <w:pPr>
        <w:spacing w:before="100" w:beforeAutospacing="1" w:after="100" w:afterAutospacing="1"/>
        <w:jc w:val="both"/>
        <w:rPr>
          <w:rFonts w:ascii="Arial" w:hAnsi="Arial" w:cs="Arial"/>
          <w:color w:val="000000"/>
        </w:rPr>
      </w:pPr>
      <w:r w:rsidRPr="00712E35">
        <w:rPr>
          <w:rFonts w:ascii="Arial" w:hAnsi="Arial" w:cs="Arial"/>
          <w:color w:val="000000"/>
        </w:rPr>
        <w:t>(iii)Publish the present Views and circulate them widely in accessible formats so that they are available to all sectors of the population.</w:t>
      </w:r>
    </w:p>
    <w:p w14:paraId="0B09FFBD" w14:textId="77777777" w:rsidR="00A54B12" w:rsidRPr="00712E35" w:rsidRDefault="00A54B12" w:rsidP="00A54B12">
      <w:pPr>
        <w:jc w:val="both"/>
        <w:rPr>
          <w:rFonts w:ascii="Arial" w:hAnsi="Arial" w:cs="Arial"/>
        </w:rPr>
      </w:pPr>
      <w:r w:rsidRPr="00712E35">
        <w:rPr>
          <w:rFonts w:ascii="Arial" w:hAnsi="Arial" w:cs="Arial"/>
        </w:rPr>
        <w:t xml:space="preserve">Also, the Committee asserted that the State party </w:t>
      </w:r>
      <w:proofErr w:type="gramStart"/>
      <w:r w:rsidRPr="00712E35">
        <w:rPr>
          <w:rFonts w:ascii="Arial" w:hAnsi="Arial" w:cs="Arial"/>
        </w:rPr>
        <w:t>has to</w:t>
      </w:r>
      <w:proofErr w:type="gramEnd"/>
      <w:r w:rsidRPr="00712E35">
        <w:rPr>
          <w:rFonts w:ascii="Arial" w:hAnsi="Arial" w:cs="Arial"/>
        </w:rPr>
        <w:t xml:space="preserve"> prevent similar violations in the future.</w:t>
      </w:r>
    </w:p>
    <w:p w14:paraId="60327045" w14:textId="0F555723" w:rsidR="00A54B12" w:rsidRPr="00712E35" w:rsidRDefault="00A54B12" w:rsidP="00A54B12">
      <w:pPr>
        <w:jc w:val="both"/>
        <w:rPr>
          <w:rFonts w:ascii="Arial" w:hAnsi="Arial" w:cs="Arial"/>
        </w:rPr>
      </w:pPr>
      <w:r w:rsidRPr="00712E35">
        <w:rPr>
          <w:rFonts w:ascii="Arial" w:hAnsi="Arial" w:cs="Arial"/>
          <w:color w:val="000000"/>
        </w:rPr>
        <w:t xml:space="preserve">In this regard, the Committee </w:t>
      </w:r>
      <w:proofErr w:type="spellStart"/>
      <w:r w:rsidRPr="00712E35">
        <w:rPr>
          <w:rFonts w:ascii="Arial" w:hAnsi="Arial" w:cs="Arial"/>
          <w:color w:val="000000"/>
        </w:rPr>
        <w:t>refered</w:t>
      </w:r>
      <w:proofErr w:type="spellEnd"/>
      <w:r w:rsidRPr="00712E35">
        <w:rPr>
          <w:rFonts w:ascii="Arial" w:hAnsi="Arial" w:cs="Arial"/>
          <w:color w:val="000000"/>
        </w:rPr>
        <w:t xml:space="preserve"> to the recommendations contained in its concluding observations (</w:t>
      </w:r>
      <w:hyperlink r:id="rId22" w:history="1">
        <w:r w:rsidRPr="00712E35">
          <w:rPr>
            <w:rStyle w:val="Hyperlink"/>
            <w:rFonts w:ascii="Arial" w:hAnsi="Arial" w:cs="Arial"/>
          </w:rPr>
          <w:t>CRPD/C/MEX/CO/1</w:t>
        </w:r>
      </w:hyperlink>
      <w:r w:rsidRPr="00712E35">
        <w:rPr>
          <w:rFonts w:ascii="Arial" w:hAnsi="Arial" w:cs="Arial"/>
          <w:color w:val="000000"/>
        </w:rPr>
        <w:t>, paras. 28 and 30) and required the State party to:</w:t>
      </w:r>
    </w:p>
    <w:p w14:paraId="0A44B1B7" w14:textId="3D0EB46A" w:rsidR="00A54B12" w:rsidRPr="00712E35" w:rsidRDefault="00A54B12" w:rsidP="00A54B12">
      <w:pPr>
        <w:spacing w:before="100" w:beforeAutospacing="1" w:after="100" w:afterAutospacing="1"/>
        <w:jc w:val="both"/>
        <w:rPr>
          <w:rFonts w:ascii="Arial" w:hAnsi="Arial" w:cs="Arial"/>
          <w:color w:val="000000"/>
        </w:rPr>
      </w:pPr>
      <w:r w:rsidRPr="00712E35">
        <w:rPr>
          <w:rFonts w:ascii="Arial" w:hAnsi="Arial" w:cs="Arial"/>
          <w:color w:val="000000"/>
        </w:rPr>
        <w:t>(</w:t>
      </w:r>
      <w:proofErr w:type="spellStart"/>
      <w:r w:rsidRPr="00712E35">
        <w:rPr>
          <w:rFonts w:ascii="Arial" w:hAnsi="Arial" w:cs="Arial"/>
          <w:color w:val="000000"/>
        </w:rPr>
        <w:t>i</w:t>
      </w:r>
      <w:proofErr w:type="spellEnd"/>
      <w:r w:rsidRPr="00712E35">
        <w:rPr>
          <w:rFonts w:ascii="Arial" w:hAnsi="Arial" w:cs="Arial"/>
          <w:color w:val="000000"/>
        </w:rPr>
        <w:t>) In close consultation with persons with disabilities and the organizations that represent them, make all necessary amendments to the criminal law of the Federal District and all equivalent or related federal and state laws with regard to the “exempt from liability” concept and the special procedure for persons exempt from criminal liability, with a view to bringing them into line with the principles of the Convention and ensuring respect for due process in cases involving persons with disabilities;</w:t>
      </w:r>
    </w:p>
    <w:p w14:paraId="08626BFC" w14:textId="77777777" w:rsidR="00A54B12" w:rsidRPr="00712E35" w:rsidRDefault="00A54B12" w:rsidP="00A54B12">
      <w:pPr>
        <w:spacing w:before="100" w:beforeAutospacing="1" w:after="100" w:afterAutospacing="1"/>
        <w:jc w:val="both"/>
        <w:rPr>
          <w:rFonts w:ascii="Arial" w:hAnsi="Arial" w:cs="Arial"/>
          <w:color w:val="000000"/>
        </w:rPr>
      </w:pPr>
      <w:r w:rsidRPr="00712E35">
        <w:rPr>
          <w:rFonts w:ascii="Arial" w:hAnsi="Arial" w:cs="Arial"/>
          <w:color w:val="000000"/>
        </w:rPr>
        <w:t xml:space="preserve">(ii)Review the application of security measures involving committal for the purposes of medical and psychiatric treatment and take the necessary steps to promote alternatives in line with the principles of the </w:t>
      </w:r>
      <w:proofErr w:type="gramStart"/>
      <w:r w:rsidRPr="00712E35">
        <w:rPr>
          <w:rFonts w:ascii="Arial" w:hAnsi="Arial" w:cs="Arial"/>
          <w:color w:val="000000"/>
        </w:rPr>
        <w:t>Convention;</w:t>
      </w:r>
      <w:proofErr w:type="gramEnd"/>
    </w:p>
    <w:p w14:paraId="42D5665B" w14:textId="77777777" w:rsidR="00A54B12" w:rsidRPr="00712E35" w:rsidRDefault="00A54B12" w:rsidP="00A54B12">
      <w:pPr>
        <w:spacing w:before="100" w:beforeAutospacing="1" w:after="100" w:afterAutospacing="1"/>
        <w:jc w:val="both"/>
        <w:rPr>
          <w:rFonts w:ascii="Arial" w:hAnsi="Arial" w:cs="Arial"/>
          <w:color w:val="000000"/>
        </w:rPr>
      </w:pPr>
      <w:r w:rsidRPr="00712E35">
        <w:rPr>
          <w:rFonts w:ascii="Arial" w:hAnsi="Arial" w:cs="Arial"/>
          <w:color w:val="000000"/>
        </w:rPr>
        <w:t xml:space="preserve">(iii)Ensure that persons with intellectual and psychosocial disabilities are provided with appropriate support and reasonable accommodations to enable them to exercise their legal capacity before the </w:t>
      </w:r>
      <w:proofErr w:type="gramStart"/>
      <w:r w:rsidRPr="00712E35">
        <w:rPr>
          <w:rFonts w:ascii="Arial" w:hAnsi="Arial" w:cs="Arial"/>
          <w:color w:val="000000"/>
        </w:rPr>
        <w:t>courts;</w:t>
      </w:r>
      <w:proofErr w:type="gramEnd"/>
    </w:p>
    <w:p w14:paraId="38EECB7A" w14:textId="7ED35A09" w:rsidR="00A54B12" w:rsidRPr="00712E35" w:rsidRDefault="00A54B12" w:rsidP="00A54B12">
      <w:pPr>
        <w:spacing w:before="100" w:beforeAutospacing="1" w:after="100" w:afterAutospacing="1"/>
        <w:jc w:val="both"/>
        <w:rPr>
          <w:rFonts w:ascii="Arial" w:hAnsi="Arial" w:cs="Arial"/>
          <w:color w:val="000000"/>
        </w:rPr>
      </w:pPr>
      <w:r w:rsidRPr="00712E35">
        <w:rPr>
          <w:rFonts w:ascii="Arial" w:hAnsi="Arial" w:cs="Arial"/>
          <w:color w:val="000000"/>
        </w:rPr>
        <w:t xml:space="preserve">(iv)Ensure that judges, judicial officials, public </w:t>
      </w:r>
      <w:proofErr w:type="gramStart"/>
      <w:r w:rsidRPr="00712E35">
        <w:rPr>
          <w:rFonts w:ascii="Arial" w:hAnsi="Arial" w:cs="Arial"/>
          <w:color w:val="000000"/>
        </w:rPr>
        <w:t>prosecutors</w:t>
      </w:r>
      <w:proofErr w:type="gramEnd"/>
      <w:r w:rsidRPr="00712E35">
        <w:rPr>
          <w:rFonts w:ascii="Arial" w:hAnsi="Arial" w:cs="Arial"/>
          <w:color w:val="000000"/>
        </w:rPr>
        <w:t xml:space="preserve"> and public servants working to facilitate the work of the judiciary are provided with appropriate and regular training on the scope of the Convention and its Optional Protocol.</w:t>
      </w:r>
    </w:p>
    <w:p w14:paraId="517F6D2A" w14:textId="77777777" w:rsidR="00FD1280" w:rsidRPr="00712E35" w:rsidRDefault="00FD1280" w:rsidP="00FD1280">
      <w:pPr>
        <w:spacing w:before="100" w:beforeAutospacing="1" w:after="100" w:afterAutospacing="1"/>
        <w:jc w:val="both"/>
        <w:rPr>
          <w:rFonts w:ascii="Arial" w:hAnsi="Arial" w:cs="Arial"/>
          <w:color w:val="000000"/>
        </w:rPr>
      </w:pPr>
    </w:p>
    <w:p w14:paraId="3F71A11A" w14:textId="6BDCAAA4" w:rsidR="006F182C" w:rsidRPr="00712E35" w:rsidRDefault="006F182C" w:rsidP="00FD1280">
      <w:pPr>
        <w:jc w:val="both"/>
        <w:rPr>
          <w:rFonts w:ascii="Arial" w:hAnsi="Arial" w:cs="Arial"/>
          <w:color w:val="000000"/>
        </w:rPr>
      </w:pPr>
    </w:p>
    <w:p w14:paraId="79871B4F" w14:textId="77777777" w:rsidR="00A71D79" w:rsidRPr="00712E35" w:rsidRDefault="00A71D79" w:rsidP="00FD1280">
      <w:pPr>
        <w:jc w:val="both"/>
        <w:rPr>
          <w:rFonts w:ascii="Arial" w:hAnsi="Arial" w:cs="Arial"/>
        </w:rPr>
      </w:pPr>
    </w:p>
    <w:p w14:paraId="7B8FF447" w14:textId="77777777" w:rsidR="008426C1" w:rsidRPr="00712E35" w:rsidRDefault="008426C1" w:rsidP="00FD1280">
      <w:pPr>
        <w:jc w:val="both"/>
        <w:rPr>
          <w:rFonts w:ascii="Arial" w:hAnsi="Arial" w:cs="Arial"/>
        </w:rPr>
      </w:pPr>
    </w:p>
    <w:sectPr w:rsidR="008426C1" w:rsidRPr="00712E35" w:rsidSect="00026A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433F" w14:textId="77777777" w:rsidR="00C62822" w:rsidRDefault="00C62822" w:rsidP="007E15C2">
      <w:r>
        <w:separator/>
      </w:r>
    </w:p>
  </w:endnote>
  <w:endnote w:type="continuationSeparator" w:id="0">
    <w:p w14:paraId="3616E06C" w14:textId="77777777" w:rsidR="00C62822" w:rsidRDefault="00C62822" w:rsidP="007E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BCA4" w14:textId="77777777" w:rsidR="00C62822" w:rsidRDefault="00C62822" w:rsidP="007E15C2">
      <w:r>
        <w:separator/>
      </w:r>
    </w:p>
  </w:footnote>
  <w:footnote w:type="continuationSeparator" w:id="0">
    <w:p w14:paraId="040C064B" w14:textId="77777777" w:rsidR="00C62822" w:rsidRDefault="00C62822" w:rsidP="007E15C2">
      <w:r>
        <w:continuationSeparator/>
      </w:r>
    </w:p>
  </w:footnote>
  <w:footnote w:id="1">
    <w:p w14:paraId="7D8CB37F" w14:textId="77777777" w:rsidR="00D50038" w:rsidRPr="00FD1280" w:rsidRDefault="00D50038" w:rsidP="007E15C2">
      <w:pPr>
        <w:jc w:val="both"/>
        <w:rPr>
          <w:sz w:val="20"/>
          <w:szCs w:val="20"/>
        </w:rPr>
      </w:pPr>
      <w:r w:rsidRPr="00FD1280">
        <w:rPr>
          <w:rStyle w:val="FootnoteReference"/>
          <w:sz w:val="20"/>
          <w:szCs w:val="20"/>
        </w:rPr>
        <w:footnoteRef/>
      </w:r>
      <w:r w:rsidRPr="00FD1280">
        <w:rPr>
          <w:sz w:val="20"/>
          <w:szCs w:val="20"/>
          <w:lang w:val="en-US"/>
        </w:rPr>
        <w:t xml:space="preserve"> </w:t>
      </w:r>
      <w:r w:rsidRPr="00FD1280">
        <w:rPr>
          <w:sz w:val="20"/>
          <w:szCs w:val="20"/>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FD1280">
          <w:rPr>
            <w:rStyle w:val="Hyperlink"/>
            <w:sz w:val="20"/>
            <w:szCs w:val="20"/>
          </w:rPr>
          <w:t xml:space="preserve">IDA’s disability rights litigation website. </w:t>
        </w:r>
      </w:hyperlink>
    </w:p>
  </w:footnote>
  <w:footnote w:id="2">
    <w:p w14:paraId="06540AFE" w14:textId="7D099C41" w:rsidR="00D50038" w:rsidRPr="00FD1280" w:rsidRDefault="00D50038">
      <w:pPr>
        <w:pStyle w:val="FootnoteText"/>
        <w:rPr>
          <w:rFonts w:ascii="Times New Roman" w:hAnsi="Times New Roman" w:cs="Times New Roman"/>
          <w:lang w:val="en-CA"/>
        </w:rPr>
      </w:pPr>
      <w:r w:rsidRPr="00FD1280">
        <w:rPr>
          <w:rStyle w:val="FootnoteReference"/>
          <w:rFonts w:cs="Times New Roman"/>
          <w:sz w:val="20"/>
        </w:rPr>
        <w:footnoteRef/>
      </w:r>
      <w:r w:rsidRPr="00FD1280">
        <w:rPr>
          <w:rFonts w:ascii="Times New Roman" w:hAnsi="Times New Roman" w:cs="Times New Roman"/>
          <w:lang w:val="en-CA"/>
        </w:rPr>
        <w:t xml:space="preserve"> </w:t>
      </w:r>
      <w:hyperlink r:id="rId2" w:history="1">
        <w:r w:rsidRPr="00731E8E">
          <w:rPr>
            <w:rStyle w:val="Hyperlink"/>
            <w:rFonts w:ascii="Times New Roman" w:eastAsia="Times New Roman" w:hAnsi="Times New Roman" w:cs="Times New Roman"/>
            <w:lang w:val="en-CA"/>
          </w:rPr>
          <w:t>CRPD/C/MEX/CO/1</w:t>
        </w:r>
      </w:hyperlink>
      <w:r w:rsidRPr="00731E8E">
        <w:rPr>
          <w:rFonts w:ascii="Times New Roman" w:eastAsia="Times New Roman" w:hAnsi="Times New Roman" w:cs="Times New Roman"/>
          <w:color w:val="000000"/>
          <w:lang w:val="en-CA"/>
        </w:rPr>
        <w:t>, paras. 27 and 30 (a)</w:t>
      </w:r>
      <w:r w:rsidRPr="00FD1280">
        <w:rPr>
          <w:rFonts w:ascii="Times New Roman" w:eastAsia="Times New Roman" w:hAnsi="Times New Roman" w:cs="Times New Roman"/>
          <w:color w:val="000000"/>
          <w:lang w:val="en-C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C2"/>
    <w:rsid w:val="00026ABF"/>
    <w:rsid w:val="000C0D8E"/>
    <w:rsid w:val="001B497B"/>
    <w:rsid w:val="00205B68"/>
    <w:rsid w:val="002965A1"/>
    <w:rsid w:val="002F038B"/>
    <w:rsid w:val="00333C02"/>
    <w:rsid w:val="003530E1"/>
    <w:rsid w:val="003756A3"/>
    <w:rsid w:val="0037666A"/>
    <w:rsid w:val="00397DDB"/>
    <w:rsid w:val="00492D45"/>
    <w:rsid w:val="004A6CFE"/>
    <w:rsid w:val="004A7758"/>
    <w:rsid w:val="005125BA"/>
    <w:rsid w:val="00521A5B"/>
    <w:rsid w:val="00541DF6"/>
    <w:rsid w:val="00610490"/>
    <w:rsid w:val="00653E40"/>
    <w:rsid w:val="0068569B"/>
    <w:rsid w:val="006A7EF9"/>
    <w:rsid w:val="006C7296"/>
    <w:rsid w:val="006F182C"/>
    <w:rsid w:val="00712E35"/>
    <w:rsid w:val="00731E8E"/>
    <w:rsid w:val="00736737"/>
    <w:rsid w:val="007406D3"/>
    <w:rsid w:val="007A57C4"/>
    <w:rsid w:val="007E15C2"/>
    <w:rsid w:val="0083023E"/>
    <w:rsid w:val="00836D3D"/>
    <w:rsid w:val="008426C1"/>
    <w:rsid w:val="00860013"/>
    <w:rsid w:val="008C0AC5"/>
    <w:rsid w:val="008C6192"/>
    <w:rsid w:val="009008EA"/>
    <w:rsid w:val="00910647"/>
    <w:rsid w:val="009A64DC"/>
    <w:rsid w:val="009C2F8F"/>
    <w:rsid w:val="00A125BF"/>
    <w:rsid w:val="00A41BEC"/>
    <w:rsid w:val="00A5110F"/>
    <w:rsid w:val="00A54B12"/>
    <w:rsid w:val="00A71D79"/>
    <w:rsid w:val="00B216A7"/>
    <w:rsid w:val="00B21EA5"/>
    <w:rsid w:val="00B9024B"/>
    <w:rsid w:val="00C20306"/>
    <w:rsid w:val="00C62822"/>
    <w:rsid w:val="00C719D5"/>
    <w:rsid w:val="00CB43AD"/>
    <w:rsid w:val="00CF29D8"/>
    <w:rsid w:val="00D06DB4"/>
    <w:rsid w:val="00D1661E"/>
    <w:rsid w:val="00D42AE6"/>
    <w:rsid w:val="00D50038"/>
    <w:rsid w:val="00ED2431"/>
    <w:rsid w:val="00EE1401"/>
    <w:rsid w:val="00F03B90"/>
    <w:rsid w:val="00F878AE"/>
    <w:rsid w:val="00F946DD"/>
    <w:rsid w:val="00FC6F1C"/>
    <w:rsid w:val="00FD1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83C1"/>
  <w15:chartTrackingRefBased/>
  <w15:docId w15:val="{61C792C8-8BEB-2D4A-B620-2E8581B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B4"/>
    <w:rPr>
      <w:rFonts w:ascii="Times New Roman" w:eastAsia="Times New Roman" w:hAnsi="Times New Roman" w:cs="Times New Roman"/>
    </w:rPr>
  </w:style>
  <w:style w:type="paragraph" w:styleId="Heading3">
    <w:name w:val="heading 3"/>
    <w:basedOn w:val="Normal"/>
    <w:link w:val="Heading3Char"/>
    <w:uiPriority w:val="9"/>
    <w:qFormat/>
    <w:rsid w:val="00A71D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15C2"/>
    <w:rPr>
      <w:color w:val="0000FF"/>
      <w:u w:val="single"/>
    </w:rPr>
  </w:style>
  <w:style w:type="character" w:styleId="FootnoteReference">
    <w:name w:val="footnote reference"/>
    <w:rsid w:val="007E15C2"/>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7E15C2"/>
    <w:rPr>
      <w:color w:val="954F72" w:themeColor="followedHyperlink"/>
      <w:u w:val="single"/>
    </w:rPr>
  </w:style>
  <w:style w:type="character" w:styleId="UnresolvedMention">
    <w:name w:val="Unresolved Mention"/>
    <w:basedOn w:val="DefaultParagraphFont"/>
    <w:uiPriority w:val="99"/>
    <w:semiHidden/>
    <w:unhideWhenUsed/>
    <w:rsid w:val="00CB43AD"/>
    <w:rPr>
      <w:color w:val="605E5C"/>
      <w:shd w:val="clear" w:color="auto" w:fill="E1DFDD"/>
    </w:rPr>
  </w:style>
  <w:style w:type="paragraph" w:styleId="NormalWeb">
    <w:name w:val="Normal (Web)"/>
    <w:basedOn w:val="Normal"/>
    <w:uiPriority w:val="99"/>
    <w:unhideWhenUsed/>
    <w:rsid w:val="0037666A"/>
    <w:pPr>
      <w:spacing w:before="100" w:beforeAutospacing="1" w:after="100" w:afterAutospacing="1"/>
    </w:pPr>
  </w:style>
  <w:style w:type="character" w:styleId="CommentReference">
    <w:name w:val="annotation reference"/>
    <w:basedOn w:val="DefaultParagraphFont"/>
    <w:uiPriority w:val="99"/>
    <w:semiHidden/>
    <w:unhideWhenUsed/>
    <w:rsid w:val="00541DF6"/>
    <w:rPr>
      <w:sz w:val="16"/>
      <w:szCs w:val="16"/>
    </w:rPr>
  </w:style>
  <w:style w:type="paragraph" w:styleId="CommentText">
    <w:name w:val="annotation text"/>
    <w:basedOn w:val="Normal"/>
    <w:link w:val="CommentTextChar"/>
    <w:uiPriority w:val="99"/>
    <w:semiHidden/>
    <w:unhideWhenUsed/>
    <w:rsid w:val="00541DF6"/>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41DF6"/>
    <w:rPr>
      <w:sz w:val="20"/>
      <w:szCs w:val="20"/>
      <w:lang w:val="en-GB"/>
    </w:rPr>
  </w:style>
  <w:style w:type="paragraph" w:styleId="CommentSubject">
    <w:name w:val="annotation subject"/>
    <w:basedOn w:val="CommentText"/>
    <w:next w:val="CommentText"/>
    <w:link w:val="CommentSubjectChar"/>
    <w:uiPriority w:val="99"/>
    <w:semiHidden/>
    <w:unhideWhenUsed/>
    <w:rsid w:val="00541DF6"/>
    <w:rPr>
      <w:b/>
      <w:bCs/>
    </w:rPr>
  </w:style>
  <w:style w:type="character" w:customStyle="1" w:styleId="CommentSubjectChar">
    <w:name w:val="Comment Subject Char"/>
    <w:basedOn w:val="CommentTextChar"/>
    <w:link w:val="CommentSubject"/>
    <w:uiPriority w:val="99"/>
    <w:semiHidden/>
    <w:rsid w:val="00541DF6"/>
    <w:rPr>
      <w:b/>
      <w:bCs/>
      <w:sz w:val="20"/>
      <w:szCs w:val="20"/>
      <w:lang w:val="en-GB"/>
    </w:rPr>
  </w:style>
  <w:style w:type="paragraph" w:styleId="BalloonText">
    <w:name w:val="Balloon Text"/>
    <w:basedOn w:val="Normal"/>
    <w:link w:val="BalloonTextChar"/>
    <w:uiPriority w:val="99"/>
    <w:semiHidden/>
    <w:unhideWhenUsed/>
    <w:rsid w:val="00541DF6"/>
    <w:rPr>
      <w:rFonts w:eastAsiaTheme="minorHAnsi"/>
      <w:sz w:val="18"/>
      <w:szCs w:val="18"/>
      <w:lang w:val="en-GB"/>
    </w:rPr>
  </w:style>
  <w:style w:type="character" w:customStyle="1" w:styleId="BalloonTextChar">
    <w:name w:val="Balloon Text Char"/>
    <w:basedOn w:val="DefaultParagraphFont"/>
    <w:link w:val="BalloonText"/>
    <w:uiPriority w:val="99"/>
    <w:semiHidden/>
    <w:rsid w:val="00541DF6"/>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0C0D8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C0D8E"/>
    <w:rPr>
      <w:sz w:val="20"/>
      <w:szCs w:val="20"/>
      <w:lang w:val="en-GB"/>
    </w:rPr>
  </w:style>
  <w:style w:type="character" w:customStyle="1" w:styleId="Heading3Char">
    <w:name w:val="Heading 3 Char"/>
    <w:basedOn w:val="DefaultParagraphFont"/>
    <w:link w:val="Heading3"/>
    <w:uiPriority w:val="9"/>
    <w:rsid w:val="00A71D79"/>
    <w:rPr>
      <w:rFonts w:ascii="Times New Roman" w:eastAsia="Times New Roman" w:hAnsi="Times New Roman" w:cs="Times New Roman"/>
      <w:b/>
      <w:bCs/>
      <w:sz w:val="27"/>
      <w:szCs w:val="27"/>
    </w:rPr>
  </w:style>
  <w:style w:type="character" w:styleId="Strong">
    <w:name w:val="Strong"/>
    <w:basedOn w:val="DefaultParagraphFont"/>
    <w:uiPriority w:val="22"/>
    <w:qFormat/>
    <w:rsid w:val="006A7EF9"/>
    <w:rPr>
      <w:b/>
      <w:bCs/>
    </w:rPr>
  </w:style>
  <w:style w:type="paragraph" w:styleId="ListParagraph">
    <w:name w:val="List Paragraph"/>
    <w:basedOn w:val="Normal"/>
    <w:uiPriority w:val="34"/>
    <w:qFormat/>
    <w:rsid w:val="00B2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0615">
      <w:bodyDiv w:val="1"/>
      <w:marLeft w:val="0"/>
      <w:marRight w:val="0"/>
      <w:marTop w:val="0"/>
      <w:marBottom w:val="0"/>
      <w:divBdr>
        <w:top w:val="none" w:sz="0" w:space="0" w:color="auto"/>
        <w:left w:val="none" w:sz="0" w:space="0" w:color="auto"/>
        <w:bottom w:val="none" w:sz="0" w:space="0" w:color="auto"/>
        <w:right w:val="none" w:sz="0" w:space="0" w:color="auto"/>
      </w:divBdr>
    </w:div>
    <w:div w:id="68313117">
      <w:bodyDiv w:val="1"/>
      <w:marLeft w:val="0"/>
      <w:marRight w:val="0"/>
      <w:marTop w:val="0"/>
      <w:marBottom w:val="0"/>
      <w:divBdr>
        <w:top w:val="none" w:sz="0" w:space="0" w:color="auto"/>
        <w:left w:val="none" w:sz="0" w:space="0" w:color="auto"/>
        <w:bottom w:val="none" w:sz="0" w:space="0" w:color="auto"/>
        <w:right w:val="none" w:sz="0" w:space="0" w:color="auto"/>
      </w:divBdr>
    </w:div>
    <w:div w:id="84421874">
      <w:bodyDiv w:val="1"/>
      <w:marLeft w:val="0"/>
      <w:marRight w:val="0"/>
      <w:marTop w:val="0"/>
      <w:marBottom w:val="0"/>
      <w:divBdr>
        <w:top w:val="none" w:sz="0" w:space="0" w:color="auto"/>
        <w:left w:val="none" w:sz="0" w:space="0" w:color="auto"/>
        <w:bottom w:val="none" w:sz="0" w:space="0" w:color="auto"/>
        <w:right w:val="none" w:sz="0" w:space="0" w:color="auto"/>
      </w:divBdr>
    </w:div>
    <w:div w:id="119349941">
      <w:bodyDiv w:val="1"/>
      <w:marLeft w:val="0"/>
      <w:marRight w:val="0"/>
      <w:marTop w:val="0"/>
      <w:marBottom w:val="0"/>
      <w:divBdr>
        <w:top w:val="none" w:sz="0" w:space="0" w:color="auto"/>
        <w:left w:val="none" w:sz="0" w:space="0" w:color="auto"/>
        <w:bottom w:val="none" w:sz="0" w:space="0" w:color="auto"/>
        <w:right w:val="none" w:sz="0" w:space="0" w:color="auto"/>
      </w:divBdr>
    </w:div>
    <w:div w:id="146481631">
      <w:bodyDiv w:val="1"/>
      <w:marLeft w:val="0"/>
      <w:marRight w:val="0"/>
      <w:marTop w:val="0"/>
      <w:marBottom w:val="0"/>
      <w:divBdr>
        <w:top w:val="none" w:sz="0" w:space="0" w:color="auto"/>
        <w:left w:val="none" w:sz="0" w:space="0" w:color="auto"/>
        <w:bottom w:val="none" w:sz="0" w:space="0" w:color="auto"/>
        <w:right w:val="none" w:sz="0" w:space="0" w:color="auto"/>
      </w:divBdr>
    </w:div>
    <w:div w:id="200358828">
      <w:bodyDiv w:val="1"/>
      <w:marLeft w:val="0"/>
      <w:marRight w:val="0"/>
      <w:marTop w:val="0"/>
      <w:marBottom w:val="0"/>
      <w:divBdr>
        <w:top w:val="none" w:sz="0" w:space="0" w:color="auto"/>
        <w:left w:val="none" w:sz="0" w:space="0" w:color="auto"/>
        <w:bottom w:val="none" w:sz="0" w:space="0" w:color="auto"/>
        <w:right w:val="none" w:sz="0" w:space="0" w:color="auto"/>
      </w:divBdr>
    </w:div>
    <w:div w:id="204411184">
      <w:bodyDiv w:val="1"/>
      <w:marLeft w:val="0"/>
      <w:marRight w:val="0"/>
      <w:marTop w:val="0"/>
      <w:marBottom w:val="0"/>
      <w:divBdr>
        <w:top w:val="none" w:sz="0" w:space="0" w:color="auto"/>
        <w:left w:val="none" w:sz="0" w:space="0" w:color="auto"/>
        <w:bottom w:val="none" w:sz="0" w:space="0" w:color="auto"/>
        <w:right w:val="none" w:sz="0" w:space="0" w:color="auto"/>
      </w:divBdr>
    </w:div>
    <w:div w:id="207376701">
      <w:bodyDiv w:val="1"/>
      <w:marLeft w:val="0"/>
      <w:marRight w:val="0"/>
      <w:marTop w:val="0"/>
      <w:marBottom w:val="0"/>
      <w:divBdr>
        <w:top w:val="none" w:sz="0" w:space="0" w:color="auto"/>
        <w:left w:val="none" w:sz="0" w:space="0" w:color="auto"/>
        <w:bottom w:val="none" w:sz="0" w:space="0" w:color="auto"/>
        <w:right w:val="none" w:sz="0" w:space="0" w:color="auto"/>
      </w:divBdr>
    </w:div>
    <w:div w:id="231819118">
      <w:bodyDiv w:val="1"/>
      <w:marLeft w:val="0"/>
      <w:marRight w:val="0"/>
      <w:marTop w:val="0"/>
      <w:marBottom w:val="0"/>
      <w:divBdr>
        <w:top w:val="none" w:sz="0" w:space="0" w:color="auto"/>
        <w:left w:val="none" w:sz="0" w:space="0" w:color="auto"/>
        <w:bottom w:val="none" w:sz="0" w:space="0" w:color="auto"/>
        <w:right w:val="none" w:sz="0" w:space="0" w:color="auto"/>
      </w:divBdr>
    </w:div>
    <w:div w:id="247155623">
      <w:bodyDiv w:val="1"/>
      <w:marLeft w:val="0"/>
      <w:marRight w:val="0"/>
      <w:marTop w:val="0"/>
      <w:marBottom w:val="0"/>
      <w:divBdr>
        <w:top w:val="none" w:sz="0" w:space="0" w:color="auto"/>
        <w:left w:val="none" w:sz="0" w:space="0" w:color="auto"/>
        <w:bottom w:val="none" w:sz="0" w:space="0" w:color="auto"/>
        <w:right w:val="none" w:sz="0" w:space="0" w:color="auto"/>
      </w:divBdr>
    </w:div>
    <w:div w:id="256793178">
      <w:bodyDiv w:val="1"/>
      <w:marLeft w:val="0"/>
      <w:marRight w:val="0"/>
      <w:marTop w:val="0"/>
      <w:marBottom w:val="0"/>
      <w:divBdr>
        <w:top w:val="none" w:sz="0" w:space="0" w:color="auto"/>
        <w:left w:val="none" w:sz="0" w:space="0" w:color="auto"/>
        <w:bottom w:val="none" w:sz="0" w:space="0" w:color="auto"/>
        <w:right w:val="none" w:sz="0" w:space="0" w:color="auto"/>
      </w:divBdr>
    </w:div>
    <w:div w:id="296641552">
      <w:bodyDiv w:val="1"/>
      <w:marLeft w:val="0"/>
      <w:marRight w:val="0"/>
      <w:marTop w:val="0"/>
      <w:marBottom w:val="0"/>
      <w:divBdr>
        <w:top w:val="none" w:sz="0" w:space="0" w:color="auto"/>
        <w:left w:val="none" w:sz="0" w:space="0" w:color="auto"/>
        <w:bottom w:val="none" w:sz="0" w:space="0" w:color="auto"/>
        <w:right w:val="none" w:sz="0" w:space="0" w:color="auto"/>
      </w:divBdr>
    </w:div>
    <w:div w:id="367527734">
      <w:bodyDiv w:val="1"/>
      <w:marLeft w:val="0"/>
      <w:marRight w:val="0"/>
      <w:marTop w:val="0"/>
      <w:marBottom w:val="0"/>
      <w:divBdr>
        <w:top w:val="none" w:sz="0" w:space="0" w:color="auto"/>
        <w:left w:val="none" w:sz="0" w:space="0" w:color="auto"/>
        <w:bottom w:val="none" w:sz="0" w:space="0" w:color="auto"/>
        <w:right w:val="none" w:sz="0" w:space="0" w:color="auto"/>
      </w:divBdr>
    </w:div>
    <w:div w:id="390080842">
      <w:bodyDiv w:val="1"/>
      <w:marLeft w:val="0"/>
      <w:marRight w:val="0"/>
      <w:marTop w:val="0"/>
      <w:marBottom w:val="0"/>
      <w:divBdr>
        <w:top w:val="none" w:sz="0" w:space="0" w:color="auto"/>
        <w:left w:val="none" w:sz="0" w:space="0" w:color="auto"/>
        <w:bottom w:val="none" w:sz="0" w:space="0" w:color="auto"/>
        <w:right w:val="none" w:sz="0" w:space="0" w:color="auto"/>
      </w:divBdr>
    </w:div>
    <w:div w:id="405762075">
      <w:bodyDiv w:val="1"/>
      <w:marLeft w:val="0"/>
      <w:marRight w:val="0"/>
      <w:marTop w:val="0"/>
      <w:marBottom w:val="0"/>
      <w:divBdr>
        <w:top w:val="none" w:sz="0" w:space="0" w:color="auto"/>
        <w:left w:val="none" w:sz="0" w:space="0" w:color="auto"/>
        <w:bottom w:val="none" w:sz="0" w:space="0" w:color="auto"/>
        <w:right w:val="none" w:sz="0" w:space="0" w:color="auto"/>
      </w:divBdr>
    </w:div>
    <w:div w:id="419258229">
      <w:bodyDiv w:val="1"/>
      <w:marLeft w:val="0"/>
      <w:marRight w:val="0"/>
      <w:marTop w:val="0"/>
      <w:marBottom w:val="0"/>
      <w:divBdr>
        <w:top w:val="none" w:sz="0" w:space="0" w:color="auto"/>
        <w:left w:val="none" w:sz="0" w:space="0" w:color="auto"/>
        <w:bottom w:val="none" w:sz="0" w:space="0" w:color="auto"/>
        <w:right w:val="none" w:sz="0" w:space="0" w:color="auto"/>
      </w:divBdr>
    </w:div>
    <w:div w:id="428502350">
      <w:bodyDiv w:val="1"/>
      <w:marLeft w:val="0"/>
      <w:marRight w:val="0"/>
      <w:marTop w:val="0"/>
      <w:marBottom w:val="0"/>
      <w:divBdr>
        <w:top w:val="none" w:sz="0" w:space="0" w:color="auto"/>
        <w:left w:val="none" w:sz="0" w:space="0" w:color="auto"/>
        <w:bottom w:val="none" w:sz="0" w:space="0" w:color="auto"/>
        <w:right w:val="none" w:sz="0" w:space="0" w:color="auto"/>
      </w:divBdr>
    </w:div>
    <w:div w:id="454760565">
      <w:bodyDiv w:val="1"/>
      <w:marLeft w:val="0"/>
      <w:marRight w:val="0"/>
      <w:marTop w:val="0"/>
      <w:marBottom w:val="0"/>
      <w:divBdr>
        <w:top w:val="none" w:sz="0" w:space="0" w:color="auto"/>
        <w:left w:val="none" w:sz="0" w:space="0" w:color="auto"/>
        <w:bottom w:val="none" w:sz="0" w:space="0" w:color="auto"/>
        <w:right w:val="none" w:sz="0" w:space="0" w:color="auto"/>
      </w:divBdr>
    </w:div>
    <w:div w:id="478229199">
      <w:bodyDiv w:val="1"/>
      <w:marLeft w:val="0"/>
      <w:marRight w:val="0"/>
      <w:marTop w:val="0"/>
      <w:marBottom w:val="0"/>
      <w:divBdr>
        <w:top w:val="none" w:sz="0" w:space="0" w:color="auto"/>
        <w:left w:val="none" w:sz="0" w:space="0" w:color="auto"/>
        <w:bottom w:val="none" w:sz="0" w:space="0" w:color="auto"/>
        <w:right w:val="none" w:sz="0" w:space="0" w:color="auto"/>
      </w:divBdr>
    </w:div>
    <w:div w:id="509411343">
      <w:bodyDiv w:val="1"/>
      <w:marLeft w:val="0"/>
      <w:marRight w:val="0"/>
      <w:marTop w:val="0"/>
      <w:marBottom w:val="0"/>
      <w:divBdr>
        <w:top w:val="none" w:sz="0" w:space="0" w:color="auto"/>
        <w:left w:val="none" w:sz="0" w:space="0" w:color="auto"/>
        <w:bottom w:val="none" w:sz="0" w:space="0" w:color="auto"/>
        <w:right w:val="none" w:sz="0" w:space="0" w:color="auto"/>
      </w:divBdr>
    </w:div>
    <w:div w:id="534125360">
      <w:bodyDiv w:val="1"/>
      <w:marLeft w:val="0"/>
      <w:marRight w:val="0"/>
      <w:marTop w:val="0"/>
      <w:marBottom w:val="0"/>
      <w:divBdr>
        <w:top w:val="none" w:sz="0" w:space="0" w:color="auto"/>
        <w:left w:val="none" w:sz="0" w:space="0" w:color="auto"/>
        <w:bottom w:val="none" w:sz="0" w:space="0" w:color="auto"/>
        <w:right w:val="none" w:sz="0" w:space="0" w:color="auto"/>
      </w:divBdr>
    </w:div>
    <w:div w:id="538788462">
      <w:bodyDiv w:val="1"/>
      <w:marLeft w:val="0"/>
      <w:marRight w:val="0"/>
      <w:marTop w:val="0"/>
      <w:marBottom w:val="0"/>
      <w:divBdr>
        <w:top w:val="none" w:sz="0" w:space="0" w:color="auto"/>
        <w:left w:val="none" w:sz="0" w:space="0" w:color="auto"/>
        <w:bottom w:val="none" w:sz="0" w:space="0" w:color="auto"/>
        <w:right w:val="none" w:sz="0" w:space="0" w:color="auto"/>
      </w:divBdr>
    </w:div>
    <w:div w:id="628634108">
      <w:bodyDiv w:val="1"/>
      <w:marLeft w:val="0"/>
      <w:marRight w:val="0"/>
      <w:marTop w:val="0"/>
      <w:marBottom w:val="0"/>
      <w:divBdr>
        <w:top w:val="none" w:sz="0" w:space="0" w:color="auto"/>
        <w:left w:val="none" w:sz="0" w:space="0" w:color="auto"/>
        <w:bottom w:val="none" w:sz="0" w:space="0" w:color="auto"/>
        <w:right w:val="none" w:sz="0" w:space="0" w:color="auto"/>
      </w:divBdr>
    </w:div>
    <w:div w:id="674766922">
      <w:bodyDiv w:val="1"/>
      <w:marLeft w:val="0"/>
      <w:marRight w:val="0"/>
      <w:marTop w:val="0"/>
      <w:marBottom w:val="0"/>
      <w:divBdr>
        <w:top w:val="none" w:sz="0" w:space="0" w:color="auto"/>
        <w:left w:val="none" w:sz="0" w:space="0" w:color="auto"/>
        <w:bottom w:val="none" w:sz="0" w:space="0" w:color="auto"/>
        <w:right w:val="none" w:sz="0" w:space="0" w:color="auto"/>
      </w:divBdr>
    </w:div>
    <w:div w:id="679817856">
      <w:bodyDiv w:val="1"/>
      <w:marLeft w:val="0"/>
      <w:marRight w:val="0"/>
      <w:marTop w:val="0"/>
      <w:marBottom w:val="0"/>
      <w:divBdr>
        <w:top w:val="none" w:sz="0" w:space="0" w:color="auto"/>
        <w:left w:val="none" w:sz="0" w:space="0" w:color="auto"/>
        <w:bottom w:val="none" w:sz="0" w:space="0" w:color="auto"/>
        <w:right w:val="none" w:sz="0" w:space="0" w:color="auto"/>
      </w:divBdr>
    </w:div>
    <w:div w:id="720708187">
      <w:bodyDiv w:val="1"/>
      <w:marLeft w:val="0"/>
      <w:marRight w:val="0"/>
      <w:marTop w:val="0"/>
      <w:marBottom w:val="0"/>
      <w:divBdr>
        <w:top w:val="none" w:sz="0" w:space="0" w:color="auto"/>
        <w:left w:val="none" w:sz="0" w:space="0" w:color="auto"/>
        <w:bottom w:val="none" w:sz="0" w:space="0" w:color="auto"/>
        <w:right w:val="none" w:sz="0" w:space="0" w:color="auto"/>
      </w:divBdr>
    </w:div>
    <w:div w:id="740643357">
      <w:bodyDiv w:val="1"/>
      <w:marLeft w:val="0"/>
      <w:marRight w:val="0"/>
      <w:marTop w:val="0"/>
      <w:marBottom w:val="0"/>
      <w:divBdr>
        <w:top w:val="none" w:sz="0" w:space="0" w:color="auto"/>
        <w:left w:val="none" w:sz="0" w:space="0" w:color="auto"/>
        <w:bottom w:val="none" w:sz="0" w:space="0" w:color="auto"/>
        <w:right w:val="none" w:sz="0" w:space="0" w:color="auto"/>
      </w:divBdr>
    </w:div>
    <w:div w:id="766734172">
      <w:bodyDiv w:val="1"/>
      <w:marLeft w:val="0"/>
      <w:marRight w:val="0"/>
      <w:marTop w:val="0"/>
      <w:marBottom w:val="0"/>
      <w:divBdr>
        <w:top w:val="none" w:sz="0" w:space="0" w:color="auto"/>
        <w:left w:val="none" w:sz="0" w:space="0" w:color="auto"/>
        <w:bottom w:val="none" w:sz="0" w:space="0" w:color="auto"/>
        <w:right w:val="none" w:sz="0" w:space="0" w:color="auto"/>
      </w:divBdr>
    </w:div>
    <w:div w:id="771239750">
      <w:bodyDiv w:val="1"/>
      <w:marLeft w:val="0"/>
      <w:marRight w:val="0"/>
      <w:marTop w:val="0"/>
      <w:marBottom w:val="0"/>
      <w:divBdr>
        <w:top w:val="none" w:sz="0" w:space="0" w:color="auto"/>
        <w:left w:val="none" w:sz="0" w:space="0" w:color="auto"/>
        <w:bottom w:val="none" w:sz="0" w:space="0" w:color="auto"/>
        <w:right w:val="none" w:sz="0" w:space="0" w:color="auto"/>
      </w:divBdr>
    </w:div>
    <w:div w:id="788161519">
      <w:bodyDiv w:val="1"/>
      <w:marLeft w:val="0"/>
      <w:marRight w:val="0"/>
      <w:marTop w:val="0"/>
      <w:marBottom w:val="0"/>
      <w:divBdr>
        <w:top w:val="none" w:sz="0" w:space="0" w:color="auto"/>
        <w:left w:val="none" w:sz="0" w:space="0" w:color="auto"/>
        <w:bottom w:val="none" w:sz="0" w:space="0" w:color="auto"/>
        <w:right w:val="none" w:sz="0" w:space="0" w:color="auto"/>
      </w:divBdr>
    </w:div>
    <w:div w:id="791443298">
      <w:bodyDiv w:val="1"/>
      <w:marLeft w:val="0"/>
      <w:marRight w:val="0"/>
      <w:marTop w:val="0"/>
      <w:marBottom w:val="0"/>
      <w:divBdr>
        <w:top w:val="none" w:sz="0" w:space="0" w:color="auto"/>
        <w:left w:val="none" w:sz="0" w:space="0" w:color="auto"/>
        <w:bottom w:val="none" w:sz="0" w:space="0" w:color="auto"/>
        <w:right w:val="none" w:sz="0" w:space="0" w:color="auto"/>
      </w:divBdr>
    </w:div>
    <w:div w:id="858012881">
      <w:bodyDiv w:val="1"/>
      <w:marLeft w:val="0"/>
      <w:marRight w:val="0"/>
      <w:marTop w:val="0"/>
      <w:marBottom w:val="0"/>
      <w:divBdr>
        <w:top w:val="none" w:sz="0" w:space="0" w:color="auto"/>
        <w:left w:val="none" w:sz="0" w:space="0" w:color="auto"/>
        <w:bottom w:val="none" w:sz="0" w:space="0" w:color="auto"/>
        <w:right w:val="none" w:sz="0" w:space="0" w:color="auto"/>
      </w:divBdr>
    </w:div>
    <w:div w:id="884487037">
      <w:bodyDiv w:val="1"/>
      <w:marLeft w:val="0"/>
      <w:marRight w:val="0"/>
      <w:marTop w:val="0"/>
      <w:marBottom w:val="0"/>
      <w:divBdr>
        <w:top w:val="none" w:sz="0" w:space="0" w:color="auto"/>
        <w:left w:val="none" w:sz="0" w:space="0" w:color="auto"/>
        <w:bottom w:val="none" w:sz="0" w:space="0" w:color="auto"/>
        <w:right w:val="none" w:sz="0" w:space="0" w:color="auto"/>
      </w:divBdr>
    </w:div>
    <w:div w:id="896669044">
      <w:bodyDiv w:val="1"/>
      <w:marLeft w:val="0"/>
      <w:marRight w:val="0"/>
      <w:marTop w:val="0"/>
      <w:marBottom w:val="0"/>
      <w:divBdr>
        <w:top w:val="none" w:sz="0" w:space="0" w:color="auto"/>
        <w:left w:val="none" w:sz="0" w:space="0" w:color="auto"/>
        <w:bottom w:val="none" w:sz="0" w:space="0" w:color="auto"/>
        <w:right w:val="none" w:sz="0" w:space="0" w:color="auto"/>
      </w:divBdr>
    </w:div>
    <w:div w:id="902109111">
      <w:bodyDiv w:val="1"/>
      <w:marLeft w:val="0"/>
      <w:marRight w:val="0"/>
      <w:marTop w:val="0"/>
      <w:marBottom w:val="0"/>
      <w:divBdr>
        <w:top w:val="none" w:sz="0" w:space="0" w:color="auto"/>
        <w:left w:val="none" w:sz="0" w:space="0" w:color="auto"/>
        <w:bottom w:val="none" w:sz="0" w:space="0" w:color="auto"/>
        <w:right w:val="none" w:sz="0" w:space="0" w:color="auto"/>
      </w:divBdr>
    </w:div>
    <w:div w:id="963075949">
      <w:bodyDiv w:val="1"/>
      <w:marLeft w:val="0"/>
      <w:marRight w:val="0"/>
      <w:marTop w:val="0"/>
      <w:marBottom w:val="0"/>
      <w:divBdr>
        <w:top w:val="none" w:sz="0" w:space="0" w:color="auto"/>
        <w:left w:val="none" w:sz="0" w:space="0" w:color="auto"/>
        <w:bottom w:val="none" w:sz="0" w:space="0" w:color="auto"/>
        <w:right w:val="none" w:sz="0" w:space="0" w:color="auto"/>
      </w:divBdr>
    </w:div>
    <w:div w:id="981422453">
      <w:bodyDiv w:val="1"/>
      <w:marLeft w:val="0"/>
      <w:marRight w:val="0"/>
      <w:marTop w:val="0"/>
      <w:marBottom w:val="0"/>
      <w:divBdr>
        <w:top w:val="none" w:sz="0" w:space="0" w:color="auto"/>
        <w:left w:val="none" w:sz="0" w:space="0" w:color="auto"/>
        <w:bottom w:val="none" w:sz="0" w:space="0" w:color="auto"/>
        <w:right w:val="none" w:sz="0" w:space="0" w:color="auto"/>
      </w:divBdr>
    </w:div>
    <w:div w:id="1063874725">
      <w:bodyDiv w:val="1"/>
      <w:marLeft w:val="0"/>
      <w:marRight w:val="0"/>
      <w:marTop w:val="0"/>
      <w:marBottom w:val="0"/>
      <w:divBdr>
        <w:top w:val="none" w:sz="0" w:space="0" w:color="auto"/>
        <w:left w:val="none" w:sz="0" w:space="0" w:color="auto"/>
        <w:bottom w:val="none" w:sz="0" w:space="0" w:color="auto"/>
        <w:right w:val="none" w:sz="0" w:space="0" w:color="auto"/>
      </w:divBdr>
    </w:div>
    <w:div w:id="1138766529">
      <w:bodyDiv w:val="1"/>
      <w:marLeft w:val="0"/>
      <w:marRight w:val="0"/>
      <w:marTop w:val="0"/>
      <w:marBottom w:val="0"/>
      <w:divBdr>
        <w:top w:val="none" w:sz="0" w:space="0" w:color="auto"/>
        <w:left w:val="none" w:sz="0" w:space="0" w:color="auto"/>
        <w:bottom w:val="none" w:sz="0" w:space="0" w:color="auto"/>
        <w:right w:val="none" w:sz="0" w:space="0" w:color="auto"/>
      </w:divBdr>
    </w:div>
    <w:div w:id="1158106856">
      <w:bodyDiv w:val="1"/>
      <w:marLeft w:val="0"/>
      <w:marRight w:val="0"/>
      <w:marTop w:val="0"/>
      <w:marBottom w:val="0"/>
      <w:divBdr>
        <w:top w:val="none" w:sz="0" w:space="0" w:color="auto"/>
        <w:left w:val="none" w:sz="0" w:space="0" w:color="auto"/>
        <w:bottom w:val="none" w:sz="0" w:space="0" w:color="auto"/>
        <w:right w:val="none" w:sz="0" w:space="0" w:color="auto"/>
      </w:divBdr>
    </w:div>
    <w:div w:id="1166703423">
      <w:bodyDiv w:val="1"/>
      <w:marLeft w:val="0"/>
      <w:marRight w:val="0"/>
      <w:marTop w:val="0"/>
      <w:marBottom w:val="0"/>
      <w:divBdr>
        <w:top w:val="none" w:sz="0" w:space="0" w:color="auto"/>
        <w:left w:val="none" w:sz="0" w:space="0" w:color="auto"/>
        <w:bottom w:val="none" w:sz="0" w:space="0" w:color="auto"/>
        <w:right w:val="none" w:sz="0" w:space="0" w:color="auto"/>
      </w:divBdr>
    </w:div>
    <w:div w:id="1221090182">
      <w:bodyDiv w:val="1"/>
      <w:marLeft w:val="0"/>
      <w:marRight w:val="0"/>
      <w:marTop w:val="0"/>
      <w:marBottom w:val="0"/>
      <w:divBdr>
        <w:top w:val="none" w:sz="0" w:space="0" w:color="auto"/>
        <w:left w:val="none" w:sz="0" w:space="0" w:color="auto"/>
        <w:bottom w:val="none" w:sz="0" w:space="0" w:color="auto"/>
        <w:right w:val="none" w:sz="0" w:space="0" w:color="auto"/>
      </w:divBdr>
    </w:div>
    <w:div w:id="1258782484">
      <w:bodyDiv w:val="1"/>
      <w:marLeft w:val="0"/>
      <w:marRight w:val="0"/>
      <w:marTop w:val="0"/>
      <w:marBottom w:val="0"/>
      <w:divBdr>
        <w:top w:val="none" w:sz="0" w:space="0" w:color="auto"/>
        <w:left w:val="none" w:sz="0" w:space="0" w:color="auto"/>
        <w:bottom w:val="none" w:sz="0" w:space="0" w:color="auto"/>
        <w:right w:val="none" w:sz="0" w:space="0" w:color="auto"/>
      </w:divBdr>
    </w:div>
    <w:div w:id="1308822571">
      <w:bodyDiv w:val="1"/>
      <w:marLeft w:val="0"/>
      <w:marRight w:val="0"/>
      <w:marTop w:val="0"/>
      <w:marBottom w:val="0"/>
      <w:divBdr>
        <w:top w:val="none" w:sz="0" w:space="0" w:color="auto"/>
        <w:left w:val="none" w:sz="0" w:space="0" w:color="auto"/>
        <w:bottom w:val="none" w:sz="0" w:space="0" w:color="auto"/>
        <w:right w:val="none" w:sz="0" w:space="0" w:color="auto"/>
      </w:divBdr>
    </w:div>
    <w:div w:id="1334532829">
      <w:bodyDiv w:val="1"/>
      <w:marLeft w:val="0"/>
      <w:marRight w:val="0"/>
      <w:marTop w:val="0"/>
      <w:marBottom w:val="0"/>
      <w:divBdr>
        <w:top w:val="none" w:sz="0" w:space="0" w:color="auto"/>
        <w:left w:val="none" w:sz="0" w:space="0" w:color="auto"/>
        <w:bottom w:val="none" w:sz="0" w:space="0" w:color="auto"/>
        <w:right w:val="none" w:sz="0" w:space="0" w:color="auto"/>
      </w:divBdr>
    </w:div>
    <w:div w:id="1358578426">
      <w:bodyDiv w:val="1"/>
      <w:marLeft w:val="0"/>
      <w:marRight w:val="0"/>
      <w:marTop w:val="0"/>
      <w:marBottom w:val="0"/>
      <w:divBdr>
        <w:top w:val="none" w:sz="0" w:space="0" w:color="auto"/>
        <w:left w:val="none" w:sz="0" w:space="0" w:color="auto"/>
        <w:bottom w:val="none" w:sz="0" w:space="0" w:color="auto"/>
        <w:right w:val="none" w:sz="0" w:space="0" w:color="auto"/>
      </w:divBdr>
    </w:div>
    <w:div w:id="1413509335">
      <w:bodyDiv w:val="1"/>
      <w:marLeft w:val="0"/>
      <w:marRight w:val="0"/>
      <w:marTop w:val="0"/>
      <w:marBottom w:val="0"/>
      <w:divBdr>
        <w:top w:val="none" w:sz="0" w:space="0" w:color="auto"/>
        <w:left w:val="none" w:sz="0" w:space="0" w:color="auto"/>
        <w:bottom w:val="none" w:sz="0" w:space="0" w:color="auto"/>
        <w:right w:val="none" w:sz="0" w:space="0" w:color="auto"/>
      </w:divBdr>
    </w:div>
    <w:div w:id="1429890832">
      <w:bodyDiv w:val="1"/>
      <w:marLeft w:val="0"/>
      <w:marRight w:val="0"/>
      <w:marTop w:val="0"/>
      <w:marBottom w:val="0"/>
      <w:divBdr>
        <w:top w:val="none" w:sz="0" w:space="0" w:color="auto"/>
        <w:left w:val="none" w:sz="0" w:space="0" w:color="auto"/>
        <w:bottom w:val="none" w:sz="0" w:space="0" w:color="auto"/>
        <w:right w:val="none" w:sz="0" w:space="0" w:color="auto"/>
      </w:divBdr>
    </w:div>
    <w:div w:id="1456172254">
      <w:bodyDiv w:val="1"/>
      <w:marLeft w:val="0"/>
      <w:marRight w:val="0"/>
      <w:marTop w:val="0"/>
      <w:marBottom w:val="0"/>
      <w:divBdr>
        <w:top w:val="none" w:sz="0" w:space="0" w:color="auto"/>
        <w:left w:val="none" w:sz="0" w:space="0" w:color="auto"/>
        <w:bottom w:val="none" w:sz="0" w:space="0" w:color="auto"/>
        <w:right w:val="none" w:sz="0" w:space="0" w:color="auto"/>
      </w:divBdr>
    </w:div>
    <w:div w:id="1473212239">
      <w:bodyDiv w:val="1"/>
      <w:marLeft w:val="0"/>
      <w:marRight w:val="0"/>
      <w:marTop w:val="0"/>
      <w:marBottom w:val="0"/>
      <w:divBdr>
        <w:top w:val="none" w:sz="0" w:space="0" w:color="auto"/>
        <w:left w:val="none" w:sz="0" w:space="0" w:color="auto"/>
        <w:bottom w:val="none" w:sz="0" w:space="0" w:color="auto"/>
        <w:right w:val="none" w:sz="0" w:space="0" w:color="auto"/>
      </w:divBdr>
    </w:div>
    <w:div w:id="1518815265">
      <w:bodyDiv w:val="1"/>
      <w:marLeft w:val="0"/>
      <w:marRight w:val="0"/>
      <w:marTop w:val="0"/>
      <w:marBottom w:val="0"/>
      <w:divBdr>
        <w:top w:val="none" w:sz="0" w:space="0" w:color="auto"/>
        <w:left w:val="none" w:sz="0" w:space="0" w:color="auto"/>
        <w:bottom w:val="none" w:sz="0" w:space="0" w:color="auto"/>
        <w:right w:val="none" w:sz="0" w:space="0" w:color="auto"/>
      </w:divBdr>
    </w:div>
    <w:div w:id="1519272166">
      <w:bodyDiv w:val="1"/>
      <w:marLeft w:val="0"/>
      <w:marRight w:val="0"/>
      <w:marTop w:val="0"/>
      <w:marBottom w:val="0"/>
      <w:divBdr>
        <w:top w:val="none" w:sz="0" w:space="0" w:color="auto"/>
        <w:left w:val="none" w:sz="0" w:space="0" w:color="auto"/>
        <w:bottom w:val="none" w:sz="0" w:space="0" w:color="auto"/>
        <w:right w:val="none" w:sz="0" w:space="0" w:color="auto"/>
      </w:divBdr>
    </w:div>
    <w:div w:id="1547528249">
      <w:bodyDiv w:val="1"/>
      <w:marLeft w:val="0"/>
      <w:marRight w:val="0"/>
      <w:marTop w:val="0"/>
      <w:marBottom w:val="0"/>
      <w:divBdr>
        <w:top w:val="none" w:sz="0" w:space="0" w:color="auto"/>
        <w:left w:val="none" w:sz="0" w:space="0" w:color="auto"/>
        <w:bottom w:val="none" w:sz="0" w:space="0" w:color="auto"/>
        <w:right w:val="none" w:sz="0" w:space="0" w:color="auto"/>
      </w:divBdr>
    </w:div>
    <w:div w:id="1553076640">
      <w:bodyDiv w:val="1"/>
      <w:marLeft w:val="0"/>
      <w:marRight w:val="0"/>
      <w:marTop w:val="0"/>
      <w:marBottom w:val="0"/>
      <w:divBdr>
        <w:top w:val="none" w:sz="0" w:space="0" w:color="auto"/>
        <w:left w:val="none" w:sz="0" w:space="0" w:color="auto"/>
        <w:bottom w:val="none" w:sz="0" w:space="0" w:color="auto"/>
        <w:right w:val="none" w:sz="0" w:space="0" w:color="auto"/>
      </w:divBdr>
    </w:div>
    <w:div w:id="1585794661">
      <w:bodyDiv w:val="1"/>
      <w:marLeft w:val="0"/>
      <w:marRight w:val="0"/>
      <w:marTop w:val="0"/>
      <w:marBottom w:val="0"/>
      <w:divBdr>
        <w:top w:val="none" w:sz="0" w:space="0" w:color="auto"/>
        <w:left w:val="none" w:sz="0" w:space="0" w:color="auto"/>
        <w:bottom w:val="none" w:sz="0" w:space="0" w:color="auto"/>
        <w:right w:val="none" w:sz="0" w:space="0" w:color="auto"/>
      </w:divBdr>
    </w:div>
    <w:div w:id="1675453472">
      <w:bodyDiv w:val="1"/>
      <w:marLeft w:val="0"/>
      <w:marRight w:val="0"/>
      <w:marTop w:val="0"/>
      <w:marBottom w:val="0"/>
      <w:divBdr>
        <w:top w:val="none" w:sz="0" w:space="0" w:color="auto"/>
        <w:left w:val="none" w:sz="0" w:space="0" w:color="auto"/>
        <w:bottom w:val="none" w:sz="0" w:space="0" w:color="auto"/>
        <w:right w:val="none" w:sz="0" w:space="0" w:color="auto"/>
      </w:divBdr>
    </w:div>
    <w:div w:id="1692874328">
      <w:bodyDiv w:val="1"/>
      <w:marLeft w:val="0"/>
      <w:marRight w:val="0"/>
      <w:marTop w:val="0"/>
      <w:marBottom w:val="0"/>
      <w:divBdr>
        <w:top w:val="none" w:sz="0" w:space="0" w:color="auto"/>
        <w:left w:val="none" w:sz="0" w:space="0" w:color="auto"/>
        <w:bottom w:val="none" w:sz="0" w:space="0" w:color="auto"/>
        <w:right w:val="none" w:sz="0" w:space="0" w:color="auto"/>
      </w:divBdr>
    </w:div>
    <w:div w:id="1718626070">
      <w:bodyDiv w:val="1"/>
      <w:marLeft w:val="0"/>
      <w:marRight w:val="0"/>
      <w:marTop w:val="0"/>
      <w:marBottom w:val="0"/>
      <w:divBdr>
        <w:top w:val="none" w:sz="0" w:space="0" w:color="auto"/>
        <w:left w:val="none" w:sz="0" w:space="0" w:color="auto"/>
        <w:bottom w:val="none" w:sz="0" w:space="0" w:color="auto"/>
        <w:right w:val="none" w:sz="0" w:space="0" w:color="auto"/>
      </w:divBdr>
    </w:div>
    <w:div w:id="1726181398">
      <w:bodyDiv w:val="1"/>
      <w:marLeft w:val="0"/>
      <w:marRight w:val="0"/>
      <w:marTop w:val="0"/>
      <w:marBottom w:val="0"/>
      <w:divBdr>
        <w:top w:val="none" w:sz="0" w:space="0" w:color="auto"/>
        <w:left w:val="none" w:sz="0" w:space="0" w:color="auto"/>
        <w:bottom w:val="none" w:sz="0" w:space="0" w:color="auto"/>
        <w:right w:val="none" w:sz="0" w:space="0" w:color="auto"/>
      </w:divBdr>
    </w:div>
    <w:div w:id="1732922920">
      <w:bodyDiv w:val="1"/>
      <w:marLeft w:val="0"/>
      <w:marRight w:val="0"/>
      <w:marTop w:val="0"/>
      <w:marBottom w:val="0"/>
      <w:divBdr>
        <w:top w:val="none" w:sz="0" w:space="0" w:color="auto"/>
        <w:left w:val="none" w:sz="0" w:space="0" w:color="auto"/>
        <w:bottom w:val="none" w:sz="0" w:space="0" w:color="auto"/>
        <w:right w:val="none" w:sz="0" w:space="0" w:color="auto"/>
      </w:divBdr>
    </w:div>
    <w:div w:id="1769808652">
      <w:bodyDiv w:val="1"/>
      <w:marLeft w:val="0"/>
      <w:marRight w:val="0"/>
      <w:marTop w:val="0"/>
      <w:marBottom w:val="0"/>
      <w:divBdr>
        <w:top w:val="none" w:sz="0" w:space="0" w:color="auto"/>
        <w:left w:val="none" w:sz="0" w:space="0" w:color="auto"/>
        <w:bottom w:val="none" w:sz="0" w:space="0" w:color="auto"/>
        <w:right w:val="none" w:sz="0" w:space="0" w:color="auto"/>
      </w:divBdr>
    </w:div>
    <w:div w:id="1774283426">
      <w:bodyDiv w:val="1"/>
      <w:marLeft w:val="0"/>
      <w:marRight w:val="0"/>
      <w:marTop w:val="0"/>
      <w:marBottom w:val="0"/>
      <w:divBdr>
        <w:top w:val="none" w:sz="0" w:space="0" w:color="auto"/>
        <w:left w:val="none" w:sz="0" w:space="0" w:color="auto"/>
        <w:bottom w:val="none" w:sz="0" w:space="0" w:color="auto"/>
        <w:right w:val="none" w:sz="0" w:space="0" w:color="auto"/>
      </w:divBdr>
    </w:div>
    <w:div w:id="1819610676">
      <w:bodyDiv w:val="1"/>
      <w:marLeft w:val="0"/>
      <w:marRight w:val="0"/>
      <w:marTop w:val="0"/>
      <w:marBottom w:val="0"/>
      <w:divBdr>
        <w:top w:val="none" w:sz="0" w:space="0" w:color="auto"/>
        <w:left w:val="none" w:sz="0" w:space="0" w:color="auto"/>
        <w:bottom w:val="none" w:sz="0" w:space="0" w:color="auto"/>
        <w:right w:val="none" w:sz="0" w:space="0" w:color="auto"/>
      </w:divBdr>
    </w:div>
    <w:div w:id="1848863418">
      <w:bodyDiv w:val="1"/>
      <w:marLeft w:val="0"/>
      <w:marRight w:val="0"/>
      <w:marTop w:val="0"/>
      <w:marBottom w:val="0"/>
      <w:divBdr>
        <w:top w:val="none" w:sz="0" w:space="0" w:color="auto"/>
        <w:left w:val="none" w:sz="0" w:space="0" w:color="auto"/>
        <w:bottom w:val="none" w:sz="0" w:space="0" w:color="auto"/>
        <w:right w:val="none" w:sz="0" w:space="0" w:color="auto"/>
      </w:divBdr>
    </w:div>
    <w:div w:id="1849051864">
      <w:bodyDiv w:val="1"/>
      <w:marLeft w:val="0"/>
      <w:marRight w:val="0"/>
      <w:marTop w:val="0"/>
      <w:marBottom w:val="0"/>
      <w:divBdr>
        <w:top w:val="none" w:sz="0" w:space="0" w:color="auto"/>
        <w:left w:val="none" w:sz="0" w:space="0" w:color="auto"/>
        <w:bottom w:val="none" w:sz="0" w:space="0" w:color="auto"/>
        <w:right w:val="none" w:sz="0" w:space="0" w:color="auto"/>
      </w:divBdr>
    </w:div>
    <w:div w:id="1851143818">
      <w:bodyDiv w:val="1"/>
      <w:marLeft w:val="0"/>
      <w:marRight w:val="0"/>
      <w:marTop w:val="0"/>
      <w:marBottom w:val="0"/>
      <w:divBdr>
        <w:top w:val="none" w:sz="0" w:space="0" w:color="auto"/>
        <w:left w:val="none" w:sz="0" w:space="0" w:color="auto"/>
        <w:bottom w:val="none" w:sz="0" w:space="0" w:color="auto"/>
        <w:right w:val="none" w:sz="0" w:space="0" w:color="auto"/>
      </w:divBdr>
    </w:div>
    <w:div w:id="1866139640">
      <w:bodyDiv w:val="1"/>
      <w:marLeft w:val="0"/>
      <w:marRight w:val="0"/>
      <w:marTop w:val="0"/>
      <w:marBottom w:val="0"/>
      <w:divBdr>
        <w:top w:val="none" w:sz="0" w:space="0" w:color="auto"/>
        <w:left w:val="none" w:sz="0" w:space="0" w:color="auto"/>
        <w:bottom w:val="none" w:sz="0" w:space="0" w:color="auto"/>
        <w:right w:val="none" w:sz="0" w:space="0" w:color="auto"/>
      </w:divBdr>
    </w:div>
    <w:div w:id="1896965198">
      <w:bodyDiv w:val="1"/>
      <w:marLeft w:val="0"/>
      <w:marRight w:val="0"/>
      <w:marTop w:val="0"/>
      <w:marBottom w:val="0"/>
      <w:divBdr>
        <w:top w:val="none" w:sz="0" w:space="0" w:color="auto"/>
        <w:left w:val="none" w:sz="0" w:space="0" w:color="auto"/>
        <w:bottom w:val="none" w:sz="0" w:space="0" w:color="auto"/>
        <w:right w:val="none" w:sz="0" w:space="0" w:color="auto"/>
      </w:divBdr>
    </w:div>
    <w:div w:id="1897162056">
      <w:bodyDiv w:val="1"/>
      <w:marLeft w:val="0"/>
      <w:marRight w:val="0"/>
      <w:marTop w:val="0"/>
      <w:marBottom w:val="0"/>
      <w:divBdr>
        <w:top w:val="none" w:sz="0" w:space="0" w:color="auto"/>
        <w:left w:val="none" w:sz="0" w:space="0" w:color="auto"/>
        <w:bottom w:val="none" w:sz="0" w:space="0" w:color="auto"/>
        <w:right w:val="none" w:sz="0" w:space="0" w:color="auto"/>
      </w:divBdr>
    </w:div>
    <w:div w:id="1910580569">
      <w:bodyDiv w:val="1"/>
      <w:marLeft w:val="0"/>
      <w:marRight w:val="0"/>
      <w:marTop w:val="0"/>
      <w:marBottom w:val="0"/>
      <w:divBdr>
        <w:top w:val="none" w:sz="0" w:space="0" w:color="auto"/>
        <w:left w:val="none" w:sz="0" w:space="0" w:color="auto"/>
        <w:bottom w:val="none" w:sz="0" w:space="0" w:color="auto"/>
        <w:right w:val="none" w:sz="0" w:space="0" w:color="auto"/>
      </w:divBdr>
    </w:div>
    <w:div w:id="1930772853">
      <w:bodyDiv w:val="1"/>
      <w:marLeft w:val="0"/>
      <w:marRight w:val="0"/>
      <w:marTop w:val="0"/>
      <w:marBottom w:val="0"/>
      <w:divBdr>
        <w:top w:val="none" w:sz="0" w:space="0" w:color="auto"/>
        <w:left w:val="none" w:sz="0" w:space="0" w:color="auto"/>
        <w:bottom w:val="none" w:sz="0" w:space="0" w:color="auto"/>
        <w:right w:val="none" w:sz="0" w:space="0" w:color="auto"/>
      </w:divBdr>
    </w:div>
    <w:div w:id="1935899897">
      <w:bodyDiv w:val="1"/>
      <w:marLeft w:val="0"/>
      <w:marRight w:val="0"/>
      <w:marTop w:val="0"/>
      <w:marBottom w:val="0"/>
      <w:divBdr>
        <w:top w:val="none" w:sz="0" w:space="0" w:color="auto"/>
        <w:left w:val="none" w:sz="0" w:space="0" w:color="auto"/>
        <w:bottom w:val="none" w:sz="0" w:space="0" w:color="auto"/>
        <w:right w:val="none" w:sz="0" w:space="0" w:color="auto"/>
      </w:divBdr>
    </w:div>
    <w:div w:id="1971856011">
      <w:bodyDiv w:val="1"/>
      <w:marLeft w:val="0"/>
      <w:marRight w:val="0"/>
      <w:marTop w:val="0"/>
      <w:marBottom w:val="0"/>
      <w:divBdr>
        <w:top w:val="none" w:sz="0" w:space="0" w:color="auto"/>
        <w:left w:val="none" w:sz="0" w:space="0" w:color="auto"/>
        <w:bottom w:val="none" w:sz="0" w:space="0" w:color="auto"/>
        <w:right w:val="none" w:sz="0" w:space="0" w:color="auto"/>
      </w:divBdr>
    </w:div>
    <w:div w:id="1994790602">
      <w:bodyDiv w:val="1"/>
      <w:marLeft w:val="0"/>
      <w:marRight w:val="0"/>
      <w:marTop w:val="0"/>
      <w:marBottom w:val="0"/>
      <w:divBdr>
        <w:top w:val="none" w:sz="0" w:space="0" w:color="auto"/>
        <w:left w:val="none" w:sz="0" w:space="0" w:color="auto"/>
        <w:bottom w:val="none" w:sz="0" w:space="0" w:color="auto"/>
        <w:right w:val="none" w:sz="0" w:space="0" w:color="auto"/>
      </w:divBdr>
    </w:div>
    <w:div w:id="2004164421">
      <w:bodyDiv w:val="1"/>
      <w:marLeft w:val="0"/>
      <w:marRight w:val="0"/>
      <w:marTop w:val="0"/>
      <w:marBottom w:val="0"/>
      <w:divBdr>
        <w:top w:val="none" w:sz="0" w:space="0" w:color="auto"/>
        <w:left w:val="none" w:sz="0" w:space="0" w:color="auto"/>
        <w:bottom w:val="none" w:sz="0" w:space="0" w:color="auto"/>
        <w:right w:val="none" w:sz="0" w:space="0" w:color="auto"/>
      </w:divBdr>
    </w:div>
    <w:div w:id="2027635116">
      <w:bodyDiv w:val="1"/>
      <w:marLeft w:val="0"/>
      <w:marRight w:val="0"/>
      <w:marTop w:val="0"/>
      <w:marBottom w:val="0"/>
      <w:divBdr>
        <w:top w:val="none" w:sz="0" w:space="0" w:color="auto"/>
        <w:left w:val="none" w:sz="0" w:space="0" w:color="auto"/>
        <w:bottom w:val="none" w:sz="0" w:space="0" w:color="auto"/>
        <w:right w:val="none" w:sz="0" w:space="0" w:color="auto"/>
      </w:divBdr>
    </w:div>
    <w:div w:id="2029794313">
      <w:bodyDiv w:val="1"/>
      <w:marLeft w:val="0"/>
      <w:marRight w:val="0"/>
      <w:marTop w:val="0"/>
      <w:marBottom w:val="0"/>
      <w:divBdr>
        <w:top w:val="none" w:sz="0" w:space="0" w:color="auto"/>
        <w:left w:val="none" w:sz="0" w:space="0" w:color="auto"/>
        <w:bottom w:val="none" w:sz="0" w:space="0" w:color="auto"/>
        <w:right w:val="none" w:sz="0" w:space="0" w:color="auto"/>
      </w:divBdr>
    </w:div>
    <w:div w:id="2036348597">
      <w:bodyDiv w:val="1"/>
      <w:marLeft w:val="0"/>
      <w:marRight w:val="0"/>
      <w:marTop w:val="0"/>
      <w:marBottom w:val="0"/>
      <w:divBdr>
        <w:top w:val="none" w:sz="0" w:space="0" w:color="auto"/>
        <w:left w:val="none" w:sz="0" w:space="0" w:color="auto"/>
        <w:bottom w:val="none" w:sz="0" w:space="0" w:color="auto"/>
        <w:right w:val="none" w:sz="0" w:space="0" w:color="auto"/>
      </w:divBdr>
    </w:div>
    <w:div w:id="2070298574">
      <w:bodyDiv w:val="1"/>
      <w:marLeft w:val="0"/>
      <w:marRight w:val="0"/>
      <w:marTop w:val="0"/>
      <w:marBottom w:val="0"/>
      <w:divBdr>
        <w:top w:val="none" w:sz="0" w:space="0" w:color="auto"/>
        <w:left w:val="none" w:sz="0" w:space="0" w:color="auto"/>
        <w:bottom w:val="none" w:sz="0" w:space="0" w:color="auto"/>
        <w:right w:val="none" w:sz="0" w:space="0" w:color="auto"/>
      </w:divBdr>
    </w:div>
    <w:div w:id="21027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docstore.ohchr.org/SelfServices/FilesHandler.ashx?enc=6QkG1d%2fPPRiCAqhKb7yhsiXdyxfsUw0Uwnk5uW2OiRTgbu5mn9DRjZXvlI5a4zvDBvYWFIHVeoN2gpLTJBBq%2fleb4AwpyKeOaib7rjuad2%2fDpMoLMHIYcE13QEqG9GZRwAUrtuXoZQ0sLZgD5FgByA%3d%3d" TargetMode="External"/><Relationship Id="rId3" Type="http://schemas.openxmlformats.org/officeDocument/2006/relationships/webSettings" Target="webSettings.xml"/><Relationship Id="rId21" Type="http://schemas.openxmlformats.org/officeDocument/2006/relationships/hyperlink" Target="https://tbinternet.ohchr.org/_layouts/15/treatybodyexternal/Download.aspx?symbolno=CRPD/C/GC/1&amp;Lang=en" TargetMode="Externa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docstore.ohchr.org/SelfServices/FilesHandler.ashx?enc=6QkG1d%2fPPRiCAqhKb7yhsiXdyxfsUw0Uwnk5uW2OiRTgbu5mn9DRjZXvlI5a4zvDBvYWFIHVeoN2gpLTJBBq%2fhpasarK2m3pehI35xqawqjvCiSOeIu8vk2R2f5KmidCX9mXu3CBzGKC3GQT1B6ebg%3d%3d" TargetMode="External"/><Relationship Id="rId2" Type="http://schemas.openxmlformats.org/officeDocument/2006/relationships/settings" Target="settings.xml"/><Relationship Id="rId16" Type="http://schemas.openxmlformats.org/officeDocument/2006/relationships/hyperlink" Target="http://docstore.ohchr.org/SelfServices/FilesHandler.ashx?enc=6QkG1d%2fPPRiCAqhKb7yhsiXdyxfsUw0Uwnk5uW2OiRTgbu5mn9DRjZXvlI5a4zvDBvYWFIHVeoN2gpLTJBBq%2fiazMz0C5X2ViHTjOcsdVn4sNDDWMnlqARE3bg4%2b1D2eRuGu%2fie7UW8DI6vw6MZwPQ%3d%3d" TargetMode="External"/><Relationship Id="rId20" Type="http://schemas.openxmlformats.org/officeDocument/2006/relationships/hyperlink" Target="http://docstore.ohchr.org/SelfServices/FilesHandler.ashx?enc=6QkG1d%2fPPRiCAqhKb7yhsiXdyxfsUw0Uwnk5uW2OiRTgbu5mn9DRjZXvlI5a4zvDBvYWFIHVeoN2gpLTJBBq%2fpmrQ1TFotbrdTVT0PiXbOQUviLOE1pzF0rfmakcyCR0RXHL1zwKyifZc65UQlqTIw%3d%3d" TargetMode="External"/><Relationship Id="rId1" Type="http://schemas.openxmlformats.org/officeDocument/2006/relationships/styles" Target="styles.xml"/><Relationship Id="rId6" Type="http://schemas.openxmlformats.org/officeDocument/2006/relationships/hyperlink" Target="http://docstore.ohchr.org/SelfServices/FilesHandler.ashx?enc=6QkG1d%2fPPRiCAqhKb7yhsiXdyxfsUw0Uwnk5uW2OiRTgbu5mn9DRjZXvlI5a4zvDBvYWFIHVeoN2gpLTJBBq%2fiazMz0C5X2ViHTjOcsdVn4sNDDWMnlqARE3bg4%2b1D2eRuGu%2fie7UW8DI6vw6MZwPQ%3d%3d" TargetMode="Externa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ohchr.org/EN/HRBodies/CRPD/Pages/OptionalProtocolRightsPersonsWithDisabilities.aspx" TargetMode="External"/><Relationship Id="rId23" Type="http://schemas.openxmlformats.org/officeDocument/2006/relationships/fontTable" Target="fontTable.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docstore.ohchr.org/SelfServices/FilesHandler.ashx?enc=6QkG1d%2fPPRiCAqhKb7yhsiXdyxfsUw0Uwnk5uW2OiRTgbu5mn9DRjZXvlI5a4zvDBvYWFIHVeoN2gpLTJBBq%2fozqp5Ler6k3xaQejNAKuAyqbxTbbD0kYUe5rU%2bX5uoOD4KMlcYdiNd98fxW%2b7%2bToQ%3d%3d" TargetMode="External"/><Relationship Id="rId4" Type="http://schemas.openxmlformats.org/officeDocument/2006/relationships/footnotes" Target="footnote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OptionalProtocolRightsPersonsWithDisabilities.aspx" TargetMode="External"/><Relationship Id="rId22" Type="http://schemas.openxmlformats.org/officeDocument/2006/relationships/hyperlink" Target="https://undocs.org/en/CRPD/C/MEX/CO/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CRPD/C/MEX/CO/1" TargetMode="External"/><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7469</Words>
  <Characters>42574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Eleonora Guzzi</cp:lastModifiedBy>
  <cp:revision>2</cp:revision>
  <dcterms:created xsi:type="dcterms:W3CDTF">2020-05-07T10:09:00Z</dcterms:created>
  <dcterms:modified xsi:type="dcterms:W3CDTF">2020-05-07T10:09:00Z</dcterms:modified>
</cp:coreProperties>
</file>