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E90B" w14:textId="499FE25B"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r w:rsidR="005A241B">
        <w:rPr>
          <w:rFonts w:ascii="Arial" w:eastAsia="Calibri" w:hAnsi="Arial" w:cs="Arial"/>
          <w:i/>
        </w:rPr>
        <w:t xml:space="preserve">N.B. and M.W.J </w:t>
      </w:r>
      <w:r w:rsidR="005974EB" w:rsidRPr="005974EB">
        <w:rPr>
          <w:rFonts w:ascii="Arial" w:eastAsia="Calibri" w:hAnsi="Arial" w:cs="Arial"/>
          <w:i/>
        </w:rPr>
        <w:t xml:space="preserve">(represented by </w:t>
      </w:r>
      <w:r w:rsidR="005A241B">
        <w:rPr>
          <w:rFonts w:ascii="Arial" w:eastAsia="Calibri" w:hAnsi="Arial" w:cs="Arial"/>
          <w:i/>
        </w:rPr>
        <w:t>Inclusion London</w:t>
      </w:r>
      <w:r w:rsidR="005974EB" w:rsidRPr="005974EB">
        <w:rPr>
          <w:rFonts w:ascii="Arial" w:eastAsia="Calibri" w:hAnsi="Arial" w:cs="Arial"/>
          <w:i/>
        </w:rPr>
        <w:t>)</w:t>
      </w:r>
      <w:r w:rsidRPr="00C161EE">
        <w:rPr>
          <w:rFonts w:ascii="Arial" w:eastAsia="Calibri" w:hAnsi="Arial" w:cs="Arial"/>
          <w:i/>
        </w:rPr>
        <w:t xml:space="preserve"> v </w:t>
      </w:r>
      <w:r w:rsidR="005A241B">
        <w:rPr>
          <w:rFonts w:ascii="Arial" w:eastAsia="Calibri" w:hAnsi="Arial" w:cs="Arial"/>
          <w:i/>
        </w:rPr>
        <w:t xml:space="preserve">United Kingdom of Great Britain and Northern Ireland </w:t>
      </w:r>
    </w:p>
    <w:p w14:paraId="41BF840B" w14:textId="3F69CFB1" w:rsidR="006A535F" w:rsidRDefault="00DC3013" w:rsidP="00C161EE">
      <w:pPr>
        <w:rPr>
          <w:rFonts w:ascii="Arial" w:eastAsia="Calibri" w:hAnsi="Arial" w:cs="Arial"/>
        </w:rPr>
      </w:pPr>
      <w:hyperlink r:id="rId7" w:history="1">
        <w:r w:rsidR="006A535F" w:rsidRPr="006A535F">
          <w:rPr>
            <w:rStyle w:val="Hyperlink"/>
            <w:rFonts w:ascii="Arial" w:eastAsia="Calibri" w:hAnsi="Arial" w:cs="Arial"/>
          </w:rPr>
          <w:t>CRPD/C/22/D/43/2017</w:t>
        </w:r>
      </w:hyperlink>
    </w:p>
    <w:p w14:paraId="2EBBD326" w14:textId="6B3962AD" w:rsidR="00C161EE" w:rsidRPr="00C161EE" w:rsidRDefault="00C161EE" w:rsidP="00C161EE">
      <w:pPr>
        <w:rPr>
          <w:rFonts w:ascii="Arial" w:hAnsi="Arial" w:cs="Arial"/>
        </w:rPr>
      </w:pPr>
      <w:r w:rsidRPr="00C161EE">
        <w:rPr>
          <w:rFonts w:ascii="Arial" w:hAnsi="Arial" w:cs="Arial"/>
        </w:rPr>
        <w:t xml:space="preserve">Communication No. </w:t>
      </w:r>
      <w:r w:rsidR="00AC7EF1">
        <w:rPr>
          <w:rFonts w:ascii="Arial" w:hAnsi="Arial" w:cs="Arial"/>
        </w:rPr>
        <w:t>43/2017</w:t>
      </w:r>
    </w:p>
    <w:p w14:paraId="76A01D5C" w14:textId="7DA63C81"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AC7EF1">
        <w:rPr>
          <w:rFonts w:ascii="Arial" w:eastAsia="Calibri" w:hAnsi="Arial" w:cs="Arial"/>
        </w:rPr>
        <w:t>25 May 2015</w:t>
      </w:r>
      <w:r w:rsidRPr="00A31760">
        <w:rPr>
          <w:rFonts w:ascii="Arial" w:eastAsia="Calibri" w:hAnsi="Arial" w:cs="Arial"/>
        </w:rPr>
        <w:t xml:space="preserve"> </w:t>
      </w:r>
    </w:p>
    <w:p w14:paraId="77935A57" w14:textId="0F2143FB"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AC7EF1">
        <w:rPr>
          <w:rFonts w:ascii="Arial" w:eastAsia="Calibri" w:hAnsi="Arial" w:cs="Arial"/>
        </w:rPr>
        <w:t>6 September 2019</w:t>
      </w:r>
      <w:r w:rsidR="001B608A">
        <w:rPr>
          <w:rFonts w:ascii="Arial" w:eastAsia="Calibri" w:hAnsi="Arial" w:cs="Arial"/>
        </w:rPr>
        <w:t xml:space="preserve"> </w:t>
      </w:r>
    </w:p>
    <w:p w14:paraId="07CE6308" w14:textId="026B603B" w:rsidR="00AC7EF1" w:rsidRDefault="00C161EE" w:rsidP="00C161EE">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9" w:history="1">
        <w:r w:rsidR="00AC7EF1" w:rsidRPr="00AC7EF1">
          <w:rPr>
            <w:rStyle w:val="Hyperlink"/>
            <w:rFonts w:ascii="Arial" w:hAnsi="Arial" w:cs="Arial"/>
          </w:rPr>
          <w:t>17</w:t>
        </w:r>
      </w:hyperlink>
      <w:r w:rsidR="00AC7EF1">
        <w:rPr>
          <w:rFonts w:ascii="Arial" w:hAnsi="Arial" w:cs="Arial"/>
        </w:rPr>
        <w:t xml:space="preserve">, </w:t>
      </w:r>
      <w:hyperlink r:id="rId9" w:anchor="9" w:history="1">
        <w:r w:rsidR="00AC7EF1" w:rsidRPr="00AC7EF1">
          <w:rPr>
            <w:rStyle w:val="Hyperlink"/>
            <w:rFonts w:ascii="Arial" w:hAnsi="Arial" w:cs="Arial"/>
          </w:rPr>
          <w:t>19</w:t>
        </w:r>
      </w:hyperlink>
      <w:r w:rsidR="00AC7EF1">
        <w:rPr>
          <w:rFonts w:ascii="Arial" w:hAnsi="Arial" w:cs="Arial"/>
        </w:rPr>
        <w:t>,</w:t>
      </w:r>
      <w:hyperlink r:id="rId10" w:anchor="9" w:history="1">
        <w:r w:rsidR="00AC7EF1" w:rsidRPr="00AC7EF1">
          <w:rPr>
            <w:rStyle w:val="Hyperlink"/>
            <w:rFonts w:ascii="Arial" w:hAnsi="Arial" w:cs="Arial"/>
          </w:rPr>
          <w:t xml:space="preserve"> 20</w:t>
        </w:r>
      </w:hyperlink>
      <w:r w:rsidR="00AC7EF1">
        <w:rPr>
          <w:rFonts w:ascii="Arial" w:hAnsi="Arial" w:cs="Arial"/>
        </w:rPr>
        <w:t xml:space="preserve">, </w:t>
      </w:r>
      <w:hyperlink r:id="rId11" w:anchor="9" w:history="1">
        <w:r w:rsidR="00AC7EF1" w:rsidRPr="00AC7EF1">
          <w:rPr>
            <w:rStyle w:val="Hyperlink"/>
            <w:rFonts w:ascii="Arial" w:hAnsi="Arial" w:cs="Arial"/>
          </w:rPr>
          <w:t>30</w:t>
        </w:r>
      </w:hyperlink>
      <w:r w:rsidR="00AC7EF1">
        <w:rPr>
          <w:rFonts w:ascii="Arial" w:hAnsi="Arial" w:cs="Arial"/>
        </w:rPr>
        <w:t xml:space="preserve"> and </w:t>
      </w:r>
      <w:hyperlink r:id="rId12" w:anchor="9" w:history="1">
        <w:r w:rsidR="00AC7EF1" w:rsidRPr="00AC7EF1">
          <w:rPr>
            <w:rStyle w:val="Hyperlink"/>
            <w:rFonts w:ascii="Arial" w:hAnsi="Arial" w:cs="Arial"/>
          </w:rPr>
          <w:t>31</w:t>
        </w:r>
      </w:hyperlink>
      <w:r w:rsidR="00AC7EF1">
        <w:rPr>
          <w:rFonts w:ascii="Arial" w:hAnsi="Arial" w:cs="Arial"/>
        </w:rPr>
        <w:t xml:space="preserve"> </w:t>
      </w:r>
    </w:p>
    <w:p w14:paraId="203AE70E" w14:textId="13B9E15B" w:rsidR="00C161EE" w:rsidRPr="00AC7EF1" w:rsidRDefault="00C161EE" w:rsidP="00C161EE">
      <w:pPr>
        <w:spacing w:after="0" w:line="276" w:lineRule="auto"/>
        <w:jc w:val="both"/>
        <w:rPr>
          <w:rFonts w:ascii="Arial" w:eastAsia="Calibri"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C161EE">
      <w:pPr>
        <w:rPr>
          <w:rFonts w:ascii="Arial" w:eastAsia="Calibri" w:hAnsi="Arial" w:cs="Arial"/>
        </w:rPr>
      </w:pPr>
    </w:p>
    <w:p w14:paraId="4971B47F" w14:textId="3BEBB975" w:rsidR="00C161EE" w:rsidRPr="00C161EE" w:rsidRDefault="00F03703" w:rsidP="00F03703">
      <w:pPr>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AC7EF1" w:rsidRPr="00AC7EF1">
        <w:rPr>
          <w:rFonts w:ascii="Arial" w:eastAsia="Calibri" w:hAnsi="Arial" w:cs="Arial"/>
        </w:rPr>
        <w:t>Independent living; protection of the integrity of the person; personal mobility; participation in cultural life, recreation, leisure and sport;</w:t>
      </w:r>
    </w:p>
    <w:p w14:paraId="2A264753" w14:textId="50C26DA9" w:rsidR="00C161EE" w:rsidRDefault="004B6A9A" w:rsidP="004B6A9A">
      <w:pPr>
        <w:autoSpaceDE w:val="0"/>
        <w:autoSpaceDN w:val="0"/>
        <w:adjustRightInd w:val="0"/>
        <w:spacing w:after="0" w:line="240"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r w:rsidR="00354FA3">
        <w:rPr>
          <w:rFonts w:ascii="Arial" w:eastAsia="Calibri" w:hAnsi="Arial" w:cs="Arial"/>
        </w:rPr>
        <w:t>The</w:t>
      </w:r>
      <w:r w:rsidR="00AC7EF1">
        <w:rPr>
          <w:rFonts w:ascii="Arial" w:eastAsia="Calibri" w:hAnsi="Arial" w:cs="Arial"/>
        </w:rPr>
        <w:t xml:space="preserve"> Communication is inadmissible under article 2(d) of the Optional Protocol</w:t>
      </w:r>
      <w:r w:rsidRPr="004B6A9A">
        <w:rPr>
          <w:rFonts w:ascii="Arial" w:eastAsia="Calibri" w:hAnsi="Arial" w:cs="Arial"/>
        </w:rPr>
        <w:t xml:space="preserve">. </w:t>
      </w:r>
    </w:p>
    <w:p w14:paraId="6A0F19BA" w14:textId="77777777" w:rsidR="00A33B8F" w:rsidRPr="00C161EE" w:rsidRDefault="00A33B8F" w:rsidP="004B6A9A">
      <w:pPr>
        <w:autoSpaceDE w:val="0"/>
        <w:autoSpaceDN w:val="0"/>
        <w:adjustRightInd w:val="0"/>
        <w:spacing w:after="0" w:line="240" w:lineRule="auto"/>
        <w:ind w:left="2160" w:hanging="2160"/>
        <w:rPr>
          <w:rFonts w:ascii="Arial" w:hAnsi="Arial" w:cs="Arial"/>
          <w:sz w:val="20"/>
          <w:szCs w:val="20"/>
        </w:rPr>
      </w:pPr>
    </w:p>
    <w:p w14:paraId="198B172B" w14:textId="1FEA021D" w:rsidR="00C161EE" w:rsidRPr="00C161EE" w:rsidRDefault="00A33B8F" w:rsidP="00C161EE">
      <w:pPr>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English</w:t>
      </w:r>
      <w:r>
        <w:rPr>
          <w:rFonts w:ascii="Arial" w:eastAsia="Calibri" w:hAnsi="Arial" w:cs="Arial"/>
        </w:rPr>
        <w:t xml:space="preserve"> available </w:t>
      </w:r>
      <w:hyperlink r:id="rId13" w:history="1">
        <w:r w:rsidRPr="006A535F">
          <w:rPr>
            <w:rStyle w:val="Hyperlink"/>
            <w:rFonts w:ascii="Arial" w:eastAsia="Calibri" w:hAnsi="Arial" w:cs="Arial"/>
          </w:rPr>
          <w:t>here</w:t>
        </w:r>
      </w:hyperlink>
      <w:r>
        <w:rPr>
          <w:rFonts w:ascii="Arial" w:eastAsia="Calibri" w:hAnsi="Arial" w:cs="Arial"/>
        </w:rPr>
        <w:t xml:space="preserve"> </w:t>
      </w:r>
    </w:p>
    <w:p w14:paraId="08048233" w14:textId="77777777" w:rsidR="00743ACE" w:rsidRPr="00A31760" w:rsidRDefault="0090799E">
      <w:pPr>
        <w:rPr>
          <w:rFonts w:ascii="Arial" w:hAnsi="Arial" w:cs="Arial"/>
          <w:b/>
        </w:rPr>
      </w:pPr>
      <w:r w:rsidRPr="00A31760">
        <w:rPr>
          <w:rFonts w:ascii="Arial" w:hAnsi="Arial" w:cs="Arial"/>
          <w:b/>
        </w:rPr>
        <w:t>Facts</w:t>
      </w:r>
    </w:p>
    <w:p w14:paraId="3B135665" w14:textId="57641EC5" w:rsidR="00AC7EF1" w:rsidRDefault="00AC7EF1" w:rsidP="00DB2B5E">
      <w:pPr>
        <w:spacing w:after="0"/>
        <w:jc w:val="both"/>
        <w:rPr>
          <w:rFonts w:ascii="Arial" w:hAnsi="Arial" w:cs="Arial"/>
        </w:rPr>
      </w:pPr>
      <w:r w:rsidRPr="00AC7EF1">
        <w:rPr>
          <w:rFonts w:ascii="Arial" w:hAnsi="Arial" w:cs="Arial"/>
        </w:rPr>
        <w:t xml:space="preserve">The authors of the communication are </w:t>
      </w:r>
      <w:r w:rsidR="00AF60AA">
        <w:rPr>
          <w:rFonts w:ascii="Arial" w:hAnsi="Arial" w:cs="Arial"/>
        </w:rPr>
        <w:t xml:space="preserve">Ms. </w:t>
      </w:r>
      <w:r w:rsidRPr="00AC7EF1">
        <w:rPr>
          <w:rFonts w:ascii="Arial" w:hAnsi="Arial" w:cs="Arial"/>
        </w:rPr>
        <w:t xml:space="preserve">N.B and </w:t>
      </w:r>
      <w:r w:rsidR="00AF60AA">
        <w:rPr>
          <w:rFonts w:ascii="Arial" w:hAnsi="Arial" w:cs="Arial"/>
        </w:rPr>
        <w:t xml:space="preserve">Ms. </w:t>
      </w:r>
      <w:r w:rsidRPr="00AC7EF1">
        <w:rPr>
          <w:rFonts w:ascii="Arial" w:hAnsi="Arial" w:cs="Arial"/>
        </w:rPr>
        <w:t xml:space="preserve">M.W.J, British nationals born in 1984 and 1963, respectively. </w:t>
      </w:r>
      <w:r w:rsidRPr="006001ED">
        <w:rPr>
          <w:rFonts w:ascii="Arial" w:hAnsi="Arial" w:cs="Arial"/>
          <w:b/>
          <w:bCs/>
          <w:u w:val="single"/>
        </w:rPr>
        <w:t xml:space="preserve">They claim a violation of their rights under articles </w:t>
      </w:r>
      <w:hyperlink r:id="rId14" w:anchor="9" w:history="1">
        <w:r w:rsidRPr="006001ED">
          <w:rPr>
            <w:rStyle w:val="Hyperlink"/>
            <w:rFonts w:ascii="Arial" w:hAnsi="Arial" w:cs="Arial"/>
            <w:b/>
            <w:bCs/>
          </w:rPr>
          <w:t>17</w:t>
        </w:r>
      </w:hyperlink>
      <w:r w:rsidRPr="006001ED">
        <w:rPr>
          <w:rFonts w:ascii="Arial" w:hAnsi="Arial" w:cs="Arial"/>
          <w:b/>
          <w:bCs/>
          <w:u w:val="single"/>
        </w:rPr>
        <w:t xml:space="preserve">, </w:t>
      </w:r>
      <w:hyperlink r:id="rId15" w:anchor="9" w:history="1">
        <w:r w:rsidRPr="006001ED">
          <w:rPr>
            <w:rStyle w:val="Hyperlink"/>
            <w:rFonts w:ascii="Arial" w:hAnsi="Arial" w:cs="Arial"/>
            <w:b/>
            <w:bCs/>
          </w:rPr>
          <w:t>19</w:t>
        </w:r>
      </w:hyperlink>
      <w:r w:rsidRPr="006001ED">
        <w:rPr>
          <w:rFonts w:ascii="Arial" w:hAnsi="Arial" w:cs="Arial"/>
          <w:b/>
          <w:bCs/>
          <w:u w:val="single"/>
        </w:rPr>
        <w:t>,</w:t>
      </w:r>
      <w:hyperlink r:id="rId16" w:anchor="9" w:history="1">
        <w:r w:rsidRPr="006001ED">
          <w:rPr>
            <w:rStyle w:val="Hyperlink"/>
            <w:rFonts w:ascii="Arial" w:hAnsi="Arial" w:cs="Arial"/>
            <w:b/>
            <w:bCs/>
          </w:rPr>
          <w:t xml:space="preserve"> 20</w:t>
        </w:r>
      </w:hyperlink>
      <w:r w:rsidRPr="006001ED">
        <w:rPr>
          <w:rFonts w:ascii="Arial" w:hAnsi="Arial" w:cs="Arial"/>
          <w:b/>
          <w:bCs/>
          <w:u w:val="single"/>
        </w:rPr>
        <w:t xml:space="preserve">, </w:t>
      </w:r>
      <w:hyperlink r:id="rId17" w:anchor="9" w:history="1">
        <w:r w:rsidRPr="006001ED">
          <w:rPr>
            <w:rStyle w:val="Hyperlink"/>
            <w:rFonts w:ascii="Arial" w:hAnsi="Arial" w:cs="Arial"/>
            <w:b/>
            <w:bCs/>
          </w:rPr>
          <w:t>30</w:t>
        </w:r>
      </w:hyperlink>
      <w:r w:rsidRPr="006001ED">
        <w:rPr>
          <w:rFonts w:ascii="Arial" w:hAnsi="Arial" w:cs="Arial"/>
          <w:b/>
          <w:bCs/>
          <w:u w:val="single"/>
        </w:rPr>
        <w:t xml:space="preserve"> and </w:t>
      </w:r>
      <w:hyperlink r:id="rId18" w:anchor="9" w:history="1">
        <w:r w:rsidRPr="006001ED">
          <w:rPr>
            <w:rStyle w:val="Hyperlink"/>
            <w:rFonts w:ascii="Arial" w:hAnsi="Arial" w:cs="Arial"/>
            <w:b/>
            <w:bCs/>
          </w:rPr>
          <w:t>31</w:t>
        </w:r>
      </w:hyperlink>
      <w:r w:rsidRPr="006001ED">
        <w:rPr>
          <w:rFonts w:ascii="Arial" w:hAnsi="Arial" w:cs="Arial"/>
          <w:b/>
          <w:bCs/>
          <w:u w:val="single"/>
        </w:rPr>
        <w:t xml:space="preserve"> of the Convention.</w:t>
      </w:r>
      <w:r w:rsidRPr="00AC7EF1">
        <w:rPr>
          <w:rFonts w:ascii="Arial" w:hAnsi="Arial" w:cs="Arial"/>
        </w:rPr>
        <w:t xml:space="preserve"> The authors are represent</w:t>
      </w:r>
      <w:r w:rsidR="00F049F0">
        <w:rPr>
          <w:rFonts w:ascii="Arial" w:hAnsi="Arial" w:cs="Arial"/>
        </w:rPr>
        <w:t>ed by Inclusion London</w:t>
      </w:r>
      <w:r w:rsidRPr="00AC7EF1">
        <w:rPr>
          <w:rFonts w:ascii="Arial" w:hAnsi="Arial" w:cs="Arial"/>
        </w:rPr>
        <w:t>. The Optional Protocol entered into force for the State party on 6 September 2009.</w:t>
      </w:r>
    </w:p>
    <w:p w14:paraId="6FE63043" w14:textId="77777777" w:rsidR="00AC7EF1" w:rsidRDefault="00AC7EF1" w:rsidP="00DB2B5E">
      <w:pPr>
        <w:spacing w:after="0"/>
        <w:jc w:val="both"/>
        <w:rPr>
          <w:rFonts w:ascii="Arial" w:hAnsi="Arial" w:cs="Arial"/>
        </w:rPr>
      </w:pPr>
    </w:p>
    <w:p w14:paraId="7574BB28" w14:textId="185226E7" w:rsidR="00AF60AA" w:rsidRPr="00E63FD6" w:rsidRDefault="00AF60AA" w:rsidP="00AF60AA">
      <w:pPr>
        <w:spacing w:after="0"/>
        <w:jc w:val="both"/>
        <w:rPr>
          <w:rFonts w:ascii="Arial" w:hAnsi="Arial" w:cs="Arial"/>
          <w:color w:val="000000" w:themeColor="text1"/>
        </w:rPr>
      </w:pPr>
      <w:r w:rsidRPr="00CF0C04">
        <w:rPr>
          <w:rFonts w:ascii="Arial" w:hAnsi="Arial" w:cs="Arial"/>
          <w:i/>
          <w:color w:val="000000" w:themeColor="text1"/>
        </w:rPr>
        <w:t>Ms. N.</w:t>
      </w:r>
      <w:r w:rsidR="002470F9" w:rsidRPr="00CF0C04">
        <w:rPr>
          <w:rFonts w:ascii="Arial" w:hAnsi="Arial" w:cs="Arial"/>
          <w:i/>
          <w:color w:val="000000" w:themeColor="text1"/>
        </w:rPr>
        <w:t xml:space="preserve"> </w:t>
      </w:r>
      <w:r w:rsidRPr="00CF0C04">
        <w:rPr>
          <w:rFonts w:ascii="Arial" w:hAnsi="Arial" w:cs="Arial"/>
          <w:i/>
          <w:color w:val="000000" w:themeColor="text1"/>
        </w:rPr>
        <w:t>Baker</w:t>
      </w:r>
      <w:r w:rsidRPr="00CF0C04">
        <w:rPr>
          <w:rFonts w:ascii="Arial" w:hAnsi="Arial" w:cs="Arial"/>
          <w:color w:val="000000" w:themeColor="text1"/>
        </w:rPr>
        <w:t xml:space="preserve"> is a person with </w:t>
      </w:r>
      <w:r w:rsidR="001355B8" w:rsidRPr="00CF0C04">
        <w:rPr>
          <w:rFonts w:ascii="Arial" w:hAnsi="Arial" w:cs="Arial"/>
          <w:color w:val="000000" w:themeColor="text1"/>
        </w:rPr>
        <w:t>muscular dystrophy and uses a powered wheelchair; she lives</w:t>
      </w:r>
      <w:r w:rsidRPr="00CF0C04">
        <w:rPr>
          <w:rFonts w:ascii="Arial" w:hAnsi="Arial" w:cs="Arial"/>
          <w:color w:val="000000" w:themeColor="text1"/>
        </w:rPr>
        <w:t xml:space="preserve"> with her parents</w:t>
      </w:r>
      <w:r w:rsidR="001355B8" w:rsidRPr="00CF0C04">
        <w:rPr>
          <w:rFonts w:ascii="Arial" w:hAnsi="Arial" w:cs="Arial"/>
          <w:color w:val="000000" w:themeColor="text1"/>
        </w:rPr>
        <w:t xml:space="preserve"> </w:t>
      </w:r>
      <w:r w:rsidRPr="00CF0C04">
        <w:rPr>
          <w:rFonts w:ascii="Arial" w:hAnsi="Arial" w:cs="Arial"/>
          <w:color w:val="000000" w:themeColor="text1"/>
        </w:rPr>
        <w:t xml:space="preserve">and requires assistance with almost all </w:t>
      </w:r>
      <w:r w:rsidR="00E23E88">
        <w:rPr>
          <w:rFonts w:ascii="Arial" w:hAnsi="Arial" w:cs="Arial"/>
          <w:color w:val="000000" w:themeColor="text1"/>
        </w:rPr>
        <w:t xml:space="preserve">the </w:t>
      </w:r>
      <w:r w:rsidRPr="00CF0C04">
        <w:rPr>
          <w:rFonts w:ascii="Arial" w:hAnsi="Arial" w:cs="Arial"/>
          <w:color w:val="000000" w:themeColor="text1"/>
        </w:rPr>
        <w:t>tasks. In 2005, she was awarded 35 hours of assistant support by the borough of Harrow</w:t>
      </w:r>
      <w:r w:rsidR="00E23E88">
        <w:rPr>
          <w:rFonts w:ascii="Arial" w:hAnsi="Arial" w:cs="Arial"/>
          <w:color w:val="000000" w:themeColor="text1"/>
        </w:rPr>
        <w:t xml:space="preserve"> (London) and she received also </w:t>
      </w:r>
      <w:r w:rsidR="00B966B7">
        <w:rPr>
          <w:rFonts w:ascii="Arial" w:hAnsi="Arial" w:cs="Arial"/>
          <w:color w:val="000000" w:themeColor="text1"/>
        </w:rPr>
        <w:t>a weekly allowance and other measures. However,</w:t>
      </w:r>
      <w:r w:rsidR="007F1CC9">
        <w:rPr>
          <w:rFonts w:ascii="Arial" w:hAnsi="Arial" w:cs="Arial"/>
          <w:color w:val="000000" w:themeColor="text1"/>
        </w:rPr>
        <w:t xml:space="preserve"> </w:t>
      </w:r>
      <w:r w:rsidR="00CF0C04" w:rsidRPr="00CF0C04">
        <w:rPr>
          <w:rFonts w:ascii="Arial" w:hAnsi="Arial" w:cs="Arial"/>
          <w:color w:val="000000" w:themeColor="text1"/>
        </w:rPr>
        <w:t xml:space="preserve">these measures </w:t>
      </w:r>
      <w:r w:rsidR="00B966B7">
        <w:rPr>
          <w:rFonts w:ascii="Arial" w:hAnsi="Arial" w:cs="Arial"/>
          <w:color w:val="000000" w:themeColor="text1"/>
        </w:rPr>
        <w:t>were not sufficient to provide</w:t>
      </w:r>
      <w:r w:rsidR="00CF0C04" w:rsidRPr="00CF0C04">
        <w:rPr>
          <w:rFonts w:ascii="Arial" w:hAnsi="Arial" w:cs="Arial"/>
          <w:color w:val="000000" w:themeColor="text1"/>
        </w:rPr>
        <w:t xml:space="preserve"> her with the support required to lead</w:t>
      </w:r>
      <w:r w:rsidR="007F1CC9">
        <w:rPr>
          <w:rFonts w:ascii="Arial" w:hAnsi="Arial" w:cs="Arial"/>
          <w:color w:val="000000" w:themeColor="text1"/>
        </w:rPr>
        <w:t xml:space="preserve"> an independent life and they do </w:t>
      </w:r>
      <w:r w:rsidRPr="00CF0C04">
        <w:rPr>
          <w:rFonts w:ascii="Arial" w:hAnsi="Arial" w:cs="Arial"/>
          <w:color w:val="000000" w:themeColor="text1"/>
        </w:rPr>
        <w:t xml:space="preserve">not cover assistance required to play power-wheel football. </w:t>
      </w:r>
      <w:r w:rsidR="0079188A" w:rsidRPr="00CF0C04">
        <w:rPr>
          <w:rFonts w:ascii="Arial" w:hAnsi="Arial" w:cs="Arial"/>
          <w:color w:val="000000" w:themeColor="text1"/>
        </w:rPr>
        <w:t>Therefore, she</w:t>
      </w:r>
      <w:r w:rsidR="00B93971" w:rsidRPr="00CF0C04">
        <w:rPr>
          <w:rFonts w:ascii="Arial" w:hAnsi="Arial" w:cs="Arial"/>
          <w:color w:val="000000" w:themeColor="text1"/>
        </w:rPr>
        <w:t xml:space="preserve"> asked information</w:t>
      </w:r>
      <w:r w:rsidRPr="00CF0C04">
        <w:rPr>
          <w:rFonts w:ascii="Arial" w:hAnsi="Arial" w:cs="Arial"/>
          <w:color w:val="000000" w:themeColor="text1"/>
        </w:rPr>
        <w:t xml:space="preserve"> for</w:t>
      </w:r>
      <w:r w:rsidR="00B93971" w:rsidRPr="00CF0C04">
        <w:rPr>
          <w:rFonts w:ascii="Arial" w:hAnsi="Arial" w:cs="Arial"/>
          <w:color w:val="000000" w:themeColor="text1"/>
        </w:rPr>
        <w:t xml:space="preserve"> receiving assistance from</w:t>
      </w:r>
      <w:r w:rsidRPr="00CF0C04">
        <w:rPr>
          <w:rFonts w:ascii="Arial" w:hAnsi="Arial" w:cs="Arial"/>
          <w:color w:val="000000" w:themeColor="text1"/>
        </w:rPr>
        <w:t xml:space="preserve"> th</w:t>
      </w:r>
      <w:r w:rsidR="00435491" w:rsidRPr="00CF0C04">
        <w:rPr>
          <w:rFonts w:ascii="Arial" w:hAnsi="Arial" w:cs="Arial"/>
          <w:color w:val="000000" w:themeColor="text1"/>
        </w:rPr>
        <w:t xml:space="preserve">e Independent Living Fund (ILF), </w:t>
      </w:r>
      <w:r w:rsidR="00B93971" w:rsidRPr="00CF0C04">
        <w:rPr>
          <w:rFonts w:ascii="Arial" w:hAnsi="Arial" w:cs="Arial"/>
          <w:color w:val="000000" w:themeColor="text1"/>
        </w:rPr>
        <w:t>which seemed to be</w:t>
      </w:r>
      <w:r w:rsidRPr="00CF0C04">
        <w:rPr>
          <w:rFonts w:ascii="Arial" w:hAnsi="Arial" w:cs="Arial"/>
          <w:color w:val="000000" w:themeColor="text1"/>
        </w:rPr>
        <w:t xml:space="preserve"> in a position to fund a personal assista</w:t>
      </w:r>
      <w:r w:rsidR="00B93971" w:rsidRPr="00CF0C04">
        <w:rPr>
          <w:rFonts w:ascii="Arial" w:hAnsi="Arial" w:cs="Arial"/>
          <w:color w:val="000000" w:themeColor="text1"/>
        </w:rPr>
        <w:t>nt</w:t>
      </w:r>
      <w:r w:rsidR="002E1B0B">
        <w:rPr>
          <w:rFonts w:ascii="Arial" w:hAnsi="Arial" w:cs="Arial"/>
          <w:color w:val="000000" w:themeColor="text1"/>
        </w:rPr>
        <w:t>,</w:t>
      </w:r>
      <w:r w:rsidR="00B93971" w:rsidRPr="00CF0C04">
        <w:rPr>
          <w:rFonts w:ascii="Arial" w:hAnsi="Arial" w:cs="Arial"/>
          <w:color w:val="000000" w:themeColor="text1"/>
        </w:rPr>
        <w:t xml:space="preserve"> </w:t>
      </w:r>
      <w:r w:rsidR="00435491" w:rsidRPr="00CF0C04">
        <w:rPr>
          <w:rFonts w:ascii="Arial" w:hAnsi="Arial" w:cs="Arial"/>
          <w:color w:val="000000" w:themeColor="text1"/>
        </w:rPr>
        <w:t>enabling</w:t>
      </w:r>
      <w:r w:rsidR="00B93971" w:rsidRPr="00CF0C04">
        <w:rPr>
          <w:rFonts w:ascii="Arial" w:hAnsi="Arial" w:cs="Arial"/>
          <w:color w:val="000000" w:themeColor="text1"/>
        </w:rPr>
        <w:t xml:space="preserve"> her to continue her sport</w:t>
      </w:r>
      <w:r w:rsidR="00435491" w:rsidRPr="00CF0C04">
        <w:rPr>
          <w:rFonts w:ascii="Arial" w:hAnsi="Arial" w:cs="Arial"/>
          <w:color w:val="000000" w:themeColor="text1"/>
        </w:rPr>
        <w:t>s</w:t>
      </w:r>
      <w:r w:rsidR="00B93971" w:rsidRPr="00CF0C04">
        <w:rPr>
          <w:rFonts w:ascii="Arial" w:hAnsi="Arial" w:cs="Arial"/>
          <w:color w:val="000000" w:themeColor="text1"/>
        </w:rPr>
        <w:t xml:space="preserve"> activities. It was only </w:t>
      </w:r>
      <w:r w:rsidRPr="00CF0C04">
        <w:rPr>
          <w:rFonts w:ascii="Arial" w:hAnsi="Arial" w:cs="Arial"/>
          <w:color w:val="000000" w:themeColor="text1"/>
        </w:rPr>
        <w:t>some years later that she ca</w:t>
      </w:r>
      <w:r w:rsidR="00B93971" w:rsidRPr="00CF0C04">
        <w:rPr>
          <w:rFonts w:ascii="Arial" w:hAnsi="Arial" w:cs="Arial"/>
          <w:color w:val="000000" w:themeColor="text1"/>
        </w:rPr>
        <w:t>lled ILF to request assistance and s</w:t>
      </w:r>
      <w:r w:rsidRPr="00CF0C04">
        <w:rPr>
          <w:rFonts w:ascii="Arial" w:hAnsi="Arial" w:cs="Arial"/>
          <w:color w:val="000000" w:themeColor="text1"/>
        </w:rPr>
        <w:t xml:space="preserve">he was then told that an application form would be sent to her. </w:t>
      </w:r>
      <w:r w:rsidR="0079188A" w:rsidRPr="00CF0C04">
        <w:rPr>
          <w:rFonts w:ascii="Arial" w:hAnsi="Arial" w:cs="Arial"/>
          <w:color w:val="000000" w:themeColor="text1"/>
        </w:rPr>
        <w:t>After</w:t>
      </w:r>
      <w:r w:rsidRPr="00CF0C04">
        <w:rPr>
          <w:rFonts w:ascii="Arial" w:hAnsi="Arial" w:cs="Arial"/>
          <w:color w:val="000000" w:themeColor="text1"/>
        </w:rPr>
        <w:t xml:space="preserve"> not having received the application form,</w:t>
      </w:r>
      <w:r w:rsidR="00B93971" w:rsidRPr="00CF0C04">
        <w:rPr>
          <w:rFonts w:ascii="Arial" w:hAnsi="Arial" w:cs="Arial"/>
          <w:color w:val="000000" w:themeColor="text1"/>
        </w:rPr>
        <w:t xml:space="preserve"> she called the ILF, which</w:t>
      </w:r>
      <w:r w:rsidRPr="00CF0C04">
        <w:rPr>
          <w:rFonts w:ascii="Arial" w:hAnsi="Arial" w:cs="Arial"/>
          <w:color w:val="000000" w:themeColor="text1"/>
        </w:rPr>
        <w:t xml:space="preserve"> informed</w:t>
      </w:r>
      <w:r w:rsidR="00B93971" w:rsidRPr="00CF0C04">
        <w:rPr>
          <w:rFonts w:ascii="Arial" w:hAnsi="Arial" w:cs="Arial"/>
          <w:color w:val="000000" w:themeColor="text1"/>
        </w:rPr>
        <w:t xml:space="preserve"> her</w:t>
      </w:r>
      <w:r w:rsidRPr="00CF0C04">
        <w:rPr>
          <w:rFonts w:ascii="Arial" w:hAnsi="Arial" w:cs="Arial"/>
          <w:color w:val="000000" w:themeColor="text1"/>
        </w:rPr>
        <w:t xml:space="preserve"> that the ILF had been closed to new applicants. </w:t>
      </w:r>
    </w:p>
    <w:p w14:paraId="5F85B00A" w14:textId="77777777" w:rsidR="00331465" w:rsidRDefault="00AF60AA" w:rsidP="00331465">
      <w:pPr>
        <w:spacing w:before="120" w:after="0"/>
        <w:jc w:val="both"/>
        <w:rPr>
          <w:rFonts w:ascii="Arial" w:hAnsi="Arial" w:cs="Arial"/>
        </w:rPr>
      </w:pPr>
      <w:r w:rsidRPr="004F156A">
        <w:rPr>
          <w:rFonts w:ascii="Arial" w:hAnsi="Arial" w:cs="Arial"/>
          <w:i/>
        </w:rPr>
        <w:t xml:space="preserve">Ms. </w:t>
      </w:r>
      <w:proofErr w:type="spellStart"/>
      <w:r w:rsidR="00B2380D" w:rsidRPr="004F156A">
        <w:rPr>
          <w:rFonts w:ascii="Arial" w:hAnsi="Arial" w:cs="Arial"/>
          <w:i/>
        </w:rPr>
        <w:t>M.</w:t>
      </w:r>
      <w:proofErr w:type="gramStart"/>
      <w:r w:rsidR="00B2380D" w:rsidRPr="004F156A">
        <w:rPr>
          <w:rFonts w:ascii="Arial" w:hAnsi="Arial" w:cs="Arial"/>
          <w:i/>
        </w:rPr>
        <w:t>W.</w:t>
      </w:r>
      <w:r w:rsidRPr="004F156A">
        <w:rPr>
          <w:rFonts w:ascii="Arial" w:hAnsi="Arial" w:cs="Arial"/>
          <w:i/>
        </w:rPr>
        <w:t>Jones</w:t>
      </w:r>
      <w:proofErr w:type="spellEnd"/>
      <w:proofErr w:type="gramEnd"/>
      <w:r w:rsidR="00B2380D">
        <w:rPr>
          <w:rFonts w:ascii="Arial" w:hAnsi="Arial" w:cs="Arial"/>
        </w:rPr>
        <w:t xml:space="preserve"> </w:t>
      </w:r>
      <w:r w:rsidRPr="00AF60AA">
        <w:rPr>
          <w:rFonts w:ascii="Arial" w:hAnsi="Arial" w:cs="Arial"/>
        </w:rPr>
        <w:t>sustained a brain injury in 2006, whic</w:t>
      </w:r>
      <w:r w:rsidR="00925467">
        <w:rPr>
          <w:rFonts w:ascii="Arial" w:hAnsi="Arial" w:cs="Arial"/>
        </w:rPr>
        <w:t>h caused reduced mobility and the</w:t>
      </w:r>
      <w:r w:rsidRPr="00AF60AA">
        <w:rPr>
          <w:rFonts w:ascii="Arial" w:hAnsi="Arial" w:cs="Arial"/>
        </w:rPr>
        <w:t xml:space="preserve"> inability to speak</w:t>
      </w:r>
      <w:r w:rsidR="00427899">
        <w:rPr>
          <w:rFonts w:ascii="Arial" w:hAnsi="Arial" w:cs="Arial"/>
        </w:rPr>
        <w:t>. S</w:t>
      </w:r>
      <w:r w:rsidRPr="00AF60AA">
        <w:rPr>
          <w:rFonts w:ascii="Arial" w:hAnsi="Arial" w:cs="Arial"/>
        </w:rPr>
        <w:t xml:space="preserve">he was awarded substantial care support, including from the ILF. She lives with her </w:t>
      </w:r>
      <w:r w:rsidR="00331465">
        <w:rPr>
          <w:rFonts w:ascii="Arial" w:hAnsi="Arial" w:cs="Arial"/>
        </w:rPr>
        <w:t>husband</w:t>
      </w:r>
      <w:r w:rsidRPr="00AF60AA">
        <w:rPr>
          <w:rFonts w:ascii="Arial" w:hAnsi="Arial" w:cs="Arial"/>
        </w:rPr>
        <w:t xml:space="preserve"> who was able to continue working, as the author had the support that she required.</w:t>
      </w:r>
      <w:r w:rsidR="005677CB">
        <w:rPr>
          <w:rFonts w:ascii="Arial" w:hAnsi="Arial" w:cs="Arial"/>
        </w:rPr>
        <w:t xml:space="preserve"> </w:t>
      </w:r>
      <w:r w:rsidR="00E51E3D">
        <w:rPr>
          <w:rFonts w:ascii="Arial" w:hAnsi="Arial" w:cs="Arial"/>
        </w:rPr>
        <w:t>After a reassessment in</w:t>
      </w:r>
      <w:r w:rsidR="004F156A">
        <w:rPr>
          <w:rFonts w:ascii="Arial" w:hAnsi="Arial" w:cs="Arial"/>
        </w:rPr>
        <w:t xml:space="preserve"> </w:t>
      </w:r>
      <w:r w:rsidRPr="00AF60AA">
        <w:rPr>
          <w:rFonts w:ascii="Arial" w:hAnsi="Arial" w:cs="Arial"/>
        </w:rPr>
        <w:t>2009, she moved from the higher to the middle rate of Disability Living Allowance, requiring about half of the care previously provide</w:t>
      </w:r>
      <w:r w:rsidR="00331465">
        <w:rPr>
          <w:rFonts w:ascii="Arial" w:hAnsi="Arial" w:cs="Arial"/>
        </w:rPr>
        <w:t xml:space="preserve">d </w:t>
      </w:r>
      <w:r w:rsidR="005677CB">
        <w:rPr>
          <w:rFonts w:ascii="Arial" w:hAnsi="Arial" w:cs="Arial"/>
        </w:rPr>
        <w:t>and the ILF funding ceased</w:t>
      </w:r>
      <w:r w:rsidRPr="00AF60AA">
        <w:rPr>
          <w:rFonts w:ascii="Arial" w:hAnsi="Arial" w:cs="Arial"/>
        </w:rPr>
        <w:t>.</w:t>
      </w:r>
      <w:r w:rsidR="00196857">
        <w:rPr>
          <w:rFonts w:ascii="Arial" w:hAnsi="Arial" w:cs="Arial"/>
        </w:rPr>
        <w:t xml:space="preserve"> </w:t>
      </w:r>
      <w:r w:rsidRPr="00AF60AA">
        <w:rPr>
          <w:rFonts w:ascii="Arial" w:hAnsi="Arial" w:cs="Arial"/>
        </w:rPr>
        <w:t>In 2011, the author and her husband were involved in a road accident and</w:t>
      </w:r>
      <w:r w:rsidR="00925467">
        <w:rPr>
          <w:rFonts w:ascii="Arial" w:hAnsi="Arial" w:cs="Arial"/>
        </w:rPr>
        <w:t>,</w:t>
      </w:r>
      <w:r w:rsidRPr="00AF60AA">
        <w:rPr>
          <w:rFonts w:ascii="Arial" w:hAnsi="Arial" w:cs="Arial"/>
        </w:rPr>
        <w:t xml:space="preserve"> as a result, </w:t>
      </w:r>
      <w:r w:rsidR="00925467">
        <w:rPr>
          <w:rFonts w:ascii="Arial" w:hAnsi="Arial" w:cs="Arial"/>
        </w:rPr>
        <w:t>she</w:t>
      </w:r>
      <w:r w:rsidRPr="00AF60AA">
        <w:rPr>
          <w:rFonts w:ascii="Arial" w:hAnsi="Arial" w:cs="Arial"/>
        </w:rPr>
        <w:t xml:space="preserve"> sustained a perforated eardrum</w:t>
      </w:r>
      <w:r w:rsidR="00196857">
        <w:rPr>
          <w:rFonts w:ascii="Arial" w:hAnsi="Arial" w:cs="Arial"/>
        </w:rPr>
        <w:t xml:space="preserve"> </w:t>
      </w:r>
      <w:r w:rsidRPr="00AF60AA">
        <w:rPr>
          <w:rFonts w:ascii="Arial" w:hAnsi="Arial" w:cs="Arial"/>
        </w:rPr>
        <w:t xml:space="preserve">and further brain injury that caused the onset of epilepsy. </w:t>
      </w:r>
      <w:r w:rsidR="00925467">
        <w:rPr>
          <w:rFonts w:ascii="Arial" w:hAnsi="Arial" w:cs="Arial"/>
        </w:rPr>
        <w:t>In 2013 a</w:t>
      </w:r>
      <w:r w:rsidR="004F156A">
        <w:rPr>
          <w:rFonts w:ascii="Arial" w:hAnsi="Arial" w:cs="Arial"/>
        </w:rPr>
        <w:t xml:space="preserve"> </w:t>
      </w:r>
      <w:r w:rsidRPr="00AF60AA">
        <w:rPr>
          <w:rFonts w:ascii="Arial" w:hAnsi="Arial" w:cs="Arial"/>
        </w:rPr>
        <w:t xml:space="preserve">sustained </w:t>
      </w:r>
      <w:r w:rsidR="004F156A" w:rsidRPr="00AF60AA">
        <w:rPr>
          <w:rFonts w:ascii="Arial" w:hAnsi="Arial" w:cs="Arial"/>
        </w:rPr>
        <w:t>seizure</w:t>
      </w:r>
      <w:r w:rsidR="00925467">
        <w:rPr>
          <w:rFonts w:ascii="Arial" w:hAnsi="Arial" w:cs="Arial"/>
        </w:rPr>
        <w:t xml:space="preserve"> </w:t>
      </w:r>
      <w:r w:rsidRPr="00AF60AA">
        <w:rPr>
          <w:rFonts w:ascii="Arial" w:hAnsi="Arial" w:cs="Arial"/>
        </w:rPr>
        <w:t xml:space="preserve">could only be stopped by an induced </w:t>
      </w:r>
      <w:r w:rsidR="009F4CE5">
        <w:rPr>
          <w:rFonts w:ascii="Arial" w:hAnsi="Arial" w:cs="Arial"/>
        </w:rPr>
        <w:t xml:space="preserve">medical </w:t>
      </w:r>
      <w:r w:rsidRPr="00AF60AA">
        <w:rPr>
          <w:rFonts w:ascii="Arial" w:hAnsi="Arial" w:cs="Arial"/>
        </w:rPr>
        <w:t>coma</w:t>
      </w:r>
      <w:r w:rsidR="00B966B7">
        <w:rPr>
          <w:rFonts w:ascii="Arial" w:hAnsi="Arial" w:cs="Arial"/>
        </w:rPr>
        <w:t>: it</w:t>
      </w:r>
      <w:r w:rsidR="00427899">
        <w:rPr>
          <w:rFonts w:ascii="Arial" w:hAnsi="Arial" w:cs="Arial"/>
        </w:rPr>
        <w:t xml:space="preserve"> </w:t>
      </w:r>
      <w:r w:rsidR="009F4CE5">
        <w:rPr>
          <w:rFonts w:ascii="Arial" w:hAnsi="Arial" w:cs="Arial"/>
        </w:rPr>
        <w:t xml:space="preserve">reduced the seizures, but it </w:t>
      </w:r>
      <w:r w:rsidRPr="00AF60AA">
        <w:rPr>
          <w:rFonts w:ascii="Arial" w:hAnsi="Arial" w:cs="Arial"/>
        </w:rPr>
        <w:t>also</w:t>
      </w:r>
      <w:r w:rsidR="00B966B7">
        <w:rPr>
          <w:rFonts w:ascii="Arial" w:hAnsi="Arial" w:cs="Arial"/>
        </w:rPr>
        <w:t xml:space="preserve"> reduced the author’s mobility. D</w:t>
      </w:r>
      <w:r w:rsidR="007F67EA">
        <w:rPr>
          <w:rFonts w:ascii="Arial" w:hAnsi="Arial" w:cs="Arial"/>
        </w:rPr>
        <w:t>ue the situation</w:t>
      </w:r>
      <w:r w:rsidR="00331465">
        <w:rPr>
          <w:rFonts w:ascii="Arial" w:hAnsi="Arial" w:cs="Arial"/>
        </w:rPr>
        <w:t>, she received</w:t>
      </w:r>
      <w:r w:rsidRPr="00AF60AA">
        <w:rPr>
          <w:rFonts w:ascii="Arial" w:hAnsi="Arial" w:cs="Arial"/>
        </w:rPr>
        <w:t xml:space="preserve"> the higher level of Disability Living Allowance again but</w:t>
      </w:r>
      <w:r w:rsidR="005677CB">
        <w:rPr>
          <w:rFonts w:ascii="Arial" w:hAnsi="Arial" w:cs="Arial"/>
        </w:rPr>
        <w:t xml:space="preserve"> she was</w:t>
      </w:r>
      <w:r w:rsidRPr="00AF60AA">
        <w:rPr>
          <w:rFonts w:ascii="Arial" w:hAnsi="Arial" w:cs="Arial"/>
        </w:rPr>
        <w:t xml:space="preserve"> unable to apply to the ILF because it has closed to new applicants. </w:t>
      </w:r>
    </w:p>
    <w:p w14:paraId="321FBA1E" w14:textId="26BF5144" w:rsidR="00435491" w:rsidRDefault="00AF60AA" w:rsidP="00331465">
      <w:pPr>
        <w:spacing w:after="120"/>
        <w:jc w:val="both"/>
        <w:rPr>
          <w:rFonts w:ascii="Arial" w:hAnsi="Arial" w:cs="Arial"/>
        </w:rPr>
      </w:pPr>
      <w:r w:rsidRPr="00AF60AA">
        <w:rPr>
          <w:rFonts w:ascii="Arial" w:hAnsi="Arial" w:cs="Arial"/>
        </w:rPr>
        <w:t>S</w:t>
      </w:r>
      <w:r w:rsidR="000306D1">
        <w:rPr>
          <w:rFonts w:ascii="Arial" w:hAnsi="Arial" w:cs="Arial"/>
        </w:rPr>
        <w:t xml:space="preserve">he has five personal assistants </w:t>
      </w:r>
      <w:r w:rsidR="00427899">
        <w:rPr>
          <w:rFonts w:ascii="Arial" w:hAnsi="Arial" w:cs="Arial"/>
        </w:rPr>
        <w:t>and h</w:t>
      </w:r>
      <w:r w:rsidR="007C46B2">
        <w:rPr>
          <w:rFonts w:ascii="Arial" w:hAnsi="Arial" w:cs="Arial"/>
        </w:rPr>
        <w:t xml:space="preserve">er </w:t>
      </w:r>
      <w:r w:rsidRPr="00AF60AA">
        <w:rPr>
          <w:rFonts w:ascii="Arial" w:hAnsi="Arial" w:cs="Arial"/>
        </w:rPr>
        <w:t>daughter</w:t>
      </w:r>
      <w:r w:rsidR="005677CB">
        <w:rPr>
          <w:rFonts w:ascii="Arial" w:hAnsi="Arial" w:cs="Arial"/>
        </w:rPr>
        <w:t xml:space="preserve"> and husband</w:t>
      </w:r>
      <w:r w:rsidRPr="00AF60AA">
        <w:rPr>
          <w:rFonts w:ascii="Arial" w:hAnsi="Arial" w:cs="Arial"/>
        </w:rPr>
        <w:t xml:space="preserve"> assists</w:t>
      </w:r>
      <w:r w:rsidR="00427899">
        <w:rPr>
          <w:rFonts w:ascii="Arial" w:hAnsi="Arial" w:cs="Arial"/>
        </w:rPr>
        <w:t xml:space="preserve"> her</w:t>
      </w:r>
      <w:r w:rsidRPr="00AF60AA">
        <w:rPr>
          <w:rFonts w:ascii="Arial" w:hAnsi="Arial" w:cs="Arial"/>
        </w:rPr>
        <w:t xml:space="preserve">. However, she has no free time when her husband is not present, as she requires constant assistance. </w:t>
      </w:r>
    </w:p>
    <w:p w14:paraId="3730AA57" w14:textId="5A8836EF" w:rsidR="00E63FD6" w:rsidRDefault="00331465" w:rsidP="00AF60AA">
      <w:pPr>
        <w:spacing w:after="0"/>
        <w:jc w:val="both"/>
        <w:rPr>
          <w:rFonts w:ascii="Arial" w:hAnsi="Arial" w:cs="Arial"/>
        </w:rPr>
      </w:pPr>
      <w:r>
        <w:rPr>
          <w:rFonts w:ascii="Arial" w:hAnsi="Arial" w:cs="Arial"/>
        </w:rPr>
        <w:lastRenderedPageBreak/>
        <w:t xml:space="preserve">The </w:t>
      </w:r>
      <w:r w:rsidR="004F156A" w:rsidRPr="004F156A">
        <w:rPr>
          <w:rFonts w:ascii="Arial" w:hAnsi="Arial" w:cs="Arial"/>
          <w:i/>
        </w:rPr>
        <w:t>Independent Living Fund (ILF)</w:t>
      </w:r>
      <w:r w:rsidR="00296774">
        <w:rPr>
          <w:rFonts w:ascii="Arial" w:hAnsi="Arial" w:cs="Arial"/>
        </w:rPr>
        <w:t>: it</w:t>
      </w:r>
      <w:r w:rsidR="00AF60AA" w:rsidRPr="00AF60AA">
        <w:rPr>
          <w:rFonts w:ascii="Arial" w:hAnsi="Arial" w:cs="Arial"/>
        </w:rPr>
        <w:t xml:space="preserve"> was a non-departmental government body within the Department for Work and Pensions. The Fund had a yearly budget of 350 million GBP to support around 20,000 pe</w:t>
      </w:r>
      <w:r w:rsidR="00196857">
        <w:rPr>
          <w:rFonts w:ascii="Arial" w:hAnsi="Arial" w:cs="Arial"/>
        </w:rPr>
        <w:t xml:space="preserve">rsons with </w:t>
      </w:r>
      <w:r w:rsidR="00FB485B">
        <w:rPr>
          <w:rFonts w:ascii="Arial" w:hAnsi="Arial" w:cs="Arial"/>
        </w:rPr>
        <w:t>“</w:t>
      </w:r>
      <w:r w:rsidR="00196857">
        <w:rPr>
          <w:rFonts w:ascii="Arial" w:hAnsi="Arial" w:cs="Arial"/>
        </w:rPr>
        <w:t>severe</w:t>
      </w:r>
      <w:r w:rsidR="00FB485B">
        <w:rPr>
          <w:rFonts w:ascii="Arial" w:hAnsi="Arial" w:cs="Arial"/>
        </w:rPr>
        <w:t>”</w:t>
      </w:r>
      <w:r w:rsidR="00196857">
        <w:rPr>
          <w:rFonts w:ascii="Arial" w:hAnsi="Arial" w:cs="Arial"/>
        </w:rPr>
        <w:t xml:space="preserve"> disabilities. </w:t>
      </w:r>
      <w:r w:rsidR="00661DED">
        <w:rPr>
          <w:rFonts w:ascii="Arial" w:hAnsi="Arial" w:cs="Arial"/>
        </w:rPr>
        <w:t>On a provisional basis</w:t>
      </w:r>
      <w:r w:rsidR="00661DED" w:rsidRPr="00661DED">
        <w:rPr>
          <w:rFonts w:ascii="Arial" w:hAnsi="Arial" w:cs="Arial"/>
        </w:rPr>
        <w:t xml:space="preserve"> </w:t>
      </w:r>
      <w:r w:rsidR="00661DED" w:rsidRPr="00AF60AA">
        <w:rPr>
          <w:rFonts w:ascii="Arial" w:hAnsi="Arial" w:cs="Arial"/>
        </w:rPr>
        <w:t>of 17 June 2010</w:t>
      </w:r>
      <w:r w:rsidR="00661DED">
        <w:rPr>
          <w:rFonts w:ascii="Arial" w:hAnsi="Arial" w:cs="Arial"/>
        </w:rPr>
        <w:t>, t</w:t>
      </w:r>
      <w:r w:rsidR="00AF60AA" w:rsidRPr="00AF60AA">
        <w:rPr>
          <w:rFonts w:ascii="Arial" w:hAnsi="Arial" w:cs="Arial"/>
        </w:rPr>
        <w:t>he ILF trustees decided to close the fund to new appli</w:t>
      </w:r>
      <w:r w:rsidR="00FA2838">
        <w:rPr>
          <w:rFonts w:ascii="Arial" w:hAnsi="Arial" w:cs="Arial"/>
        </w:rPr>
        <w:t xml:space="preserve">cants; the announcement was made on 13 December 2010 and </w:t>
      </w:r>
      <w:r w:rsidR="00E51E3D">
        <w:rPr>
          <w:rFonts w:ascii="Arial" w:hAnsi="Arial" w:cs="Arial"/>
        </w:rPr>
        <w:t>a</w:t>
      </w:r>
      <w:r w:rsidR="00AF60AA" w:rsidRPr="00AF60AA">
        <w:rPr>
          <w:rFonts w:ascii="Arial" w:hAnsi="Arial" w:cs="Arial"/>
        </w:rPr>
        <w:t xml:space="preserve"> ministerial statement was made to that effect, referring to “informal consultation with disability organisations”. However, the authors argue that no consultations took place and that no impact assessment was made, </w:t>
      </w:r>
      <w:r w:rsidR="00FB485B">
        <w:rPr>
          <w:rFonts w:ascii="Arial" w:hAnsi="Arial" w:cs="Arial"/>
        </w:rPr>
        <w:t>as</w:t>
      </w:r>
      <w:r w:rsidR="00BC1AD5">
        <w:rPr>
          <w:rFonts w:ascii="Arial" w:hAnsi="Arial" w:cs="Arial"/>
        </w:rPr>
        <w:t xml:space="preserve"> required</w:t>
      </w:r>
      <w:r w:rsidR="00FB485B">
        <w:rPr>
          <w:rFonts w:ascii="Arial" w:hAnsi="Arial" w:cs="Arial"/>
        </w:rPr>
        <w:t xml:space="preserve"> by </w:t>
      </w:r>
      <w:r w:rsidR="00AF60AA" w:rsidRPr="00AF60AA">
        <w:rPr>
          <w:rFonts w:ascii="Arial" w:hAnsi="Arial" w:cs="Arial"/>
        </w:rPr>
        <w:t>community care legislation</w:t>
      </w:r>
      <w:r w:rsidR="00BC1AD5">
        <w:rPr>
          <w:rStyle w:val="FootnoteReference"/>
          <w:rFonts w:cs="Arial"/>
        </w:rPr>
        <w:footnoteReference w:id="2"/>
      </w:r>
      <w:r w:rsidR="00AF60AA" w:rsidRPr="00AF60AA">
        <w:rPr>
          <w:rFonts w:ascii="Arial" w:hAnsi="Arial" w:cs="Arial"/>
        </w:rPr>
        <w:t>. The fund was permanently closed to all applicants on 30 June 2015.</w:t>
      </w:r>
      <w:r w:rsidR="00C16A39">
        <w:rPr>
          <w:rFonts w:ascii="Arial" w:hAnsi="Arial" w:cs="Arial"/>
        </w:rPr>
        <w:t xml:space="preserve"> </w:t>
      </w:r>
    </w:p>
    <w:p w14:paraId="6A4C677A" w14:textId="749121AC" w:rsidR="00AF60AA" w:rsidRPr="00AF60AA" w:rsidRDefault="00A16B97" w:rsidP="00E63FD6">
      <w:pPr>
        <w:spacing w:before="120" w:after="0"/>
        <w:jc w:val="both"/>
        <w:rPr>
          <w:rFonts w:ascii="Arial" w:hAnsi="Arial" w:cs="Arial"/>
        </w:rPr>
      </w:pPr>
      <w:r>
        <w:rPr>
          <w:rFonts w:ascii="Arial" w:hAnsi="Arial" w:cs="Arial"/>
        </w:rPr>
        <w:t xml:space="preserve">The authors did not </w:t>
      </w:r>
      <w:r w:rsidR="00E51E3D">
        <w:rPr>
          <w:rFonts w:ascii="Arial" w:hAnsi="Arial" w:cs="Arial"/>
        </w:rPr>
        <w:t>challenge</w:t>
      </w:r>
      <w:r>
        <w:rPr>
          <w:rFonts w:ascii="Arial" w:hAnsi="Arial" w:cs="Arial"/>
        </w:rPr>
        <w:t xml:space="preserve"> by them </w:t>
      </w:r>
      <w:r w:rsidR="00AF60AA" w:rsidRPr="00AF60AA">
        <w:rPr>
          <w:rFonts w:ascii="Arial" w:hAnsi="Arial" w:cs="Arial"/>
        </w:rPr>
        <w:t xml:space="preserve">the closure of the ILF to new applicants </w:t>
      </w:r>
      <w:r w:rsidR="003E55D6">
        <w:rPr>
          <w:rFonts w:ascii="Arial" w:hAnsi="Arial" w:cs="Arial"/>
        </w:rPr>
        <w:t xml:space="preserve">at the time of the closure, </w:t>
      </w:r>
      <w:r>
        <w:rPr>
          <w:rFonts w:ascii="Arial" w:hAnsi="Arial" w:cs="Arial"/>
        </w:rPr>
        <w:t xml:space="preserve">because such </w:t>
      </w:r>
      <w:r w:rsidR="00D11D5D">
        <w:rPr>
          <w:rFonts w:ascii="Arial" w:hAnsi="Arial" w:cs="Arial"/>
        </w:rPr>
        <w:t>challenges</w:t>
      </w:r>
      <w:r w:rsidR="00AF60AA" w:rsidRPr="00AF60AA">
        <w:rPr>
          <w:rFonts w:ascii="Arial" w:hAnsi="Arial" w:cs="Arial"/>
        </w:rPr>
        <w:t xml:space="preserve"> could only be brought through an application for judicial review, filed on the basis of lack of consultation by the domestic authorities in breach of the duties contained in the </w:t>
      </w:r>
      <w:r w:rsidR="006067D8">
        <w:rPr>
          <w:rFonts w:ascii="Arial" w:hAnsi="Arial" w:cs="Arial"/>
        </w:rPr>
        <w:t xml:space="preserve">Equality Act and be </w:t>
      </w:r>
      <w:r w:rsidR="00AF60AA" w:rsidRPr="00AF60AA">
        <w:rPr>
          <w:rFonts w:ascii="Arial" w:hAnsi="Arial" w:cs="Arial"/>
        </w:rPr>
        <w:t>done by means of an admin</w:t>
      </w:r>
      <w:r>
        <w:rPr>
          <w:rFonts w:ascii="Arial" w:hAnsi="Arial" w:cs="Arial"/>
        </w:rPr>
        <w:t>istrative claim filed before</w:t>
      </w:r>
      <w:r w:rsidR="00AF60AA" w:rsidRPr="00AF60AA">
        <w:rPr>
          <w:rFonts w:ascii="Arial" w:hAnsi="Arial" w:cs="Arial"/>
        </w:rPr>
        <w:t xml:space="preserve"> administrative</w:t>
      </w:r>
      <w:r w:rsidR="00611482">
        <w:rPr>
          <w:rFonts w:ascii="Arial" w:hAnsi="Arial" w:cs="Arial"/>
        </w:rPr>
        <w:t xml:space="preserve"> courts. The authors claim that they were not in a position to now that</w:t>
      </w:r>
      <w:r w:rsidR="00AF60AA" w:rsidRPr="00AF60AA">
        <w:rPr>
          <w:rFonts w:ascii="Arial" w:hAnsi="Arial" w:cs="Arial"/>
        </w:rPr>
        <w:t xml:space="preserve"> they were able to challenge this decision</w:t>
      </w:r>
      <w:r w:rsidR="00611482">
        <w:rPr>
          <w:rFonts w:ascii="Arial" w:hAnsi="Arial" w:cs="Arial"/>
        </w:rPr>
        <w:t xml:space="preserve">. They additionally argue that </w:t>
      </w:r>
      <w:r w:rsidR="00AF60AA" w:rsidRPr="00AF60AA">
        <w:rPr>
          <w:rFonts w:ascii="Arial" w:hAnsi="Arial" w:cs="Arial"/>
        </w:rPr>
        <w:t>an application for judicial review would not have provided them with an effective remedy as it would have constituted an administrative challenge and not a substantive examination of the merits of the closure of the fund.</w:t>
      </w:r>
    </w:p>
    <w:p w14:paraId="782A31A7" w14:textId="77777777" w:rsidR="00D11D5D" w:rsidRDefault="00D11D5D" w:rsidP="00361A36">
      <w:pPr>
        <w:jc w:val="both"/>
        <w:rPr>
          <w:rFonts w:ascii="Arial" w:hAnsi="Arial" w:cs="Arial"/>
        </w:rPr>
      </w:pPr>
    </w:p>
    <w:p w14:paraId="1CC28071" w14:textId="300B72DC" w:rsidR="00057D65" w:rsidRPr="00A31760" w:rsidRDefault="00057D65" w:rsidP="00361A36">
      <w:pPr>
        <w:jc w:val="both"/>
        <w:rPr>
          <w:rFonts w:ascii="Arial" w:hAnsi="Arial" w:cs="Arial"/>
          <w:b/>
        </w:rPr>
      </w:pPr>
      <w:r w:rsidRPr="00A31760">
        <w:rPr>
          <w:rFonts w:ascii="Arial" w:hAnsi="Arial" w:cs="Arial"/>
          <w:b/>
        </w:rPr>
        <w:t>The complaints</w:t>
      </w:r>
    </w:p>
    <w:p w14:paraId="5306C977" w14:textId="77777777" w:rsidR="00D11D5D" w:rsidRDefault="00057D65" w:rsidP="00D11D5D">
      <w:pPr>
        <w:spacing w:after="120" w:line="276" w:lineRule="auto"/>
        <w:jc w:val="both"/>
        <w:rPr>
          <w:rFonts w:ascii="Arial" w:eastAsia="Calibri" w:hAnsi="Arial" w:cs="Arial"/>
        </w:rPr>
      </w:pPr>
      <w:r w:rsidRPr="006001ED">
        <w:rPr>
          <w:rFonts w:ascii="Arial" w:hAnsi="Arial" w:cs="Arial"/>
          <w:b/>
          <w:bCs/>
        </w:rPr>
        <w:t>The</w:t>
      </w:r>
      <w:r w:rsidR="004049B7" w:rsidRPr="006001ED">
        <w:rPr>
          <w:rFonts w:ascii="Arial" w:hAnsi="Arial" w:cs="Arial"/>
          <w:b/>
          <w:bCs/>
        </w:rPr>
        <w:t xml:space="preserve"> author claims violations of his</w:t>
      </w:r>
      <w:r w:rsidRPr="004049B7">
        <w:rPr>
          <w:rFonts w:ascii="Arial" w:hAnsi="Arial" w:cs="Arial"/>
          <w:b/>
        </w:rPr>
        <w:t xml:space="preserve"> rights under </w:t>
      </w:r>
      <w:hyperlink r:id="rId19" w:anchor="9" w:history="1">
        <w:r w:rsidR="006A535F" w:rsidRPr="00AC7EF1">
          <w:rPr>
            <w:rStyle w:val="Hyperlink"/>
            <w:rFonts w:ascii="Arial" w:hAnsi="Arial" w:cs="Arial"/>
            <w:b/>
          </w:rPr>
          <w:t>17</w:t>
        </w:r>
      </w:hyperlink>
      <w:r w:rsidR="006A535F" w:rsidRPr="00AC7EF1">
        <w:rPr>
          <w:rFonts w:ascii="Arial" w:hAnsi="Arial" w:cs="Arial"/>
          <w:b/>
        </w:rPr>
        <w:t xml:space="preserve">, </w:t>
      </w:r>
      <w:hyperlink r:id="rId20" w:anchor="9" w:history="1">
        <w:r w:rsidR="006A535F" w:rsidRPr="00AC7EF1">
          <w:rPr>
            <w:rStyle w:val="Hyperlink"/>
            <w:rFonts w:ascii="Arial" w:hAnsi="Arial" w:cs="Arial"/>
            <w:b/>
          </w:rPr>
          <w:t>19</w:t>
        </w:r>
      </w:hyperlink>
      <w:r w:rsidR="006A535F" w:rsidRPr="00AC7EF1">
        <w:rPr>
          <w:rFonts w:ascii="Arial" w:hAnsi="Arial" w:cs="Arial"/>
          <w:b/>
        </w:rPr>
        <w:t>,</w:t>
      </w:r>
      <w:hyperlink r:id="rId21" w:anchor="9" w:history="1">
        <w:r w:rsidR="006A535F" w:rsidRPr="00AC7EF1">
          <w:rPr>
            <w:rStyle w:val="Hyperlink"/>
            <w:rFonts w:ascii="Arial" w:hAnsi="Arial" w:cs="Arial"/>
            <w:b/>
          </w:rPr>
          <w:t xml:space="preserve"> 20</w:t>
        </w:r>
      </w:hyperlink>
      <w:r w:rsidR="006A535F" w:rsidRPr="00AC7EF1">
        <w:rPr>
          <w:rFonts w:ascii="Arial" w:hAnsi="Arial" w:cs="Arial"/>
          <w:b/>
        </w:rPr>
        <w:t xml:space="preserve">, </w:t>
      </w:r>
      <w:hyperlink r:id="rId22" w:anchor="9" w:history="1">
        <w:r w:rsidR="006A535F" w:rsidRPr="00AC7EF1">
          <w:rPr>
            <w:rStyle w:val="Hyperlink"/>
            <w:rFonts w:ascii="Arial" w:hAnsi="Arial" w:cs="Arial"/>
            <w:b/>
          </w:rPr>
          <w:t>30</w:t>
        </w:r>
      </w:hyperlink>
      <w:r w:rsidR="006A535F" w:rsidRPr="00AC7EF1">
        <w:rPr>
          <w:rFonts w:ascii="Arial" w:hAnsi="Arial" w:cs="Arial"/>
          <w:b/>
        </w:rPr>
        <w:t xml:space="preserve"> and </w:t>
      </w:r>
      <w:hyperlink r:id="rId23" w:anchor="9" w:history="1">
        <w:r w:rsidR="006A535F" w:rsidRPr="00AC7EF1">
          <w:rPr>
            <w:rStyle w:val="Hyperlink"/>
            <w:rFonts w:ascii="Arial" w:hAnsi="Arial" w:cs="Arial"/>
            <w:b/>
          </w:rPr>
          <w:t>31</w:t>
        </w:r>
      </w:hyperlink>
      <w:r w:rsidR="006A535F" w:rsidRPr="00AC7EF1">
        <w:rPr>
          <w:rFonts w:ascii="Arial" w:hAnsi="Arial" w:cs="Arial"/>
          <w:b/>
        </w:rPr>
        <w:t xml:space="preserve"> of the Convention</w:t>
      </w:r>
      <w:r w:rsidR="006A535F">
        <w:rPr>
          <w:rFonts w:ascii="Arial" w:hAnsi="Arial" w:cs="Arial"/>
          <w:b/>
        </w:rPr>
        <w:t>.</w:t>
      </w:r>
    </w:p>
    <w:p w14:paraId="1F2195AA" w14:textId="0D7F1D40" w:rsidR="006001ED" w:rsidRDefault="008B7470" w:rsidP="006001ED">
      <w:pPr>
        <w:spacing w:after="0" w:line="276" w:lineRule="auto"/>
        <w:jc w:val="both"/>
        <w:rPr>
          <w:rFonts w:ascii="Arial" w:hAnsi="Arial" w:cs="Arial"/>
        </w:rPr>
      </w:pPr>
      <w:r w:rsidRPr="008B7470">
        <w:rPr>
          <w:rFonts w:ascii="Arial" w:hAnsi="Arial" w:cs="Arial"/>
          <w:u w:val="single"/>
        </w:rPr>
        <w:t>With regard to article 17,19, 20,30</w:t>
      </w:r>
      <w:r>
        <w:rPr>
          <w:rFonts w:ascii="Arial" w:hAnsi="Arial" w:cs="Arial"/>
        </w:rPr>
        <w:t>, according to the authors t</w:t>
      </w:r>
      <w:r w:rsidR="00D11D5D">
        <w:rPr>
          <w:rFonts w:ascii="Arial" w:hAnsi="Arial" w:cs="Arial"/>
        </w:rPr>
        <w:t>he c</w:t>
      </w:r>
      <w:r w:rsidR="00D11D5D" w:rsidRPr="00D11D5D">
        <w:rPr>
          <w:rFonts w:ascii="Arial" w:hAnsi="Arial" w:cs="Arial"/>
        </w:rPr>
        <w:t>losure of the ILF to new applicants in 2010 resulted in a reduction in the support available to them, and in particular, their ability to live an independent and fulfilling life, given that the local care system focusses excl</w:t>
      </w:r>
      <w:r w:rsidR="00AB5E80">
        <w:rPr>
          <w:rFonts w:ascii="Arial" w:hAnsi="Arial" w:cs="Arial"/>
        </w:rPr>
        <w:t>usively on essential basic care</w:t>
      </w:r>
      <w:r w:rsidR="00D11D5D" w:rsidRPr="00D11D5D">
        <w:rPr>
          <w:rFonts w:ascii="Arial" w:hAnsi="Arial" w:cs="Arial"/>
        </w:rPr>
        <w:t xml:space="preserve">. Ms. Baker will also not be able to pursue her </w:t>
      </w:r>
      <w:r w:rsidR="00AB5E80">
        <w:rPr>
          <w:rFonts w:ascii="Arial" w:hAnsi="Arial" w:cs="Arial"/>
        </w:rPr>
        <w:t xml:space="preserve">sport </w:t>
      </w:r>
      <w:r w:rsidR="00D11D5D" w:rsidRPr="00D11D5D">
        <w:rPr>
          <w:rFonts w:ascii="Arial" w:hAnsi="Arial" w:cs="Arial"/>
        </w:rPr>
        <w:t>hobby</w:t>
      </w:r>
      <w:r w:rsidR="00AB5E80">
        <w:rPr>
          <w:rFonts w:ascii="Arial" w:hAnsi="Arial" w:cs="Arial"/>
        </w:rPr>
        <w:t xml:space="preserve">. </w:t>
      </w:r>
    </w:p>
    <w:p w14:paraId="6091E9FA" w14:textId="77777777" w:rsidR="006001ED" w:rsidRPr="006001ED" w:rsidRDefault="006001ED" w:rsidP="006001ED">
      <w:pPr>
        <w:spacing w:after="0" w:line="276" w:lineRule="auto"/>
        <w:jc w:val="both"/>
        <w:rPr>
          <w:rFonts w:ascii="Arial" w:hAnsi="Arial" w:cs="Arial"/>
        </w:rPr>
      </w:pPr>
    </w:p>
    <w:p w14:paraId="05BFDD9D" w14:textId="285D520D" w:rsidR="00D11D5D" w:rsidRPr="00D11D5D" w:rsidRDefault="004E3D8C" w:rsidP="00D11D5D">
      <w:pPr>
        <w:spacing w:after="120" w:line="276" w:lineRule="auto"/>
        <w:jc w:val="both"/>
        <w:rPr>
          <w:rFonts w:ascii="Arial" w:eastAsia="Calibri" w:hAnsi="Arial" w:cs="Arial"/>
        </w:rPr>
      </w:pPr>
      <w:proofErr w:type="gramStart"/>
      <w:r w:rsidRPr="004E3D8C">
        <w:rPr>
          <w:rFonts w:ascii="Arial" w:hAnsi="Arial" w:cs="Arial"/>
          <w:u w:val="single"/>
        </w:rPr>
        <w:t>With regard to</w:t>
      </w:r>
      <w:proofErr w:type="gramEnd"/>
      <w:r w:rsidRPr="004E3D8C">
        <w:rPr>
          <w:rFonts w:ascii="Arial" w:hAnsi="Arial" w:cs="Arial"/>
          <w:u w:val="single"/>
        </w:rPr>
        <w:t xml:space="preserve"> article 31,</w:t>
      </w:r>
      <w:r>
        <w:rPr>
          <w:rFonts w:ascii="Arial" w:hAnsi="Arial" w:cs="Arial"/>
        </w:rPr>
        <w:t xml:space="preserve"> </w:t>
      </w:r>
      <w:r w:rsidR="008B7470">
        <w:rPr>
          <w:rFonts w:ascii="Arial" w:hAnsi="Arial" w:cs="Arial"/>
        </w:rPr>
        <w:t>t</w:t>
      </w:r>
      <w:r w:rsidR="00D11D5D" w:rsidRPr="00D11D5D">
        <w:rPr>
          <w:rFonts w:ascii="Arial" w:hAnsi="Arial" w:cs="Arial"/>
        </w:rPr>
        <w:t>he authors note that, in failing to undertake consultations and an equality impact assessment, the State party failed to comply with its obl</w:t>
      </w:r>
      <w:r>
        <w:rPr>
          <w:rFonts w:ascii="Arial" w:hAnsi="Arial" w:cs="Arial"/>
        </w:rPr>
        <w:t>igations under the Equality Act and thus</w:t>
      </w:r>
      <w:r w:rsidR="00D11D5D" w:rsidRPr="00D11D5D">
        <w:rPr>
          <w:rFonts w:ascii="Arial" w:hAnsi="Arial" w:cs="Arial"/>
        </w:rPr>
        <w:t xml:space="preserve"> </w:t>
      </w:r>
      <w:r>
        <w:rPr>
          <w:rFonts w:ascii="Arial" w:hAnsi="Arial" w:cs="Arial"/>
        </w:rPr>
        <w:t>violates their</w:t>
      </w:r>
      <w:r w:rsidR="00D11D5D" w:rsidRPr="00D11D5D">
        <w:rPr>
          <w:rFonts w:ascii="Arial" w:hAnsi="Arial" w:cs="Arial"/>
        </w:rPr>
        <w:t xml:space="preserve"> rights under </w:t>
      </w:r>
      <w:r>
        <w:rPr>
          <w:rFonts w:ascii="Arial" w:hAnsi="Arial" w:cs="Arial"/>
        </w:rPr>
        <w:t>such article</w:t>
      </w:r>
      <w:r w:rsidR="00D11D5D" w:rsidRPr="00D11D5D">
        <w:rPr>
          <w:rFonts w:ascii="Arial" w:hAnsi="Arial" w:cs="Arial"/>
        </w:rPr>
        <w:t>.</w:t>
      </w:r>
    </w:p>
    <w:p w14:paraId="7E6BEB55" w14:textId="77777777" w:rsidR="006A535F" w:rsidRPr="00A31760" w:rsidRDefault="006A535F" w:rsidP="006A535F">
      <w:pPr>
        <w:spacing w:after="0"/>
        <w:jc w:val="both"/>
        <w:rPr>
          <w:rFonts w:ascii="Arial" w:hAnsi="Arial" w:cs="Arial"/>
        </w:rPr>
      </w:pPr>
    </w:p>
    <w:p w14:paraId="31B3F2B5" w14:textId="306CA2CB" w:rsidR="00841313" w:rsidRPr="00A31760" w:rsidRDefault="00841313" w:rsidP="00FD6FD7">
      <w:pPr>
        <w:jc w:val="both"/>
        <w:rPr>
          <w:rFonts w:ascii="Arial" w:hAnsi="Arial" w:cs="Arial"/>
          <w:b/>
        </w:rPr>
      </w:pPr>
      <w:r w:rsidRPr="00A31760">
        <w:rPr>
          <w:rFonts w:ascii="Arial" w:hAnsi="Arial" w:cs="Arial"/>
          <w:b/>
        </w:rPr>
        <w:t>State Party’s observations on admissibility</w:t>
      </w:r>
      <w:r w:rsidR="006447E1">
        <w:rPr>
          <w:rFonts w:ascii="Arial" w:hAnsi="Arial" w:cs="Arial"/>
          <w:b/>
        </w:rPr>
        <w:t xml:space="preserve"> </w:t>
      </w:r>
    </w:p>
    <w:p w14:paraId="7F117C17" w14:textId="00E2AC1F" w:rsidR="004E3D8C" w:rsidRDefault="008B066B" w:rsidP="008B066B">
      <w:pPr>
        <w:jc w:val="both"/>
        <w:rPr>
          <w:rFonts w:ascii="Arial" w:hAnsi="Arial" w:cs="Arial"/>
        </w:rPr>
      </w:pPr>
      <w:r w:rsidRPr="008B066B">
        <w:rPr>
          <w:rFonts w:ascii="Arial" w:hAnsi="Arial" w:cs="Arial"/>
        </w:rPr>
        <w:t xml:space="preserve">On 8 February 2018, the State party submitted its observations on the admissibility of the communication. </w:t>
      </w:r>
      <w:r w:rsidR="004E3D8C" w:rsidRPr="004E3D8C">
        <w:rPr>
          <w:rFonts w:ascii="Arial" w:hAnsi="Arial" w:cs="Arial"/>
        </w:rPr>
        <w:t xml:space="preserve">The States </w:t>
      </w:r>
      <w:r w:rsidR="004E3D8C" w:rsidRPr="003F03EE">
        <w:rPr>
          <w:rFonts w:ascii="Arial" w:hAnsi="Arial" w:cs="Arial"/>
          <w:u w:val="single"/>
        </w:rPr>
        <w:t>considers communication on should be held inadmissible for under article 2(d) of the Optional protocol</w:t>
      </w:r>
      <w:r w:rsidR="003F03EE">
        <w:rPr>
          <w:rFonts w:ascii="Arial" w:hAnsi="Arial" w:cs="Arial"/>
        </w:rPr>
        <w:t xml:space="preserve"> </w:t>
      </w:r>
      <w:r w:rsidR="00FB485B">
        <w:rPr>
          <w:rFonts w:ascii="Arial" w:hAnsi="Arial" w:cs="Arial"/>
        </w:rPr>
        <w:t>(</w:t>
      </w:r>
      <w:r w:rsidR="00990897">
        <w:rPr>
          <w:rFonts w:ascii="Arial" w:hAnsi="Arial" w:cs="Arial"/>
        </w:rPr>
        <w:t xml:space="preserve">lack of </w:t>
      </w:r>
      <w:r w:rsidR="003F03EE" w:rsidRPr="004E3D8C">
        <w:rPr>
          <w:rFonts w:ascii="Arial" w:hAnsi="Arial" w:cs="Arial"/>
        </w:rPr>
        <w:t>exhaustion of all av</w:t>
      </w:r>
      <w:r w:rsidR="003F03EE">
        <w:rPr>
          <w:rFonts w:ascii="Arial" w:hAnsi="Arial" w:cs="Arial"/>
        </w:rPr>
        <w:t xml:space="preserve">ailable domestic remedies); and </w:t>
      </w:r>
      <w:r w:rsidR="004E3D8C" w:rsidRPr="004E3D8C">
        <w:rPr>
          <w:rFonts w:ascii="Arial" w:hAnsi="Arial" w:cs="Arial"/>
        </w:rPr>
        <w:t>it also presents sets of arguments related to the author’s claim</w:t>
      </w:r>
      <w:r w:rsidR="004E3D8C" w:rsidRPr="003F03EE">
        <w:rPr>
          <w:rFonts w:ascii="Arial" w:hAnsi="Arial" w:cs="Arial"/>
          <w:u w:val="single"/>
        </w:rPr>
        <w:t xml:space="preserve"> under article 2 (b)</w:t>
      </w:r>
      <w:r w:rsidR="003F03EE">
        <w:rPr>
          <w:rFonts w:ascii="Arial" w:hAnsi="Arial" w:cs="Arial"/>
        </w:rPr>
        <w:t xml:space="preserve"> (</w:t>
      </w:r>
      <w:r w:rsidR="00D35D05">
        <w:rPr>
          <w:rFonts w:ascii="Arial" w:hAnsi="Arial" w:cs="Arial"/>
        </w:rPr>
        <w:t>c</w:t>
      </w:r>
      <w:r w:rsidR="003F03EE" w:rsidRPr="003F03EE">
        <w:rPr>
          <w:rFonts w:ascii="Arial" w:hAnsi="Arial" w:cs="Arial"/>
        </w:rPr>
        <w:t>ommunication constitutes an abuse of the righ</w:t>
      </w:r>
      <w:r w:rsidR="003F03EE">
        <w:rPr>
          <w:rFonts w:ascii="Arial" w:hAnsi="Arial" w:cs="Arial"/>
        </w:rPr>
        <w:t>t)</w:t>
      </w:r>
      <w:r w:rsidR="004E3D8C" w:rsidRPr="004E3D8C">
        <w:rPr>
          <w:rFonts w:ascii="Arial" w:hAnsi="Arial" w:cs="Arial"/>
        </w:rPr>
        <w:t xml:space="preserve"> and (e)</w:t>
      </w:r>
      <w:r w:rsidR="003F03EE">
        <w:rPr>
          <w:rFonts w:ascii="Arial" w:hAnsi="Arial" w:cs="Arial"/>
        </w:rPr>
        <w:t xml:space="preserve"> (the communication is manifestly ill-founded)</w:t>
      </w:r>
      <w:r w:rsidR="004E3D8C" w:rsidRPr="004E3D8C">
        <w:rPr>
          <w:rFonts w:ascii="Arial" w:hAnsi="Arial" w:cs="Arial"/>
        </w:rPr>
        <w:t>.</w:t>
      </w:r>
    </w:p>
    <w:p w14:paraId="1E77D573" w14:textId="77777777" w:rsidR="009715BF" w:rsidRDefault="00D35D05" w:rsidP="006427F8">
      <w:pPr>
        <w:spacing w:after="0"/>
        <w:jc w:val="both"/>
        <w:rPr>
          <w:rFonts w:ascii="Arial" w:hAnsi="Arial" w:cs="Arial"/>
        </w:rPr>
      </w:pPr>
      <w:r w:rsidRPr="00E52A57">
        <w:rPr>
          <w:rFonts w:ascii="Arial" w:hAnsi="Arial" w:cs="Arial"/>
          <w:u w:val="single"/>
        </w:rPr>
        <w:t xml:space="preserve">As the inadmissibility </w:t>
      </w:r>
      <w:r w:rsidR="00E52A57" w:rsidRPr="00E52A57">
        <w:rPr>
          <w:rFonts w:ascii="Arial" w:hAnsi="Arial" w:cs="Arial"/>
          <w:u w:val="single"/>
        </w:rPr>
        <w:t>for non-exhaustion of all available domestic remedies</w:t>
      </w:r>
      <w:r w:rsidR="00E52A57">
        <w:rPr>
          <w:rFonts w:ascii="Arial" w:hAnsi="Arial" w:cs="Arial"/>
        </w:rPr>
        <w:t>, t</w:t>
      </w:r>
      <w:r w:rsidR="008B066B" w:rsidRPr="008B066B">
        <w:rPr>
          <w:rFonts w:ascii="Arial" w:hAnsi="Arial" w:cs="Arial"/>
        </w:rPr>
        <w:t xml:space="preserve">he State party notes that </w:t>
      </w:r>
      <w:r w:rsidR="00E8010B" w:rsidRPr="00E8010B">
        <w:rPr>
          <w:rFonts w:ascii="Arial" w:hAnsi="Arial" w:cs="Arial"/>
        </w:rPr>
        <w:t xml:space="preserve">that </w:t>
      </w:r>
      <w:r w:rsidR="008B066B" w:rsidRPr="008B066B">
        <w:rPr>
          <w:rFonts w:ascii="Arial" w:hAnsi="Arial" w:cs="Arial"/>
        </w:rPr>
        <w:t>they did not bring proceeding</w:t>
      </w:r>
      <w:r w:rsidR="00E8010B">
        <w:rPr>
          <w:rFonts w:ascii="Arial" w:hAnsi="Arial" w:cs="Arial"/>
        </w:rPr>
        <w:t>s by way of judicial review</w:t>
      </w:r>
      <w:r w:rsidR="008B066B" w:rsidRPr="008B066B">
        <w:rPr>
          <w:rFonts w:ascii="Arial" w:hAnsi="Arial" w:cs="Arial"/>
        </w:rPr>
        <w:t xml:space="preserve"> when the fund was firs</w:t>
      </w:r>
      <w:r w:rsidR="009715BF">
        <w:rPr>
          <w:rFonts w:ascii="Arial" w:hAnsi="Arial" w:cs="Arial"/>
        </w:rPr>
        <w:t xml:space="preserve">t closed to new applicants, not even </w:t>
      </w:r>
      <w:r w:rsidR="008B066B" w:rsidRPr="008B066B">
        <w:rPr>
          <w:rFonts w:ascii="Arial" w:hAnsi="Arial" w:cs="Arial"/>
        </w:rPr>
        <w:t>when they first b</w:t>
      </w:r>
      <w:r w:rsidR="009715BF">
        <w:rPr>
          <w:rFonts w:ascii="Arial" w:hAnsi="Arial" w:cs="Arial"/>
        </w:rPr>
        <w:t>ecame aware of that fact, n</w:t>
      </w:r>
      <w:r w:rsidR="00E8010B">
        <w:rPr>
          <w:rFonts w:ascii="Arial" w:hAnsi="Arial" w:cs="Arial"/>
        </w:rPr>
        <w:t>or</w:t>
      </w:r>
      <w:r w:rsidR="008B066B" w:rsidRPr="008B066B">
        <w:rPr>
          <w:rFonts w:ascii="Arial" w:hAnsi="Arial" w:cs="Arial"/>
        </w:rPr>
        <w:t xml:space="preserve"> at any time before they submitted their </w:t>
      </w:r>
      <w:r w:rsidR="00067FB8">
        <w:rPr>
          <w:rFonts w:ascii="Arial" w:hAnsi="Arial" w:cs="Arial"/>
        </w:rPr>
        <w:t xml:space="preserve">complaint before the Committee. </w:t>
      </w:r>
    </w:p>
    <w:p w14:paraId="2245B1EE" w14:textId="4B5FA64B" w:rsidR="008B066B" w:rsidRDefault="00611482" w:rsidP="00636DDD">
      <w:pPr>
        <w:jc w:val="both"/>
        <w:rPr>
          <w:rFonts w:ascii="Arial" w:hAnsi="Arial" w:cs="Arial"/>
          <w:u w:val="single"/>
        </w:rPr>
      </w:pPr>
      <w:r>
        <w:rPr>
          <w:rFonts w:ascii="Arial" w:hAnsi="Arial" w:cs="Arial"/>
        </w:rPr>
        <w:t>In fact, t</w:t>
      </w:r>
      <w:r w:rsidR="008B066B" w:rsidRPr="008B066B">
        <w:rPr>
          <w:rFonts w:ascii="Arial" w:hAnsi="Arial" w:cs="Arial"/>
        </w:rPr>
        <w:t>he closure of the ILF to new applicant</w:t>
      </w:r>
      <w:r w:rsidR="00E8010B">
        <w:rPr>
          <w:rFonts w:ascii="Arial" w:hAnsi="Arial" w:cs="Arial"/>
        </w:rPr>
        <w:t xml:space="preserve">s in June 2010 was announced </w:t>
      </w:r>
      <w:r w:rsidR="008B066B" w:rsidRPr="008B066B">
        <w:rPr>
          <w:rFonts w:ascii="Arial" w:hAnsi="Arial" w:cs="Arial"/>
        </w:rPr>
        <w:t>public</w:t>
      </w:r>
      <w:r w:rsidR="00E8010B">
        <w:rPr>
          <w:rFonts w:ascii="Arial" w:hAnsi="Arial" w:cs="Arial"/>
        </w:rPr>
        <w:t>ly</w:t>
      </w:r>
      <w:r w:rsidR="00D77F1F">
        <w:rPr>
          <w:rFonts w:ascii="Arial" w:hAnsi="Arial" w:cs="Arial"/>
        </w:rPr>
        <w:t xml:space="preserve"> and then by a </w:t>
      </w:r>
      <w:r w:rsidR="008B066B" w:rsidRPr="008B066B">
        <w:rPr>
          <w:rFonts w:ascii="Arial" w:hAnsi="Arial" w:cs="Arial"/>
        </w:rPr>
        <w:t xml:space="preserve">written ministerial statement </w:t>
      </w:r>
      <w:r w:rsidR="00FB485B">
        <w:rPr>
          <w:rFonts w:ascii="Arial" w:hAnsi="Arial" w:cs="Arial"/>
        </w:rPr>
        <w:t xml:space="preserve">in </w:t>
      </w:r>
      <w:r w:rsidR="00D77F1F">
        <w:rPr>
          <w:rFonts w:ascii="Arial" w:hAnsi="Arial" w:cs="Arial"/>
        </w:rPr>
        <w:t xml:space="preserve">December 2010. </w:t>
      </w:r>
      <w:r w:rsidR="008B7470">
        <w:rPr>
          <w:rFonts w:ascii="Arial" w:hAnsi="Arial" w:cs="Arial"/>
        </w:rPr>
        <w:t xml:space="preserve">The </w:t>
      </w:r>
      <w:r w:rsidR="008B066B" w:rsidRPr="008B066B">
        <w:rPr>
          <w:rFonts w:ascii="Arial" w:hAnsi="Arial" w:cs="Arial"/>
        </w:rPr>
        <w:t>decision was taken following an “informal consultation with disability organisations, local government representatives”</w:t>
      </w:r>
      <w:r w:rsidR="0063490B">
        <w:rPr>
          <w:rFonts w:ascii="Arial" w:hAnsi="Arial" w:cs="Arial"/>
        </w:rPr>
        <w:t>.</w:t>
      </w:r>
      <w:r w:rsidR="008B066B" w:rsidRPr="008B066B">
        <w:rPr>
          <w:rFonts w:ascii="Arial" w:hAnsi="Arial" w:cs="Arial"/>
        </w:rPr>
        <w:t xml:space="preserve"> On 18 December 2012, the Government publicly announced </w:t>
      </w:r>
      <w:r w:rsidR="008B7470">
        <w:rPr>
          <w:rFonts w:ascii="Arial" w:hAnsi="Arial" w:cs="Arial"/>
        </w:rPr>
        <w:t>t</w:t>
      </w:r>
      <w:r w:rsidR="00EF0588">
        <w:rPr>
          <w:rFonts w:ascii="Arial" w:hAnsi="Arial" w:cs="Arial"/>
        </w:rPr>
        <w:t>he</w:t>
      </w:r>
      <w:r w:rsidR="008B7470">
        <w:rPr>
          <w:rFonts w:ascii="Arial" w:hAnsi="Arial" w:cs="Arial"/>
        </w:rPr>
        <w:t xml:space="preserve"> </w:t>
      </w:r>
      <w:r w:rsidR="00EF0588">
        <w:rPr>
          <w:rFonts w:ascii="Arial" w:hAnsi="Arial" w:cs="Arial"/>
        </w:rPr>
        <w:t>completely closure of</w:t>
      </w:r>
      <w:r w:rsidR="008B7470">
        <w:rPr>
          <w:rFonts w:ascii="Arial" w:hAnsi="Arial" w:cs="Arial"/>
        </w:rPr>
        <w:t xml:space="preserve"> the </w:t>
      </w:r>
      <w:r w:rsidR="00EF0588">
        <w:rPr>
          <w:rFonts w:ascii="Arial" w:hAnsi="Arial" w:cs="Arial"/>
        </w:rPr>
        <w:t>in</w:t>
      </w:r>
      <w:r w:rsidR="008B066B" w:rsidRPr="008B066B">
        <w:rPr>
          <w:rFonts w:ascii="Arial" w:hAnsi="Arial" w:cs="Arial"/>
        </w:rPr>
        <w:t xml:space="preserve"> April 2015. </w:t>
      </w:r>
      <w:r w:rsidR="00D77F1F">
        <w:rPr>
          <w:rFonts w:ascii="Arial" w:hAnsi="Arial" w:cs="Arial"/>
        </w:rPr>
        <w:t>Moreover,</w:t>
      </w:r>
      <w:r w:rsidR="009969F9">
        <w:rPr>
          <w:rFonts w:ascii="Arial" w:hAnsi="Arial" w:cs="Arial"/>
        </w:rPr>
        <w:t xml:space="preserve"> </w:t>
      </w:r>
      <w:r w:rsidR="00D77F1F">
        <w:rPr>
          <w:rFonts w:ascii="Arial" w:hAnsi="Arial" w:cs="Arial"/>
        </w:rPr>
        <w:t>t</w:t>
      </w:r>
      <w:r w:rsidR="008B066B" w:rsidRPr="008B066B">
        <w:rPr>
          <w:rFonts w:ascii="Arial" w:hAnsi="Arial" w:cs="Arial"/>
        </w:rPr>
        <w:t xml:space="preserve">he decision </w:t>
      </w:r>
      <w:r w:rsidR="00636DDD">
        <w:rPr>
          <w:rFonts w:ascii="Arial" w:hAnsi="Arial" w:cs="Arial"/>
        </w:rPr>
        <w:t>was</w:t>
      </w:r>
      <w:r w:rsidR="008B066B" w:rsidRPr="008B066B">
        <w:rPr>
          <w:rFonts w:ascii="Arial" w:hAnsi="Arial" w:cs="Arial"/>
        </w:rPr>
        <w:t xml:space="preserve"> subject of a well-publicised judicial review challenge before the High Court of</w:t>
      </w:r>
      <w:r w:rsidR="00FE4F29">
        <w:rPr>
          <w:rFonts w:ascii="Arial" w:hAnsi="Arial" w:cs="Arial"/>
        </w:rPr>
        <w:t xml:space="preserve"> England and Wales: </w:t>
      </w:r>
      <w:r w:rsidR="008B7470">
        <w:rPr>
          <w:rFonts w:ascii="Arial" w:hAnsi="Arial" w:cs="Arial"/>
        </w:rPr>
        <w:t xml:space="preserve">an appeal to the Court of Appeal </w:t>
      </w:r>
      <w:r w:rsidR="00DE0FC3">
        <w:rPr>
          <w:rFonts w:ascii="Arial" w:hAnsi="Arial" w:cs="Arial"/>
        </w:rPr>
        <w:t xml:space="preserve">was made </w:t>
      </w:r>
      <w:r w:rsidR="008B7470">
        <w:rPr>
          <w:rFonts w:ascii="Arial" w:hAnsi="Arial" w:cs="Arial"/>
        </w:rPr>
        <w:t>i</w:t>
      </w:r>
      <w:r w:rsidR="008B066B" w:rsidRPr="008B066B">
        <w:rPr>
          <w:rFonts w:ascii="Arial" w:hAnsi="Arial" w:cs="Arial"/>
        </w:rPr>
        <w:t>n 2013</w:t>
      </w:r>
      <w:r w:rsidR="008521A1">
        <w:rPr>
          <w:rFonts w:ascii="Arial" w:hAnsi="Arial" w:cs="Arial"/>
        </w:rPr>
        <w:t xml:space="preserve"> and another </w:t>
      </w:r>
      <w:r w:rsidR="00F52740">
        <w:rPr>
          <w:rFonts w:ascii="Arial" w:hAnsi="Arial" w:cs="Arial"/>
        </w:rPr>
        <w:t xml:space="preserve">in 2014. </w:t>
      </w:r>
      <w:r w:rsidR="006427F8">
        <w:rPr>
          <w:rFonts w:ascii="Arial" w:hAnsi="Arial" w:cs="Arial"/>
        </w:rPr>
        <w:t>The State also</w:t>
      </w:r>
      <w:r w:rsidR="008B066B" w:rsidRPr="008B066B">
        <w:rPr>
          <w:rFonts w:ascii="Arial" w:hAnsi="Arial" w:cs="Arial"/>
        </w:rPr>
        <w:t xml:space="preserve"> notes that the </w:t>
      </w:r>
      <w:r w:rsidR="00DE0FC3">
        <w:rPr>
          <w:rFonts w:ascii="Arial" w:hAnsi="Arial" w:cs="Arial"/>
        </w:rPr>
        <w:t xml:space="preserve">authors’ </w:t>
      </w:r>
      <w:r w:rsidR="008B066B" w:rsidRPr="008B066B">
        <w:rPr>
          <w:rFonts w:ascii="Arial" w:hAnsi="Arial" w:cs="Arial"/>
        </w:rPr>
        <w:t xml:space="preserve">concerns a decision to close the fund to new members, taken nearly five years </w:t>
      </w:r>
      <w:r w:rsidR="008B066B" w:rsidRPr="008B066B">
        <w:rPr>
          <w:rFonts w:ascii="Arial" w:hAnsi="Arial" w:cs="Arial"/>
        </w:rPr>
        <w:lastRenderedPageBreak/>
        <w:t>before the compl</w:t>
      </w:r>
      <w:r w:rsidR="00DE0FC3">
        <w:rPr>
          <w:rFonts w:ascii="Arial" w:hAnsi="Arial" w:cs="Arial"/>
        </w:rPr>
        <w:t>aint to the Committee was made</w:t>
      </w:r>
      <w:r w:rsidR="00EF0588">
        <w:rPr>
          <w:rFonts w:ascii="Arial" w:hAnsi="Arial" w:cs="Arial"/>
        </w:rPr>
        <w:t>,</w:t>
      </w:r>
      <w:r w:rsidR="00DE0FC3">
        <w:rPr>
          <w:rFonts w:ascii="Arial" w:hAnsi="Arial" w:cs="Arial"/>
        </w:rPr>
        <w:t xml:space="preserve"> and i</w:t>
      </w:r>
      <w:r w:rsidR="008B066B" w:rsidRPr="008B066B">
        <w:rPr>
          <w:rFonts w:ascii="Arial" w:hAnsi="Arial" w:cs="Arial"/>
        </w:rPr>
        <w:t xml:space="preserve">n the </w:t>
      </w:r>
      <w:r w:rsidR="00DE0FC3">
        <w:rPr>
          <w:rFonts w:ascii="Arial" w:hAnsi="Arial" w:cs="Arial"/>
        </w:rPr>
        <w:t xml:space="preserve">meantime, </w:t>
      </w:r>
      <w:r w:rsidR="008B066B" w:rsidRPr="008B066B">
        <w:rPr>
          <w:rFonts w:ascii="Arial" w:hAnsi="Arial" w:cs="Arial"/>
        </w:rPr>
        <w:t>the ILF itself has ceased to exist. It submits that the authors should have challenged the closure of the fund by way of judicia</w:t>
      </w:r>
      <w:r w:rsidR="00533AFE">
        <w:rPr>
          <w:rFonts w:ascii="Arial" w:hAnsi="Arial" w:cs="Arial"/>
        </w:rPr>
        <w:t>l review in the High Court</w:t>
      </w:r>
      <w:r w:rsidR="00F52740">
        <w:rPr>
          <w:rFonts w:ascii="Arial" w:hAnsi="Arial" w:cs="Arial"/>
        </w:rPr>
        <w:t xml:space="preserve">. </w:t>
      </w:r>
      <w:r w:rsidR="00333D59">
        <w:rPr>
          <w:rFonts w:ascii="Arial" w:hAnsi="Arial" w:cs="Arial"/>
        </w:rPr>
        <w:t>As the authors’ argument that</w:t>
      </w:r>
      <w:r w:rsidR="006427F8">
        <w:rPr>
          <w:rFonts w:ascii="Arial" w:hAnsi="Arial" w:cs="Arial"/>
        </w:rPr>
        <w:t xml:space="preserve"> challenge the closure would have been out of time, t</w:t>
      </w:r>
      <w:r w:rsidR="008B066B" w:rsidRPr="008B066B">
        <w:rPr>
          <w:rFonts w:ascii="Arial" w:hAnsi="Arial" w:cs="Arial"/>
        </w:rPr>
        <w:t xml:space="preserve">he State </w:t>
      </w:r>
      <w:r w:rsidR="00EF0588">
        <w:rPr>
          <w:rFonts w:ascii="Arial" w:hAnsi="Arial" w:cs="Arial"/>
        </w:rPr>
        <w:t xml:space="preserve">notes </w:t>
      </w:r>
      <w:r w:rsidR="008B066B" w:rsidRPr="008B066B">
        <w:rPr>
          <w:rFonts w:ascii="Arial" w:hAnsi="Arial" w:cs="Arial"/>
        </w:rPr>
        <w:t>that</w:t>
      </w:r>
      <w:r w:rsidR="000C325D">
        <w:rPr>
          <w:rFonts w:ascii="Arial" w:hAnsi="Arial" w:cs="Arial"/>
        </w:rPr>
        <w:t xml:space="preserve"> - even</w:t>
      </w:r>
      <w:r w:rsidR="008B066B" w:rsidRPr="008B066B">
        <w:rPr>
          <w:rFonts w:ascii="Arial" w:hAnsi="Arial" w:cs="Arial"/>
        </w:rPr>
        <w:t xml:space="preserve"> all claims by way of judicial review must be brought </w:t>
      </w:r>
      <w:r w:rsidR="008B066B" w:rsidRPr="00EF0588">
        <w:rPr>
          <w:rFonts w:ascii="Arial" w:hAnsi="Arial" w:cs="Arial"/>
          <w:i/>
        </w:rPr>
        <w:t>“(a) promptly; and (b) in any event not later than three months after the grounds to make the claim first arose</w:t>
      </w:r>
      <w:r w:rsidR="008B066B" w:rsidRPr="008B066B">
        <w:rPr>
          <w:rFonts w:ascii="Arial" w:hAnsi="Arial" w:cs="Arial"/>
        </w:rPr>
        <w:t>”</w:t>
      </w:r>
      <w:r w:rsidR="00EF0588">
        <w:rPr>
          <w:rStyle w:val="FootnoteReference"/>
          <w:rFonts w:cs="Arial"/>
        </w:rPr>
        <w:footnoteReference w:id="3"/>
      </w:r>
      <w:r w:rsidR="000C325D">
        <w:rPr>
          <w:rFonts w:ascii="Arial" w:hAnsi="Arial" w:cs="Arial"/>
        </w:rPr>
        <w:t xml:space="preserve"> - the </w:t>
      </w:r>
      <w:r w:rsidR="008B066B" w:rsidRPr="008B066B">
        <w:rPr>
          <w:rFonts w:ascii="Arial" w:hAnsi="Arial" w:cs="Arial"/>
        </w:rPr>
        <w:t>High Court also has a discretion</w:t>
      </w:r>
      <w:r w:rsidR="00421756">
        <w:rPr>
          <w:rFonts w:ascii="Arial" w:hAnsi="Arial" w:cs="Arial"/>
        </w:rPr>
        <w:t>al power</w:t>
      </w:r>
      <w:r w:rsidR="008B066B" w:rsidRPr="008B066B">
        <w:rPr>
          <w:rFonts w:ascii="Arial" w:hAnsi="Arial" w:cs="Arial"/>
        </w:rPr>
        <w:t xml:space="preserve"> to allow judicial review claimants to</w:t>
      </w:r>
      <w:r w:rsidR="000C325D">
        <w:rPr>
          <w:rFonts w:ascii="Arial" w:hAnsi="Arial" w:cs="Arial"/>
        </w:rPr>
        <w:t xml:space="preserve"> issue proceedings out of time. T</w:t>
      </w:r>
      <w:r w:rsidR="00FE4F29">
        <w:rPr>
          <w:rFonts w:ascii="Arial" w:hAnsi="Arial" w:cs="Arial"/>
        </w:rPr>
        <w:t xml:space="preserve">his </w:t>
      </w:r>
      <w:r w:rsidR="008B066B" w:rsidRPr="008B066B">
        <w:rPr>
          <w:rFonts w:ascii="Arial" w:hAnsi="Arial" w:cs="Arial"/>
        </w:rPr>
        <w:t xml:space="preserve">discretion </w:t>
      </w:r>
      <w:r w:rsidR="000666EC">
        <w:rPr>
          <w:rFonts w:ascii="Arial" w:hAnsi="Arial" w:cs="Arial"/>
        </w:rPr>
        <w:t>can be exercise</w:t>
      </w:r>
      <w:r w:rsidR="008B066B" w:rsidRPr="008B066B">
        <w:rPr>
          <w:rFonts w:ascii="Arial" w:hAnsi="Arial" w:cs="Arial"/>
        </w:rPr>
        <w:t xml:space="preserve"> when</w:t>
      </w:r>
      <w:r w:rsidR="00533AFE">
        <w:rPr>
          <w:rFonts w:ascii="Arial" w:hAnsi="Arial" w:cs="Arial"/>
        </w:rPr>
        <w:t>:</w:t>
      </w:r>
      <w:r w:rsidR="008B066B" w:rsidRPr="008B066B">
        <w:rPr>
          <w:rFonts w:ascii="Arial" w:hAnsi="Arial" w:cs="Arial"/>
        </w:rPr>
        <w:t xml:space="preserve"> the applic</w:t>
      </w:r>
      <w:r w:rsidR="00533AFE">
        <w:rPr>
          <w:rFonts w:ascii="Arial" w:hAnsi="Arial" w:cs="Arial"/>
        </w:rPr>
        <w:t xml:space="preserve">ant was unaware of the decision; </w:t>
      </w:r>
      <w:r w:rsidR="008B066B" w:rsidRPr="008B066B">
        <w:rPr>
          <w:rFonts w:ascii="Arial" w:hAnsi="Arial" w:cs="Arial"/>
        </w:rPr>
        <w:t>their claim raises question</w:t>
      </w:r>
      <w:r w:rsidR="00533AFE">
        <w:rPr>
          <w:rFonts w:ascii="Arial" w:hAnsi="Arial" w:cs="Arial"/>
        </w:rPr>
        <w:t>s of public importance, and</w:t>
      </w:r>
      <w:r w:rsidR="008B066B" w:rsidRPr="008B066B">
        <w:rPr>
          <w:rFonts w:ascii="Arial" w:hAnsi="Arial" w:cs="Arial"/>
        </w:rPr>
        <w:t xml:space="preserve"> the applicant then acted expeditiously</w:t>
      </w:r>
      <w:r w:rsidR="00FE4F29">
        <w:rPr>
          <w:rFonts w:ascii="Arial" w:hAnsi="Arial" w:cs="Arial"/>
        </w:rPr>
        <w:t xml:space="preserve"> once they became aware of it.</w:t>
      </w:r>
      <w:r w:rsidR="00533AFE">
        <w:rPr>
          <w:rFonts w:ascii="Arial" w:hAnsi="Arial" w:cs="Arial"/>
        </w:rPr>
        <w:t xml:space="preserve"> Thus, t</w:t>
      </w:r>
      <w:r w:rsidR="008B066B" w:rsidRPr="008B066B">
        <w:rPr>
          <w:rFonts w:ascii="Arial" w:hAnsi="Arial" w:cs="Arial"/>
        </w:rPr>
        <w:t xml:space="preserve">he </w:t>
      </w:r>
      <w:r w:rsidR="000C325D">
        <w:rPr>
          <w:rFonts w:ascii="Arial" w:hAnsi="Arial" w:cs="Arial"/>
        </w:rPr>
        <w:t xml:space="preserve">authors </w:t>
      </w:r>
      <w:r w:rsidR="00EB3C07">
        <w:rPr>
          <w:rFonts w:ascii="Arial" w:hAnsi="Arial" w:cs="Arial"/>
        </w:rPr>
        <w:t xml:space="preserve">could and should have followed this </w:t>
      </w:r>
      <w:r w:rsidR="00D17CAA">
        <w:rPr>
          <w:rFonts w:ascii="Arial" w:hAnsi="Arial" w:cs="Arial"/>
        </w:rPr>
        <w:t>possibility</w:t>
      </w:r>
      <w:r w:rsidR="00EB3C07">
        <w:rPr>
          <w:rFonts w:ascii="Arial" w:hAnsi="Arial" w:cs="Arial"/>
        </w:rPr>
        <w:t xml:space="preserve">. </w:t>
      </w:r>
      <w:r w:rsidR="00421756">
        <w:rPr>
          <w:rFonts w:ascii="Arial" w:hAnsi="Arial" w:cs="Arial"/>
        </w:rPr>
        <w:t xml:space="preserve">As concerns </w:t>
      </w:r>
      <w:r w:rsidR="008B066B" w:rsidRPr="008B066B">
        <w:rPr>
          <w:rFonts w:ascii="Arial" w:hAnsi="Arial" w:cs="Arial"/>
        </w:rPr>
        <w:t>the authors</w:t>
      </w:r>
      <w:r w:rsidR="00421756">
        <w:rPr>
          <w:rFonts w:ascii="Arial" w:hAnsi="Arial" w:cs="Arial"/>
        </w:rPr>
        <w:t>’</w:t>
      </w:r>
      <w:r w:rsidR="008B066B" w:rsidRPr="008B066B">
        <w:rPr>
          <w:rFonts w:ascii="Arial" w:hAnsi="Arial" w:cs="Arial"/>
        </w:rPr>
        <w:t xml:space="preserve"> assert that any application for judicial review would not provide them with a</w:t>
      </w:r>
      <w:r w:rsidR="00636DDD">
        <w:rPr>
          <w:rFonts w:ascii="Arial" w:hAnsi="Arial" w:cs="Arial"/>
        </w:rPr>
        <w:t>n</w:t>
      </w:r>
      <w:r w:rsidR="008B066B" w:rsidRPr="008B066B">
        <w:rPr>
          <w:rFonts w:ascii="Arial" w:hAnsi="Arial" w:cs="Arial"/>
        </w:rPr>
        <w:t xml:space="preserve"> effective remedy </w:t>
      </w:r>
      <w:r w:rsidR="00533AFE">
        <w:rPr>
          <w:rFonts w:ascii="Arial" w:hAnsi="Arial" w:cs="Arial"/>
        </w:rPr>
        <w:t>and</w:t>
      </w:r>
      <w:r w:rsidR="00D42F3F">
        <w:rPr>
          <w:rFonts w:ascii="Arial" w:hAnsi="Arial" w:cs="Arial"/>
        </w:rPr>
        <w:t xml:space="preserve"> would be just </w:t>
      </w:r>
      <w:r w:rsidR="008B066B" w:rsidRPr="008B066B">
        <w:rPr>
          <w:rFonts w:ascii="Arial" w:hAnsi="Arial" w:cs="Arial"/>
        </w:rPr>
        <w:t>an administrative challenge</w:t>
      </w:r>
      <w:r w:rsidR="00B24ABB">
        <w:rPr>
          <w:rFonts w:ascii="Arial" w:hAnsi="Arial" w:cs="Arial"/>
        </w:rPr>
        <w:t>, t</w:t>
      </w:r>
      <w:r w:rsidR="00820762" w:rsidRPr="00820762">
        <w:rPr>
          <w:rFonts w:ascii="Arial" w:hAnsi="Arial" w:cs="Arial"/>
        </w:rPr>
        <w:t>he State party n</w:t>
      </w:r>
      <w:r w:rsidR="00D17CAA">
        <w:rPr>
          <w:rFonts w:ascii="Arial" w:hAnsi="Arial" w:cs="Arial"/>
        </w:rPr>
        <w:t>otes that judicial review claimed</w:t>
      </w:r>
      <w:r w:rsidR="00820762" w:rsidRPr="00820762">
        <w:rPr>
          <w:rFonts w:ascii="Arial" w:hAnsi="Arial" w:cs="Arial"/>
        </w:rPr>
        <w:t xml:space="preserve"> in respect of decisions </w:t>
      </w:r>
      <w:r w:rsidR="00B24ABB">
        <w:rPr>
          <w:rFonts w:ascii="Arial" w:hAnsi="Arial" w:cs="Arial"/>
        </w:rPr>
        <w:t>related to</w:t>
      </w:r>
      <w:r w:rsidR="00820762" w:rsidRPr="00820762">
        <w:rPr>
          <w:rFonts w:ascii="Arial" w:hAnsi="Arial" w:cs="Arial"/>
        </w:rPr>
        <w:t xml:space="preserve"> social benefits have been successfully challenged for alleged violations of the European Convention on </w:t>
      </w:r>
      <w:r w:rsidR="00533AFE">
        <w:rPr>
          <w:rFonts w:ascii="Arial" w:hAnsi="Arial" w:cs="Arial"/>
        </w:rPr>
        <w:t>Human Rights in domestic courts</w:t>
      </w:r>
      <w:r w:rsidR="008B066B" w:rsidRPr="008B066B">
        <w:rPr>
          <w:rFonts w:ascii="Arial" w:hAnsi="Arial" w:cs="Arial"/>
        </w:rPr>
        <w:t xml:space="preserve">. </w:t>
      </w:r>
      <w:r w:rsidR="00EF0588" w:rsidRPr="00EF0588">
        <w:rPr>
          <w:rFonts w:ascii="Arial" w:hAnsi="Arial" w:cs="Arial"/>
          <w:u w:val="single"/>
        </w:rPr>
        <w:t>In view thereof, the State considers that the complaint is inadmissible for non-exhaustion of all available domestic remedies</w:t>
      </w:r>
      <w:r w:rsidR="00636DDD">
        <w:rPr>
          <w:rFonts w:ascii="Arial" w:hAnsi="Arial" w:cs="Arial"/>
          <w:u w:val="single"/>
        </w:rPr>
        <w:t>.</w:t>
      </w:r>
    </w:p>
    <w:p w14:paraId="16069E94" w14:textId="34B49AEB" w:rsidR="008B066B" w:rsidRPr="008B066B" w:rsidRDefault="00990897" w:rsidP="00636DDD">
      <w:pPr>
        <w:jc w:val="both"/>
        <w:rPr>
          <w:rFonts w:ascii="Arial" w:hAnsi="Arial" w:cs="Arial"/>
        </w:rPr>
      </w:pPr>
      <w:r>
        <w:rPr>
          <w:rFonts w:ascii="Arial" w:hAnsi="Arial" w:cs="Arial"/>
          <w:u w:val="single"/>
        </w:rPr>
        <w:t>As</w:t>
      </w:r>
      <w:r w:rsidR="00EF0588" w:rsidRPr="00EF0588">
        <w:rPr>
          <w:rFonts w:ascii="Arial" w:hAnsi="Arial" w:cs="Arial"/>
          <w:u w:val="single"/>
        </w:rPr>
        <w:t xml:space="preserve"> the abuse of the right of the submission,</w:t>
      </w:r>
      <w:r w:rsidR="00EF0588">
        <w:rPr>
          <w:rFonts w:ascii="Arial" w:hAnsi="Arial" w:cs="Arial"/>
        </w:rPr>
        <w:t xml:space="preserve"> </w:t>
      </w:r>
      <w:r w:rsidR="00F52740">
        <w:rPr>
          <w:rFonts w:ascii="Arial" w:hAnsi="Arial" w:cs="Arial"/>
        </w:rPr>
        <w:t>the State highlights that t</w:t>
      </w:r>
      <w:r w:rsidR="008B066B" w:rsidRPr="008B066B">
        <w:rPr>
          <w:rFonts w:ascii="Arial" w:hAnsi="Arial" w:cs="Arial"/>
        </w:rPr>
        <w:t xml:space="preserve">he Convention and Optional Protocol do not set out a time limit within which complaints must be made. </w:t>
      </w:r>
      <w:r w:rsidR="00DB4720">
        <w:rPr>
          <w:rFonts w:ascii="Arial" w:hAnsi="Arial" w:cs="Arial"/>
        </w:rPr>
        <w:t>However, the State party</w:t>
      </w:r>
      <w:r w:rsidR="008B066B" w:rsidRPr="008B066B">
        <w:rPr>
          <w:rFonts w:ascii="Arial" w:hAnsi="Arial" w:cs="Arial"/>
        </w:rPr>
        <w:t xml:space="preserve"> notes that, </w:t>
      </w:r>
      <w:r w:rsidR="008B066B" w:rsidRPr="009A4561">
        <w:rPr>
          <w:rFonts w:ascii="Arial" w:hAnsi="Arial" w:cs="Arial"/>
          <w:u w:val="single"/>
        </w:rPr>
        <w:t>where no time limits have been prescribed, Treaty Bodies have consistently held that it is an abuse of the right of submission to file a complaint following a long and unjustifiable delay</w:t>
      </w:r>
      <w:r w:rsidR="000C325D">
        <w:rPr>
          <w:rStyle w:val="FootnoteReference"/>
          <w:rFonts w:cs="Arial"/>
        </w:rPr>
        <w:footnoteReference w:id="4"/>
      </w:r>
      <w:r w:rsidR="008B066B" w:rsidRPr="008B066B">
        <w:rPr>
          <w:rFonts w:ascii="Arial" w:hAnsi="Arial" w:cs="Arial"/>
        </w:rPr>
        <w:t xml:space="preserve">. </w:t>
      </w:r>
      <w:r w:rsidR="00F52740">
        <w:rPr>
          <w:rFonts w:ascii="Arial" w:hAnsi="Arial" w:cs="Arial"/>
        </w:rPr>
        <w:t>With regard to the present case, the State highlights</w:t>
      </w:r>
      <w:r w:rsidR="00F52740" w:rsidRPr="008B066B">
        <w:rPr>
          <w:rFonts w:ascii="Arial" w:hAnsi="Arial" w:cs="Arial"/>
        </w:rPr>
        <w:t xml:space="preserve"> the long delay between the decision of December 2010 to close the ILF to new applicants and the submission of the complaint before the Committee in May 2015.</w:t>
      </w:r>
      <w:r w:rsidR="00DB4720">
        <w:rPr>
          <w:rFonts w:ascii="Arial" w:hAnsi="Arial" w:cs="Arial"/>
        </w:rPr>
        <w:t xml:space="preserve"> </w:t>
      </w:r>
      <w:r w:rsidR="00F52740">
        <w:rPr>
          <w:rFonts w:ascii="Arial" w:hAnsi="Arial" w:cs="Arial"/>
        </w:rPr>
        <w:t>Moreover, authors do not give explanation</w:t>
      </w:r>
      <w:r w:rsidR="008B066B" w:rsidRPr="008B066B">
        <w:rPr>
          <w:rFonts w:ascii="Arial" w:hAnsi="Arial" w:cs="Arial"/>
        </w:rPr>
        <w:t xml:space="preserve"> for such d</w:t>
      </w:r>
      <w:r w:rsidR="00F52740">
        <w:rPr>
          <w:rFonts w:ascii="Arial" w:hAnsi="Arial" w:cs="Arial"/>
        </w:rPr>
        <w:t>elay. It further argues that this</w:t>
      </w:r>
      <w:r w:rsidR="008B066B" w:rsidRPr="008B066B">
        <w:rPr>
          <w:rFonts w:ascii="Arial" w:hAnsi="Arial" w:cs="Arial"/>
        </w:rPr>
        <w:t xml:space="preserve"> delay is particularly significant as the authors waited until the closure of the ILF was imminent before com</w:t>
      </w:r>
      <w:r w:rsidR="00DB4720">
        <w:rPr>
          <w:rFonts w:ascii="Arial" w:hAnsi="Arial" w:cs="Arial"/>
        </w:rPr>
        <w:t>plaining of a previous decision.</w:t>
      </w:r>
    </w:p>
    <w:p w14:paraId="6A5A6607" w14:textId="58CA11D5" w:rsidR="0030009D" w:rsidRDefault="00E8010B" w:rsidP="00FD6FD7">
      <w:pPr>
        <w:jc w:val="both"/>
        <w:rPr>
          <w:rFonts w:ascii="Arial" w:hAnsi="Arial" w:cs="Arial"/>
        </w:rPr>
      </w:pPr>
      <w:r w:rsidRPr="00E8010B">
        <w:rPr>
          <w:rFonts w:ascii="Arial" w:hAnsi="Arial" w:cs="Arial"/>
          <w:u w:val="single"/>
        </w:rPr>
        <w:t>As the inadmissibility for the</w:t>
      </w:r>
      <w:r w:rsidR="008B066B" w:rsidRPr="00E8010B">
        <w:rPr>
          <w:rFonts w:ascii="Arial" w:hAnsi="Arial" w:cs="Arial"/>
          <w:u w:val="single"/>
        </w:rPr>
        <w:t xml:space="preserve"> manifestly ill-founded </w:t>
      </w:r>
      <w:r w:rsidRPr="00E8010B">
        <w:rPr>
          <w:rFonts w:ascii="Arial" w:hAnsi="Arial" w:cs="Arial"/>
          <w:u w:val="single"/>
        </w:rPr>
        <w:t>of the complaint</w:t>
      </w:r>
      <w:r w:rsidR="00A71451">
        <w:rPr>
          <w:rFonts w:ascii="Arial" w:hAnsi="Arial" w:cs="Arial"/>
          <w:u w:val="single"/>
        </w:rPr>
        <w:t>,</w:t>
      </w:r>
      <w:r w:rsidR="009A4561">
        <w:rPr>
          <w:rFonts w:ascii="Arial" w:hAnsi="Arial" w:cs="Arial"/>
        </w:rPr>
        <w:t xml:space="preserve"> the S</w:t>
      </w:r>
      <w:r w:rsidR="00A71451">
        <w:rPr>
          <w:rFonts w:ascii="Arial" w:hAnsi="Arial" w:cs="Arial"/>
        </w:rPr>
        <w:t>tate considers that</w:t>
      </w:r>
      <w:r w:rsidR="00067FB8">
        <w:rPr>
          <w:rFonts w:ascii="Arial" w:hAnsi="Arial" w:cs="Arial"/>
        </w:rPr>
        <w:t xml:space="preserve"> the authors’ claim is inadmissible since </w:t>
      </w:r>
      <w:r w:rsidR="008B066B" w:rsidRPr="008B066B">
        <w:rPr>
          <w:rFonts w:ascii="Arial" w:hAnsi="Arial" w:cs="Arial"/>
        </w:rPr>
        <w:t>the remedies sought by the authors are irrelevant as they have been superseded by subsequent events in light of the permanent closure of the ILF and the reallocation of the funds to local authorities an</w:t>
      </w:r>
      <w:r w:rsidR="00990897">
        <w:rPr>
          <w:rFonts w:ascii="Arial" w:hAnsi="Arial" w:cs="Arial"/>
        </w:rPr>
        <w:t>d devolved administrations. Moreover,</w:t>
      </w:r>
      <w:r w:rsidR="008B066B" w:rsidRPr="008B066B">
        <w:rPr>
          <w:rFonts w:ascii="Arial" w:hAnsi="Arial" w:cs="Arial"/>
        </w:rPr>
        <w:t xml:space="preserve"> the authors have not established that the closure of the ILF affected them directly</w:t>
      </w:r>
      <w:r w:rsidR="009A4561">
        <w:rPr>
          <w:rFonts w:ascii="Arial" w:hAnsi="Arial" w:cs="Arial"/>
        </w:rPr>
        <w:t xml:space="preserve"> and especially it would not en</w:t>
      </w:r>
      <w:r w:rsidR="00067FB8">
        <w:rPr>
          <w:rFonts w:ascii="Arial" w:hAnsi="Arial" w:cs="Arial"/>
        </w:rPr>
        <w:t>able them to live independently</w:t>
      </w:r>
      <w:r w:rsidR="009A4561">
        <w:rPr>
          <w:rFonts w:ascii="Arial" w:hAnsi="Arial" w:cs="Arial"/>
        </w:rPr>
        <w:t xml:space="preserve">. </w:t>
      </w:r>
      <w:proofErr w:type="gramStart"/>
      <w:r w:rsidR="008B066B" w:rsidRPr="008B066B">
        <w:rPr>
          <w:rFonts w:ascii="Arial" w:hAnsi="Arial" w:cs="Arial"/>
        </w:rPr>
        <w:t>It</w:t>
      </w:r>
      <w:proofErr w:type="gramEnd"/>
      <w:r w:rsidR="008B066B" w:rsidRPr="008B066B">
        <w:rPr>
          <w:rFonts w:ascii="Arial" w:hAnsi="Arial" w:cs="Arial"/>
        </w:rPr>
        <w:t xml:space="preserve"> further notes that, in addition to support provided by local authorities under the Care Act, disabled persons may also be entitled to receive various disability benefits to help them with the additional costs of disability and to lead more independent l</w:t>
      </w:r>
      <w:r w:rsidR="00990897">
        <w:rPr>
          <w:rFonts w:ascii="Arial" w:hAnsi="Arial" w:cs="Arial"/>
        </w:rPr>
        <w:t xml:space="preserve">ives. </w:t>
      </w:r>
    </w:p>
    <w:p w14:paraId="1E560E5D" w14:textId="5BBACA03" w:rsidR="00AA57E7" w:rsidRPr="00CC41BD" w:rsidRDefault="00AA57E7" w:rsidP="00FD6FD7">
      <w:pPr>
        <w:jc w:val="both"/>
        <w:rPr>
          <w:rFonts w:ascii="Arial" w:hAnsi="Arial" w:cs="Arial"/>
        </w:rPr>
      </w:pPr>
      <w:r w:rsidRPr="00A31760">
        <w:rPr>
          <w:rFonts w:ascii="Arial" w:hAnsi="Arial" w:cs="Arial"/>
          <w:b/>
        </w:rPr>
        <w:t>Author’s comments on the State party’s submission</w:t>
      </w:r>
    </w:p>
    <w:p w14:paraId="05B84253" w14:textId="7A663060" w:rsidR="00012484" w:rsidRDefault="00DA759B" w:rsidP="00012484">
      <w:pPr>
        <w:spacing w:after="0"/>
        <w:jc w:val="both"/>
        <w:rPr>
          <w:rFonts w:ascii="Arial" w:hAnsi="Arial" w:cs="Arial"/>
        </w:rPr>
      </w:pPr>
      <w:r>
        <w:rPr>
          <w:rFonts w:ascii="Arial" w:hAnsi="Arial" w:cs="Arial"/>
        </w:rPr>
        <w:t xml:space="preserve">The </w:t>
      </w:r>
      <w:r w:rsidR="00421756" w:rsidRPr="00421756">
        <w:rPr>
          <w:rFonts w:ascii="Arial" w:hAnsi="Arial" w:cs="Arial"/>
        </w:rPr>
        <w:t>authors reiterate</w:t>
      </w:r>
      <w:r w:rsidR="00D17CAA">
        <w:rPr>
          <w:rFonts w:ascii="Arial" w:hAnsi="Arial" w:cs="Arial"/>
        </w:rPr>
        <w:t xml:space="preserve"> that</w:t>
      </w:r>
      <w:r w:rsidR="00421756" w:rsidRPr="00421756">
        <w:rPr>
          <w:rFonts w:ascii="Arial" w:hAnsi="Arial" w:cs="Arial"/>
        </w:rPr>
        <w:t xml:space="preserve"> they did not bring proceedings by way of judicial review because any challenge wou</w:t>
      </w:r>
      <w:r>
        <w:rPr>
          <w:rFonts w:ascii="Arial" w:hAnsi="Arial" w:cs="Arial"/>
        </w:rPr>
        <w:t>ld have been out of time and</w:t>
      </w:r>
      <w:r w:rsidR="00421756" w:rsidRPr="00421756">
        <w:rPr>
          <w:rFonts w:ascii="Arial" w:hAnsi="Arial" w:cs="Arial"/>
        </w:rPr>
        <w:t xml:space="preserve"> </w:t>
      </w:r>
      <w:r w:rsidR="008521A1">
        <w:rPr>
          <w:rFonts w:ascii="Arial" w:hAnsi="Arial" w:cs="Arial"/>
        </w:rPr>
        <w:t>in</w:t>
      </w:r>
      <w:r w:rsidR="00421756" w:rsidRPr="00421756">
        <w:rPr>
          <w:rFonts w:ascii="Arial" w:hAnsi="Arial" w:cs="Arial"/>
        </w:rPr>
        <w:t>effective remedy. Ms. Baker found out about the closure of the ILF on or</w:t>
      </w:r>
      <w:r w:rsidR="0000469F">
        <w:rPr>
          <w:rFonts w:ascii="Arial" w:hAnsi="Arial" w:cs="Arial"/>
        </w:rPr>
        <w:t xml:space="preserve"> around the day that it closed and </w:t>
      </w:r>
      <w:r w:rsidR="00421756" w:rsidRPr="00421756">
        <w:rPr>
          <w:rFonts w:ascii="Arial" w:hAnsi="Arial" w:cs="Arial"/>
        </w:rPr>
        <w:t>she nor other people in her organisation realised that she could challenge the c</w:t>
      </w:r>
      <w:r w:rsidR="006224DB">
        <w:rPr>
          <w:rFonts w:ascii="Arial" w:hAnsi="Arial" w:cs="Arial"/>
        </w:rPr>
        <w:t>losure of the fund.</w:t>
      </w:r>
      <w:r w:rsidR="00481F3F">
        <w:rPr>
          <w:rFonts w:ascii="Arial" w:hAnsi="Arial" w:cs="Arial"/>
        </w:rPr>
        <w:t xml:space="preserve"> </w:t>
      </w:r>
      <w:r w:rsidR="00737AA2" w:rsidRPr="00737AA2">
        <w:rPr>
          <w:rFonts w:ascii="Arial" w:hAnsi="Arial" w:cs="Arial"/>
        </w:rPr>
        <w:t xml:space="preserve">The authors further argue that judicial review claims are </w:t>
      </w:r>
      <w:r w:rsidR="00B36D02">
        <w:rPr>
          <w:rFonts w:ascii="Arial" w:hAnsi="Arial" w:cs="Arial"/>
        </w:rPr>
        <w:t>very</w:t>
      </w:r>
      <w:r w:rsidR="00737AA2" w:rsidRPr="00737AA2">
        <w:rPr>
          <w:rFonts w:ascii="Arial" w:hAnsi="Arial" w:cs="Arial"/>
        </w:rPr>
        <w:t xml:space="preserve"> expensive and</w:t>
      </w:r>
      <w:r w:rsidR="00012484">
        <w:rPr>
          <w:rFonts w:ascii="Arial" w:hAnsi="Arial" w:cs="Arial"/>
        </w:rPr>
        <w:t xml:space="preserve"> it</w:t>
      </w:r>
      <w:r w:rsidR="00737AA2" w:rsidRPr="00737AA2">
        <w:rPr>
          <w:rFonts w:ascii="Arial" w:hAnsi="Arial" w:cs="Arial"/>
        </w:rPr>
        <w:t xml:space="preserve"> can generally only be pursued by individuals with the benefit of legal aid. They argue that it would have been highly unlikely that either of them would have been financially eligible for legal aid</w:t>
      </w:r>
      <w:r w:rsidR="00B36D02">
        <w:rPr>
          <w:rFonts w:ascii="Arial" w:hAnsi="Arial" w:cs="Arial"/>
        </w:rPr>
        <w:t xml:space="preserve">. </w:t>
      </w:r>
      <w:r w:rsidR="00012484">
        <w:rPr>
          <w:rFonts w:ascii="Arial" w:hAnsi="Arial" w:cs="Arial"/>
        </w:rPr>
        <w:t>T</w:t>
      </w:r>
      <w:r w:rsidR="00737AA2" w:rsidRPr="00737AA2">
        <w:rPr>
          <w:rFonts w:ascii="Arial" w:hAnsi="Arial" w:cs="Arial"/>
        </w:rPr>
        <w:t>hey consider that it was highly unlikely that either of them would have been able to pursue a judicial review claim due to the lack of funding.</w:t>
      </w:r>
      <w:r w:rsidR="00012484">
        <w:rPr>
          <w:rFonts w:ascii="Arial" w:hAnsi="Arial" w:cs="Arial"/>
        </w:rPr>
        <w:t xml:space="preserve"> </w:t>
      </w:r>
    </w:p>
    <w:p w14:paraId="60D40AE5" w14:textId="5B1AF570" w:rsidR="00D10E41" w:rsidRDefault="00421756" w:rsidP="00FD6FD7">
      <w:pPr>
        <w:jc w:val="both"/>
        <w:rPr>
          <w:rFonts w:ascii="Arial" w:hAnsi="Arial" w:cs="Arial"/>
        </w:rPr>
      </w:pPr>
      <w:r w:rsidRPr="00421756">
        <w:rPr>
          <w:rFonts w:ascii="Arial" w:hAnsi="Arial" w:cs="Arial"/>
        </w:rPr>
        <w:t>As</w:t>
      </w:r>
      <w:r w:rsidR="00B24ABB">
        <w:rPr>
          <w:rFonts w:ascii="Arial" w:hAnsi="Arial" w:cs="Arial"/>
        </w:rPr>
        <w:t xml:space="preserve"> concerns </w:t>
      </w:r>
      <w:r w:rsidRPr="00421756">
        <w:rPr>
          <w:rFonts w:ascii="Arial" w:hAnsi="Arial" w:cs="Arial"/>
        </w:rPr>
        <w:t xml:space="preserve">the State party’s argument </w:t>
      </w:r>
      <w:r w:rsidR="00D17CAA">
        <w:rPr>
          <w:rFonts w:ascii="Arial" w:hAnsi="Arial" w:cs="Arial"/>
        </w:rPr>
        <w:t>of inadmissibility under ar. 2(b) of the Optional Protocol,</w:t>
      </w:r>
      <w:r w:rsidRPr="00421756">
        <w:rPr>
          <w:rFonts w:ascii="Arial" w:hAnsi="Arial" w:cs="Arial"/>
        </w:rPr>
        <w:t xml:space="preserve"> the authors recall that neither the Convention nor the Optional Protocol set out a time limit within which complaints must be made.</w:t>
      </w:r>
      <w:r w:rsidR="00012484">
        <w:rPr>
          <w:rFonts w:ascii="Arial" w:hAnsi="Arial" w:cs="Arial"/>
        </w:rPr>
        <w:t xml:space="preserve"> </w:t>
      </w:r>
      <w:r w:rsidRPr="00421756">
        <w:rPr>
          <w:rFonts w:ascii="Arial" w:hAnsi="Arial" w:cs="Arial"/>
        </w:rPr>
        <w:t xml:space="preserve">As concerns the State party’s argument </w:t>
      </w:r>
      <w:r w:rsidR="00D17CAA">
        <w:rPr>
          <w:rFonts w:ascii="Arial" w:hAnsi="Arial" w:cs="Arial"/>
        </w:rPr>
        <w:t>of inadmissibility under art. 2(e)</w:t>
      </w:r>
      <w:r w:rsidR="006D125E">
        <w:rPr>
          <w:rFonts w:ascii="Arial" w:hAnsi="Arial" w:cs="Arial"/>
        </w:rPr>
        <w:t xml:space="preserve">, the authors argue </w:t>
      </w:r>
      <w:r w:rsidR="00C8760E">
        <w:rPr>
          <w:rFonts w:ascii="Arial" w:hAnsi="Arial" w:cs="Arial"/>
        </w:rPr>
        <w:t xml:space="preserve">that </w:t>
      </w:r>
      <w:r w:rsidR="00737AA2">
        <w:rPr>
          <w:rFonts w:ascii="Arial" w:hAnsi="Arial" w:cs="Arial"/>
        </w:rPr>
        <w:t xml:space="preserve">the State party failed </w:t>
      </w:r>
      <w:r w:rsidRPr="00421756">
        <w:rPr>
          <w:rFonts w:ascii="Arial" w:hAnsi="Arial" w:cs="Arial"/>
        </w:rPr>
        <w:t>in its obligation to consult o</w:t>
      </w:r>
      <w:r w:rsidR="005F534F">
        <w:rPr>
          <w:rFonts w:ascii="Arial" w:hAnsi="Arial" w:cs="Arial"/>
        </w:rPr>
        <w:t>n t</w:t>
      </w:r>
      <w:r w:rsidR="00C8760E">
        <w:rPr>
          <w:rFonts w:ascii="Arial" w:hAnsi="Arial" w:cs="Arial"/>
        </w:rPr>
        <w:t xml:space="preserve">he closure of the fund and </w:t>
      </w:r>
      <w:r w:rsidRPr="00421756">
        <w:rPr>
          <w:rFonts w:ascii="Arial" w:hAnsi="Arial" w:cs="Arial"/>
        </w:rPr>
        <w:t>they were directly affected by the decision</w:t>
      </w:r>
      <w:r w:rsidR="005F534F">
        <w:rPr>
          <w:rFonts w:ascii="Arial" w:hAnsi="Arial" w:cs="Arial"/>
        </w:rPr>
        <w:t>: Ms. Jones</w:t>
      </w:r>
      <w:r w:rsidRPr="00421756">
        <w:rPr>
          <w:rFonts w:ascii="Arial" w:hAnsi="Arial" w:cs="Arial"/>
        </w:rPr>
        <w:t xml:space="preserve"> would have been eligible to a claim to the ILF, </w:t>
      </w:r>
      <w:r w:rsidRPr="00421756">
        <w:rPr>
          <w:rFonts w:ascii="Arial" w:hAnsi="Arial" w:cs="Arial"/>
        </w:rPr>
        <w:lastRenderedPageBreak/>
        <w:t xml:space="preserve">had it not been </w:t>
      </w:r>
      <w:r w:rsidR="005F534F">
        <w:rPr>
          <w:rFonts w:ascii="Arial" w:hAnsi="Arial" w:cs="Arial"/>
        </w:rPr>
        <w:t xml:space="preserve">closed to new applicants; </w:t>
      </w:r>
      <w:r w:rsidRPr="00421756">
        <w:rPr>
          <w:rFonts w:ascii="Arial" w:hAnsi="Arial" w:cs="Arial"/>
        </w:rPr>
        <w:t>Ms. Baker was</w:t>
      </w:r>
      <w:r w:rsidR="0030009D">
        <w:rPr>
          <w:rFonts w:ascii="Arial" w:hAnsi="Arial" w:cs="Arial"/>
        </w:rPr>
        <w:t xml:space="preserve"> about</w:t>
      </w:r>
      <w:r w:rsidRPr="00421756">
        <w:rPr>
          <w:rFonts w:ascii="Arial" w:hAnsi="Arial" w:cs="Arial"/>
        </w:rPr>
        <w:t xml:space="preserve"> makin</w:t>
      </w:r>
      <w:r w:rsidR="005F534F">
        <w:rPr>
          <w:rFonts w:ascii="Arial" w:hAnsi="Arial" w:cs="Arial"/>
        </w:rPr>
        <w:t>g a claim to the ILF. They also highlight that</w:t>
      </w:r>
      <w:r w:rsidRPr="00421756">
        <w:rPr>
          <w:rFonts w:ascii="Arial" w:hAnsi="Arial" w:cs="Arial"/>
        </w:rPr>
        <w:t xml:space="preserve"> benefits provided under the Care Act do not </w:t>
      </w:r>
      <w:r w:rsidR="00FD2C8E">
        <w:rPr>
          <w:rFonts w:ascii="Arial" w:hAnsi="Arial" w:cs="Arial"/>
        </w:rPr>
        <w:t>have the same</w:t>
      </w:r>
      <w:r w:rsidRPr="00421756">
        <w:rPr>
          <w:rFonts w:ascii="Arial" w:hAnsi="Arial" w:cs="Arial"/>
        </w:rPr>
        <w:t xml:space="preserve"> aims as those distributed under the ILF.</w:t>
      </w:r>
    </w:p>
    <w:p w14:paraId="65D93145" w14:textId="77777777" w:rsidR="002E604E" w:rsidRDefault="002E604E" w:rsidP="00FD6FD7">
      <w:pPr>
        <w:jc w:val="both"/>
        <w:rPr>
          <w:rFonts w:ascii="Arial" w:hAnsi="Arial" w:cs="Arial"/>
          <w:b/>
        </w:rPr>
      </w:pPr>
      <w:r w:rsidRPr="00A31760">
        <w:rPr>
          <w:rFonts w:ascii="Arial" w:hAnsi="Arial" w:cs="Arial"/>
          <w:b/>
        </w:rPr>
        <w:t>Committee’s consideration of admissibility</w:t>
      </w:r>
    </w:p>
    <w:p w14:paraId="225A8652" w14:textId="77777777" w:rsidR="008C0C4C" w:rsidRDefault="001B5760" w:rsidP="00636DDD">
      <w:pPr>
        <w:jc w:val="both"/>
        <w:rPr>
          <w:rFonts w:ascii="Arial" w:hAnsi="Arial" w:cs="Arial"/>
          <w:color w:val="000000" w:themeColor="text1"/>
        </w:rPr>
      </w:pPr>
      <w:r w:rsidRPr="002B5CA9">
        <w:rPr>
          <w:rFonts w:ascii="Arial" w:hAnsi="Arial" w:cs="Arial"/>
          <w:color w:val="000000" w:themeColor="text1"/>
        </w:rPr>
        <w:t>In accordance with article 2 of the OP and with rule 65 of th</w:t>
      </w:r>
      <w:r w:rsidRPr="00BC254D">
        <w:rPr>
          <w:rFonts w:ascii="Arial" w:hAnsi="Arial" w:cs="Arial"/>
          <w:color w:val="000000" w:themeColor="text1"/>
        </w:rPr>
        <w:t>e rules of procedure, the Committee has to decide on the admissibility of the communication before considering any claim in a communication</w:t>
      </w:r>
      <w:r w:rsidR="008C0C4C">
        <w:rPr>
          <w:rFonts w:ascii="Arial" w:hAnsi="Arial" w:cs="Arial"/>
          <w:color w:val="000000" w:themeColor="text1"/>
        </w:rPr>
        <w:t>.</w:t>
      </w:r>
    </w:p>
    <w:p w14:paraId="0EC210D1" w14:textId="00D930CB" w:rsidR="00636DDD" w:rsidRPr="00636DDD" w:rsidRDefault="008C0C4C" w:rsidP="00636DDD">
      <w:pPr>
        <w:jc w:val="both"/>
        <w:rPr>
          <w:rFonts w:ascii="Arial" w:hAnsi="Arial" w:cs="Arial"/>
        </w:rPr>
      </w:pPr>
      <w:r w:rsidRPr="008C0C4C">
        <w:rPr>
          <w:rFonts w:ascii="Arial" w:hAnsi="Arial" w:cs="Arial"/>
          <w:u w:val="single"/>
        </w:rPr>
        <w:t>First</w:t>
      </w:r>
      <w:r>
        <w:rPr>
          <w:rFonts w:ascii="Arial" w:hAnsi="Arial" w:cs="Arial"/>
        </w:rPr>
        <w:t>, t</w:t>
      </w:r>
      <w:r w:rsidR="00636DDD" w:rsidRPr="00636DDD">
        <w:rPr>
          <w:rFonts w:ascii="Arial" w:hAnsi="Arial" w:cs="Arial"/>
        </w:rPr>
        <w:t xml:space="preserve">he Committee </w:t>
      </w:r>
      <w:r>
        <w:rPr>
          <w:rFonts w:ascii="Arial" w:hAnsi="Arial" w:cs="Arial"/>
        </w:rPr>
        <w:t xml:space="preserve">has ascertained </w:t>
      </w:r>
      <w:r w:rsidR="00636DDD" w:rsidRPr="00636DDD">
        <w:rPr>
          <w:rFonts w:ascii="Arial" w:hAnsi="Arial" w:cs="Arial"/>
        </w:rPr>
        <w:t xml:space="preserve">that the </w:t>
      </w:r>
      <w:r w:rsidR="00636DDD" w:rsidRPr="008C0C4C">
        <w:rPr>
          <w:rFonts w:ascii="Arial" w:hAnsi="Arial" w:cs="Arial"/>
          <w:u w:val="single"/>
        </w:rPr>
        <w:t>same matter has not already been examined by the Committee</w:t>
      </w:r>
      <w:r w:rsidR="00636DDD" w:rsidRPr="00636DDD">
        <w:rPr>
          <w:rFonts w:ascii="Arial" w:hAnsi="Arial" w:cs="Arial"/>
        </w:rPr>
        <w:t>, and has not been and is not being examined under another procedure of international investigation or settlement.</w:t>
      </w:r>
    </w:p>
    <w:p w14:paraId="5F351919" w14:textId="272D8D69" w:rsidR="00E772F8" w:rsidRDefault="008C0C4C" w:rsidP="00887DAC">
      <w:pPr>
        <w:spacing w:after="0"/>
        <w:jc w:val="both"/>
        <w:rPr>
          <w:rFonts w:ascii="Arial" w:hAnsi="Arial" w:cs="Arial"/>
        </w:rPr>
      </w:pPr>
      <w:r w:rsidRPr="008C0C4C">
        <w:rPr>
          <w:rFonts w:ascii="Arial" w:hAnsi="Arial" w:cs="Arial"/>
          <w:u w:val="single"/>
        </w:rPr>
        <w:t>Second</w:t>
      </w:r>
      <w:r>
        <w:rPr>
          <w:rFonts w:ascii="Arial" w:hAnsi="Arial" w:cs="Arial"/>
        </w:rPr>
        <w:t>, t</w:t>
      </w:r>
      <w:r w:rsidR="00636DDD" w:rsidRPr="00636DDD">
        <w:rPr>
          <w:rFonts w:ascii="Arial" w:hAnsi="Arial" w:cs="Arial"/>
        </w:rPr>
        <w:t xml:space="preserve">he Committee notes the State party’s argument that the </w:t>
      </w:r>
      <w:r w:rsidR="00636DDD" w:rsidRPr="008C0C4C">
        <w:rPr>
          <w:rFonts w:ascii="Arial" w:hAnsi="Arial" w:cs="Arial"/>
          <w:u w:val="single"/>
        </w:rPr>
        <w:t>authors’ complaint should be declared inadmissible for failu</w:t>
      </w:r>
      <w:r w:rsidRPr="008C0C4C">
        <w:rPr>
          <w:rFonts w:ascii="Arial" w:hAnsi="Arial" w:cs="Arial"/>
          <w:u w:val="single"/>
        </w:rPr>
        <w:t>re to exhaust domestic remedies</w:t>
      </w:r>
      <w:r>
        <w:rPr>
          <w:rFonts w:ascii="Arial" w:hAnsi="Arial" w:cs="Arial"/>
        </w:rPr>
        <w:t xml:space="preserve"> </w:t>
      </w:r>
      <w:r w:rsidR="00566B16">
        <w:rPr>
          <w:rFonts w:ascii="Arial" w:hAnsi="Arial" w:cs="Arial"/>
        </w:rPr>
        <w:t>since</w:t>
      </w:r>
      <w:r w:rsidR="00636DDD" w:rsidRPr="00636DDD">
        <w:rPr>
          <w:rFonts w:ascii="Arial" w:hAnsi="Arial" w:cs="Arial"/>
        </w:rPr>
        <w:t xml:space="preserve"> the authors could have challenged the decision to close the ILF to new applicants on both proc</w:t>
      </w:r>
      <w:r w:rsidR="00566B16">
        <w:rPr>
          <w:rFonts w:ascii="Arial" w:hAnsi="Arial" w:cs="Arial"/>
        </w:rPr>
        <w:t xml:space="preserve">edural and substantive grounds. </w:t>
      </w:r>
      <w:r w:rsidR="00636DDD" w:rsidRPr="00636DDD">
        <w:rPr>
          <w:rFonts w:ascii="Arial" w:hAnsi="Arial" w:cs="Arial"/>
        </w:rPr>
        <w:t xml:space="preserve">The Committee </w:t>
      </w:r>
      <w:r w:rsidR="00DB72CA">
        <w:rPr>
          <w:rFonts w:ascii="Arial" w:hAnsi="Arial" w:cs="Arial"/>
        </w:rPr>
        <w:t>recalls its jurisprudence that,</w:t>
      </w:r>
      <w:r w:rsidR="00074DFD">
        <w:rPr>
          <w:rFonts w:ascii="Arial" w:hAnsi="Arial" w:cs="Arial"/>
        </w:rPr>
        <w:t xml:space="preserve"> </w:t>
      </w:r>
      <w:r w:rsidR="00636DDD" w:rsidRPr="00636DDD">
        <w:rPr>
          <w:rFonts w:ascii="Arial" w:hAnsi="Arial" w:cs="Arial"/>
        </w:rPr>
        <w:t>although there is no obligati</w:t>
      </w:r>
      <w:r w:rsidR="006F274D">
        <w:rPr>
          <w:rFonts w:ascii="Arial" w:hAnsi="Arial" w:cs="Arial"/>
        </w:rPr>
        <w:t xml:space="preserve">on to exhaust domestic remedies </w:t>
      </w:r>
      <w:r w:rsidR="00636DDD" w:rsidRPr="00636DDD">
        <w:rPr>
          <w:rFonts w:ascii="Arial" w:hAnsi="Arial" w:cs="Arial"/>
        </w:rPr>
        <w:t xml:space="preserve">if they have no reasonable prospect of being successful, authors must exercise </w:t>
      </w:r>
      <w:r w:rsidR="00887DAC">
        <w:rPr>
          <w:rFonts w:ascii="Arial" w:hAnsi="Arial" w:cs="Arial"/>
        </w:rPr>
        <w:t xml:space="preserve">their </w:t>
      </w:r>
      <w:r w:rsidR="00636DDD" w:rsidRPr="00636DDD">
        <w:rPr>
          <w:rFonts w:ascii="Arial" w:hAnsi="Arial" w:cs="Arial"/>
        </w:rPr>
        <w:t xml:space="preserve">due diligence in the pursuit of available </w:t>
      </w:r>
      <w:r w:rsidR="00887DAC" w:rsidRPr="00636DDD">
        <w:rPr>
          <w:rFonts w:ascii="Arial" w:hAnsi="Arial" w:cs="Arial"/>
        </w:rPr>
        <w:t>remedies</w:t>
      </w:r>
      <w:r w:rsidR="00887DAC">
        <w:rPr>
          <w:rFonts w:ascii="Arial" w:hAnsi="Arial" w:cs="Arial"/>
        </w:rPr>
        <w:t xml:space="preserve">; </w:t>
      </w:r>
      <w:r w:rsidR="00887DAC" w:rsidRPr="00636DDD">
        <w:rPr>
          <w:rFonts w:ascii="Arial" w:hAnsi="Arial" w:cs="Arial"/>
        </w:rPr>
        <w:t>the</w:t>
      </w:r>
      <w:r w:rsidR="00887DAC">
        <w:rPr>
          <w:rFonts w:ascii="Arial" w:hAnsi="Arial" w:cs="Arial"/>
        </w:rPr>
        <w:t xml:space="preserve"> </w:t>
      </w:r>
      <w:r w:rsidR="00636DDD" w:rsidRPr="00636DDD">
        <w:rPr>
          <w:rFonts w:ascii="Arial" w:hAnsi="Arial" w:cs="Arial"/>
        </w:rPr>
        <w:t xml:space="preserve">mere assumptions about the effectiveness of domestic remedies do not absolve authors from exhausting them.  </w:t>
      </w:r>
    </w:p>
    <w:p w14:paraId="60EBBD03" w14:textId="7E75C84B" w:rsidR="00566B16" w:rsidRDefault="00636DDD" w:rsidP="00C477C3">
      <w:pPr>
        <w:spacing w:after="0"/>
        <w:jc w:val="both"/>
        <w:rPr>
          <w:rFonts w:ascii="Arial" w:hAnsi="Arial" w:cs="Arial"/>
        </w:rPr>
      </w:pPr>
      <w:r w:rsidRPr="00636DDD">
        <w:rPr>
          <w:rFonts w:ascii="Arial" w:hAnsi="Arial" w:cs="Arial"/>
        </w:rPr>
        <w:t>In the present case, the Committee notes that the authors fa</w:t>
      </w:r>
      <w:r w:rsidR="000E464F">
        <w:rPr>
          <w:rFonts w:ascii="Arial" w:hAnsi="Arial" w:cs="Arial"/>
        </w:rPr>
        <w:t xml:space="preserve">iled to challenge the decision, </w:t>
      </w:r>
      <w:r w:rsidR="00E722C7">
        <w:rPr>
          <w:rFonts w:ascii="Arial" w:hAnsi="Arial" w:cs="Arial"/>
        </w:rPr>
        <w:t xml:space="preserve">because when they </w:t>
      </w:r>
      <w:r w:rsidRPr="00636DDD">
        <w:rPr>
          <w:rFonts w:ascii="Arial" w:hAnsi="Arial" w:cs="Arial"/>
        </w:rPr>
        <w:t>became aware of the possibility to challenge</w:t>
      </w:r>
      <w:r w:rsidR="000E464F">
        <w:rPr>
          <w:rFonts w:ascii="Arial" w:hAnsi="Arial" w:cs="Arial"/>
        </w:rPr>
        <w:t>,</w:t>
      </w:r>
      <w:r w:rsidRPr="00636DDD">
        <w:rPr>
          <w:rFonts w:ascii="Arial" w:hAnsi="Arial" w:cs="Arial"/>
        </w:rPr>
        <w:t xml:space="preserve"> the time limit of three months had passed. The Committee however notes </w:t>
      </w:r>
      <w:r w:rsidR="000E464F">
        <w:rPr>
          <w:rFonts w:ascii="Arial" w:hAnsi="Arial" w:cs="Arial"/>
        </w:rPr>
        <w:t xml:space="preserve">that </w:t>
      </w:r>
      <w:r w:rsidRPr="00636DDD">
        <w:rPr>
          <w:rFonts w:ascii="Arial" w:hAnsi="Arial" w:cs="Arial"/>
        </w:rPr>
        <w:t>the authors could have applied for judicial review when they first became aware of the closure of the fund to new applicants, and that, as such, it was not a procedural requirement that they file a challenge within three months of the decis</w:t>
      </w:r>
      <w:r w:rsidR="00E86525">
        <w:rPr>
          <w:rFonts w:ascii="Arial" w:hAnsi="Arial" w:cs="Arial"/>
        </w:rPr>
        <w:t xml:space="preserve">ion itself. The Committee notes the </w:t>
      </w:r>
      <w:r w:rsidR="004032EC" w:rsidRPr="004032EC">
        <w:rPr>
          <w:rFonts w:ascii="Arial" w:hAnsi="Arial" w:cs="Arial"/>
        </w:rPr>
        <w:t>State party’s argument that</w:t>
      </w:r>
      <w:r w:rsidR="004032EC">
        <w:rPr>
          <w:rFonts w:ascii="Arial" w:hAnsi="Arial" w:cs="Arial"/>
        </w:rPr>
        <w:t>,</w:t>
      </w:r>
      <w:r w:rsidRPr="00636DDD">
        <w:rPr>
          <w:rFonts w:ascii="Arial" w:hAnsi="Arial" w:cs="Arial"/>
        </w:rPr>
        <w:t xml:space="preserve"> the authors have not provided any further information </w:t>
      </w:r>
      <w:r w:rsidR="00E86525">
        <w:rPr>
          <w:rFonts w:ascii="Arial" w:hAnsi="Arial" w:cs="Arial"/>
        </w:rPr>
        <w:t xml:space="preserve">in this regard, as well as that they do not contest that </w:t>
      </w:r>
      <w:r w:rsidRPr="00636DDD">
        <w:rPr>
          <w:rFonts w:ascii="Arial" w:hAnsi="Arial" w:cs="Arial"/>
        </w:rPr>
        <w:t>the decision to close th</w:t>
      </w:r>
      <w:r w:rsidR="00887DAC">
        <w:rPr>
          <w:rFonts w:ascii="Arial" w:hAnsi="Arial" w:cs="Arial"/>
        </w:rPr>
        <w:t>e fund was publicly announced,</w:t>
      </w:r>
      <w:r w:rsidRPr="00636DDD">
        <w:rPr>
          <w:rFonts w:ascii="Arial" w:hAnsi="Arial" w:cs="Arial"/>
        </w:rPr>
        <w:t xml:space="preserve"> the judicial review challenges were</w:t>
      </w:r>
      <w:r w:rsidR="00887DAC">
        <w:rPr>
          <w:rFonts w:ascii="Arial" w:hAnsi="Arial" w:cs="Arial"/>
        </w:rPr>
        <w:t xml:space="preserve"> also highly publicised, and </w:t>
      </w:r>
      <w:r w:rsidRPr="00636DDD">
        <w:rPr>
          <w:rFonts w:ascii="Arial" w:hAnsi="Arial" w:cs="Arial"/>
        </w:rPr>
        <w:t xml:space="preserve">Ms. Baker was informed over the phone about the decision and that she could have therefore challenged it even within the </w:t>
      </w:r>
      <w:r w:rsidR="0039284F">
        <w:rPr>
          <w:rFonts w:ascii="Arial" w:hAnsi="Arial" w:cs="Arial"/>
        </w:rPr>
        <w:t>three-month</w:t>
      </w:r>
      <w:r w:rsidRPr="00636DDD">
        <w:rPr>
          <w:rFonts w:ascii="Arial" w:hAnsi="Arial" w:cs="Arial"/>
        </w:rPr>
        <w:t xml:space="preserve">. The Committee takes note of the authors’ argument that a judicial review challenge is not an effective remedy as it is a discretionary court proceeding. It however notes the State party’s uncontested argument that the authors could have challenged the decision to close the ILF to new applicants on both procedural and substantive grounds, as well as arguing that it was discriminatory on the basis of disability. </w:t>
      </w:r>
    </w:p>
    <w:p w14:paraId="1FF6235E" w14:textId="77777777" w:rsidR="00E772F8" w:rsidRDefault="00636DDD" w:rsidP="00566B16">
      <w:pPr>
        <w:jc w:val="both"/>
        <w:rPr>
          <w:rFonts w:ascii="Arial" w:hAnsi="Arial" w:cs="Arial"/>
        </w:rPr>
      </w:pPr>
      <w:r w:rsidRPr="00636DDD">
        <w:rPr>
          <w:rFonts w:ascii="Arial" w:hAnsi="Arial" w:cs="Arial"/>
        </w:rPr>
        <w:t>The Committee finally notes the authors’ argument that they were unable to challenge the decision because of financial constraints and lack of access to legal aid</w:t>
      </w:r>
      <w:r w:rsidR="00566B16">
        <w:rPr>
          <w:rFonts w:ascii="Arial" w:hAnsi="Arial" w:cs="Arial"/>
        </w:rPr>
        <w:t>. H</w:t>
      </w:r>
      <w:r w:rsidRPr="00636DDD">
        <w:rPr>
          <w:rFonts w:ascii="Arial" w:hAnsi="Arial" w:cs="Arial"/>
        </w:rPr>
        <w:t>owever</w:t>
      </w:r>
      <w:r w:rsidR="00566B16">
        <w:rPr>
          <w:rFonts w:ascii="Arial" w:hAnsi="Arial" w:cs="Arial"/>
        </w:rPr>
        <w:t>,</w:t>
      </w:r>
      <w:r w:rsidRPr="00636DDD">
        <w:rPr>
          <w:rFonts w:ascii="Arial" w:hAnsi="Arial" w:cs="Arial"/>
        </w:rPr>
        <w:t xml:space="preserve"> </w:t>
      </w:r>
      <w:r w:rsidR="00566B16">
        <w:rPr>
          <w:rFonts w:ascii="Arial" w:hAnsi="Arial" w:cs="Arial"/>
        </w:rPr>
        <w:t xml:space="preserve">it </w:t>
      </w:r>
      <w:r w:rsidR="00E772F8">
        <w:rPr>
          <w:rFonts w:ascii="Arial" w:hAnsi="Arial" w:cs="Arial"/>
        </w:rPr>
        <w:t>notes that the authors have</w:t>
      </w:r>
      <w:r w:rsidRPr="00636DDD">
        <w:rPr>
          <w:rFonts w:ascii="Arial" w:hAnsi="Arial" w:cs="Arial"/>
        </w:rPr>
        <w:t xml:space="preserve"> not demon</w:t>
      </w:r>
      <w:r w:rsidR="00E772F8">
        <w:rPr>
          <w:rFonts w:ascii="Arial" w:hAnsi="Arial" w:cs="Arial"/>
        </w:rPr>
        <w:t>strated that they</w:t>
      </w:r>
      <w:r w:rsidRPr="00636DDD">
        <w:rPr>
          <w:rFonts w:ascii="Arial" w:hAnsi="Arial" w:cs="Arial"/>
        </w:rPr>
        <w:t xml:space="preserve"> attempted to file an application for legal aid.</w:t>
      </w:r>
      <w:r w:rsidR="00566B16">
        <w:rPr>
          <w:rFonts w:ascii="Arial" w:hAnsi="Arial" w:cs="Arial"/>
        </w:rPr>
        <w:t xml:space="preserve"> </w:t>
      </w:r>
    </w:p>
    <w:p w14:paraId="16E648FF" w14:textId="3446BA75" w:rsidR="00C477C3" w:rsidRPr="006001ED" w:rsidRDefault="00331465" w:rsidP="00FD6FD7">
      <w:pPr>
        <w:jc w:val="both"/>
        <w:rPr>
          <w:rFonts w:ascii="Arial" w:hAnsi="Arial" w:cs="Arial"/>
        </w:rPr>
      </w:pPr>
      <w:r>
        <w:rPr>
          <w:rFonts w:ascii="Arial" w:hAnsi="Arial" w:cs="Arial"/>
          <w:u w:val="single"/>
        </w:rPr>
        <w:t>Finally</w:t>
      </w:r>
      <w:r w:rsidR="008C0C4C" w:rsidRPr="008C0C4C">
        <w:rPr>
          <w:rFonts w:ascii="Arial" w:hAnsi="Arial" w:cs="Arial"/>
          <w:u w:val="single"/>
        </w:rPr>
        <w:t>,</w:t>
      </w:r>
      <w:r w:rsidR="008C0C4C">
        <w:rPr>
          <w:rFonts w:ascii="Arial" w:hAnsi="Arial" w:cs="Arial"/>
          <w:u w:val="single"/>
        </w:rPr>
        <w:t xml:space="preserve"> the Committee declares that </w:t>
      </w:r>
      <w:r w:rsidR="008C0C4C" w:rsidRPr="008C0C4C">
        <w:rPr>
          <w:rFonts w:ascii="Arial" w:hAnsi="Arial" w:cs="Arial"/>
          <w:color w:val="000000" w:themeColor="text1"/>
          <w:u w:val="single"/>
        </w:rPr>
        <w:t>the</w:t>
      </w:r>
      <w:r w:rsidR="008C0C4C" w:rsidRPr="00305C0D">
        <w:rPr>
          <w:rFonts w:ascii="Arial" w:hAnsi="Arial" w:cs="Arial"/>
          <w:color w:val="000000" w:themeColor="text1"/>
          <w:u w:val="single"/>
        </w:rPr>
        <w:t xml:space="preserve"> </w:t>
      </w:r>
      <w:r w:rsidR="008C0C4C">
        <w:rPr>
          <w:rFonts w:ascii="Arial" w:hAnsi="Arial" w:cs="Arial"/>
          <w:color w:val="000000" w:themeColor="text1"/>
          <w:u w:val="single"/>
        </w:rPr>
        <w:t>authors’ complaint is</w:t>
      </w:r>
      <w:r w:rsidR="008C0C4C" w:rsidRPr="00305C0D">
        <w:rPr>
          <w:rFonts w:ascii="Arial" w:hAnsi="Arial" w:cs="Arial"/>
          <w:color w:val="000000" w:themeColor="text1"/>
          <w:u w:val="single"/>
        </w:rPr>
        <w:t xml:space="preserve"> </w:t>
      </w:r>
      <w:r w:rsidR="008C0C4C">
        <w:rPr>
          <w:rFonts w:ascii="Arial" w:hAnsi="Arial" w:cs="Arial"/>
          <w:color w:val="000000" w:themeColor="text1"/>
          <w:u w:val="single"/>
        </w:rPr>
        <w:t>in</w:t>
      </w:r>
      <w:r w:rsidR="008C0C4C" w:rsidRPr="00305C0D">
        <w:rPr>
          <w:rFonts w:ascii="Arial" w:hAnsi="Arial" w:cs="Arial"/>
          <w:color w:val="000000" w:themeColor="text1"/>
          <w:u w:val="single"/>
        </w:rPr>
        <w:t>admissible under article 2(d) of the Optional Protocol.</w:t>
      </w:r>
      <w:r w:rsidR="00C477C3">
        <w:rPr>
          <w:rFonts w:ascii="Arial" w:hAnsi="Arial" w:cs="Arial"/>
        </w:rPr>
        <w:t xml:space="preserve"> </w:t>
      </w:r>
      <w:r w:rsidR="00636DDD" w:rsidRPr="00636DDD">
        <w:rPr>
          <w:rFonts w:ascii="Arial" w:hAnsi="Arial" w:cs="Arial"/>
        </w:rPr>
        <w:t>Having thus concluded, the Committee will not separately examine the admissibility grounds under article 2 (b) and (e) of the Optional Protocol.</w:t>
      </w:r>
    </w:p>
    <w:p w14:paraId="62CB6766" w14:textId="489CB690" w:rsidR="00A31760" w:rsidRPr="00A95438" w:rsidRDefault="00A31760" w:rsidP="00FD6FD7">
      <w:pPr>
        <w:jc w:val="both"/>
        <w:rPr>
          <w:rFonts w:ascii="Arial" w:hAnsi="Arial" w:cs="Arial"/>
        </w:rPr>
      </w:pPr>
      <w:r w:rsidRPr="00A31760">
        <w:rPr>
          <w:rFonts w:ascii="Arial" w:hAnsi="Arial" w:cs="Arial"/>
          <w:b/>
        </w:rPr>
        <w:t>Conclusion</w:t>
      </w:r>
    </w:p>
    <w:p w14:paraId="3D931B3C" w14:textId="77777777" w:rsidR="00CC34D4" w:rsidRDefault="00CC34D4" w:rsidP="00CC34D4">
      <w:pPr>
        <w:spacing w:after="0"/>
        <w:jc w:val="both"/>
        <w:rPr>
          <w:rFonts w:ascii="Arial" w:hAnsi="Arial" w:cs="Arial"/>
        </w:rPr>
      </w:pPr>
      <w:r w:rsidRPr="00CC34D4">
        <w:rPr>
          <w:rFonts w:ascii="Arial" w:hAnsi="Arial" w:cs="Arial"/>
        </w:rPr>
        <w:t>The Committee therefore decides:</w:t>
      </w:r>
      <w:r>
        <w:rPr>
          <w:rFonts w:ascii="Arial" w:hAnsi="Arial" w:cs="Arial"/>
        </w:rPr>
        <w:t xml:space="preserve"> </w:t>
      </w:r>
    </w:p>
    <w:p w14:paraId="59053BBF" w14:textId="4F88B027" w:rsidR="00CC34D4" w:rsidRPr="006001ED" w:rsidRDefault="00CC34D4" w:rsidP="00CC34D4">
      <w:pPr>
        <w:spacing w:after="0"/>
        <w:jc w:val="both"/>
        <w:rPr>
          <w:rFonts w:ascii="Arial" w:hAnsi="Arial" w:cs="Arial"/>
          <w:b/>
          <w:bCs/>
          <w:u w:val="single"/>
        </w:rPr>
      </w:pPr>
      <w:r w:rsidRPr="006001ED">
        <w:rPr>
          <w:rFonts w:ascii="Arial" w:hAnsi="Arial" w:cs="Arial"/>
          <w:b/>
          <w:bCs/>
          <w:u w:val="single"/>
        </w:rPr>
        <w:t xml:space="preserve">That the communication is inadmissible under article 2 (d) of the Optional </w:t>
      </w:r>
      <w:proofErr w:type="gramStart"/>
      <w:r w:rsidRPr="006001ED">
        <w:rPr>
          <w:rFonts w:ascii="Arial" w:hAnsi="Arial" w:cs="Arial"/>
          <w:b/>
          <w:bCs/>
          <w:u w:val="single"/>
        </w:rPr>
        <w:t>Protocol;</w:t>
      </w:r>
      <w:proofErr w:type="gramEnd"/>
    </w:p>
    <w:p w14:paraId="38D205C0" w14:textId="453C9E89" w:rsidR="00CC34D4" w:rsidRPr="00CC34D4" w:rsidRDefault="00CC34D4" w:rsidP="00CC34D4">
      <w:pPr>
        <w:spacing w:after="0"/>
        <w:jc w:val="both"/>
        <w:rPr>
          <w:rFonts w:ascii="Arial" w:hAnsi="Arial" w:cs="Arial"/>
        </w:rPr>
      </w:pPr>
      <w:r w:rsidRPr="00CC34D4">
        <w:rPr>
          <w:rFonts w:ascii="Arial" w:hAnsi="Arial" w:cs="Arial"/>
        </w:rPr>
        <w:t>That the present decision shall be communicated to the State party and to the authors.</w:t>
      </w:r>
    </w:p>
    <w:p w14:paraId="05794381" w14:textId="77777777" w:rsidR="006D5205" w:rsidRPr="00A31760" w:rsidRDefault="006D5205" w:rsidP="00FD6FD7">
      <w:pPr>
        <w:jc w:val="both"/>
        <w:rPr>
          <w:rFonts w:ascii="Arial" w:hAnsi="Arial" w:cs="Arial"/>
        </w:rPr>
      </w:pPr>
    </w:p>
    <w:sectPr w:rsidR="006D5205" w:rsidRPr="00A31760" w:rsidSect="007252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5E12" w14:textId="77777777" w:rsidR="00DC3013" w:rsidRDefault="00DC3013" w:rsidP="00C161EE">
      <w:pPr>
        <w:spacing w:after="0" w:line="240" w:lineRule="auto"/>
      </w:pPr>
      <w:r>
        <w:separator/>
      </w:r>
    </w:p>
  </w:endnote>
  <w:endnote w:type="continuationSeparator" w:id="0">
    <w:p w14:paraId="679CDFB8" w14:textId="77777777" w:rsidR="00DC3013" w:rsidRDefault="00DC3013"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AA5C" w14:textId="77777777" w:rsidR="00DC3013" w:rsidRDefault="00DC3013" w:rsidP="00C161EE">
      <w:pPr>
        <w:spacing w:after="0" w:line="240" w:lineRule="auto"/>
      </w:pPr>
      <w:r>
        <w:separator/>
      </w:r>
    </w:p>
  </w:footnote>
  <w:footnote w:type="continuationSeparator" w:id="0">
    <w:p w14:paraId="0CB94152" w14:textId="77777777" w:rsidR="00DC3013" w:rsidRDefault="00DC3013" w:rsidP="00C161EE">
      <w:pPr>
        <w:spacing w:after="0" w:line="240" w:lineRule="auto"/>
      </w:pPr>
      <w:r>
        <w:continuationSeparator/>
      </w:r>
    </w:p>
  </w:footnote>
  <w:footnote w:id="1">
    <w:p w14:paraId="77494CC2" w14:textId="77777777" w:rsidR="00C161EE" w:rsidRPr="00725292" w:rsidRDefault="00C161EE"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 w:id="2">
    <w:p w14:paraId="4480CAF1" w14:textId="5AE2C6B1" w:rsidR="00BC1AD5" w:rsidRPr="00BC1AD5" w:rsidRDefault="00BC1AD5">
      <w:pPr>
        <w:pStyle w:val="FootnoteText"/>
        <w:rPr>
          <w:rFonts w:ascii="Arial" w:hAnsi="Arial" w:cs="Arial"/>
          <w:sz w:val="16"/>
          <w:szCs w:val="16"/>
          <w:lang w:val="en-AU"/>
        </w:rPr>
      </w:pPr>
      <w:r w:rsidRPr="00BC1AD5">
        <w:rPr>
          <w:rStyle w:val="FootnoteReference"/>
          <w:rFonts w:ascii="Arial" w:hAnsi="Arial" w:cs="Arial"/>
          <w:sz w:val="16"/>
          <w:szCs w:val="16"/>
        </w:rPr>
        <w:footnoteRef/>
      </w:r>
      <w:r w:rsidRPr="00BC1AD5">
        <w:rPr>
          <w:rFonts w:ascii="Arial" w:hAnsi="Arial" w:cs="Arial"/>
          <w:sz w:val="16"/>
          <w:szCs w:val="16"/>
        </w:rPr>
        <w:t xml:space="preserve"> Such as Community Care Act and the Equality Act 2010</w:t>
      </w:r>
      <w:r>
        <w:rPr>
          <w:rFonts w:ascii="Arial" w:hAnsi="Arial" w:cs="Arial"/>
          <w:sz w:val="16"/>
          <w:szCs w:val="16"/>
        </w:rPr>
        <w:t>.</w:t>
      </w:r>
    </w:p>
  </w:footnote>
  <w:footnote w:id="3">
    <w:p w14:paraId="55361206" w14:textId="46E327B5" w:rsidR="00EF0588" w:rsidRPr="000C325D" w:rsidRDefault="00EF0588">
      <w:pPr>
        <w:pStyle w:val="FootnoteText"/>
        <w:rPr>
          <w:rFonts w:ascii="Arial" w:hAnsi="Arial" w:cs="Arial"/>
          <w:sz w:val="16"/>
          <w:szCs w:val="16"/>
        </w:rPr>
      </w:pPr>
      <w:r w:rsidRPr="000C325D">
        <w:rPr>
          <w:rStyle w:val="FootnoteReference"/>
          <w:rFonts w:ascii="Arial" w:hAnsi="Arial" w:cs="Arial"/>
          <w:sz w:val="16"/>
          <w:szCs w:val="16"/>
        </w:rPr>
        <w:footnoteRef/>
      </w:r>
      <w:r w:rsidRPr="000C325D">
        <w:rPr>
          <w:rFonts w:ascii="Arial" w:hAnsi="Arial" w:cs="Arial"/>
          <w:sz w:val="16"/>
          <w:szCs w:val="16"/>
        </w:rPr>
        <w:t xml:space="preserve"> </w:t>
      </w:r>
      <w:r w:rsidRPr="000C325D">
        <w:rPr>
          <w:rFonts w:ascii="Arial" w:eastAsia="Calibri" w:hAnsi="Arial" w:cs="Arial"/>
          <w:sz w:val="16"/>
          <w:szCs w:val="16"/>
        </w:rPr>
        <w:t>Following</w:t>
      </w:r>
      <w:r w:rsidR="000C325D">
        <w:rPr>
          <w:rFonts w:ascii="Arial" w:eastAsia="Calibri" w:hAnsi="Arial" w:cs="Arial"/>
          <w:sz w:val="16"/>
          <w:szCs w:val="16"/>
        </w:rPr>
        <w:t xml:space="preserve"> the</w:t>
      </w:r>
      <w:r w:rsidRPr="000C325D">
        <w:rPr>
          <w:rFonts w:ascii="Arial" w:hAnsi="Arial" w:cs="Arial"/>
          <w:sz w:val="16"/>
          <w:szCs w:val="16"/>
        </w:rPr>
        <w:t xml:space="preserve"> </w:t>
      </w:r>
      <w:r w:rsidRPr="000C325D">
        <w:rPr>
          <w:rFonts w:ascii="Arial" w:eastAsia="Calibri" w:hAnsi="Arial" w:cs="Arial"/>
          <w:sz w:val="16"/>
          <w:szCs w:val="16"/>
        </w:rPr>
        <w:t>Civil</w:t>
      </w:r>
      <w:r w:rsidRPr="000C325D">
        <w:rPr>
          <w:rFonts w:ascii="Arial" w:hAnsi="Arial" w:cs="Arial"/>
          <w:sz w:val="16"/>
          <w:szCs w:val="16"/>
        </w:rPr>
        <w:t xml:space="preserve"> </w:t>
      </w:r>
      <w:r w:rsidRPr="000C325D">
        <w:rPr>
          <w:rFonts w:ascii="Arial" w:eastAsia="Calibri" w:hAnsi="Arial" w:cs="Arial"/>
          <w:sz w:val="16"/>
          <w:szCs w:val="16"/>
        </w:rPr>
        <w:t>Procedure</w:t>
      </w:r>
      <w:r w:rsidRPr="000C325D">
        <w:rPr>
          <w:rFonts w:ascii="Arial" w:hAnsi="Arial" w:cs="Arial"/>
          <w:sz w:val="16"/>
          <w:szCs w:val="16"/>
        </w:rPr>
        <w:t xml:space="preserve"> </w:t>
      </w:r>
      <w:r w:rsidRPr="000C325D">
        <w:rPr>
          <w:rFonts w:ascii="Arial" w:eastAsia="Calibri" w:hAnsi="Arial" w:cs="Arial"/>
          <w:sz w:val="16"/>
          <w:szCs w:val="16"/>
        </w:rPr>
        <w:t>Rules</w:t>
      </w:r>
      <w:r w:rsidR="000C325D">
        <w:rPr>
          <w:rFonts w:ascii="Arial" w:eastAsia="Calibri" w:hAnsi="Arial" w:cs="Arial"/>
          <w:sz w:val="16"/>
          <w:szCs w:val="16"/>
        </w:rPr>
        <w:t>.</w:t>
      </w:r>
    </w:p>
  </w:footnote>
  <w:footnote w:id="4">
    <w:p w14:paraId="0E6810AD" w14:textId="77777777" w:rsidR="000C325D" w:rsidRPr="000C325D" w:rsidRDefault="000C325D" w:rsidP="000C325D">
      <w:pPr>
        <w:pStyle w:val="FootnoteText"/>
        <w:rPr>
          <w:rFonts w:ascii="Arial" w:hAnsi="Arial" w:cs="Arial"/>
          <w:sz w:val="16"/>
          <w:szCs w:val="16"/>
          <w:lang w:val="en-US"/>
        </w:rPr>
      </w:pPr>
      <w:r w:rsidRPr="000C325D">
        <w:rPr>
          <w:rStyle w:val="FootnoteReference"/>
          <w:rFonts w:ascii="Arial" w:hAnsi="Arial" w:cs="Arial"/>
          <w:sz w:val="16"/>
          <w:szCs w:val="16"/>
        </w:rPr>
        <w:footnoteRef/>
      </w:r>
      <w:r w:rsidRPr="000C325D">
        <w:rPr>
          <w:rFonts w:ascii="Arial" w:hAnsi="Arial" w:cs="Arial"/>
          <w:sz w:val="16"/>
          <w:szCs w:val="16"/>
        </w:rPr>
        <w:t xml:space="preserve"> The State party refers to (CCPR/C/96/D/1582/2007), </w:t>
      </w:r>
      <w:proofErr w:type="spellStart"/>
      <w:r w:rsidRPr="000C325D">
        <w:rPr>
          <w:rFonts w:ascii="Arial" w:hAnsi="Arial" w:cs="Arial"/>
          <w:i/>
          <w:sz w:val="16"/>
          <w:szCs w:val="16"/>
          <w:lang w:val="en-US"/>
        </w:rPr>
        <w:t>Kudrna</w:t>
      </w:r>
      <w:proofErr w:type="spellEnd"/>
      <w:r w:rsidRPr="000C325D">
        <w:rPr>
          <w:rFonts w:ascii="Arial" w:hAnsi="Arial" w:cs="Arial"/>
          <w:i/>
          <w:sz w:val="16"/>
          <w:szCs w:val="16"/>
          <w:lang w:val="en-US"/>
        </w:rPr>
        <w:t xml:space="preserve"> v Czech Republic</w:t>
      </w:r>
      <w:r w:rsidRPr="000C325D">
        <w:rPr>
          <w:rFonts w:ascii="Arial" w:hAnsi="Arial" w:cs="Arial"/>
          <w:sz w:val="16"/>
          <w:szCs w:val="16"/>
          <w:lang w:val="en-US"/>
        </w:rPr>
        <w:t>, para 6.3; and (</w:t>
      </w:r>
      <w:r w:rsidRPr="000C325D">
        <w:rPr>
          <w:rFonts w:ascii="Arial" w:hAnsi="Arial" w:cs="Arial"/>
          <w:sz w:val="16"/>
          <w:szCs w:val="16"/>
        </w:rPr>
        <w:t xml:space="preserve">CCPR/C/72/D/787/1997), </w:t>
      </w:r>
      <w:proofErr w:type="spellStart"/>
      <w:r w:rsidRPr="000C325D">
        <w:rPr>
          <w:rFonts w:ascii="Arial" w:hAnsi="Arial" w:cs="Arial"/>
          <w:i/>
          <w:sz w:val="16"/>
          <w:szCs w:val="16"/>
          <w:lang w:val="en-US"/>
        </w:rPr>
        <w:t>Gobin</w:t>
      </w:r>
      <w:proofErr w:type="spellEnd"/>
      <w:r w:rsidRPr="000C325D">
        <w:rPr>
          <w:rFonts w:ascii="Arial" w:hAnsi="Arial" w:cs="Arial"/>
          <w:i/>
          <w:sz w:val="16"/>
          <w:szCs w:val="16"/>
          <w:lang w:val="en-US"/>
        </w:rPr>
        <w:t xml:space="preserve"> v Mauritius</w:t>
      </w:r>
      <w:r w:rsidRPr="000C325D">
        <w:rPr>
          <w:rFonts w:ascii="Arial" w:hAnsi="Arial" w:cs="Arial"/>
          <w:sz w:val="16"/>
          <w:szCs w:val="16"/>
          <w:lang w:val="en-US"/>
        </w:rPr>
        <w:t>, para 6.3.</w:t>
      </w:r>
    </w:p>
    <w:p w14:paraId="3A94FDB0" w14:textId="0817A6D6" w:rsidR="000C325D" w:rsidRPr="000C325D" w:rsidRDefault="000C325D">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E401CE"/>
    <w:multiLevelType w:val="hybridMultilevel"/>
    <w:tmpl w:val="72EE80B8"/>
    <w:lvl w:ilvl="0" w:tplc="57B29B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015D6"/>
    <w:rsid w:val="0000469F"/>
    <w:rsid w:val="00011E0E"/>
    <w:rsid w:val="00012484"/>
    <w:rsid w:val="000306D1"/>
    <w:rsid w:val="00037FEF"/>
    <w:rsid w:val="00043AED"/>
    <w:rsid w:val="000505EB"/>
    <w:rsid w:val="00057D65"/>
    <w:rsid w:val="000665FF"/>
    <w:rsid w:val="000666EC"/>
    <w:rsid w:val="00067FB8"/>
    <w:rsid w:val="00072FC3"/>
    <w:rsid w:val="00074DFD"/>
    <w:rsid w:val="0008573A"/>
    <w:rsid w:val="000B0857"/>
    <w:rsid w:val="000C2604"/>
    <w:rsid w:val="000C325D"/>
    <w:rsid w:val="000C4F0E"/>
    <w:rsid w:val="000D69B8"/>
    <w:rsid w:val="000E0F05"/>
    <w:rsid w:val="000E464F"/>
    <w:rsid w:val="00103F81"/>
    <w:rsid w:val="00131844"/>
    <w:rsid w:val="001355B8"/>
    <w:rsid w:val="00147198"/>
    <w:rsid w:val="00152FAC"/>
    <w:rsid w:val="00164352"/>
    <w:rsid w:val="00166C6B"/>
    <w:rsid w:val="00196857"/>
    <w:rsid w:val="001B1541"/>
    <w:rsid w:val="001B33F5"/>
    <w:rsid w:val="001B5760"/>
    <w:rsid w:val="001B608A"/>
    <w:rsid w:val="001B7536"/>
    <w:rsid w:val="001C7E39"/>
    <w:rsid w:val="001D2B9E"/>
    <w:rsid w:val="001E5B72"/>
    <w:rsid w:val="001E71CB"/>
    <w:rsid w:val="00207007"/>
    <w:rsid w:val="002143E3"/>
    <w:rsid w:val="00215A0B"/>
    <w:rsid w:val="002470F9"/>
    <w:rsid w:val="002555CF"/>
    <w:rsid w:val="00281EE3"/>
    <w:rsid w:val="00283A8A"/>
    <w:rsid w:val="002873F2"/>
    <w:rsid w:val="00294185"/>
    <w:rsid w:val="00296774"/>
    <w:rsid w:val="002B2AE6"/>
    <w:rsid w:val="002B5CA9"/>
    <w:rsid w:val="002D02E0"/>
    <w:rsid w:val="002D7CE7"/>
    <w:rsid w:val="002E1B0B"/>
    <w:rsid w:val="002E604E"/>
    <w:rsid w:val="0030009D"/>
    <w:rsid w:val="003225E5"/>
    <w:rsid w:val="00322AD5"/>
    <w:rsid w:val="00331465"/>
    <w:rsid w:val="00333D59"/>
    <w:rsid w:val="00343A8A"/>
    <w:rsid w:val="00354FA3"/>
    <w:rsid w:val="00361A36"/>
    <w:rsid w:val="003661DE"/>
    <w:rsid w:val="00383BAB"/>
    <w:rsid w:val="003913DA"/>
    <w:rsid w:val="003925A1"/>
    <w:rsid w:val="0039284F"/>
    <w:rsid w:val="00397913"/>
    <w:rsid w:val="003A536D"/>
    <w:rsid w:val="003B5E21"/>
    <w:rsid w:val="003D0A14"/>
    <w:rsid w:val="003E0198"/>
    <w:rsid w:val="003E0258"/>
    <w:rsid w:val="003E55D6"/>
    <w:rsid w:val="003F03EE"/>
    <w:rsid w:val="004032EC"/>
    <w:rsid w:val="004049B7"/>
    <w:rsid w:val="004108A4"/>
    <w:rsid w:val="00415676"/>
    <w:rsid w:val="00421756"/>
    <w:rsid w:val="00427899"/>
    <w:rsid w:val="00431CE1"/>
    <w:rsid w:val="00434EFF"/>
    <w:rsid w:val="00435491"/>
    <w:rsid w:val="00441DB3"/>
    <w:rsid w:val="00446064"/>
    <w:rsid w:val="00453361"/>
    <w:rsid w:val="00466CA6"/>
    <w:rsid w:val="004711D3"/>
    <w:rsid w:val="00472D90"/>
    <w:rsid w:val="00481F3F"/>
    <w:rsid w:val="00484AFD"/>
    <w:rsid w:val="004B4F7B"/>
    <w:rsid w:val="004B6A9A"/>
    <w:rsid w:val="004C0975"/>
    <w:rsid w:val="004C1C52"/>
    <w:rsid w:val="004D35B9"/>
    <w:rsid w:val="004E3D8C"/>
    <w:rsid w:val="004F156A"/>
    <w:rsid w:val="005026E3"/>
    <w:rsid w:val="005033FF"/>
    <w:rsid w:val="00505859"/>
    <w:rsid w:val="005124EB"/>
    <w:rsid w:val="005275E9"/>
    <w:rsid w:val="00533AFE"/>
    <w:rsid w:val="00543855"/>
    <w:rsid w:val="00550186"/>
    <w:rsid w:val="00557E42"/>
    <w:rsid w:val="00560704"/>
    <w:rsid w:val="00560E50"/>
    <w:rsid w:val="00566B16"/>
    <w:rsid w:val="005672D3"/>
    <w:rsid w:val="005677CB"/>
    <w:rsid w:val="00583B5F"/>
    <w:rsid w:val="00586E19"/>
    <w:rsid w:val="005974EB"/>
    <w:rsid w:val="005A241B"/>
    <w:rsid w:val="005A62CB"/>
    <w:rsid w:val="005A6C34"/>
    <w:rsid w:val="005B2BDC"/>
    <w:rsid w:val="005B73CF"/>
    <w:rsid w:val="005D1166"/>
    <w:rsid w:val="005E15B0"/>
    <w:rsid w:val="005E29CB"/>
    <w:rsid w:val="005E528F"/>
    <w:rsid w:val="005F32EE"/>
    <w:rsid w:val="005F43BB"/>
    <w:rsid w:val="005F534F"/>
    <w:rsid w:val="006001ED"/>
    <w:rsid w:val="006067D8"/>
    <w:rsid w:val="00611482"/>
    <w:rsid w:val="0061207F"/>
    <w:rsid w:val="006224DB"/>
    <w:rsid w:val="00624217"/>
    <w:rsid w:val="00627282"/>
    <w:rsid w:val="0063490B"/>
    <w:rsid w:val="00636DDD"/>
    <w:rsid w:val="0064077C"/>
    <w:rsid w:val="006427F8"/>
    <w:rsid w:val="006447E1"/>
    <w:rsid w:val="006448EA"/>
    <w:rsid w:val="006449EE"/>
    <w:rsid w:val="00661DED"/>
    <w:rsid w:val="0068573B"/>
    <w:rsid w:val="00686D2D"/>
    <w:rsid w:val="006913F4"/>
    <w:rsid w:val="006A1865"/>
    <w:rsid w:val="006A535F"/>
    <w:rsid w:val="006A5AE2"/>
    <w:rsid w:val="006D125E"/>
    <w:rsid w:val="006D5205"/>
    <w:rsid w:val="006F274D"/>
    <w:rsid w:val="006F7094"/>
    <w:rsid w:val="00720736"/>
    <w:rsid w:val="00723729"/>
    <w:rsid w:val="00723A9F"/>
    <w:rsid w:val="00725292"/>
    <w:rsid w:val="00737AA2"/>
    <w:rsid w:val="00743ACE"/>
    <w:rsid w:val="0075752E"/>
    <w:rsid w:val="00764304"/>
    <w:rsid w:val="00773BF3"/>
    <w:rsid w:val="00780AA2"/>
    <w:rsid w:val="0079188A"/>
    <w:rsid w:val="007B7DAD"/>
    <w:rsid w:val="007C2573"/>
    <w:rsid w:val="007C46B2"/>
    <w:rsid w:val="007C4F1C"/>
    <w:rsid w:val="007D1B50"/>
    <w:rsid w:val="007F1CC9"/>
    <w:rsid w:val="007F67EA"/>
    <w:rsid w:val="00802A0A"/>
    <w:rsid w:val="008074B0"/>
    <w:rsid w:val="00820762"/>
    <w:rsid w:val="00821C4B"/>
    <w:rsid w:val="00840188"/>
    <w:rsid w:val="00841313"/>
    <w:rsid w:val="00842CB6"/>
    <w:rsid w:val="00850565"/>
    <w:rsid w:val="00850AD1"/>
    <w:rsid w:val="008521A1"/>
    <w:rsid w:val="00852B28"/>
    <w:rsid w:val="0086048A"/>
    <w:rsid w:val="008663DA"/>
    <w:rsid w:val="00882F94"/>
    <w:rsid w:val="00886BE9"/>
    <w:rsid w:val="0088717F"/>
    <w:rsid w:val="00887DAC"/>
    <w:rsid w:val="008A380B"/>
    <w:rsid w:val="008B066B"/>
    <w:rsid w:val="008B1647"/>
    <w:rsid w:val="008B7470"/>
    <w:rsid w:val="008C0C4C"/>
    <w:rsid w:val="008C2E3C"/>
    <w:rsid w:val="008C3D47"/>
    <w:rsid w:val="008E2E90"/>
    <w:rsid w:val="009031A9"/>
    <w:rsid w:val="0090640B"/>
    <w:rsid w:val="0090799E"/>
    <w:rsid w:val="00907D8B"/>
    <w:rsid w:val="00922AF7"/>
    <w:rsid w:val="00925467"/>
    <w:rsid w:val="00936DCE"/>
    <w:rsid w:val="0094047E"/>
    <w:rsid w:val="0094784F"/>
    <w:rsid w:val="009556A1"/>
    <w:rsid w:val="00955C98"/>
    <w:rsid w:val="0095626D"/>
    <w:rsid w:val="009576CE"/>
    <w:rsid w:val="009715BF"/>
    <w:rsid w:val="0097509D"/>
    <w:rsid w:val="00980E15"/>
    <w:rsid w:val="009906BA"/>
    <w:rsid w:val="00990897"/>
    <w:rsid w:val="00993768"/>
    <w:rsid w:val="009969F9"/>
    <w:rsid w:val="00996AA3"/>
    <w:rsid w:val="009A02EE"/>
    <w:rsid w:val="009A4561"/>
    <w:rsid w:val="009C2884"/>
    <w:rsid w:val="009D05EB"/>
    <w:rsid w:val="009D65E3"/>
    <w:rsid w:val="009D6C23"/>
    <w:rsid w:val="009D7448"/>
    <w:rsid w:val="009E2168"/>
    <w:rsid w:val="009F4CE5"/>
    <w:rsid w:val="00A024ED"/>
    <w:rsid w:val="00A118AF"/>
    <w:rsid w:val="00A16613"/>
    <w:rsid w:val="00A16B97"/>
    <w:rsid w:val="00A26DCD"/>
    <w:rsid w:val="00A31760"/>
    <w:rsid w:val="00A31C83"/>
    <w:rsid w:val="00A33B8F"/>
    <w:rsid w:val="00A43C12"/>
    <w:rsid w:val="00A43E16"/>
    <w:rsid w:val="00A4522C"/>
    <w:rsid w:val="00A642B9"/>
    <w:rsid w:val="00A6714A"/>
    <w:rsid w:val="00A71451"/>
    <w:rsid w:val="00A765CD"/>
    <w:rsid w:val="00A934A9"/>
    <w:rsid w:val="00A95438"/>
    <w:rsid w:val="00AA57E7"/>
    <w:rsid w:val="00AA6124"/>
    <w:rsid w:val="00AB5E80"/>
    <w:rsid w:val="00AB6BC6"/>
    <w:rsid w:val="00AC7EF1"/>
    <w:rsid w:val="00AF3B66"/>
    <w:rsid w:val="00AF60AA"/>
    <w:rsid w:val="00B06B9E"/>
    <w:rsid w:val="00B11D1B"/>
    <w:rsid w:val="00B12838"/>
    <w:rsid w:val="00B159F5"/>
    <w:rsid w:val="00B2380D"/>
    <w:rsid w:val="00B24ABB"/>
    <w:rsid w:val="00B277DA"/>
    <w:rsid w:val="00B36A78"/>
    <w:rsid w:val="00B36D02"/>
    <w:rsid w:val="00B70CA6"/>
    <w:rsid w:val="00B806EA"/>
    <w:rsid w:val="00B81D33"/>
    <w:rsid w:val="00B832F4"/>
    <w:rsid w:val="00B92E20"/>
    <w:rsid w:val="00B93971"/>
    <w:rsid w:val="00B966B7"/>
    <w:rsid w:val="00BA0EAA"/>
    <w:rsid w:val="00BC1AD5"/>
    <w:rsid w:val="00BC254D"/>
    <w:rsid w:val="00BD243B"/>
    <w:rsid w:val="00BF10F6"/>
    <w:rsid w:val="00BF49B5"/>
    <w:rsid w:val="00BF544E"/>
    <w:rsid w:val="00C04BC2"/>
    <w:rsid w:val="00C13661"/>
    <w:rsid w:val="00C161EE"/>
    <w:rsid w:val="00C16A39"/>
    <w:rsid w:val="00C47727"/>
    <w:rsid w:val="00C477C3"/>
    <w:rsid w:val="00C5243F"/>
    <w:rsid w:val="00C6134A"/>
    <w:rsid w:val="00C62E76"/>
    <w:rsid w:val="00C67DDA"/>
    <w:rsid w:val="00C74D2A"/>
    <w:rsid w:val="00C842D7"/>
    <w:rsid w:val="00C8760E"/>
    <w:rsid w:val="00C921A6"/>
    <w:rsid w:val="00CA33E8"/>
    <w:rsid w:val="00CC34D4"/>
    <w:rsid w:val="00CC41BD"/>
    <w:rsid w:val="00CE4CD0"/>
    <w:rsid w:val="00CE53AF"/>
    <w:rsid w:val="00CF0C04"/>
    <w:rsid w:val="00CF74CB"/>
    <w:rsid w:val="00CF79E8"/>
    <w:rsid w:val="00D00935"/>
    <w:rsid w:val="00D10E41"/>
    <w:rsid w:val="00D11D5D"/>
    <w:rsid w:val="00D17CAA"/>
    <w:rsid w:val="00D22230"/>
    <w:rsid w:val="00D2479B"/>
    <w:rsid w:val="00D3056D"/>
    <w:rsid w:val="00D35D05"/>
    <w:rsid w:val="00D42F3F"/>
    <w:rsid w:val="00D44539"/>
    <w:rsid w:val="00D511C1"/>
    <w:rsid w:val="00D52F34"/>
    <w:rsid w:val="00D53902"/>
    <w:rsid w:val="00D54906"/>
    <w:rsid w:val="00D77F1F"/>
    <w:rsid w:val="00D94CE5"/>
    <w:rsid w:val="00D968B7"/>
    <w:rsid w:val="00D975CE"/>
    <w:rsid w:val="00DA759B"/>
    <w:rsid w:val="00DB1FD6"/>
    <w:rsid w:val="00DB2B5E"/>
    <w:rsid w:val="00DB4720"/>
    <w:rsid w:val="00DB72CA"/>
    <w:rsid w:val="00DC3013"/>
    <w:rsid w:val="00DE0FC3"/>
    <w:rsid w:val="00DF197B"/>
    <w:rsid w:val="00E0047D"/>
    <w:rsid w:val="00E06A8D"/>
    <w:rsid w:val="00E074AC"/>
    <w:rsid w:val="00E23E88"/>
    <w:rsid w:val="00E51DBF"/>
    <w:rsid w:val="00E51E3D"/>
    <w:rsid w:val="00E52A57"/>
    <w:rsid w:val="00E6258B"/>
    <w:rsid w:val="00E63FD6"/>
    <w:rsid w:val="00E67C5D"/>
    <w:rsid w:val="00E71B39"/>
    <w:rsid w:val="00E722C7"/>
    <w:rsid w:val="00E727E2"/>
    <w:rsid w:val="00E772F8"/>
    <w:rsid w:val="00E8010B"/>
    <w:rsid w:val="00E86525"/>
    <w:rsid w:val="00E96A65"/>
    <w:rsid w:val="00E96C3B"/>
    <w:rsid w:val="00EA2819"/>
    <w:rsid w:val="00EB3C07"/>
    <w:rsid w:val="00EB6CBB"/>
    <w:rsid w:val="00EC2431"/>
    <w:rsid w:val="00EC7AE3"/>
    <w:rsid w:val="00EE2B0B"/>
    <w:rsid w:val="00EE582B"/>
    <w:rsid w:val="00EE6C59"/>
    <w:rsid w:val="00EF0588"/>
    <w:rsid w:val="00F03703"/>
    <w:rsid w:val="00F049F0"/>
    <w:rsid w:val="00F31247"/>
    <w:rsid w:val="00F52740"/>
    <w:rsid w:val="00F531F5"/>
    <w:rsid w:val="00F645D4"/>
    <w:rsid w:val="00F65E47"/>
    <w:rsid w:val="00F850D9"/>
    <w:rsid w:val="00FA2838"/>
    <w:rsid w:val="00FB0415"/>
    <w:rsid w:val="00FB3E0D"/>
    <w:rsid w:val="00FB485B"/>
    <w:rsid w:val="00FB6BF1"/>
    <w:rsid w:val="00FC618D"/>
    <w:rsid w:val="00FD2C8E"/>
    <w:rsid w:val="00FD5E4F"/>
    <w:rsid w:val="00FD6FD7"/>
    <w:rsid w:val="00FD70DF"/>
    <w:rsid w:val="00FD778D"/>
    <w:rsid w:val="00FE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926"/>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unhideWhenUsed/>
    <w:qFormat/>
    <w:rsid w:val="00431CE1"/>
    <w:pPr>
      <w:spacing w:after="0" w:line="240" w:lineRule="auto"/>
    </w:pPr>
    <w:rPr>
      <w:sz w:val="24"/>
      <w:szCs w:val="24"/>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43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tbinternet.ohchr.org/_layouts/15/treatybodyexternal/Download.aspx?symbolno=CRPD%2fC%2f22%2fD%2f43%2f2017&amp;Lang=en" TargetMode="External"/><Relationship Id="rId18" Type="http://schemas.openxmlformats.org/officeDocument/2006/relationships/hyperlink" Target="https://www.ohchr.org/EN/HRBodies/CRPD/Pages/ConventionRightsPersonsWithDisabilities.aspx" TargetMode="External"/><Relationship Id="rId3" Type="http://schemas.openxmlformats.org/officeDocument/2006/relationships/settings" Target="settings.xml"/><Relationship Id="rId21"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tbinternet.ohchr.org/_layouts/15/treatybodyexternal/Download.aspx?symbolno=CRPD%2fC%2f22%2fD%2f43%2f2017&amp;Lang=en"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ww.ohchr.org/EN/HRBodies/CRPD/Pages/ConventionRightsPersonsWithDisabilit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2020-05-07T10:12:00Z</dcterms:created>
  <dcterms:modified xsi:type="dcterms:W3CDTF">2020-05-07T10:12:00Z</dcterms:modified>
</cp:coreProperties>
</file>