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BFC23" w14:textId="14434CC3" w:rsidR="005A585C" w:rsidRPr="00A74CEB" w:rsidRDefault="005A585C" w:rsidP="00A74CEB">
      <w:pPr>
        <w:pStyle w:val="Title"/>
      </w:pPr>
      <w:r w:rsidRPr="00A74CEB">
        <w:t>Background Note for GLAD Meeting Session on</w:t>
      </w:r>
    </w:p>
    <w:p w14:paraId="1CD4A3F5" w14:textId="77777777" w:rsidR="005A585C" w:rsidRPr="00A02AA3" w:rsidRDefault="005A585C" w:rsidP="00A02AA3">
      <w:pPr>
        <w:spacing w:line="240" w:lineRule="auto"/>
        <w:jc w:val="center"/>
        <w:rPr>
          <w:rFonts w:ascii="Arial" w:hAnsi="Arial" w:cs="Arial"/>
          <w:b/>
        </w:rPr>
      </w:pPr>
      <w:bookmarkStart w:id="0" w:name="_Hlk503987593"/>
      <w:r w:rsidRPr="00A02AA3">
        <w:rPr>
          <w:rStyle w:val="A1"/>
          <w:rFonts w:ascii="Arial" w:hAnsi="Arial" w:cs="Arial"/>
          <w:b/>
          <w:bCs/>
        </w:rPr>
        <w:t xml:space="preserve">Mobilising collective purchasing power: </w:t>
      </w:r>
      <w:bookmarkStart w:id="1" w:name="_Hlk503992219"/>
      <w:r w:rsidR="00475261" w:rsidRPr="00A02AA3">
        <w:rPr>
          <w:rStyle w:val="A1"/>
          <w:rFonts w:ascii="Arial" w:hAnsi="Arial" w:cs="Arial"/>
          <w:b/>
          <w:bCs/>
        </w:rPr>
        <w:t xml:space="preserve">Enhancing provisioning of </w:t>
      </w:r>
      <w:r w:rsidRPr="00A02AA3">
        <w:rPr>
          <w:rStyle w:val="A1"/>
          <w:rFonts w:ascii="Arial" w:hAnsi="Arial" w:cs="Arial"/>
          <w:b/>
          <w:bCs/>
        </w:rPr>
        <w:t>assistive products and accessibility</w:t>
      </w:r>
      <w:r w:rsidR="00727F75" w:rsidRPr="00A02AA3">
        <w:rPr>
          <w:rStyle w:val="A1"/>
          <w:rFonts w:ascii="Arial" w:hAnsi="Arial" w:cs="Arial"/>
          <w:b/>
          <w:bCs/>
        </w:rPr>
        <w:t xml:space="preserve"> of the built environment</w:t>
      </w:r>
      <w:bookmarkEnd w:id="1"/>
    </w:p>
    <w:bookmarkEnd w:id="0"/>
    <w:p w14:paraId="24A2AE4B" w14:textId="77777777" w:rsidR="005A585C" w:rsidRDefault="005A585C" w:rsidP="00A02AA3">
      <w:pPr>
        <w:spacing w:line="240" w:lineRule="auto"/>
        <w:jc w:val="center"/>
        <w:rPr>
          <w:rFonts w:ascii="Arial" w:hAnsi="Arial" w:cs="Arial"/>
          <w:b/>
        </w:rPr>
      </w:pPr>
      <w:r w:rsidRPr="00A02AA3">
        <w:rPr>
          <w:rFonts w:ascii="Arial" w:hAnsi="Arial" w:cs="Arial"/>
          <w:b/>
        </w:rPr>
        <w:t>Helsinki, January 2018</w:t>
      </w:r>
    </w:p>
    <w:p w14:paraId="1005473E" w14:textId="77777777" w:rsidR="004C4375" w:rsidRPr="00A02AA3" w:rsidRDefault="004C4375" w:rsidP="00A02AA3">
      <w:pPr>
        <w:spacing w:line="240" w:lineRule="auto"/>
        <w:jc w:val="center"/>
        <w:rPr>
          <w:rFonts w:ascii="Arial" w:hAnsi="Arial" w:cs="Arial"/>
          <w:b/>
        </w:rPr>
      </w:pPr>
    </w:p>
    <w:p w14:paraId="358AE0C1" w14:textId="77777777" w:rsidR="004C4375" w:rsidRDefault="004C4375" w:rsidP="00261CCD">
      <w:pPr>
        <w:pStyle w:val="Heading1"/>
        <w:spacing w:before="0"/>
      </w:pPr>
      <w:r>
        <w:t>Context for the Session</w:t>
      </w:r>
    </w:p>
    <w:p w14:paraId="2BDD0DAD" w14:textId="77777777" w:rsidR="004C4375" w:rsidRDefault="004C4375">
      <w:pPr>
        <w:spacing w:line="240" w:lineRule="auto"/>
        <w:ind w:left="360"/>
        <w:jc w:val="both"/>
        <w:rPr>
          <w:rFonts w:ascii="Arial" w:hAnsi="Arial" w:cs="Arial"/>
          <w:color w:val="000000" w:themeColor="text1"/>
        </w:rPr>
      </w:pPr>
    </w:p>
    <w:p w14:paraId="5A627D36" w14:textId="77777777" w:rsidR="004C4375" w:rsidRPr="00A02AA3" w:rsidRDefault="004C4375" w:rsidP="004C4375">
      <w:pPr>
        <w:spacing w:line="240" w:lineRule="auto"/>
        <w:ind w:left="360"/>
        <w:jc w:val="both"/>
        <w:rPr>
          <w:rFonts w:ascii="Arial" w:hAnsi="Arial" w:cs="Arial"/>
          <w:color w:val="000000" w:themeColor="text1"/>
        </w:rPr>
      </w:pPr>
      <w:r w:rsidRPr="00A02AA3">
        <w:rPr>
          <w:rFonts w:ascii="Arial" w:hAnsi="Arial" w:cs="Arial"/>
          <w:color w:val="000000" w:themeColor="text1"/>
        </w:rPr>
        <w:t xml:space="preserve">Accessibility and assistive products are complimentary and essential components and often the first step of disability inclusion - hence, need to be addressed together. Mobilisation of the collective purchasing power can facilitate bulk purchasing, which in return can lower the cost of assistive and accessible products significantly. This would </w:t>
      </w:r>
      <w:r>
        <w:rPr>
          <w:rFonts w:ascii="Arial" w:hAnsi="Arial" w:cs="Arial"/>
          <w:color w:val="000000" w:themeColor="text1"/>
        </w:rPr>
        <w:t xml:space="preserve">enable </w:t>
      </w:r>
      <w:r w:rsidRPr="00A02AA3">
        <w:rPr>
          <w:rFonts w:ascii="Arial" w:hAnsi="Arial" w:cs="Arial"/>
          <w:color w:val="000000" w:themeColor="text1"/>
        </w:rPr>
        <w:t>more</w:t>
      </w:r>
      <w:r>
        <w:rPr>
          <w:rFonts w:ascii="Arial" w:hAnsi="Arial" w:cs="Arial"/>
          <w:color w:val="000000" w:themeColor="text1"/>
        </w:rPr>
        <w:t xml:space="preserve"> people with disabilities to reap</w:t>
      </w:r>
      <w:r w:rsidRPr="00A02AA3">
        <w:rPr>
          <w:rFonts w:ascii="Arial" w:hAnsi="Arial" w:cs="Arial"/>
          <w:color w:val="000000" w:themeColor="text1"/>
        </w:rPr>
        <w:t xml:space="preserve"> the benefits of mainstream development initiatives, and ultimately, facilitate inclusion.</w:t>
      </w:r>
    </w:p>
    <w:p w14:paraId="0F6A78E1" w14:textId="77777777" w:rsidR="008211FA" w:rsidRPr="00F41010" w:rsidRDefault="008211FA" w:rsidP="00271894">
      <w:pPr>
        <w:pStyle w:val="Heading1"/>
      </w:pPr>
      <w:r w:rsidRPr="00271894">
        <w:t>Definitions</w:t>
      </w:r>
    </w:p>
    <w:p w14:paraId="02AC17AC" w14:textId="77777777" w:rsidR="00A02AA3" w:rsidRDefault="00A02AA3" w:rsidP="00A02AA3">
      <w:pPr>
        <w:autoSpaceDE w:val="0"/>
        <w:autoSpaceDN w:val="0"/>
        <w:adjustRightInd w:val="0"/>
        <w:spacing w:after="0" w:line="240" w:lineRule="auto"/>
        <w:ind w:left="360"/>
        <w:jc w:val="both"/>
        <w:rPr>
          <w:rFonts w:ascii="Arial" w:hAnsi="Arial" w:cs="Arial"/>
          <w:color w:val="000000" w:themeColor="text1"/>
        </w:rPr>
      </w:pPr>
    </w:p>
    <w:p w14:paraId="1F14E359" w14:textId="77777777" w:rsidR="008211FA" w:rsidRPr="00A02AA3" w:rsidRDefault="008211FA" w:rsidP="00A02AA3">
      <w:pPr>
        <w:autoSpaceDE w:val="0"/>
        <w:autoSpaceDN w:val="0"/>
        <w:adjustRightInd w:val="0"/>
        <w:spacing w:after="0" w:line="240" w:lineRule="auto"/>
        <w:ind w:left="360"/>
        <w:jc w:val="both"/>
        <w:rPr>
          <w:rFonts w:ascii="Arial" w:hAnsi="Arial" w:cs="Arial"/>
          <w:color w:val="000000" w:themeColor="text1"/>
        </w:rPr>
      </w:pPr>
      <w:r w:rsidRPr="00A02AA3">
        <w:rPr>
          <w:rFonts w:ascii="Arial" w:hAnsi="Arial" w:cs="Arial"/>
          <w:color w:val="000000" w:themeColor="text1"/>
        </w:rPr>
        <w:t>For purpose of this paper the following definitions have been used:</w:t>
      </w:r>
    </w:p>
    <w:p w14:paraId="7F629A35" w14:textId="77777777" w:rsidR="008211FA" w:rsidRPr="00A02AA3" w:rsidRDefault="008211FA" w:rsidP="00A02AA3">
      <w:pPr>
        <w:autoSpaceDE w:val="0"/>
        <w:autoSpaceDN w:val="0"/>
        <w:adjustRightInd w:val="0"/>
        <w:spacing w:after="0" w:line="240" w:lineRule="auto"/>
        <w:ind w:left="360"/>
        <w:jc w:val="both"/>
        <w:rPr>
          <w:rFonts w:ascii="Arial" w:hAnsi="Arial" w:cs="Arial"/>
          <w:color w:val="000000" w:themeColor="text1"/>
        </w:rPr>
      </w:pPr>
    </w:p>
    <w:p w14:paraId="04C2E209" w14:textId="77777777" w:rsidR="008211FA" w:rsidRPr="00A02AA3" w:rsidRDefault="008211FA" w:rsidP="00A02AA3">
      <w:pPr>
        <w:spacing w:line="240" w:lineRule="auto"/>
        <w:ind w:left="360"/>
        <w:jc w:val="both"/>
        <w:rPr>
          <w:rFonts w:ascii="Arial" w:hAnsi="Arial" w:cs="Arial"/>
          <w:color w:val="000000" w:themeColor="text1"/>
        </w:rPr>
      </w:pPr>
      <w:r w:rsidRPr="00A02AA3">
        <w:rPr>
          <w:rFonts w:ascii="Arial" w:hAnsi="Arial" w:cs="Arial"/>
          <w:b/>
          <w:bCs/>
          <w:i/>
          <w:color w:val="000000" w:themeColor="text1"/>
        </w:rPr>
        <w:t>Accessibility:</w:t>
      </w:r>
      <w:r w:rsidRPr="00A02AA3">
        <w:rPr>
          <w:rFonts w:ascii="Arial" w:hAnsi="Arial" w:cs="Arial"/>
          <w:i/>
          <w:color w:val="000000" w:themeColor="text1"/>
        </w:rPr>
        <w:t xml:space="preserve"> </w:t>
      </w:r>
      <w:r w:rsidRPr="00A02AA3">
        <w:rPr>
          <w:rFonts w:ascii="Arial" w:hAnsi="Arial" w:cs="Arial"/>
          <w:color w:val="000000" w:themeColor="text1"/>
        </w:rPr>
        <w:t>“Accessibility” is defined as a provision of buildings or parts of buildings for people, regardless of disability, age or gender, to be able to approach, enter, use, egress from and evacuate a building independently, in an equitable and dignified manner and to the greatest extent possible.</w:t>
      </w:r>
      <w:r w:rsidRPr="00A02AA3">
        <w:rPr>
          <w:rStyle w:val="FootnoteReference"/>
          <w:rFonts w:ascii="Arial" w:hAnsi="Arial" w:cs="Arial"/>
          <w:color w:val="000000" w:themeColor="text1"/>
        </w:rPr>
        <w:footnoteReference w:id="1"/>
      </w:r>
      <w:r w:rsidRPr="00A02AA3">
        <w:rPr>
          <w:rFonts w:ascii="Arial" w:hAnsi="Arial" w:cs="Arial"/>
          <w:color w:val="000000" w:themeColor="text1"/>
        </w:rPr>
        <w:t xml:space="preserve"> </w:t>
      </w:r>
    </w:p>
    <w:p w14:paraId="436633A2" w14:textId="77777777" w:rsidR="008211FA" w:rsidRPr="00A02AA3" w:rsidRDefault="008211FA" w:rsidP="003866AE">
      <w:pPr>
        <w:spacing w:line="240" w:lineRule="auto"/>
        <w:ind w:left="360"/>
        <w:jc w:val="both"/>
        <w:rPr>
          <w:rFonts w:ascii="Arial" w:hAnsi="Arial" w:cs="Arial"/>
          <w:color w:val="000000" w:themeColor="text1"/>
        </w:rPr>
      </w:pPr>
      <w:r w:rsidRPr="00A02AA3">
        <w:rPr>
          <w:rFonts w:ascii="Arial" w:hAnsi="Arial" w:cs="Arial"/>
          <w:b/>
          <w:bCs/>
          <w:i/>
          <w:color w:val="000000" w:themeColor="text1"/>
        </w:rPr>
        <w:t>Built environment:</w:t>
      </w:r>
      <w:r w:rsidRPr="00A02AA3">
        <w:rPr>
          <w:rFonts w:ascii="Arial" w:hAnsi="Arial" w:cs="Arial"/>
          <w:color w:val="000000" w:themeColor="text1"/>
        </w:rPr>
        <w:t xml:space="preserve"> A “built environment” is a construction that is commissioned, designed and managed for use by persons – whether child or adult – and includes internal and external facilities and any product that is fixed to the construction.</w:t>
      </w:r>
      <w:r w:rsidRPr="00A02AA3">
        <w:rPr>
          <w:rStyle w:val="FootnoteReference"/>
          <w:rFonts w:ascii="Arial" w:hAnsi="Arial" w:cs="Arial"/>
          <w:color w:val="000000" w:themeColor="text1"/>
        </w:rPr>
        <w:footnoteReference w:id="2"/>
      </w:r>
    </w:p>
    <w:p w14:paraId="42D7A8D1" w14:textId="77777777" w:rsidR="008211FA" w:rsidRPr="00A02AA3" w:rsidRDefault="008211FA" w:rsidP="003866AE">
      <w:pPr>
        <w:spacing w:line="240" w:lineRule="auto"/>
        <w:ind w:left="360"/>
        <w:jc w:val="both"/>
        <w:rPr>
          <w:rFonts w:ascii="Arial" w:hAnsi="Arial" w:cs="Arial"/>
          <w:color w:val="000000" w:themeColor="text1"/>
        </w:rPr>
      </w:pPr>
      <w:r w:rsidRPr="00A02AA3">
        <w:rPr>
          <w:rFonts w:ascii="Arial" w:hAnsi="Arial" w:cs="Arial"/>
          <w:b/>
          <w:bCs/>
          <w:i/>
          <w:color w:val="000000" w:themeColor="text1"/>
        </w:rPr>
        <w:t>Universal design:</w:t>
      </w:r>
      <w:r w:rsidRPr="00A02AA3">
        <w:rPr>
          <w:rFonts w:ascii="Arial" w:hAnsi="Arial" w:cs="Arial"/>
          <w:color w:val="000000" w:themeColor="text1"/>
        </w:rPr>
        <w:t xml:space="preserve"> Universal design refers to the design of products, environments, programmes and services to be usable by all people, to the greatest extent possible, without the need for adaptation or specialized design. The concept refers to products and building that are accessible and usable by everyone, including persons with disabilities. </w:t>
      </w:r>
    </w:p>
    <w:p w14:paraId="66742108" w14:textId="77777777" w:rsidR="008211FA" w:rsidRPr="00A02AA3" w:rsidRDefault="008211FA" w:rsidP="003866AE">
      <w:pPr>
        <w:pStyle w:val="Default"/>
        <w:spacing w:after="282"/>
        <w:ind w:left="360"/>
        <w:jc w:val="both"/>
        <w:rPr>
          <w:rFonts w:ascii="Arial" w:hAnsi="Arial" w:cs="Arial"/>
          <w:color w:val="000000" w:themeColor="text1"/>
          <w:sz w:val="22"/>
          <w:szCs w:val="22"/>
        </w:rPr>
      </w:pPr>
      <w:r w:rsidRPr="00A02AA3">
        <w:rPr>
          <w:rFonts w:ascii="Arial" w:hAnsi="Arial" w:cs="Arial"/>
          <w:b/>
          <w:bCs/>
          <w:i/>
          <w:iCs/>
          <w:color w:val="000000" w:themeColor="text1"/>
          <w:sz w:val="22"/>
          <w:szCs w:val="22"/>
        </w:rPr>
        <w:t>Assistive technology</w:t>
      </w:r>
      <w:r w:rsidRPr="00A02AA3">
        <w:rPr>
          <w:rFonts w:ascii="Arial" w:hAnsi="Arial" w:cs="Arial"/>
          <w:i/>
          <w:iCs/>
          <w:color w:val="000000" w:themeColor="text1"/>
          <w:sz w:val="22"/>
          <w:szCs w:val="22"/>
        </w:rPr>
        <w:t>:</w:t>
      </w:r>
      <w:r w:rsidRPr="00A02AA3">
        <w:rPr>
          <w:rFonts w:ascii="Arial" w:hAnsi="Arial" w:cs="Arial"/>
          <w:color w:val="000000" w:themeColor="text1"/>
          <w:sz w:val="22"/>
          <w:szCs w:val="22"/>
        </w:rPr>
        <w:t xml:space="preserve"> refers to assistive products and related systems and services developed for people to maintain or improve functioning and thereby promote well-being. </w:t>
      </w:r>
    </w:p>
    <w:p w14:paraId="10241836" w14:textId="77777777" w:rsidR="008211FA" w:rsidRDefault="008211FA" w:rsidP="003866AE">
      <w:pPr>
        <w:pStyle w:val="Default"/>
        <w:ind w:left="360"/>
        <w:jc w:val="both"/>
        <w:rPr>
          <w:rFonts w:ascii="Arial" w:hAnsi="Arial" w:cs="Arial"/>
          <w:color w:val="000000" w:themeColor="text1"/>
          <w:sz w:val="22"/>
          <w:szCs w:val="22"/>
        </w:rPr>
      </w:pPr>
      <w:r w:rsidRPr="00A02AA3">
        <w:rPr>
          <w:rFonts w:ascii="Arial" w:hAnsi="Arial" w:cs="Arial"/>
          <w:b/>
          <w:bCs/>
          <w:i/>
          <w:iCs/>
          <w:color w:val="000000" w:themeColor="text1"/>
          <w:sz w:val="22"/>
          <w:szCs w:val="22"/>
        </w:rPr>
        <w:t>Assistive products</w:t>
      </w:r>
      <w:r w:rsidRPr="00A02AA3">
        <w:rPr>
          <w:rFonts w:ascii="Arial" w:hAnsi="Arial" w:cs="Arial"/>
          <w:color w:val="000000" w:themeColor="text1"/>
          <w:sz w:val="22"/>
          <w:szCs w:val="22"/>
        </w:rPr>
        <w:t xml:space="preserve">: include any external product whose primary purpose is to maintain or improve an individual’s functioning and independence and thereby promote his or her well-being. They include wheelchairs, hearing aids, walking frames, spectacles, pill organizers and prosthetic legs, as well as assistive information and communication technology such as memory aids, specialized computer hardware and software, augmentative and alternative communication, and customized telephones. </w:t>
      </w:r>
    </w:p>
    <w:p w14:paraId="53C17D19" w14:textId="77777777" w:rsidR="003866AE" w:rsidRPr="003866AE" w:rsidRDefault="003866AE" w:rsidP="003866AE">
      <w:pPr>
        <w:pStyle w:val="Default"/>
        <w:ind w:left="360"/>
        <w:jc w:val="both"/>
        <w:rPr>
          <w:rFonts w:ascii="Arial" w:hAnsi="Arial" w:cs="Arial"/>
          <w:color w:val="000000" w:themeColor="text1"/>
          <w:sz w:val="22"/>
          <w:szCs w:val="22"/>
        </w:rPr>
      </w:pPr>
    </w:p>
    <w:p w14:paraId="40E90BBD" w14:textId="77777777" w:rsidR="003C7A90" w:rsidRDefault="003C7A90" w:rsidP="00A02AA3">
      <w:pPr>
        <w:spacing w:line="240" w:lineRule="auto"/>
        <w:ind w:left="360"/>
        <w:jc w:val="both"/>
        <w:rPr>
          <w:rFonts w:ascii="Arial" w:hAnsi="Arial" w:cs="Arial"/>
          <w:color w:val="000000" w:themeColor="text1"/>
        </w:rPr>
      </w:pPr>
      <w:r w:rsidRPr="00A02AA3">
        <w:rPr>
          <w:rFonts w:ascii="Arial" w:hAnsi="Arial" w:cs="Arial"/>
          <w:b/>
          <w:bCs/>
          <w:i/>
          <w:iCs/>
          <w:color w:val="000000" w:themeColor="text1"/>
        </w:rPr>
        <w:t xml:space="preserve">Bulk purchasing: </w:t>
      </w:r>
      <w:r w:rsidRPr="00A02AA3">
        <w:rPr>
          <w:rFonts w:ascii="Arial" w:hAnsi="Arial" w:cs="Arial"/>
          <w:color w:val="000000" w:themeColor="text1"/>
        </w:rPr>
        <w:t>purchasing of much larger quantities than the usual, for a unit price that is lower than the usual.</w:t>
      </w:r>
    </w:p>
    <w:p w14:paraId="47741B77" w14:textId="77777777" w:rsidR="004C4375" w:rsidRPr="00A02AA3" w:rsidRDefault="004C4375" w:rsidP="00A02AA3">
      <w:pPr>
        <w:spacing w:line="240" w:lineRule="auto"/>
        <w:ind w:left="360"/>
        <w:jc w:val="both"/>
        <w:rPr>
          <w:rFonts w:ascii="Arial" w:hAnsi="Arial" w:cs="Arial"/>
          <w:color w:val="000000" w:themeColor="text1"/>
        </w:rPr>
      </w:pPr>
    </w:p>
    <w:p w14:paraId="4C4E7AD9" w14:textId="77777777" w:rsidR="00B964E0" w:rsidRPr="00A02AA3" w:rsidRDefault="000F433D" w:rsidP="00271894">
      <w:pPr>
        <w:pStyle w:val="Heading1"/>
      </w:pPr>
      <w:r w:rsidRPr="00A02AA3">
        <w:lastRenderedPageBreak/>
        <w:t>Introduction</w:t>
      </w:r>
    </w:p>
    <w:p w14:paraId="79CBAFC5" w14:textId="77777777" w:rsidR="00EF225C" w:rsidRPr="00A02AA3" w:rsidRDefault="00EF225C" w:rsidP="00A02AA3">
      <w:pPr>
        <w:autoSpaceDE w:val="0"/>
        <w:autoSpaceDN w:val="0"/>
        <w:adjustRightInd w:val="0"/>
        <w:spacing w:after="0" w:line="240" w:lineRule="auto"/>
        <w:jc w:val="both"/>
        <w:rPr>
          <w:rFonts w:ascii="Arial" w:hAnsi="Arial" w:cs="Arial"/>
          <w:lang w:val="en-US"/>
        </w:rPr>
      </w:pPr>
    </w:p>
    <w:p w14:paraId="162309B6" w14:textId="77777777" w:rsidR="004C4375" w:rsidRPr="00261CCD" w:rsidRDefault="004C4375" w:rsidP="00A02AA3">
      <w:pPr>
        <w:autoSpaceDE w:val="0"/>
        <w:autoSpaceDN w:val="0"/>
        <w:adjustRightInd w:val="0"/>
        <w:spacing w:after="0" w:line="240" w:lineRule="auto"/>
        <w:ind w:left="360"/>
        <w:jc w:val="both"/>
        <w:rPr>
          <w:rFonts w:ascii="Arial" w:hAnsi="Arial" w:cs="Arial"/>
          <w:color w:val="000000" w:themeColor="text1"/>
        </w:rPr>
      </w:pPr>
    </w:p>
    <w:p w14:paraId="59384962" w14:textId="77777777" w:rsidR="00A74CEB" w:rsidRDefault="004C4375" w:rsidP="00A02AA3">
      <w:pPr>
        <w:autoSpaceDE w:val="0"/>
        <w:autoSpaceDN w:val="0"/>
        <w:adjustRightInd w:val="0"/>
        <w:spacing w:after="0" w:line="240" w:lineRule="auto"/>
        <w:ind w:left="360"/>
        <w:jc w:val="both"/>
        <w:rPr>
          <w:rFonts w:ascii="Arial" w:hAnsi="Arial" w:cs="Arial"/>
          <w:color w:val="000000" w:themeColor="text1"/>
          <w:lang w:val="en-US"/>
        </w:rPr>
      </w:pPr>
      <w:r>
        <w:rPr>
          <w:rFonts w:ascii="Arial" w:hAnsi="Arial" w:cs="Arial"/>
          <w:color w:val="000000" w:themeColor="text1"/>
          <w:lang w:val="en-US"/>
        </w:rPr>
        <w:t>Development partners</w:t>
      </w:r>
      <w:r w:rsidR="00EF225C" w:rsidRPr="00A02AA3">
        <w:rPr>
          <w:rFonts w:ascii="Arial" w:hAnsi="Arial" w:cs="Arial"/>
          <w:color w:val="000000" w:themeColor="text1"/>
          <w:lang w:val="en-US"/>
        </w:rPr>
        <w:t xml:space="preserve"> invest billions of dollars every year for various development initiatives –from </w:t>
      </w:r>
      <w:r w:rsidR="00A74CEB">
        <w:rPr>
          <w:rFonts w:ascii="Arial" w:hAnsi="Arial" w:cs="Arial"/>
          <w:color w:val="000000" w:themeColor="text1"/>
          <w:lang w:val="en-US"/>
        </w:rPr>
        <w:t>i</w:t>
      </w:r>
      <w:r w:rsidR="00EF225C" w:rsidRPr="00A02AA3">
        <w:rPr>
          <w:rFonts w:ascii="Arial" w:hAnsi="Arial" w:cs="Arial"/>
          <w:color w:val="000000" w:themeColor="text1"/>
          <w:lang w:val="en-US"/>
        </w:rPr>
        <w:t xml:space="preserve">nfrastructure development </w:t>
      </w:r>
      <w:r w:rsidR="00A74CEB">
        <w:rPr>
          <w:rFonts w:ascii="Arial" w:hAnsi="Arial" w:cs="Arial"/>
          <w:color w:val="000000" w:themeColor="text1"/>
          <w:lang w:val="en-US"/>
        </w:rPr>
        <w:t xml:space="preserve">through </w:t>
      </w:r>
      <w:r w:rsidR="00EF225C" w:rsidRPr="00A02AA3">
        <w:rPr>
          <w:rFonts w:ascii="Arial" w:hAnsi="Arial" w:cs="Arial"/>
          <w:color w:val="000000" w:themeColor="text1"/>
          <w:lang w:val="en-US"/>
        </w:rPr>
        <w:t xml:space="preserve">to improving access to healthcare. </w:t>
      </w:r>
      <w:r w:rsidR="005C7259">
        <w:rPr>
          <w:rFonts w:ascii="Arial" w:hAnsi="Arial" w:cs="Arial"/>
          <w:color w:val="000000" w:themeColor="text1"/>
          <w:lang w:val="en-US"/>
        </w:rPr>
        <w:t xml:space="preserve">Disability and </w:t>
      </w:r>
      <w:r>
        <w:rPr>
          <w:rFonts w:ascii="Arial" w:hAnsi="Arial" w:cs="Arial"/>
          <w:color w:val="000000" w:themeColor="text1"/>
          <w:lang w:val="en-US"/>
        </w:rPr>
        <w:t>Development partners</w:t>
      </w:r>
      <w:r w:rsidR="00EF225C" w:rsidRPr="00A02AA3">
        <w:rPr>
          <w:rFonts w:ascii="Arial" w:hAnsi="Arial" w:cs="Arial"/>
          <w:color w:val="000000" w:themeColor="text1"/>
          <w:lang w:val="en-US"/>
        </w:rPr>
        <w:t xml:space="preserve"> </w:t>
      </w:r>
      <w:r w:rsidR="005C7259">
        <w:rPr>
          <w:rFonts w:ascii="Arial" w:hAnsi="Arial" w:cs="Arial"/>
          <w:color w:val="000000" w:themeColor="text1"/>
          <w:lang w:val="en-US"/>
        </w:rPr>
        <w:t xml:space="preserve">- </w:t>
      </w:r>
      <w:r>
        <w:rPr>
          <w:rFonts w:ascii="Arial" w:hAnsi="Arial" w:cs="Arial"/>
          <w:color w:val="000000" w:themeColor="text1"/>
          <w:lang w:val="en-US"/>
        </w:rPr>
        <w:t xml:space="preserve">now convened under GLAD </w:t>
      </w:r>
      <w:r w:rsidR="005C7259">
        <w:rPr>
          <w:rFonts w:ascii="Arial" w:hAnsi="Arial" w:cs="Arial"/>
          <w:color w:val="000000" w:themeColor="text1"/>
          <w:lang w:val="en-US"/>
        </w:rPr>
        <w:t xml:space="preserve">- </w:t>
      </w:r>
      <w:r w:rsidR="00EF225C" w:rsidRPr="00A02AA3">
        <w:rPr>
          <w:rFonts w:ascii="Arial" w:hAnsi="Arial" w:cs="Arial"/>
          <w:color w:val="000000" w:themeColor="text1"/>
          <w:lang w:val="en-US"/>
        </w:rPr>
        <w:t>also played a key</w:t>
      </w:r>
      <w:r>
        <w:rPr>
          <w:rFonts w:ascii="Arial" w:hAnsi="Arial" w:cs="Arial"/>
          <w:color w:val="000000" w:themeColor="text1"/>
          <w:lang w:val="en-US"/>
        </w:rPr>
        <w:t xml:space="preserve"> role</w:t>
      </w:r>
      <w:r w:rsidR="00EF225C" w:rsidRPr="00A02AA3">
        <w:rPr>
          <w:rFonts w:ascii="Arial" w:hAnsi="Arial" w:cs="Arial"/>
          <w:color w:val="000000" w:themeColor="text1"/>
          <w:lang w:val="en-US"/>
        </w:rPr>
        <w:t xml:space="preserve"> in the passage of Convention on the </w:t>
      </w:r>
      <w:r w:rsidR="00A74CEB">
        <w:rPr>
          <w:rFonts w:ascii="Arial" w:hAnsi="Arial" w:cs="Arial"/>
          <w:color w:val="000000" w:themeColor="text1"/>
          <w:lang w:val="en-US"/>
        </w:rPr>
        <w:t>R</w:t>
      </w:r>
      <w:r w:rsidR="00EF225C" w:rsidRPr="00A02AA3">
        <w:rPr>
          <w:rFonts w:ascii="Arial" w:hAnsi="Arial" w:cs="Arial"/>
          <w:color w:val="000000" w:themeColor="text1"/>
          <w:lang w:val="en-US"/>
        </w:rPr>
        <w:t xml:space="preserve">ights of </w:t>
      </w:r>
      <w:r w:rsidR="00A74CEB">
        <w:rPr>
          <w:rFonts w:ascii="Arial" w:hAnsi="Arial" w:cs="Arial"/>
          <w:color w:val="000000" w:themeColor="text1"/>
          <w:lang w:val="en-US"/>
        </w:rPr>
        <w:t>P</w:t>
      </w:r>
      <w:r w:rsidR="00EF225C" w:rsidRPr="00A02AA3">
        <w:rPr>
          <w:rFonts w:ascii="Arial" w:hAnsi="Arial" w:cs="Arial"/>
          <w:color w:val="000000" w:themeColor="text1"/>
          <w:lang w:val="en-US"/>
        </w:rPr>
        <w:t xml:space="preserve">ersons with </w:t>
      </w:r>
      <w:r w:rsidR="00A74CEB">
        <w:rPr>
          <w:rFonts w:ascii="Arial" w:hAnsi="Arial" w:cs="Arial"/>
          <w:color w:val="000000" w:themeColor="text1"/>
          <w:lang w:val="en-US"/>
        </w:rPr>
        <w:t>D</w:t>
      </w:r>
      <w:r w:rsidR="00EF225C" w:rsidRPr="00A02AA3">
        <w:rPr>
          <w:rFonts w:ascii="Arial" w:hAnsi="Arial" w:cs="Arial"/>
          <w:color w:val="000000" w:themeColor="text1"/>
          <w:lang w:val="en-US"/>
        </w:rPr>
        <w:t xml:space="preserve">isabilities (CRPD) and </w:t>
      </w:r>
      <w:r w:rsidR="00A74CEB">
        <w:rPr>
          <w:rFonts w:ascii="Arial" w:hAnsi="Arial" w:cs="Arial"/>
          <w:color w:val="000000" w:themeColor="text1"/>
          <w:lang w:val="en-US"/>
        </w:rPr>
        <w:t>in</w:t>
      </w:r>
      <w:r w:rsidR="00A74CEB" w:rsidRPr="00A02AA3">
        <w:rPr>
          <w:rFonts w:ascii="Arial" w:hAnsi="Arial" w:cs="Arial"/>
          <w:color w:val="000000" w:themeColor="text1"/>
          <w:lang w:val="en-US"/>
        </w:rPr>
        <w:t xml:space="preserve"> </w:t>
      </w:r>
      <w:r w:rsidR="00EF225C" w:rsidRPr="00A02AA3">
        <w:rPr>
          <w:rFonts w:ascii="Arial" w:hAnsi="Arial" w:cs="Arial"/>
          <w:color w:val="000000" w:themeColor="text1"/>
          <w:lang w:val="en-US"/>
        </w:rPr>
        <w:t>working towards implementation</w:t>
      </w:r>
      <w:r w:rsidR="00977781">
        <w:rPr>
          <w:rFonts w:ascii="Arial" w:hAnsi="Arial" w:cs="Arial"/>
          <w:color w:val="000000" w:themeColor="text1"/>
          <w:lang w:val="en-US"/>
        </w:rPr>
        <w:t>.</w:t>
      </w:r>
      <w:r w:rsidR="0056126E" w:rsidRPr="00A02AA3">
        <w:rPr>
          <w:rStyle w:val="FootnoteReference"/>
          <w:rFonts w:ascii="Arial" w:hAnsi="Arial" w:cs="Arial"/>
          <w:color w:val="000000" w:themeColor="text1"/>
          <w:lang w:val="en-US"/>
        </w:rPr>
        <w:footnoteReference w:id="3"/>
      </w:r>
    </w:p>
    <w:p w14:paraId="5F640C44" w14:textId="77777777" w:rsidR="004C4375" w:rsidRDefault="004C4375" w:rsidP="00A02AA3">
      <w:pPr>
        <w:autoSpaceDE w:val="0"/>
        <w:autoSpaceDN w:val="0"/>
        <w:adjustRightInd w:val="0"/>
        <w:spacing w:after="0" w:line="240" w:lineRule="auto"/>
        <w:ind w:left="360"/>
        <w:jc w:val="both"/>
        <w:rPr>
          <w:rFonts w:ascii="Arial" w:hAnsi="Arial" w:cs="Arial"/>
          <w:color w:val="000000" w:themeColor="text1"/>
          <w:lang w:val="en-US"/>
        </w:rPr>
      </w:pPr>
    </w:p>
    <w:p w14:paraId="1C377A7A" w14:textId="77777777" w:rsidR="00D66D3C" w:rsidRPr="00A02AA3" w:rsidRDefault="00A74CEB" w:rsidP="00A02AA3">
      <w:pPr>
        <w:autoSpaceDE w:val="0"/>
        <w:autoSpaceDN w:val="0"/>
        <w:adjustRightInd w:val="0"/>
        <w:spacing w:after="0" w:line="240" w:lineRule="auto"/>
        <w:ind w:left="360"/>
        <w:jc w:val="both"/>
        <w:rPr>
          <w:rFonts w:ascii="Arial" w:hAnsi="Arial" w:cs="Arial"/>
          <w:color w:val="000000" w:themeColor="text1"/>
          <w:lang w:val="en-US"/>
        </w:rPr>
      </w:pPr>
      <w:r>
        <w:rPr>
          <w:rFonts w:ascii="Arial" w:hAnsi="Arial" w:cs="Arial"/>
          <w:color w:val="000000" w:themeColor="text1"/>
          <w:lang w:val="en-US"/>
        </w:rPr>
        <w:t xml:space="preserve">The </w:t>
      </w:r>
      <w:r w:rsidR="00EF225C" w:rsidRPr="00A02AA3">
        <w:rPr>
          <w:rFonts w:ascii="Arial" w:hAnsi="Arial" w:cs="Arial"/>
          <w:color w:val="000000" w:themeColor="text1"/>
          <w:lang w:val="en-US"/>
        </w:rPr>
        <w:t>CRPD identifies among many affirmative actions</w:t>
      </w:r>
      <w:r w:rsidR="00FC5618" w:rsidRPr="00A02AA3">
        <w:rPr>
          <w:rFonts w:ascii="Arial" w:hAnsi="Arial" w:cs="Arial"/>
          <w:color w:val="000000" w:themeColor="text1"/>
          <w:lang w:val="en-US"/>
        </w:rPr>
        <w:t>,</w:t>
      </w:r>
      <w:r w:rsidR="00EF225C" w:rsidRPr="00A02AA3">
        <w:rPr>
          <w:rFonts w:ascii="Arial" w:hAnsi="Arial" w:cs="Arial"/>
          <w:color w:val="000000" w:themeColor="text1"/>
          <w:lang w:val="en-US"/>
        </w:rPr>
        <w:t xml:space="preserve"> access to assistive products and a</w:t>
      </w:r>
      <w:r w:rsidR="00745B17" w:rsidRPr="00A02AA3">
        <w:rPr>
          <w:rFonts w:ascii="Arial" w:hAnsi="Arial" w:cs="Arial"/>
          <w:color w:val="000000" w:themeColor="text1"/>
          <w:lang w:val="en-US"/>
        </w:rPr>
        <w:t xml:space="preserve">ccessibility </w:t>
      </w:r>
      <w:r w:rsidR="00EF225C" w:rsidRPr="00A02AA3">
        <w:rPr>
          <w:rFonts w:ascii="Arial" w:hAnsi="Arial" w:cs="Arial"/>
          <w:color w:val="000000" w:themeColor="text1"/>
          <w:lang w:val="en-US"/>
        </w:rPr>
        <w:t>a</w:t>
      </w:r>
      <w:r w:rsidR="005C7259">
        <w:rPr>
          <w:rFonts w:ascii="Arial" w:hAnsi="Arial" w:cs="Arial"/>
          <w:color w:val="000000" w:themeColor="text1"/>
          <w:lang w:val="en-US"/>
        </w:rPr>
        <w:t>s</w:t>
      </w:r>
      <w:r w:rsidR="00745B17" w:rsidRPr="00A02AA3">
        <w:rPr>
          <w:rFonts w:ascii="Arial" w:hAnsi="Arial" w:cs="Arial"/>
          <w:color w:val="000000" w:themeColor="text1"/>
          <w:lang w:val="en-US"/>
        </w:rPr>
        <w:t xml:space="preserve"> </w:t>
      </w:r>
      <w:r w:rsidR="00EF225C" w:rsidRPr="00A02AA3">
        <w:rPr>
          <w:rFonts w:ascii="Arial" w:hAnsi="Arial" w:cs="Arial"/>
          <w:color w:val="000000" w:themeColor="text1"/>
          <w:lang w:val="en-US"/>
        </w:rPr>
        <w:t xml:space="preserve">prerequisites </w:t>
      </w:r>
      <w:r w:rsidR="00745B17" w:rsidRPr="00A02AA3">
        <w:rPr>
          <w:rFonts w:ascii="Arial" w:hAnsi="Arial" w:cs="Arial"/>
          <w:color w:val="000000" w:themeColor="text1"/>
          <w:lang w:val="en-US"/>
        </w:rPr>
        <w:t>for persons with disabilities to live independently and participate fully and equally in society</w:t>
      </w:r>
      <w:r>
        <w:rPr>
          <w:rFonts w:ascii="Arial" w:hAnsi="Arial" w:cs="Arial"/>
          <w:color w:val="000000" w:themeColor="text1"/>
          <w:lang w:val="en-US"/>
        </w:rPr>
        <w:t>.</w:t>
      </w:r>
      <w:r w:rsidR="00291884" w:rsidRPr="00A02AA3">
        <w:rPr>
          <w:rStyle w:val="FootnoteReference"/>
          <w:rFonts w:ascii="Arial" w:hAnsi="Arial" w:cs="Arial"/>
          <w:color w:val="000000" w:themeColor="text1"/>
          <w:lang w:val="en-US"/>
        </w:rPr>
        <w:footnoteReference w:id="4"/>
      </w:r>
      <w:r w:rsidR="00745B17" w:rsidRPr="00A02AA3">
        <w:rPr>
          <w:rFonts w:ascii="Arial" w:hAnsi="Arial" w:cs="Arial"/>
          <w:color w:val="000000" w:themeColor="text1"/>
          <w:lang w:val="en-US"/>
        </w:rPr>
        <w:t xml:space="preserve"> Without access to the </w:t>
      </w:r>
      <w:r w:rsidR="00EF225C" w:rsidRPr="00A02AA3">
        <w:rPr>
          <w:rFonts w:ascii="Arial" w:hAnsi="Arial" w:cs="Arial"/>
          <w:color w:val="000000" w:themeColor="text1"/>
          <w:lang w:val="en-US"/>
        </w:rPr>
        <w:t xml:space="preserve">assistive products and accessible barrier-free </w:t>
      </w:r>
      <w:r w:rsidR="00745B17" w:rsidRPr="00A02AA3">
        <w:rPr>
          <w:rFonts w:ascii="Arial" w:hAnsi="Arial" w:cs="Arial"/>
          <w:color w:val="000000" w:themeColor="text1"/>
          <w:lang w:val="en-US"/>
        </w:rPr>
        <w:t xml:space="preserve">environment, persons with disabilities would </w:t>
      </w:r>
      <w:r w:rsidR="00EF225C" w:rsidRPr="00A02AA3">
        <w:rPr>
          <w:rFonts w:ascii="Arial" w:hAnsi="Arial" w:cs="Arial"/>
          <w:color w:val="000000" w:themeColor="text1"/>
          <w:lang w:val="en-US"/>
        </w:rPr>
        <w:t xml:space="preserve">always remain excluded. </w:t>
      </w:r>
      <w:r w:rsidR="00745B17" w:rsidRPr="00A02AA3">
        <w:rPr>
          <w:rFonts w:ascii="Arial" w:hAnsi="Arial" w:cs="Arial"/>
          <w:color w:val="000000" w:themeColor="text1"/>
          <w:lang w:val="en-US"/>
        </w:rPr>
        <w:t>It is no coincidence that accessibility is one of the</w:t>
      </w:r>
      <w:r w:rsidR="00475261" w:rsidRPr="00A02AA3">
        <w:rPr>
          <w:rFonts w:ascii="Arial" w:hAnsi="Arial" w:cs="Arial"/>
          <w:color w:val="000000" w:themeColor="text1"/>
          <w:lang w:val="en-US"/>
        </w:rPr>
        <w:t xml:space="preserve"> </w:t>
      </w:r>
      <w:r w:rsidR="00745B17" w:rsidRPr="00A02AA3">
        <w:rPr>
          <w:rFonts w:ascii="Arial" w:hAnsi="Arial" w:cs="Arial"/>
          <w:color w:val="000000" w:themeColor="text1"/>
          <w:lang w:val="en-US"/>
        </w:rPr>
        <w:t>principles on which the Convention on the Rights of Persons with Disabilities is based.</w:t>
      </w:r>
      <w:r w:rsidR="00E04E44" w:rsidRPr="00A02AA3">
        <w:rPr>
          <w:rStyle w:val="FootnoteReference"/>
          <w:rFonts w:ascii="Arial" w:hAnsi="Arial" w:cs="Arial"/>
          <w:color w:val="000000" w:themeColor="text1"/>
          <w:lang w:val="en-US"/>
        </w:rPr>
        <w:footnoteReference w:id="5"/>
      </w:r>
      <w:r w:rsidR="00F54FB1" w:rsidRPr="00A02AA3">
        <w:rPr>
          <w:rFonts w:ascii="Arial" w:hAnsi="Arial" w:cs="Arial"/>
          <w:color w:val="000000" w:themeColor="text1"/>
          <w:lang w:val="en-US"/>
        </w:rPr>
        <w:t xml:space="preserve"> </w:t>
      </w:r>
    </w:p>
    <w:p w14:paraId="176251C5" w14:textId="77777777" w:rsidR="00D66D3C" w:rsidRPr="00A02AA3" w:rsidRDefault="00D66D3C" w:rsidP="00A02AA3">
      <w:pPr>
        <w:autoSpaceDE w:val="0"/>
        <w:autoSpaceDN w:val="0"/>
        <w:adjustRightInd w:val="0"/>
        <w:spacing w:after="0" w:line="240" w:lineRule="auto"/>
        <w:ind w:left="360"/>
        <w:jc w:val="both"/>
        <w:rPr>
          <w:rFonts w:ascii="Arial" w:hAnsi="Arial" w:cs="Arial"/>
          <w:color w:val="000000" w:themeColor="text1"/>
          <w:lang w:val="en-US"/>
        </w:rPr>
      </w:pPr>
    </w:p>
    <w:p w14:paraId="31E7B5EE" w14:textId="77777777" w:rsidR="00745B17" w:rsidRPr="00A02AA3" w:rsidRDefault="003866AE" w:rsidP="00A02AA3">
      <w:pPr>
        <w:autoSpaceDE w:val="0"/>
        <w:autoSpaceDN w:val="0"/>
        <w:adjustRightInd w:val="0"/>
        <w:spacing w:after="0" w:line="240" w:lineRule="auto"/>
        <w:ind w:left="360"/>
        <w:jc w:val="both"/>
        <w:rPr>
          <w:rFonts w:ascii="Arial" w:hAnsi="Arial" w:cs="Arial"/>
          <w:color w:val="000000" w:themeColor="text1"/>
          <w:lang w:val="en-US"/>
        </w:rPr>
      </w:pPr>
      <w:r>
        <w:rPr>
          <w:rFonts w:ascii="Arial" w:hAnsi="Arial" w:cs="Arial"/>
          <w:color w:val="000000" w:themeColor="text1"/>
          <w:lang w:val="en-US"/>
        </w:rPr>
        <w:t xml:space="preserve">The </w:t>
      </w:r>
      <w:r w:rsidR="00F54FB1" w:rsidRPr="00A02AA3">
        <w:rPr>
          <w:rFonts w:ascii="Arial" w:hAnsi="Arial" w:cs="Arial"/>
          <w:color w:val="000000" w:themeColor="text1"/>
          <w:lang w:val="en-US"/>
        </w:rPr>
        <w:t>CRPD also urges Member States to ensure access to assistive technology at an affordable cost and to foster international cooperation in order to achieve this (Articles 4, 20, 26 and 32).</w:t>
      </w:r>
      <w:r w:rsidR="00D87EE1" w:rsidRPr="00A02AA3">
        <w:rPr>
          <w:rFonts w:ascii="Arial" w:hAnsi="Arial" w:cs="Arial"/>
          <w:color w:val="000000" w:themeColor="text1"/>
          <w:lang w:val="en-US"/>
        </w:rPr>
        <w:t xml:space="preserve"> Article 32 - International cooperation speci</w:t>
      </w:r>
      <w:r w:rsidR="00A74CEB">
        <w:rPr>
          <w:rFonts w:ascii="Arial" w:hAnsi="Arial" w:cs="Arial"/>
          <w:color w:val="000000" w:themeColor="text1"/>
          <w:lang w:val="en-US"/>
        </w:rPr>
        <w:t>fic</w:t>
      </w:r>
      <w:r w:rsidR="00D87EE1" w:rsidRPr="00A02AA3">
        <w:rPr>
          <w:rFonts w:ascii="Arial" w:hAnsi="Arial" w:cs="Arial"/>
          <w:color w:val="000000" w:themeColor="text1"/>
          <w:lang w:val="en-US"/>
        </w:rPr>
        <w:t xml:space="preserve">ally </w:t>
      </w:r>
      <w:r w:rsidR="00D66D3C" w:rsidRPr="00A02AA3">
        <w:rPr>
          <w:rFonts w:ascii="Arial" w:hAnsi="Arial" w:cs="Arial"/>
          <w:color w:val="000000" w:themeColor="text1"/>
          <w:lang w:val="en-US"/>
        </w:rPr>
        <w:t xml:space="preserve">urges </w:t>
      </w:r>
      <w:r w:rsidR="00D87EE1" w:rsidRPr="00A02AA3">
        <w:rPr>
          <w:rFonts w:ascii="Arial" w:hAnsi="Arial" w:cs="Arial"/>
          <w:color w:val="000000" w:themeColor="text1"/>
          <w:lang w:val="en-US"/>
        </w:rPr>
        <w:t xml:space="preserve">States Parties recognize the importance of international cooperation and </w:t>
      </w:r>
      <w:r w:rsidR="00D66D3C" w:rsidRPr="00A02AA3">
        <w:rPr>
          <w:rFonts w:ascii="Arial" w:hAnsi="Arial" w:cs="Arial"/>
          <w:color w:val="000000" w:themeColor="text1"/>
          <w:lang w:val="en-US"/>
        </w:rPr>
        <w:t>to provide as appropriate, technical and economic assistance, including by facilitating access to and sharing of accessible and assistive technologies, and the transfer of technologies.</w:t>
      </w:r>
    </w:p>
    <w:p w14:paraId="213B2A41" w14:textId="77777777" w:rsidR="00475261" w:rsidRPr="00A02AA3" w:rsidRDefault="00475261" w:rsidP="00A02AA3">
      <w:pPr>
        <w:autoSpaceDE w:val="0"/>
        <w:autoSpaceDN w:val="0"/>
        <w:adjustRightInd w:val="0"/>
        <w:spacing w:after="0" w:line="240" w:lineRule="auto"/>
        <w:ind w:left="360"/>
        <w:jc w:val="both"/>
        <w:rPr>
          <w:rFonts w:ascii="Arial" w:hAnsi="Arial" w:cs="Arial"/>
          <w:color w:val="000000" w:themeColor="text1"/>
          <w:lang w:val="en-US"/>
        </w:rPr>
      </w:pPr>
    </w:p>
    <w:p w14:paraId="75D0BB54" w14:textId="77777777" w:rsidR="00475261" w:rsidRPr="00A02AA3" w:rsidRDefault="002B1A18" w:rsidP="003866AE">
      <w:pPr>
        <w:autoSpaceDE w:val="0"/>
        <w:autoSpaceDN w:val="0"/>
        <w:adjustRightInd w:val="0"/>
        <w:spacing w:after="0" w:line="240" w:lineRule="auto"/>
        <w:ind w:left="360"/>
        <w:jc w:val="both"/>
        <w:rPr>
          <w:rFonts w:ascii="Arial" w:hAnsi="Arial" w:cs="Arial"/>
          <w:color w:val="000000" w:themeColor="text1"/>
        </w:rPr>
      </w:pPr>
      <w:r w:rsidRPr="00A02AA3">
        <w:rPr>
          <w:rFonts w:ascii="Arial" w:hAnsi="Arial" w:cs="Arial"/>
          <w:color w:val="000000" w:themeColor="text1"/>
        </w:rPr>
        <w:t xml:space="preserve">Recognising the importance of accessibility, the Sustainable Development Goals have made specific references </w:t>
      </w:r>
      <w:r w:rsidR="002557CC" w:rsidRPr="00A02AA3">
        <w:rPr>
          <w:rFonts w:ascii="Arial" w:hAnsi="Arial" w:cs="Arial"/>
          <w:color w:val="000000" w:themeColor="text1"/>
        </w:rPr>
        <w:t xml:space="preserve">in </w:t>
      </w:r>
      <w:r w:rsidR="00A74CEB">
        <w:rPr>
          <w:rFonts w:ascii="Arial" w:hAnsi="Arial" w:cs="Arial"/>
          <w:color w:val="000000" w:themeColor="text1"/>
        </w:rPr>
        <w:t>t</w:t>
      </w:r>
      <w:r w:rsidR="002557CC" w:rsidRPr="00A02AA3">
        <w:rPr>
          <w:rFonts w:ascii="Arial" w:hAnsi="Arial" w:cs="Arial"/>
          <w:color w:val="000000" w:themeColor="text1"/>
        </w:rPr>
        <w:t xml:space="preserve">argets and indicators </w:t>
      </w:r>
      <w:r w:rsidRPr="00A02AA3">
        <w:rPr>
          <w:rFonts w:ascii="Arial" w:hAnsi="Arial" w:cs="Arial"/>
          <w:color w:val="000000" w:themeColor="text1"/>
        </w:rPr>
        <w:t>to ensure accessibility of public spaces, transport and educational facilities (SDG 11 and SDG 4A)</w:t>
      </w:r>
      <w:r w:rsidR="00A74CEB">
        <w:rPr>
          <w:rFonts w:ascii="Arial" w:hAnsi="Arial" w:cs="Arial"/>
          <w:color w:val="000000" w:themeColor="text1"/>
        </w:rPr>
        <w:t>.</w:t>
      </w:r>
    </w:p>
    <w:p w14:paraId="63AF7CCD" w14:textId="77777777" w:rsidR="0057391A" w:rsidRPr="00A02AA3" w:rsidRDefault="0057391A" w:rsidP="003866AE">
      <w:pPr>
        <w:autoSpaceDE w:val="0"/>
        <w:autoSpaceDN w:val="0"/>
        <w:adjustRightInd w:val="0"/>
        <w:spacing w:after="0" w:line="240" w:lineRule="auto"/>
        <w:ind w:left="360"/>
        <w:jc w:val="both"/>
        <w:rPr>
          <w:rFonts w:ascii="Arial" w:hAnsi="Arial" w:cs="Arial"/>
          <w:color w:val="000000" w:themeColor="text1"/>
        </w:rPr>
      </w:pPr>
    </w:p>
    <w:p w14:paraId="5E53A4E7" w14:textId="77777777" w:rsidR="00DF5409" w:rsidRPr="00A02AA3" w:rsidRDefault="0057391A" w:rsidP="003866AE">
      <w:pPr>
        <w:pStyle w:val="Default"/>
        <w:spacing w:after="282"/>
        <w:ind w:left="360"/>
        <w:jc w:val="both"/>
        <w:rPr>
          <w:rFonts w:ascii="Arial" w:hAnsi="Arial" w:cs="Arial"/>
          <w:color w:val="000000" w:themeColor="text1"/>
          <w:sz w:val="22"/>
          <w:szCs w:val="22"/>
        </w:rPr>
      </w:pPr>
      <w:r w:rsidRPr="00A02AA3">
        <w:rPr>
          <w:rFonts w:ascii="Arial" w:hAnsi="Arial" w:cs="Arial"/>
          <w:color w:val="000000" w:themeColor="text1"/>
          <w:sz w:val="22"/>
          <w:szCs w:val="22"/>
        </w:rPr>
        <w:t xml:space="preserve">Assistive products are essential enabling tools: to assist people with disabilities or </w:t>
      </w:r>
      <w:r w:rsidR="005C7259">
        <w:rPr>
          <w:rFonts w:ascii="Arial" w:hAnsi="Arial" w:cs="Arial"/>
          <w:color w:val="000000" w:themeColor="text1"/>
          <w:sz w:val="22"/>
          <w:szCs w:val="22"/>
        </w:rPr>
        <w:t xml:space="preserve">with </w:t>
      </w:r>
      <w:r w:rsidRPr="00A02AA3">
        <w:rPr>
          <w:rFonts w:ascii="Arial" w:hAnsi="Arial" w:cs="Arial"/>
          <w:color w:val="000000" w:themeColor="text1"/>
          <w:sz w:val="22"/>
          <w:szCs w:val="22"/>
        </w:rPr>
        <w:t xml:space="preserve">functional </w:t>
      </w:r>
      <w:r w:rsidR="005C7259">
        <w:rPr>
          <w:rFonts w:ascii="Arial" w:hAnsi="Arial" w:cs="Arial"/>
          <w:color w:val="000000" w:themeColor="text1"/>
          <w:sz w:val="22"/>
          <w:szCs w:val="22"/>
        </w:rPr>
        <w:t>limitations</w:t>
      </w:r>
      <w:r w:rsidR="005C7259" w:rsidRPr="00A02AA3">
        <w:rPr>
          <w:rFonts w:ascii="Arial" w:hAnsi="Arial" w:cs="Arial"/>
          <w:color w:val="000000" w:themeColor="text1"/>
          <w:sz w:val="22"/>
          <w:szCs w:val="22"/>
        </w:rPr>
        <w:t xml:space="preserve"> </w:t>
      </w:r>
      <w:r w:rsidRPr="00A02AA3">
        <w:rPr>
          <w:rFonts w:ascii="Arial" w:hAnsi="Arial" w:cs="Arial"/>
          <w:color w:val="000000" w:themeColor="text1"/>
          <w:sz w:val="22"/>
          <w:szCs w:val="22"/>
        </w:rPr>
        <w:t xml:space="preserve">to live healthy, productive, independent and dignified lives, participating in education, the </w:t>
      </w:r>
      <w:proofErr w:type="spellStart"/>
      <w:r w:rsidRPr="00A02AA3">
        <w:rPr>
          <w:rFonts w:ascii="Arial" w:hAnsi="Arial" w:cs="Arial"/>
          <w:color w:val="000000" w:themeColor="text1"/>
          <w:sz w:val="22"/>
          <w:szCs w:val="22"/>
        </w:rPr>
        <w:t>labour</w:t>
      </w:r>
      <w:proofErr w:type="spellEnd"/>
      <w:r w:rsidRPr="00A02AA3">
        <w:rPr>
          <w:rFonts w:ascii="Arial" w:hAnsi="Arial" w:cs="Arial"/>
          <w:color w:val="000000" w:themeColor="text1"/>
          <w:sz w:val="22"/>
          <w:szCs w:val="22"/>
        </w:rPr>
        <w:t xml:space="preserve"> market and social life. It can reduce the need for formal health and support services, long-term care and </w:t>
      </w:r>
      <w:r w:rsidR="00A74CEB">
        <w:rPr>
          <w:rFonts w:ascii="Arial" w:hAnsi="Arial" w:cs="Arial"/>
          <w:color w:val="000000" w:themeColor="text1"/>
          <w:sz w:val="22"/>
          <w:szCs w:val="22"/>
        </w:rPr>
        <w:t>challenges faced by</w:t>
      </w:r>
      <w:r w:rsidRPr="00A02AA3">
        <w:rPr>
          <w:rFonts w:ascii="Arial" w:hAnsi="Arial" w:cs="Arial"/>
          <w:color w:val="000000" w:themeColor="text1"/>
          <w:sz w:val="22"/>
          <w:szCs w:val="22"/>
        </w:rPr>
        <w:t xml:space="preserve"> </w:t>
      </w:r>
      <w:proofErr w:type="spellStart"/>
      <w:r w:rsidRPr="00A02AA3">
        <w:rPr>
          <w:rFonts w:ascii="Arial" w:hAnsi="Arial" w:cs="Arial"/>
          <w:color w:val="000000" w:themeColor="text1"/>
          <w:sz w:val="22"/>
          <w:szCs w:val="22"/>
        </w:rPr>
        <w:t>carers</w:t>
      </w:r>
      <w:proofErr w:type="spellEnd"/>
      <w:r w:rsidRPr="00A02AA3">
        <w:rPr>
          <w:rFonts w:ascii="Arial" w:hAnsi="Arial" w:cs="Arial"/>
          <w:color w:val="000000" w:themeColor="text1"/>
          <w:sz w:val="22"/>
          <w:szCs w:val="22"/>
        </w:rPr>
        <w:t xml:space="preserve">. Without assistive technology, people with disabilities and older people and others in need are often excluded, isolated and locked into poverty, and </w:t>
      </w:r>
      <w:r w:rsidR="00A74CEB">
        <w:rPr>
          <w:rFonts w:ascii="Arial" w:hAnsi="Arial" w:cs="Arial"/>
          <w:color w:val="000000" w:themeColor="text1"/>
          <w:sz w:val="22"/>
          <w:szCs w:val="22"/>
        </w:rPr>
        <w:t>long-term impacts</w:t>
      </w:r>
      <w:r w:rsidRPr="00A02AA3">
        <w:rPr>
          <w:rFonts w:ascii="Arial" w:hAnsi="Arial" w:cs="Arial"/>
          <w:color w:val="000000" w:themeColor="text1"/>
          <w:sz w:val="22"/>
          <w:szCs w:val="22"/>
        </w:rPr>
        <w:t xml:space="preserve"> of morbidity and disability increase. </w:t>
      </w:r>
    </w:p>
    <w:p w14:paraId="49EA295A" w14:textId="77777777" w:rsidR="0057391A" w:rsidRPr="00A02AA3" w:rsidRDefault="002F2BD2" w:rsidP="00A02AA3">
      <w:pPr>
        <w:spacing w:line="240" w:lineRule="auto"/>
        <w:ind w:left="360" w:right="26"/>
        <w:jc w:val="both"/>
        <w:rPr>
          <w:rFonts w:ascii="Arial" w:hAnsi="Arial" w:cs="Arial"/>
          <w:color w:val="000000" w:themeColor="text1"/>
        </w:rPr>
      </w:pPr>
      <w:r w:rsidRPr="00A02AA3">
        <w:rPr>
          <w:rFonts w:ascii="Arial" w:hAnsi="Arial" w:cs="Arial"/>
          <w:color w:val="000000" w:themeColor="text1"/>
        </w:rPr>
        <w:t xml:space="preserve">This note outlines </w:t>
      </w:r>
      <w:r w:rsidR="002557CC" w:rsidRPr="00A02AA3">
        <w:rPr>
          <w:rFonts w:ascii="Arial" w:hAnsi="Arial" w:cs="Arial"/>
          <w:color w:val="000000" w:themeColor="text1"/>
        </w:rPr>
        <w:t>the scope of existing opportunities</w:t>
      </w:r>
      <w:r w:rsidR="00D2068D" w:rsidRPr="00A02AA3">
        <w:rPr>
          <w:rFonts w:ascii="Arial" w:hAnsi="Arial" w:cs="Arial"/>
          <w:color w:val="000000" w:themeColor="text1"/>
        </w:rPr>
        <w:t>,</w:t>
      </w:r>
      <w:r w:rsidR="002557CC" w:rsidRPr="00A02AA3">
        <w:rPr>
          <w:rFonts w:ascii="Arial" w:hAnsi="Arial" w:cs="Arial"/>
          <w:color w:val="000000" w:themeColor="text1"/>
        </w:rPr>
        <w:t xml:space="preserve"> </w:t>
      </w:r>
      <w:r w:rsidR="00376D0F" w:rsidRPr="00A02AA3">
        <w:rPr>
          <w:rFonts w:ascii="Arial" w:hAnsi="Arial" w:cs="Arial"/>
          <w:color w:val="000000" w:themeColor="text1"/>
        </w:rPr>
        <w:t xml:space="preserve">as well as </w:t>
      </w:r>
      <w:r w:rsidR="002557CC" w:rsidRPr="00A02AA3">
        <w:rPr>
          <w:rFonts w:ascii="Arial" w:hAnsi="Arial" w:cs="Arial"/>
          <w:color w:val="000000" w:themeColor="text1"/>
        </w:rPr>
        <w:t xml:space="preserve">the </w:t>
      </w:r>
      <w:r w:rsidR="00376D0F" w:rsidRPr="00A02AA3">
        <w:rPr>
          <w:rFonts w:ascii="Arial" w:hAnsi="Arial" w:cs="Arial"/>
          <w:color w:val="000000" w:themeColor="text1"/>
        </w:rPr>
        <w:t xml:space="preserve">unique position </w:t>
      </w:r>
      <w:r w:rsidR="008277C0" w:rsidRPr="00A02AA3">
        <w:rPr>
          <w:rFonts w:ascii="Arial" w:hAnsi="Arial" w:cs="Arial"/>
          <w:color w:val="000000" w:themeColor="text1"/>
        </w:rPr>
        <w:t xml:space="preserve">of GLAD to </w:t>
      </w:r>
      <w:r w:rsidR="008E73A5" w:rsidRPr="00A02AA3">
        <w:rPr>
          <w:rFonts w:ascii="Arial" w:hAnsi="Arial" w:cs="Arial"/>
          <w:color w:val="000000" w:themeColor="text1"/>
        </w:rPr>
        <w:t>collective</w:t>
      </w:r>
      <w:r w:rsidR="008277C0" w:rsidRPr="00A02AA3">
        <w:rPr>
          <w:rFonts w:ascii="Arial" w:hAnsi="Arial" w:cs="Arial"/>
          <w:color w:val="000000" w:themeColor="text1"/>
        </w:rPr>
        <w:t>ly</w:t>
      </w:r>
      <w:r w:rsidR="00320B89" w:rsidRPr="00A02AA3">
        <w:rPr>
          <w:rFonts w:ascii="Arial" w:hAnsi="Arial" w:cs="Arial"/>
          <w:color w:val="000000" w:themeColor="text1"/>
        </w:rPr>
        <w:t xml:space="preserve"> have an</w:t>
      </w:r>
      <w:r w:rsidR="008E73A5" w:rsidRPr="00A02AA3">
        <w:rPr>
          <w:rFonts w:ascii="Arial" w:hAnsi="Arial" w:cs="Arial"/>
          <w:color w:val="000000" w:themeColor="text1"/>
        </w:rPr>
        <w:t xml:space="preserve"> </w:t>
      </w:r>
      <w:r w:rsidR="00320B89" w:rsidRPr="00A02AA3">
        <w:rPr>
          <w:rFonts w:ascii="Arial" w:hAnsi="Arial" w:cs="Arial"/>
          <w:color w:val="000000" w:themeColor="text1"/>
        </w:rPr>
        <w:t xml:space="preserve">impact so </w:t>
      </w:r>
      <w:r w:rsidR="00533FF1" w:rsidRPr="00A02AA3">
        <w:rPr>
          <w:rFonts w:ascii="Arial" w:hAnsi="Arial" w:cs="Arial"/>
          <w:color w:val="000000" w:themeColor="text1"/>
        </w:rPr>
        <w:t xml:space="preserve">that </w:t>
      </w:r>
      <w:r w:rsidRPr="00A02AA3">
        <w:rPr>
          <w:rFonts w:ascii="Arial" w:hAnsi="Arial" w:cs="Arial"/>
          <w:color w:val="000000" w:themeColor="text1"/>
        </w:rPr>
        <w:t>quality assistive products</w:t>
      </w:r>
      <w:r w:rsidR="00376D0F" w:rsidRPr="00A02AA3">
        <w:rPr>
          <w:rFonts w:ascii="Arial" w:hAnsi="Arial" w:cs="Arial"/>
          <w:color w:val="000000" w:themeColor="text1"/>
        </w:rPr>
        <w:t xml:space="preserve"> </w:t>
      </w:r>
      <w:r w:rsidRPr="00A02AA3">
        <w:rPr>
          <w:rFonts w:ascii="Arial" w:hAnsi="Arial" w:cs="Arial"/>
          <w:color w:val="000000" w:themeColor="text1"/>
        </w:rPr>
        <w:t xml:space="preserve">and </w:t>
      </w:r>
      <w:r w:rsidR="00376D0F" w:rsidRPr="00A02AA3">
        <w:rPr>
          <w:rFonts w:ascii="Arial" w:hAnsi="Arial" w:cs="Arial"/>
          <w:color w:val="000000" w:themeColor="text1"/>
        </w:rPr>
        <w:t xml:space="preserve">accessibility of </w:t>
      </w:r>
      <w:r w:rsidR="00411571" w:rsidRPr="00A02AA3">
        <w:rPr>
          <w:rFonts w:ascii="Arial" w:hAnsi="Arial" w:cs="Arial"/>
          <w:color w:val="000000" w:themeColor="text1"/>
        </w:rPr>
        <w:t>the built environment</w:t>
      </w:r>
      <w:r w:rsidR="008277C0" w:rsidRPr="00A02AA3">
        <w:rPr>
          <w:rFonts w:ascii="Arial" w:hAnsi="Arial" w:cs="Arial"/>
          <w:color w:val="000000" w:themeColor="text1"/>
        </w:rPr>
        <w:t xml:space="preserve"> are available to persons with disabilities</w:t>
      </w:r>
      <w:r w:rsidRPr="00A02AA3">
        <w:rPr>
          <w:rFonts w:ascii="Arial" w:hAnsi="Arial" w:cs="Arial"/>
          <w:color w:val="000000" w:themeColor="text1"/>
        </w:rPr>
        <w:t xml:space="preserve">. It also outlines key </w:t>
      </w:r>
      <w:r w:rsidR="002557CC" w:rsidRPr="00A02AA3">
        <w:rPr>
          <w:rFonts w:ascii="Arial" w:hAnsi="Arial" w:cs="Arial"/>
          <w:color w:val="000000" w:themeColor="text1"/>
        </w:rPr>
        <w:t xml:space="preserve">strategies and actions </w:t>
      </w:r>
      <w:r w:rsidRPr="00A02AA3">
        <w:rPr>
          <w:rFonts w:ascii="Arial" w:hAnsi="Arial" w:cs="Arial"/>
          <w:color w:val="000000" w:themeColor="text1"/>
        </w:rPr>
        <w:t xml:space="preserve">which can be </w:t>
      </w:r>
      <w:r w:rsidR="00772F92" w:rsidRPr="00A02AA3">
        <w:rPr>
          <w:rFonts w:ascii="Arial" w:hAnsi="Arial" w:cs="Arial"/>
          <w:color w:val="000000" w:themeColor="text1"/>
        </w:rPr>
        <w:t>considered by GLAD members</w:t>
      </w:r>
      <w:r w:rsidR="00D117CD" w:rsidRPr="00A02AA3">
        <w:rPr>
          <w:rFonts w:ascii="Arial" w:hAnsi="Arial" w:cs="Arial"/>
          <w:color w:val="000000" w:themeColor="text1"/>
        </w:rPr>
        <w:t>,</w:t>
      </w:r>
      <w:r w:rsidR="00772F92" w:rsidRPr="00A02AA3">
        <w:rPr>
          <w:rFonts w:ascii="Arial" w:hAnsi="Arial" w:cs="Arial"/>
          <w:color w:val="000000" w:themeColor="text1"/>
        </w:rPr>
        <w:t xml:space="preserve"> </w:t>
      </w:r>
      <w:r w:rsidRPr="00A02AA3">
        <w:rPr>
          <w:rFonts w:ascii="Arial" w:hAnsi="Arial" w:cs="Arial"/>
          <w:color w:val="000000" w:themeColor="text1"/>
        </w:rPr>
        <w:t>including market shaping</w:t>
      </w:r>
      <w:r w:rsidR="00772F92" w:rsidRPr="00A02AA3">
        <w:rPr>
          <w:rFonts w:ascii="Arial" w:hAnsi="Arial" w:cs="Arial"/>
          <w:color w:val="000000" w:themeColor="text1"/>
        </w:rPr>
        <w:t xml:space="preserve"> and </w:t>
      </w:r>
      <w:r w:rsidRPr="00A02AA3">
        <w:rPr>
          <w:rFonts w:ascii="Arial" w:hAnsi="Arial" w:cs="Arial"/>
          <w:color w:val="000000" w:themeColor="text1"/>
        </w:rPr>
        <w:t>combined procurement</w:t>
      </w:r>
      <w:r w:rsidR="00772F92" w:rsidRPr="00A02AA3">
        <w:rPr>
          <w:rFonts w:ascii="Arial" w:hAnsi="Arial" w:cs="Arial"/>
          <w:color w:val="000000" w:themeColor="text1"/>
        </w:rPr>
        <w:t xml:space="preserve"> to drive down costs of assistive products</w:t>
      </w:r>
      <w:r w:rsidRPr="00A02AA3">
        <w:rPr>
          <w:rFonts w:ascii="Arial" w:hAnsi="Arial" w:cs="Arial"/>
          <w:color w:val="000000" w:themeColor="text1"/>
        </w:rPr>
        <w:t xml:space="preserve">, </w:t>
      </w:r>
      <w:r w:rsidR="00F54FB1" w:rsidRPr="00A02AA3">
        <w:rPr>
          <w:rFonts w:ascii="Arial" w:hAnsi="Arial" w:cs="Arial"/>
          <w:color w:val="000000" w:themeColor="text1"/>
        </w:rPr>
        <w:t xml:space="preserve">making </w:t>
      </w:r>
      <w:r w:rsidR="00B725F8">
        <w:rPr>
          <w:rFonts w:ascii="Arial" w:hAnsi="Arial" w:cs="Arial"/>
          <w:color w:val="000000" w:themeColor="text1"/>
        </w:rPr>
        <w:t xml:space="preserve">an </w:t>
      </w:r>
      <w:r w:rsidR="00F54FB1" w:rsidRPr="00A02AA3">
        <w:rPr>
          <w:rFonts w:ascii="Arial" w:hAnsi="Arial" w:cs="Arial"/>
          <w:color w:val="000000" w:themeColor="text1"/>
        </w:rPr>
        <w:t xml:space="preserve">affordable </w:t>
      </w:r>
      <w:r w:rsidR="00142B50" w:rsidRPr="00A02AA3">
        <w:rPr>
          <w:rFonts w:ascii="Arial" w:hAnsi="Arial" w:cs="Arial"/>
          <w:color w:val="000000" w:themeColor="text1"/>
        </w:rPr>
        <w:t xml:space="preserve">assistive products </w:t>
      </w:r>
      <w:r w:rsidR="00F54FB1" w:rsidRPr="00A02AA3">
        <w:rPr>
          <w:rFonts w:ascii="Arial" w:hAnsi="Arial" w:cs="Arial"/>
          <w:color w:val="000000" w:themeColor="text1"/>
        </w:rPr>
        <w:t xml:space="preserve">service provision system, </w:t>
      </w:r>
      <w:r w:rsidRPr="00A02AA3">
        <w:rPr>
          <w:rFonts w:ascii="Arial" w:hAnsi="Arial" w:cs="Arial"/>
          <w:color w:val="000000" w:themeColor="text1"/>
        </w:rPr>
        <w:t xml:space="preserve">establishing accessibility as a </w:t>
      </w:r>
      <w:r w:rsidR="00A5257A" w:rsidRPr="00A02AA3">
        <w:rPr>
          <w:rFonts w:ascii="Arial" w:hAnsi="Arial" w:cs="Arial"/>
          <w:color w:val="000000" w:themeColor="text1"/>
        </w:rPr>
        <w:t>criteria</w:t>
      </w:r>
      <w:r w:rsidRPr="00A02AA3">
        <w:rPr>
          <w:rFonts w:ascii="Arial" w:hAnsi="Arial" w:cs="Arial"/>
          <w:color w:val="000000" w:themeColor="text1"/>
        </w:rPr>
        <w:t xml:space="preserve"> in procurement of infrastructure</w:t>
      </w:r>
      <w:r w:rsidR="002557CC" w:rsidRPr="00A02AA3">
        <w:rPr>
          <w:rFonts w:ascii="Arial" w:hAnsi="Arial" w:cs="Arial"/>
          <w:color w:val="000000" w:themeColor="text1"/>
        </w:rPr>
        <w:t>,</w:t>
      </w:r>
      <w:r w:rsidRPr="00A02AA3">
        <w:rPr>
          <w:rFonts w:ascii="Arial" w:hAnsi="Arial" w:cs="Arial"/>
          <w:color w:val="000000" w:themeColor="text1"/>
        </w:rPr>
        <w:t xml:space="preserve"> establishing tracking and reporting mechanisms on accessibility</w:t>
      </w:r>
      <w:r w:rsidR="002557CC" w:rsidRPr="00A02AA3">
        <w:rPr>
          <w:rFonts w:ascii="Arial" w:hAnsi="Arial" w:cs="Arial"/>
          <w:color w:val="000000" w:themeColor="text1"/>
        </w:rPr>
        <w:t xml:space="preserve"> </w:t>
      </w:r>
      <w:r w:rsidR="00411571" w:rsidRPr="00A02AA3">
        <w:rPr>
          <w:rFonts w:ascii="Arial" w:hAnsi="Arial" w:cs="Arial"/>
          <w:color w:val="000000" w:themeColor="text1"/>
        </w:rPr>
        <w:t xml:space="preserve">of the built environment </w:t>
      </w:r>
      <w:r w:rsidR="002557CC" w:rsidRPr="00A02AA3">
        <w:rPr>
          <w:rFonts w:ascii="Arial" w:hAnsi="Arial" w:cs="Arial"/>
          <w:color w:val="000000" w:themeColor="text1"/>
        </w:rPr>
        <w:t>and undertaking awareness raising and advocacy on these issues</w:t>
      </w:r>
      <w:r w:rsidR="00A5257A" w:rsidRPr="00A02AA3">
        <w:rPr>
          <w:rFonts w:ascii="Arial" w:hAnsi="Arial" w:cs="Arial"/>
          <w:color w:val="000000" w:themeColor="text1"/>
        </w:rPr>
        <w:t xml:space="preserve">. </w:t>
      </w:r>
    </w:p>
    <w:p w14:paraId="37415011" w14:textId="77777777" w:rsidR="00271894" w:rsidRDefault="00271894" w:rsidP="00F41010">
      <w:pPr>
        <w:pStyle w:val="Heading1"/>
      </w:pPr>
      <w:r>
        <w:lastRenderedPageBreak/>
        <w:t xml:space="preserve">Accessible infrastructure (built environment) </w:t>
      </w:r>
    </w:p>
    <w:p w14:paraId="5FA96501" w14:textId="77777777" w:rsidR="00271894" w:rsidRPr="00A02AA3" w:rsidRDefault="00271894" w:rsidP="00271894">
      <w:pPr>
        <w:pStyle w:val="Heading2"/>
      </w:pPr>
      <w:r>
        <w:t>Investments in infrastructure: Potential to</w:t>
      </w:r>
      <w:r w:rsidRPr="00A02AA3">
        <w:t xml:space="preserve"> enhance accessibility</w:t>
      </w:r>
    </w:p>
    <w:p w14:paraId="0094C67C" w14:textId="77777777" w:rsidR="00271894" w:rsidRPr="00A02AA3" w:rsidRDefault="00271894" w:rsidP="00271894">
      <w:pPr>
        <w:pStyle w:val="ListParagraph"/>
        <w:spacing w:after="0" w:line="240" w:lineRule="auto"/>
        <w:ind w:left="360"/>
        <w:contextualSpacing w:val="0"/>
        <w:jc w:val="both"/>
        <w:rPr>
          <w:color w:val="000000" w:themeColor="text1"/>
          <w:szCs w:val="22"/>
        </w:rPr>
      </w:pPr>
      <w:r w:rsidRPr="00A02AA3">
        <w:rPr>
          <w:color w:val="000000" w:themeColor="text1"/>
          <w:szCs w:val="22"/>
        </w:rPr>
        <w:t xml:space="preserve">In 2017, OECD estimated that </w:t>
      </w:r>
      <w:r w:rsidRPr="006B4FDA">
        <w:rPr>
          <w:color w:val="000000" w:themeColor="text1"/>
          <w:szCs w:val="22"/>
        </w:rPr>
        <w:t>USD $6.3 trillion</w:t>
      </w:r>
      <w:r w:rsidRPr="00B725F8">
        <w:rPr>
          <w:color w:val="000000" w:themeColor="text1"/>
          <w:szCs w:val="22"/>
        </w:rPr>
        <w:t xml:space="preserve"> global infrastructure investments would be needed annually from 2016-2030, without considering further climate action.</w:t>
      </w:r>
      <w:r w:rsidRPr="00B725F8">
        <w:rPr>
          <w:rStyle w:val="FootnoteReference"/>
          <w:color w:val="000000" w:themeColor="text1"/>
          <w:szCs w:val="22"/>
        </w:rPr>
        <w:footnoteReference w:id="6"/>
      </w:r>
      <w:r w:rsidRPr="00B725F8">
        <w:rPr>
          <w:color w:val="000000" w:themeColor="text1"/>
          <w:szCs w:val="22"/>
        </w:rPr>
        <w:t xml:space="preserve"> In 2016, of Official Development Assistance, more than </w:t>
      </w:r>
      <w:r w:rsidRPr="006B4FDA">
        <w:rPr>
          <w:color w:val="000000" w:themeColor="text1"/>
          <w:szCs w:val="22"/>
        </w:rPr>
        <w:t>42 billion USD</w:t>
      </w:r>
      <w:r w:rsidRPr="00B725F8">
        <w:rPr>
          <w:color w:val="000000" w:themeColor="text1"/>
          <w:szCs w:val="22"/>
        </w:rPr>
        <w:t xml:space="preserve"> was committed to social infrastructure and services, including more than 15 billion in education and health infrastructure and services alone. A further </w:t>
      </w:r>
      <w:r w:rsidRPr="006B4FDA">
        <w:rPr>
          <w:color w:val="000000" w:themeColor="text1"/>
          <w:szCs w:val="22"/>
        </w:rPr>
        <w:t>20.9 billion USD</w:t>
      </w:r>
      <w:r w:rsidRPr="00B725F8">
        <w:rPr>
          <w:color w:val="000000" w:themeColor="text1"/>
          <w:szCs w:val="22"/>
        </w:rPr>
        <w:t xml:space="preserve"> went to economic infrastructure (including transport, communications, energy, banking</w:t>
      </w:r>
      <w:r w:rsidRPr="00A02AA3">
        <w:rPr>
          <w:color w:val="000000" w:themeColor="text1"/>
          <w:szCs w:val="22"/>
        </w:rPr>
        <w:t>, business and other services</w:t>
      </w:r>
      <w:r w:rsidRPr="00A02AA3">
        <w:rPr>
          <w:rStyle w:val="FootnoteReference"/>
          <w:color w:val="000000" w:themeColor="text1"/>
          <w:szCs w:val="22"/>
        </w:rPr>
        <w:footnoteReference w:id="7"/>
      </w:r>
      <w:r w:rsidRPr="00A02AA3">
        <w:rPr>
          <w:color w:val="000000" w:themeColor="text1"/>
          <w:szCs w:val="22"/>
        </w:rPr>
        <w:t xml:space="preserve">. </w:t>
      </w:r>
    </w:p>
    <w:p w14:paraId="668F44D5" w14:textId="77777777" w:rsidR="00271894" w:rsidRDefault="00271894" w:rsidP="00271894">
      <w:pPr>
        <w:rPr>
          <w:rFonts w:ascii="Arial" w:hAnsi="Arial" w:cs="Arial"/>
          <w:b/>
        </w:rPr>
      </w:pPr>
    </w:p>
    <w:p w14:paraId="21508BA7" w14:textId="77777777" w:rsidR="00937A78" w:rsidRPr="00F41010" w:rsidRDefault="003343B7" w:rsidP="00271894">
      <w:pPr>
        <w:pStyle w:val="Heading2"/>
      </w:pPr>
      <w:r w:rsidRPr="00A02AA3">
        <w:t xml:space="preserve"> </w:t>
      </w:r>
      <w:r w:rsidR="001F7CED" w:rsidRPr="00271894">
        <w:t>C</w:t>
      </w:r>
      <w:r w:rsidR="005731FF" w:rsidRPr="00271894">
        <w:t>ost of ensuring accessibility</w:t>
      </w:r>
      <w:r w:rsidR="00411571" w:rsidRPr="00271894">
        <w:t xml:space="preserve"> of </w:t>
      </w:r>
      <w:r w:rsidR="00271894">
        <w:t>infrastructure</w:t>
      </w:r>
    </w:p>
    <w:p w14:paraId="2A0A56AB" w14:textId="77777777" w:rsidR="0097527E" w:rsidRPr="003866AE" w:rsidRDefault="0097527E" w:rsidP="00A02AA3">
      <w:pPr>
        <w:spacing w:after="0" w:line="240" w:lineRule="auto"/>
        <w:ind w:left="360"/>
        <w:jc w:val="both"/>
        <w:rPr>
          <w:rFonts w:ascii="Arial" w:hAnsi="Arial" w:cs="Arial"/>
          <w:i/>
          <w:iCs/>
          <w:color w:val="000000" w:themeColor="text1"/>
        </w:rPr>
      </w:pPr>
      <w:r w:rsidRPr="00A02AA3">
        <w:rPr>
          <w:rFonts w:ascii="Arial" w:hAnsi="Arial" w:cs="Arial"/>
          <w:color w:val="000000" w:themeColor="text1"/>
        </w:rPr>
        <w:t xml:space="preserve">It is estimated that “in new construction, full compliance with all the requirements of accessibility standards is generally feasible </w:t>
      </w:r>
      <w:r w:rsidR="000B0ED3" w:rsidRPr="00A02AA3">
        <w:rPr>
          <w:rFonts w:ascii="Arial" w:hAnsi="Arial" w:cs="Arial"/>
          <w:color w:val="000000" w:themeColor="text1"/>
        </w:rPr>
        <w:t>at 1% of the total cost</w:t>
      </w:r>
      <w:r w:rsidRPr="00A02AA3">
        <w:rPr>
          <w:rFonts w:ascii="Arial" w:hAnsi="Arial" w:cs="Arial"/>
          <w:color w:val="000000" w:themeColor="text1"/>
        </w:rPr>
        <w:t>”.</w:t>
      </w:r>
      <w:r w:rsidR="00152032" w:rsidRPr="00152032">
        <w:rPr>
          <w:rStyle w:val="FootnoteReference"/>
          <w:rFonts w:ascii="Arial" w:hAnsi="Arial" w:cs="Arial"/>
          <w:color w:val="000000" w:themeColor="text1"/>
        </w:rPr>
        <w:t xml:space="preserve"> </w:t>
      </w:r>
      <w:r w:rsidR="00152032" w:rsidRPr="00A02AA3">
        <w:rPr>
          <w:rStyle w:val="FootnoteReference"/>
          <w:rFonts w:ascii="Arial" w:hAnsi="Arial" w:cs="Arial"/>
          <w:color w:val="000000" w:themeColor="text1"/>
        </w:rPr>
        <w:footnoteReference w:id="8"/>
      </w:r>
      <w:r w:rsidRPr="00A02AA3">
        <w:rPr>
          <w:rFonts w:ascii="Arial" w:hAnsi="Arial" w:cs="Arial"/>
          <w:color w:val="000000" w:themeColor="text1"/>
        </w:rPr>
        <w:t xml:space="preserve"> </w:t>
      </w:r>
      <w:r w:rsidR="00152032">
        <w:rPr>
          <w:rFonts w:ascii="Arial" w:hAnsi="Arial" w:cs="Arial"/>
          <w:color w:val="000000" w:themeColor="text1"/>
        </w:rPr>
        <w:t>The World Report on Disability also notes “</w:t>
      </w:r>
      <w:r w:rsidRPr="00A02AA3">
        <w:rPr>
          <w:rFonts w:ascii="Arial" w:hAnsi="Arial" w:cs="Arial"/>
          <w:color w:val="000000" w:themeColor="text1"/>
        </w:rPr>
        <w:t>Making older buildings accessible requires flexibility, because of technical constraints”</w:t>
      </w:r>
      <w:r w:rsidR="000B0ED3" w:rsidRPr="00A02AA3">
        <w:rPr>
          <w:rFonts w:ascii="Arial" w:hAnsi="Arial" w:cs="Arial"/>
          <w:color w:val="000000" w:themeColor="text1"/>
        </w:rPr>
        <w:t>.</w:t>
      </w:r>
      <w:r w:rsidRPr="00A02AA3">
        <w:rPr>
          <w:rStyle w:val="FootnoteReference"/>
          <w:rFonts w:ascii="Arial" w:hAnsi="Arial" w:cs="Arial"/>
          <w:color w:val="000000" w:themeColor="text1"/>
        </w:rPr>
        <w:footnoteReference w:id="9"/>
      </w:r>
      <w:r w:rsidRPr="00A02AA3">
        <w:rPr>
          <w:rFonts w:ascii="Arial" w:hAnsi="Arial" w:cs="Arial"/>
          <w:color w:val="000000" w:themeColor="text1"/>
        </w:rPr>
        <w:t xml:space="preserve"> The World Bank estimate</w:t>
      </w:r>
      <w:r w:rsidR="00152032">
        <w:rPr>
          <w:rFonts w:ascii="Arial" w:hAnsi="Arial" w:cs="Arial"/>
          <w:color w:val="000000" w:themeColor="text1"/>
        </w:rPr>
        <w:t>s</w:t>
      </w:r>
      <w:r w:rsidR="000B0ED3" w:rsidRPr="00A02AA3">
        <w:rPr>
          <w:rFonts w:ascii="Arial" w:hAnsi="Arial" w:cs="Arial"/>
          <w:color w:val="000000" w:themeColor="text1"/>
        </w:rPr>
        <w:t xml:space="preserve"> </w:t>
      </w:r>
      <w:r w:rsidRPr="003866AE">
        <w:rPr>
          <w:rFonts w:ascii="Arial" w:hAnsi="Arial" w:cs="Arial"/>
          <w:i/>
          <w:iCs/>
          <w:color w:val="000000" w:themeColor="text1"/>
        </w:rPr>
        <w:t>“the cost of accessibility is generally less than 1% of total construction costs.”</w:t>
      </w:r>
      <w:r w:rsidRPr="006B4FDA">
        <w:rPr>
          <w:rStyle w:val="FootnoteReference"/>
          <w:rFonts w:ascii="Arial" w:hAnsi="Arial" w:cs="Arial"/>
          <w:iCs/>
          <w:color w:val="000000" w:themeColor="text1"/>
        </w:rPr>
        <w:footnoteReference w:id="10"/>
      </w:r>
    </w:p>
    <w:p w14:paraId="69AB9F28" w14:textId="77777777" w:rsidR="001863A3" w:rsidRPr="00A02AA3" w:rsidRDefault="001863A3" w:rsidP="00A02AA3">
      <w:pPr>
        <w:spacing w:after="0" w:line="240" w:lineRule="auto"/>
        <w:jc w:val="both"/>
        <w:rPr>
          <w:rFonts w:ascii="Arial" w:hAnsi="Arial" w:cs="Arial"/>
        </w:rPr>
      </w:pPr>
    </w:p>
    <w:p w14:paraId="7805B4D8" w14:textId="77777777" w:rsidR="0097527E" w:rsidRPr="00A02AA3" w:rsidRDefault="003343B7" w:rsidP="00271894">
      <w:pPr>
        <w:pStyle w:val="Heading2"/>
      </w:pPr>
      <w:r w:rsidRPr="00A02AA3">
        <w:t xml:space="preserve"> </w:t>
      </w:r>
      <w:r w:rsidR="000B0ED3" w:rsidRPr="00A02AA3">
        <w:t>Existing</w:t>
      </w:r>
      <w:r w:rsidR="0097527E" w:rsidRPr="00A02AA3">
        <w:t xml:space="preserve"> Policies</w:t>
      </w:r>
      <w:r w:rsidR="00E57D51" w:rsidRPr="00A02AA3">
        <w:t xml:space="preserve"> on </w:t>
      </w:r>
      <w:r w:rsidR="00271894">
        <w:t>infrastructure a</w:t>
      </w:r>
      <w:r w:rsidR="00E57D51" w:rsidRPr="00A02AA3">
        <w:t xml:space="preserve">ccessibility </w:t>
      </w:r>
    </w:p>
    <w:p w14:paraId="0DF7B137" w14:textId="77777777" w:rsidR="00090439" w:rsidRPr="00A02AA3" w:rsidRDefault="00090439" w:rsidP="00F41010">
      <w:pPr>
        <w:pStyle w:val="Heading3"/>
      </w:pPr>
      <w:r w:rsidRPr="00A02AA3">
        <w:t>Donors</w:t>
      </w:r>
    </w:p>
    <w:p w14:paraId="72565070" w14:textId="77777777" w:rsidR="0097527E" w:rsidRPr="00BF21C8" w:rsidRDefault="002240CB" w:rsidP="00BF21C8">
      <w:pPr>
        <w:pStyle w:val="ListParagraph"/>
        <w:numPr>
          <w:ilvl w:val="0"/>
          <w:numId w:val="21"/>
        </w:numPr>
        <w:spacing w:after="0" w:line="240" w:lineRule="auto"/>
        <w:jc w:val="both"/>
        <w:rPr>
          <w:color w:val="000000" w:themeColor="text1"/>
        </w:rPr>
      </w:pPr>
      <w:r w:rsidRPr="00BF21C8">
        <w:rPr>
          <w:color w:val="000000" w:themeColor="text1"/>
        </w:rPr>
        <w:t>The United States Agency for International Development (</w:t>
      </w:r>
      <w:r w:rsidR="000B0ED3" w:rsidRPr="00BF21C8">
        <w:rPr>
          <w:color w:val="000000" w:themeColor="text1"/>
        </w:rPr>
        <w:t>USAID</w:t>
      </w:r>
      <w:r w:rsidRPr="00BF21C8">
        <w:rPr>
          <w:color w:val="000000" w:themeColor="text1"/>
        </w:rPr>
        <w:t>)</w:t>
      </w:r>
      <w:r w:rsidR="0085043F" w:rsidRPr="00BF21C8">
        <w:rPr>
          <w:color w:val="000000" w:themeColor="text1"/>
        </w:rPr>
        <w:t>, in 2003-2004</w:t>
      </w:r>
      <w:r w:rsidR="000B0ED3" w:rsidRPr="00BF21C8">
        <w:rPr>
          <w:color w:val="000000" w:themeColor="text1"/>
        </w:rPr>
        <w:t xml:space="preserve"> issued two policy directives which mandated that all new construction and major renovations be made accessible and that all requests or solicitations for funding clearly state how the programs promote and support the 1997 disability policy.</w:t>
      </w:r>
    </w:p>
    <w:p w14:paraId="7458C122" w14:textId="77777777" w:rsidR="000B0ED3" w:rsidRPr="00A02AA3" w:rsidRDefault="000B0ED3" w:rsidP="00A02AA3">
      <w:pPr>
        <w:spacing w:after="0" w:line="240" w:lineRule="auto"/>
        <w:jc w:val="both"/>
        <w:rPr>
          <w:rFonts w:ascii="Arial" w:hAnsi="Arial" w:cs="Arial"/>
        </w:rPr>
      </w:pPr>
    </w:p>
    <w:p w14:paraId="0BF63DA6" w14:textId="77777777" w:rsidR="000B0ED3" w:rsidRPr="00BF21C8" w:rsidRDefault="002240CB" w:rsidP="00BF21C8">
      <w:pPr>
        <w:pStyle w:val="ListParagraph"/>
        <w:numPr>
          <w:ilvl w:val="0"/>
          <w:numId w:val="21"/>
        </w:numPr>
        <w:spacing w:after="0" w:line="240" w:lineRule="auto"/>
        <w:jc w:val="both"/>
        <w:rPr>
          <w:rStyle w:val="Hyperlink"/>
          <w:shd w:val="clear" w:color="auto" w:fill="FAFAFA"/>
        </w:rPr>
      </w:pPr>
      <w:r w:rsidRPr="00261CCD">
        <w:t>The UK</w:t>
      </w:r>
      <w:r w:rsidR="003866AE" w:rsidRPr="00261CCD">
        <w:t xml:space="preserve"> </w:t>
      </w:r>
      <w:r w:rsidR="000B0ED3" w:rsidRPr="00261CCD">
        <w:t>D</w:t>
      </w:r>
      <w:r w:rsidRPr="00261CCD">
        <w:t xml:space="preserve">epartment </w:t>
      </w:r>
      <w:r w:rsidR="000B0ED3" w:rsidRPr="00261CCD">
        <w:t>F</w:t>
      </w:r>
      <w:r w:rsidRPr="00261CCD">
        <w:t xml:space="preserve">or </w:t>
      </w:r>
      <w:r w:rsidR="000B0ED3" w:rsidRPr="00261CCD">
        <w:t>I</w:t>
      </w:r>
      <w:r w:rsidRPr="00261CCD">
        <w:t xml:space="preserve">nternational </w:t>
      </w:r>
      <w:r w:rsidR="000B0ED3" w:rsidRPr="00261CCD">
        <w:t>D</w:t>
      </w:r>
      <w:r w:rsidRPr="00261CCD">
        <w:t>evelopment</w:t>
      </w:r>
      <w:r w:rsidR="000B0ED3" w:rsidRPr="00261CCD">
        <w:t xml:space="preserve"> has a </w:t>
      </w:r>
      <w:hyperlink r:id="rId8" w:history="1">
        <w:r w:rsidR="000B0ED3" w:rsidRPr="00261CCD">
          <w:rPr>
            <w:rStyle w:val="Hyperlink"/>
          </w:rPr>
          <w:t>disability framework</w:t>
        </w:r>
      </w:hyperlink>
      <w:r w:rsidR="000B0ED3" w:rsidRPr="00261CCD">
        <w:t xml:space="preserve"> guiding it’s aid program and a specific policy on accessible construction for schools and educational facilities: </w:t>
      </w:r>
      <w:hyperlink r:id="rId9" w:history="1">
        <w:r w:rsidR="000B0ED3" w:rsidRPr="00261CCD">
          <w:rPr>
            <w:rStyle w:val="Hyperlink"/>
          </w:rPr>
          <w:t>2014 DFID Policy on Standards of Accessibility for Disabled People in DFID Financed Education Construction</w:t>
        </w:r>
      </w:hyperlink>
      <w:r w:rsidR="006B4FDA" w:rsidRPr="00BF21C8">
        <w:rPr>
          <w:rStyle w:val="Hyperlink"/>
          <w:shd w:val="clear" w:color="auto" w:fill="FAFAFA"/>
        </w:rPr>
        <w:t>.</w:t>
      </w:r>
    </w:p>
    <w:p w14:paraId="00A7CC5F" w14:textId="77777777" w:rsidR="000B0ED3" w:rsidRPr="00A02AA3" w:rsidRDefault="000B0ED3" w:rsidP="00A02AA3">
      <w:pPr>
        <w:spacing w:after="0" w:line="240" w:lineRule="auto"/>
        <w:ind w:left="360"/>
        <w:jc w:val="both"/>
        <w:rPr>
          <w:rStyle w:val="Hyperlink"/>
          <w:rFonts w:ascii="Arial" w:hAnsi="Arial" w:cs="Arial"/>
          <w:shd w:val="clear" w:color="auto" w:fill="FAFAFA"/>
        </w:rPr>
      </w:pPr>
    </w:p>
    <w:p w14:paraId="4057FB6E" w14:textId="77777777" w:rsidR="000B0ED3" w:rsidRPr="00BF21C8" w:rsidRDefault="002240CB" w:rsidP="00BF21C8">
      <w:pPr>
        <w:pStyle w:val="ListParagraph"/>
        <w:numPr>
          <w:ilvl w:val="0"/>
          <w:numId w:val="21"/>
        </w:numPr>
        <w:spacing w:after="0" w:line="240" w:lineRule="auto"/>
        <w:jc w:val="both"/>
        <w:rPr>
          <w:rStyle w:val="Hyperlink"/>
          <w:shd w:val="clear" w:color="auto" w:fill="FFFFFF"/>
        </w:rPr>
      </w:pPr>
      <w:r w:rsidRPr="00BF21C8">
        <w:rPr>
          <w:color w:val="333333"/>
          <w:shd w:val="clear" w:color="auto" w:fill="FFFFFF"/>
        </w:rPr>
        <w:t xml:space="preserve">The </w:t>
      </w:r>
      <w:r w:rsidR="003866AE" w:rsidRPr="00BF21C8">
        <w:rPr>
          <w:color w:val="333333"/>
          <w:shd w:val="clear" w:color="auto" w:fill="FFFFFF"/>
        </w:rPr>
        <w:t xml:space="preserve">Japanese International </w:t>
      </w:r>
      <w:r w:rsidR="000B0ED3" w:rsidRPr="00BF21C8">
        <w:rPr>
          <w:color w:val="333333"/>
          <w:shd w:val="clear" w:color="auto" w:fill="FFFFFF"/>
        </w:rPr>
        <w:t>C</w:t>
      </w:r>
      <w:r w:rsidR="003866AE" w:rsidRPr="00BF21C8">
        <w:rPr>
          <w:color w:val="333333"/>
          <w:shd w:val="clear" w:color="auto" w:fill="FFFFFF"/>
        </w:rPr>
        <w:t xml:space="preserve">ooperation </w:t>
      </w:r>
      <w:r w:rsidR="000B0ED3" w:rsidRPr="00BF21C8">
        <w:rPr>
          <w:color w:val="333333"/>
          <w:shd w:val="clear" w:color="auto" w:fill="FFFFFF"/>
        </w:rPr>
        <w:t>A</w:t>
      </w:r>
      <w:r w:rsidR="003866AE" w:rsidRPr="00BF21C8">
        <w:rPr>
          <w:color w:val="333333"/>
          <w:shd w:val="clear" w:color="auto" w:fill="FFFFFF"/>
        </w:rPr>
        <w:t>gency (JICA)</w:t>
      </w:r>
      <w:r w:rsidR="000B0ED3" w:rsidRPr="00BF21C8">
        <w:rPr>
          <w:color w:val="333333"/>
          <w:shd w:val="clear" w:color="auto" w:fill="FFFFFF"/>
        </w:rPr>
        <w:t xml:space="preserve"> has a clear guidance on accessibility in construction for persons with disabilities in the </w:t>
      </w:r>
      <w:hyperlink r:id="rId10" w:history="1">
        <w:r w:rsidR="000B0ED3" w:rsidRPr="00BF21C8">
          <w:rPr>
            <w:rStyle w:val="Hyperlink"/>
          </w:rPr>
          <w:t>JICA Thematic guidelines on disability</w:t>
        </w:r>
      </w:hyperlink>
      <w:r w:rsidR="000B0ED3" w:rsidRPr="00BF21C8">
        <w:t xml:space="preserve"> (March 2009, p.33-34) </w:t>
      </w:r>
      <w:r w:rsidR="000B0ED3" w:rsidRPr="00BF21C8">
        <w:rPr>
          <w:color w:val="333333"/>
          <w:shd w:val="clear" w:color="auto" w:fill="FFFFFF"/>
        </w:rPr>
        <w:t xml:space="preserve">including taking “measures to ensure that the facilities and equipment designed and constructed by JICA’s aid are beneficial for persons with disabilities. See also </w:t>
      </w:r>
      <w:hyperlink r:id="rId11" w:history="1">
        <w:r w:rsidR="000B0ED3" w:rsidRPr="00BF21C8">
          <w:rPr>
            <w:rStyle w:val="Hyperlink"/>
            <w:shd w:val="clear" w:color="auto" w:fill="FFFFFF"/>
          </w:rPr>
          <w:t>appendix 10: Provisions for barrier-free and universal design</w:t>
        </w:r>
      </w:hyperlink>
      <w:r w:rsidR="000B0ED3" w:rsidRPr="00BF21C8">
        <w:rPr>
          <w:rStyle w:val="Hyperlink"/>
          <w:shd w:val="clear" w:color="auto" w:fill="FFFFFF"/>
        </w:rPr>
        <w:t>.</w:t>
      </w:r>
    </w:p>
    <w:p w14:paraId="0A55772B" w14:textId="77777777" w:rsidR="000B0ED3" w:rsidRPr="00A02AA3" w:rsidRDefault="000B0ED3" w:rsidP="00A02AA3">
      <w:pPr>
        <w:spacing w:after="0" w:line="240" w:lineRule="auto"/>
        <w:ind w:left="360"/>
        <w:jc w:val="both"/>
        <w:rPr>
          <w:rStyle w:val="Hyperlink"/>
          <w:rFonts w:ascii="Arial" w:hAnsi="Arial" w:cs="Arial"/>
          <w:shd w:val="clear" w:color="auto" w:fill="FFFFFF"/>
        </w:rPr>
      </w:pPr>
    </w:p>
    <w:p w14:paraId="0BC96126" w14:textId="77777777" w:rsidR="000B0ED3" w:rsidRPr="00BF21C8" w:rsidRDefault="002240CB" w:rsidP="00BF21C8">
      <w:pPr>
        <w:pStyle w:val="ListParagraph"/>
        <w:numPr>
          <w:ilvl w:val="0"/>
          <w:numId w:val="21"/>
        </w:numPr>
        <w:spacing w:after="0" w:line="240" w:lineRule="auto"/>
        <w:jc w:val="both"/>
        <w:rPr>
          <w:b/>
          <w:color w:val="000000" w:themeColor="text1"/>
        </w:rPr>
      </w:pPr>
      <w:r w:rsidRPr="00BF21C8">
        <w:t xml:space="preserve">The </w:t>
      </w:r>
      <w:r w:rsidR="003866AE" w:rsidRPr="00BF21C8">
        <w:t xml:space="preserve">Australian </w:t>
      </w:r>
      <w:r w:rsidR="0085043F" w:rsidRPr="00BF21C8">
        <w:t>D</w:t>
      </w:r>
      <w:r w:rsidRPr="00BF21C8">
        <w:t xml:space="preserve">epartment of </w:t>
      </w:r>
      <w:r w:rsidR="0085043F" w:rsidRPr="00BF21C8">
        <w:t>F</w:t>
      </w:r>
      <w:r w:rsidRPr="00BF21C8">
        <w:t xml:space="preserve">oreign Affairs and </w:t>
      </w:r>
      <w:r w:rsidR="0085043F" w:rsidRPr="00BF21C8">
        <w:t>T</w:t>
      </w:r>
      <w:r w:rsidRPr="00BF21C8">
        <w:t>rade</w:t>
      </w:r>
      <w:r w:rsidR="0085043F" w:rsidRPr="00BF21C8">
        <w:t xml:space="preserve"> </w:t>
      </w:r>
      <w:r w:rsidR="000B0ED3" w:rsidRPr="00BF21C8">
        <w:t xml:space="preserve">has a major focus on disability inclusion and accessibility guided by the strategy </w:t>
      </w:r>
      <w:hyperlink r:id="rId12" w:history="1">
        <w:r w:rsidR="000B0ED3" w:rsidRPr="00BF21C8">
          <w:rPr>
            <w:rStyle w:val="Hyperlink"/>
            <w:i/>
          </w:rPr>
          <w:t>Development for all 2015 – 2020</w:t>
        </w:r>
      </w:hyperlink>
      <w:r w:rsidR="000B0ED3" w:rsidRPr="00BF21C8">
        <w:t xml:space="preserve">  and the </w:t>
      </w:r>
      <w:hyperlink r:id="rId13" w:history="1">
        <w:r w:rsidR="000B0ED3" w:rsidRPr="00BF21C8">
          <w:rPr>
            <w:rStyle w:val="Hyperlink"/>
            <w:i/>
          </w:rPr>
          <w:t>Accessibility Design Guide: Universal design principles for Australia’s aid program</w:t>
        </w:r>
      </w:hyperlink>
      <w:r w:rsidR="000B0ED3" w:rsidRPr="00BF21C8">
        <w:rPr>
          <w:rStyle w:val="Hyperlink"/>
          <w:i/>
        </w:rPr>
        <w:t xml:space="preserve"> </w:t>
      </w:r>
      <w:r w:rsidR="000B0ED3" w:rsidRPr="00BF21C8">
        <w:t>requiring new infrastructure funded through the aid program to be physically accessible for people with disabilities</w:t>
      </w:r>
      <w:r w:rsidRPr="00BF21C8">
        <w:t xml:space="preserve">, also benefiting </w:t>
      </w:r>
      <w:r w:rsidR="000B0ED3" w:rsidRPr="00BF21C8">
        <w:t xml:space="preserve">pregnant </w:t>
      </w:r>
      <w:r w:rsidR="000B0ED3" w:rsidRPr="00BF21C8">
        <w:rPr>
          <w:color w:val="000000" w:themeColor="text1"/>
        </w:rPr>
        <w:t>women, children and the elderly, to support to partner governments to update building codes to increase infrastructure accessibility and work with multilateral organisations in strengthening implementation of disability access.</w:t>
      </w:r>
    </w:p>
    <w:p w14:paraId="47A0AEF1" w14:textId="77777777" w:rsidR="0097527E" w:rsidRPr="00A02AA3" w:rsidRDefault="0097527E" w:rsidP="003866AE">
      <w:pPr>
        <w:spacing w:after="0" w:line="240" w:lineRule="auto"/>
        <w:jc w:val="both"/>
        <w:rPr>
          <w:rFonts w:ascii="Arial" w:hAnsi="Arial" w:cs="Arial"/>
        </w:rPr>
      </w:pPr>
    </w:p>
    <w:p w14:paraId="7A643FF8" w14:textId="77777777" w:rsidR="00090439" w:rsidRPr="00A02AA3" w:rsidRDefault="00411571" w:rsidP="00271894">
      <w:pPr>
        <w:pStyle w:val="Heading3"/>
      </w:pPr>
      <w:r w:rsidRPr="00A02AA3">
        <w:lastRenderedPageBreak/>
        <w:t xml:space="preserve">International </w:t>
      </w:r>
      <w:r w:rsidRPr="00271894">
        <w:t xml:space="preserve">Organisations and </w:t>
      </w:r>
      <w:r w:rsidR="00090439" w:rsidRPr="00271894">
        <w:t>UN Agencies</w:t>
      </w:r>
    </w:p>
    <w:p w14:paraId="72F706ED" w14:textId="77777777" w:rsidR="00411571" w:rsidRPr="00A02AA3" w:rsidRDefault="00411571" w:rsidP="003866AE">
      <w:pPr>
        <w:spacing w:line="240" w:lineRule="auto"/>
        <w:ind w:left="360"/>
        <w:jc w:val="both"/>
        <w:rPr>
          <w:rFonts w:ascii="Arial" w:hAnsi="Arial" w:cs="Arial"/>
          <w:color w:val="000000" w:themeColor="text1"/>
        </w:rPr>
      </w:pPr>
      <w:r w:rsidRPr="00A02AA3">
        <w:rPr>
          <w:rFonts w:ascii="Arial" w:hAnsi="Arial" w:cs="Arial"/>
          <w:color w:val="000000" w:themeColor="text1"/>
        </w:rPr>
        <w:t>In 2011 the International Organi</w:t>
      </w:r>
      <w:r w:rsidR="00152032">
        <w:rPr>
          <w:rFonts w:ascii="Arial" w:hAnsi="Arial" w:cs="Arial"/>
          <w:color w:val="000000" w:themeColor="text1"/>
        </w:rPr>
        <w:t>z</w:t>
      </w:r>
      <w:r w:rsidRPr="00A02AA3">
        <w:rPr>
          <w:rFonts w:ascii="Arial" w:hAnsi="Arial" w:cs="Arial"/>
          <w:color w:val="000000" w:themeColor="text1"/>
        </w:rPr>
        <w:t xml:space="preserve">ation </w:t>
      </w:r>
      <w:r w:rsidR="007E6BEA">
        <w:rPr>
          <w:rFonts w:ascii="Arial" w:hAnsi="Arial" w:cs="Arial"/>
          <w:color w:val="000000" w:themeColor="text1"/>
        </w:rPr>
        <w:t>for Standardi</w:t>
      </w:r>
      <w:r w:rsidR="00152032">
        <w:rPr>
          <w:rFonts w:ascii="Arial" w:hAnsi="Arial" w:cs="Arial"/>
          <w:color w:val="000000" w:themeColor="text1"/>
        </w:rPr>
        <w:t>z</w:t>
      </w:r>
      <w:r w:rsidR="007E6BEA">
        <w:rPr>
          <w:rFonts w:ascii="Arial" w:hAnsi="Arial" w:cs="Arial"/>
          <w:color w:val="000000" w:themeColor="text1"/>
        </w:rPr>
        <w:t xml:space="preserve">ation </w:t>
      </w:r>
      <w:r w:rsidRPr="00A02AA3">
        <w:rPr>
          <w:rFonts w:ascii="Arial" w:hAnsi="Arial" w:cs="Arial"/>
          <w:color w:val="000000" w:themeColor="text1"/>
        </w:rPr>
        <w:t>(ISO) issued ISO 21542 Accessibility and Usability of the Built Environment which lays down accessibility standards with respect to the built environment.</w:t>
      </w:r>
    </w:p>
    <w:p w14:paraId="09D1996D" w14:textId="77777777" w:rsidR="00902B37" w:rsidRDefault="0085043F" w:rsidP="00BF21C8">
      <w:pPr>
        <w:spacing w:line="240" w:lineRule="auto"/>
        <w:ind w:left="360"/>
        <w:jc w:val="both"/>
        <w:rPr>
          <w:rFonts w:ascii="Arial" w:hAnsi="Arial" w:cs="Arial"/>
          <w:color w:val="000000" w:themeColor="text1"/>
        </w:rPr>
      </w:pPr>
      <w:r w:rsidRPr="00A02AA3">
        <w:rPr>
          <w:rFonts w:ascii="Arial" w:hAnsi="Arial" w:cs="Arial"/>
          <w:color w:val="000000" w:themeColor="text1"/>
        </w:rPr>
        <w:t>I</w:t>
      </w:r>
      <w:r w:rsidR="00D2068D" w:rsidRPr="00A02AA3">
        <w:rPr>
          <w:rFonts w:ascii="Arial" w:hAnsi="Arial" w:cs="Arial"/>
          <w:color w:val="000000" w:themeColor="text1"/>
        </w:rPr>
        <w:t>n</w:t>
      </w:r>
      <w:r w:rsidRPr="00A02AA3">
        <w:rPr>
          <w:rFonts w:ascii="Arial" w:hAnsi="Arial" w:cs="Arial"/>
          <w:color w:val="000000" w:themeColor="text1"/>
        </w:rPr>
        <w:t xml:space="preserve"> 2017 UNICEF issued an Executive Directive on Accessibility of Programme</w:t>
      </w:r>
      <w:r w:rsidR="00152032">
        <w:rPr>
          <w:rFonts w:ascii="Arial" w:hAnsi="Arial" w:cs="Arial"/>
          <w:color w:val="000000" w:themeColor="text1"/>
        </w:rPr>
        <w:t>-</w:t>
      </w:r>
      <w:r w:rsidRPr="00A02AA3">
        <w:rPr>
          <w:rFonts w:ascii="Arial" w:hAnsi="Arial" w:cs="Arial"/>
          <w:color w:val="000000" w:themeColor="text1"/>
        </w:rPr>
        <w:t>Related Construction Activities which stipulates all construction to be accessible to persons with disabilities and to factor accessibility cost in planning and design of projects. It also lays down procurement procedures to ensure accessibility and financial tracking codes to monitor and report on accessible construction</w:t>
      </w:r>
      <w:r w:rsidR="00B72962">
        <w:rPr>
          <w:rFonts w:ascii="Arial" w:hAnsi="Arial" w:cs="Arial"/>
          <w:color w:val="000000" w:themeColor="text1"/>
        </w:rPr>
        <w:t xml:space="preserve">. </w:t>
      </w:r>
    </w:p>
    <w:p w14:paraId="48F7B0A8" w14:textId="77777777" w:rsidR="002240CB" w:rsidRDefault="00B72962" w:rsidP="00BF21C8">
      <w:pPr>
        <w:spacing w:line="240" w:lineRule="auto"/>
        <w:ind w:left="360"/>
        <w:jc w:val="both"/>
        <w:rPr>
          <w:rFonts w:ascii="Arial" w:hAnsi="Arial" w:cs="Arial"/>
          <w:color w:val="000000" w:themeColor="text1"/>
        </w:rPr>
      </w:pPr>
      <w:r>
        <w:rPr>
          <w:rFonts w:ascii="Arial" w:hAnsi="Arial" w:cs="Arial"/>
          <w:color w:val="000000" w:themeColor="text1"/>
        </w:rPr>
        <w:t xml:space="preserve">Several other UN Agencies have development implantation and design guides on </w:t>
      </w:r>
      <w:r w:rsidR="00902B37">
        <w:rPr>
          <w:rFonts w:ascii="Arial" w:hAnsi="Arial" w:cs="Arial"/>
          <w:color w:val="000000" w:themeColor="text1"/>
        </w:rPr>
        <w:t>accessibility, e.g. UNDESA and UNDP.</w:t>
      </w:r>
      <w:r w:rsidR="00902B37">
        <w:rPr>
          <w:rStyle w:val="FootnoteReference"/>
          <w:rFonts w:ascii="Arial" w:hAnsi="Arial" w:cs="Arial"/>
          <w:color w:val="000000" w:themeColor="text1"/>
        </w:rPr>
        <w:footnoteReference w:id="11"/>
      </w:r>
      <w:r w:rsidR="00902B37">
        <w:rPr>
          <w:rFonts w:ascii="Arial" w:hAnsi="Arial" w:cs="Arial"/>
          <w:color w:val="000000" w:themeColor="text1"/>
        </w:rPr>
        <w:t xml:space="preserve"> </w:t>
      </w:r>
    </w:p>
    <w:p w14:paraId="6140F080" w14:textId="77777777" w:rsidR="00090439" w:rsidRPr="00A02AA3" w:rsidRDefault="00090439" w:rsidP="00F41010">
      <w:pPr>
        <w:pStyle w:val="Heading3"/>
      </w:pPr>
      <w:r w:rsidRPr="00A02AA3">
        <w:t>Countries</w:t>
      </w:r>
    </w:p>
    <w:p w14:paraId="135745AE" w14:textId="77777777" w:rsidR="002240CB" w:rsidRDefault="009D3408" w:rsidP="003866AE">
      <w:pPr>
        <w:spacing w:line="240" w:lineRule="auto"/>
        <w:ind w:left="360"/>
        <w:jc w:val="both"/>
        <w:rPr>
          <w:rFonts w:ascii="Arial" w:hAnsi="Arial" w:cs="Arial"/>
          <w:color w:val="000000" w:themeColor="text1"/>
        </w:rPr>
      </w:pPr>
      <w:r w:rsidRPr="00A02AA3">
        <w:rPr>
          <w:rFonts w:ascii="Arial" w:hAnsi="Arial" w:cs="Arial"/>
          <w:color w:val="000000" w:themeColor="text1"/>
        </w:rPr>
        <w:t xml:space="preserve">A large number of countries </w:t>
      </w:r>
      <w:r w:rsidR="001863A3" w:rsidRPr="00A02AA3">
        <w:rPr>
          <w:rFonts w:ascii="Arial" w:hAnsi="Arial" w:cs="Arial"/>
          <w:color w:val="000000" w:themeColor="text1"/>
        </w:rPr>
        <w:t xml:space="preserve">already </w:t>
      </w:r>
      <w:r w:rsidRPr="00A02AA3">
        <w:rPr>
          <w:rFonts w:ascii="Arial" w:hAnsi="Arial" w:cs="Arial"/>
          <w:color w:val="000000" w:themeColor="text1"/>
        </w:rPr>
        <w:t>have accessibility of the built environment in their legislations, policies and bu</w:t>
      </w:r>
      <w:r w:rsidR="001438AE" w:rsidRPr="00A02AA3">
        <w:rPr>
          <w:rFonts w:ascii="Arial" w:hAnsi="Arial" w:cs="Arial"/>
          <w:color w:val="000000" w:themeColor="text1"/>
        </w:rPr>
        <w:t>i</w:t>
      </w:r>
      <w:r w:rsidRPr="00A02AA3">
        <w:rPr>
          <w:rFonts w:ascii="Arial" w:hAnsi="Arial" w:cs="Arial"/>
          <w:color w:val="000000" w:themeColor="text1"/>
        </w:rPr>
        <w:t xml:space="preserve">lding codes. </w:t>
      </w:r>
      <w:r w:rsidR="002240CB">
        <w:rPr>
          <w:rFonts w:ascii="Arial" w:hAnsi="Arial" w:cs="Arial"/>
          <w:color w:val="000000" w:themeColor="text1"/>
        </w:rPr>
        <w:t>The World Report on Disability notes “</w:t>
      </w:r>
      <w:r w:rsidR="002240CB" w:rsidRPr="00BF21C8">
        <w:rPr>
          <w:rFonts w:ascii="Arial" w:hAnsi="Arial" w:cs="Arial"/>
          <w:color w:val="000000" w:themeColor="text1"/>
        </w:rPr>
        <w:t>A compilation of data on 36 countries and areas in Asia and the Pacific showed that 72% have accessibility standards for either the built environment or public transport or both.”</w:t>
      </w:r>
      <w:r w:rsidR="002240CB" w:rsidRPr="00BF21C8">
        <w:t xml:space="preserve"> </w:t>
      </w:r>
      <w:r w:rsidR="002240CB" w:rsidRPr="00BF21C8">
        <w:rPr>
          <w:vertAlign w:val="superscript"/>
        </w:rPr>
        <w:footnoteReference w:id="12"/>
      </w:r>
    </w:p>
    <w:p w14:paraId="1618DC43" w14:textId="77777777" w:rsidR="009D3408" w:rsidRPr="00A02AA3" w:rsidRDefault="006608FA" w:rsidP="003866AE">
      <w:pPr>
        <w:spacing w:line="240" w:lineRule="auto"/>
        <w:ind w:left="360"/>
        <w:jc w:val="both"/>
        <w:rPr>
          <w:rFonts w:ascii="Arial" w:hAnsi="Arial" w:cs="Arial"/>
          <w:color w:val="000000" w:themeColor="text1"/>
        </w:rPr>
      </w:pPr>
      <w:r w:rsidRPr="00A02AA3">
        <w:rPr>
          <w:rFonts w:ascii="Arial" w:hAnsi="Arial" w:cs="Arial"/>
          <w:color w:val="000000" w:themeColor="text1"/>
        </w:rPr>
        <w:t xml:space="preserve">With the domestication and implementation of the CRPD more and more countries are incorporating accessibility of the built environment in their internal policies and practices. </w:t>
      </w:r>
    </w:p>
    <w:p w14:paraId="52C6A4B8" w14:textId="114B7663" w:rsidR="00A02AA3" w:rsidRDefault="00AA6EDF" w:rsidP="00F41010">
      <w:pPr>
        <w:pStyle w:val="Heading2"/>
        <w:numPr>
          <w:ilvl w:val="0"/>
          <w:numId w:val="0"/>
        </w:numPr>
        <w:ind w:left="792" w:hanging="432"/>
      </w:pPr>
      <w:r>
        <w:t>4</w:t>
      </w:r>
      <w:r w:rsidR="00271894">
        <w:t>.4</w:t>
      </w:r>
      <w:r w:rsidR="00BD1E59" w:rsidRPr="00A02AA3">
        <w:t xml:space="preserve"> </w:t>
      </w:r>
      <w:r w:rsidR="006F1CDF">
        <w:t>Opportunities to strengthen implementation of accessible</w:t>
      </w:r>
      <w:r w:rsidR="00271894">
        <w:t xml:space="preserve"> infrastructure</w:t>
      </w:r>
    </w:p>
    <w:p w14:paraId="29AA1165" w14:textId="77777777" w:rsidR="001438AE" w:rsidRPr="00F41010" w:rsidRDefault="001438AE" w:rsidP="00F41010">
      <w:pPr>
        <w:ind w:left="360"/>
        <w:rPr>
          <w:rFonts w:ascii="Arial" w:hAnsi="Arial" w:cs="Arial"/>
          <w:color w:val="000000" w:themeColor="text1"/>
        </w:rPr>
      </w:pPr>
      <w:r w:rsidRPr="00F41010">
        <w:rPr>
          <w:rFonts w:ascii="Arial" w:hAnsi="Arial" w:cs="Arial"/>
          <w:color w:val="000000" w:themeColor="text1"/>
        </w:rPr>
        <w:t>While policies and standards on accessibility of the built environment exist</w:t>
      </w:r>
      <w:r w:rsidR="00320B89" w:rsidRPr="00F41010">
        <w:rPr>
          <w:rFonts w:ascii="Arial" w:hAnsi="Arial" w:cs="Arial"/>
          <w:color w:val="000000" w:themeColor="text1"/>
        </w:rPr>
        <w:t>,</w:t>
      </w:r>
      <w:r w:rsidRPr="00F41010">
        <w:rPr>
          <w:rFonts w:ascii="Arial" w:hAnsi="Arial" w:cs="Arial"/>
          <w:color w:val="000000" w:themeColor="text1"/>
        </w:rPr>
        <w:t xml:space="preserve"> there are </w:t>
      </w:r>
      <w:r w:rsidR="0055268B" w:rsidRPr="00F41010">
        <w:rPr>
          <w:rFonts w:ascii="Arial" w:hAnsi="Arial" w:cs="Arial"/>
          <w:color w:val="000000" w:themeColor="text1"/>
        </w:rPr>
        <w:t xml:space="preserve">a range of </w:t>
      </w:r>
      <w:r w:rsidRPr="00F41010">
        <w:rPr>
          <w:rFonts w:ascii="Arial" w:hAnsi="Arial" w:cs="Arial"/>
          <w:color w:val="000000" w:themeColor="text1"/>
        </w:rPr>
        <w:t xml:space="preserve">challenges and bottlenecks which need to be addressed to ensure accessibility of the built environment. </w:t>
      </w:r>
      <w:r w:rsidR="0055268B" w:rsidRPr="00F41010">
        <w:rPr>
          <w:rFonts w:ascii="Arial" w:hAnsi="Arial" w:cs="Arial"/>
          <w:color w:val="000000" w:themeColor="text1"/>
        </w:rPr>
        <w:t xml:space="preserve">Some of them </w:t>
      </w:r>
      <w:r w:rsidRPr="00F41010">
        <w:rPr>
          <w:rFonts w:ascii="Arial" w:hAnsi="Arial" w:cs="Arial"/>
          <w:color w:val="000000" w:themeColor="text1"/>
        </w:rPr>
        <w:t>include:</w:t>
      </w:r>
    </w:p>
    <w:p w14:paraId="7C6A0E67" w14:textId="77777777" w:rsidR="006B4FDA" w:rsidRDefault="001438AE" w:rsidP="00A02AA3">
      <w:pPr>
        <w:pStyle w:val="ListParagraph"/>
        <w:numPr>
          <w:ilvl w:val="0"/>
          <w:numId w:val="12"/>
        </w:numPr>
        <w:spacing w:line="240" w:lineRule="auto"/>
        <w:contextualSpacing w:val="0"/>
        <w:rPr>
          <w:color w:val="000000" w:themeColor="text1"/>
          <w:szCs w:val="22"/>
        </w:rPr>
      </w:pPr>
      <w:r w:rsidRPr="00A02AA3">
        <w:rPr>
          <w:color w:val="000000" w:themeColor="text1"/>
          <w:szCs w:val="22"/>
        </w:rPr>
        <w:t xml:space="preserve">Accessibility is not systematically incorporated </w:t>
      </w:r>
      <w:r w:rsidR="005178B8" w:rsidRPr="00A02AA3">
        <w:rPr>
          <w:color w:val="000000" w:themeColor="text1"/>
          <w:szCs w:val="22"/>
        </w:rPr>
        <w:t xml:space="preserve">and enforced </w:t>
      </w:r>
      <w:r w:rsidRPr="00A02AA3">
        <w:rPr>
          <w:color w:val="000000" w:themeColor="text1"/>
          <w:szCs w:val="22"/>
        </w:rPr>
        <w:t xml:space="preserve">in </w:t>
      </w:r>
      <w:r w:rsidR="00270788" w:rsidRPr="00A02AA3">
        <w:rPr>
          <w:color w:val="000000" w:themeColor="text1"/>
          <w:szCs w:val="22"/>
        </w:rPr>
        <w:t>procurement (tenders and contracts) related to projects on the built environment</w:t>
      </w:r>
      <w:r w:rsidR="00B725F8">
        <w:rPr>
          <w:color w:val="000000" w:themeColor="text1"/>
          <w:szCs w:val="22"/>
        </w:rPr>
        <w:t>, including in assessments, definition of specifications, designs, project monitoring and lessons learned</w:t>
      </w:r>
      <w:r w:rsidR="00320B89" w:rsidRPr="00A02AA3">
        <w:rPr>
          <w:color w:val="000000" w:themeColor="text1"/>
          <w:szCs w:val="22"/>
        </w:rPr>
        <w:t>;</w:t>
      </w:r>
      <w:r w:rsidR="0055268B" w:rsidRPr="00A02AA3">
        <w:rPr>
          <w:color w:val="000000" w:themeColor="text1"/>
          <w:szCs w:val="22"/>
        </w:rPr>
        <w:t xml:space="preserve"> </w:t>
      </w:r>
    </w:p>
    <w:p w14:paraId="0BB786E6" w14:textId="77777777" w:rsidR="00320B89" w:rsidRPr="00A02AA3" w:rsidRDefault="00270788" w:rsidP="00A02AA3">
      <w:pPr>
        <w:pStyle w:val="ListParagraph"/>
        <w:numPr>
          <w:ilvl w:val="0"/>
          <w:numId w:val="12"/>
        </w:numPr>
        <w:spacing w:line="240" w:lineRule="auto"/>
        <w:contextualSpacing w:val="0"/>
        <w:rPr>
          <w:color w:val="000000" w:themeColor="text1"/>
          <w:szCs w:val="22"/>
        </w:rPr>
      </w:pPr>
      <w:r w:rsidRPr="00A02AA3">
        <w:rPr>
          <w:color w:val="000000" w:themeColor="text1"/>
          <w:szCs w:val="22"/>
        </w:rPr>
        <w:t>Mechanisms to monitor and report expenditure on accessibility of the built environment often do not exist within agencies</w:t>
      </w:r>
      <w:r w:rsidR="00320B89" w:rsidRPr="00A02AA3">
        <w:rPr>
          <w:color w:val="000000" w:themeColor="text1"/>
          <w:szCs w:val="22"/>
        </w:rPr>
        <w:t>;</w:t>
      </w:r>
    </w:p>
    <w:p w14:paraId="1ABED43D" w14:textId="77777777" w:rsidR="0055268B" w:rsidRPr="00A02AA3" w:rsidRDefault="0024713A" w:rsidP="00A02AA3">
      <w:pPr>
        <w:pStyle w:val="ListParagraph"/>
        <w:numPr>
          <w:ilvl w:val="0"/>
          <w:numId w:val="12"/>
        </w:numPr>
        <w:spacing w:line="240" w:lineRule="auto"/>
        <w:contextualSpacing w:val="0"/>
        <w:rPr>
          <w:color w:val="000000" w:themeColor="text1"/>
          <w:szCs w:val="22"/>
        </w:rPr>
      </w:pPr>
      <w:r w:rsidRPr="00A02AA3">
        <w:rPr>
          <w:color w:val="000000" w:themeColor="text1"/>
          <w:szCs w:val="22"/>
        </w:rPr>
        <w:t>Though research and evidence show that cost of ensuring accessibility is marginal if it is considered from the planning and design stage</w:t>
      </w:r>
      <w:r w:rsidR="00F1394F" w:rsidRPr="00A02AA3">
        <w:rPr>
          <w:color w:val="000000" w:themeColor="text1"/>
          <w:szCs w:val="22"/>
        </w:rPr>
        <w:t>,</w:t>
      </w:r>
      <w:r w:rsidRPr="00A02AA3">
        <w:rPr>
          <w:color w:val="000000" w:themeColor="text1"/>
          <w:szCs w:val="22"/>
        </w:rPr>
        <w:t xml:space="preserve"> there is a misconception that accessibility is expensive</w:t>
      </w:r>
      <w:r w:rsidR="00320B89" w:rsidRPr="00A02AA3">
        <w:rPr>
          <w:color w:val="000000" w:themeColor="text1"/>
          <w:szCs w:val="22"/>
        </w:rPr>
        <w:t>.</w:t>
      </w:r>
    </w:p>
    <w:p w14:paraId="3F456327" w14:textId="6373D5DB" w:rsidR="009729A3" w:rsidRPr="009729A3" w:rsidRDefault="00271894" w:rsidP="00AA6EDF">
      <w:pPr>
        <w:pStyle w:val="Heading1"/>
      </w:pPr>
      <w:r w:rsidRPr="006F1CDF">
        <w:t>Assistive products</w:t>
      </w:r>
      <w:bookmarkStart w:id="2" w:name="_GoBack"/>
      <w:bookmarkEnd w:id="2"/>
    </w:p>
    <w:p w14:paraId="63F9ABC7" w14:textId="77777777" w:rsidR="00271894" w:rsidRDefault="00271894" w:rsidP="00F41010">
      <w:pPr>
        <w:pStyle w:val="Heading2"/>
      </w:pPr>
      <w:r>
        <w:t xml:space="preserve">Challenges in access to quality, affordable assistive products </w:t>
      </w:r>
    </w:p>
    <w:p w14:paraId="7C3FDE9C" w14:textId="77777777" w:rsidR="009729A3" w:rsidRPr="009729A3" w:rsidRDefault="00152032" w:rsidP="009729A3">
      <w:pPr>
        <w:spacing w:line="240" w:lineRule="auto"/>
        <w:ind w:left="360"/>
        <w:jc w:val="both"/>
        <w:rPr>
          <w:rFonts w:ascii="Arial" w:hAnsi="Arial" w:cs="Arial"/>
          <w:color w:val="000000" w:themeColor="text1"/>
        </w:rPr>
      </w:pPr>
      <w:r>
        <w:rPr>
          <w:rFonts w:ascii="Arial" w:hAnsi="Arial" w:cs="Arial"/>
          <w:color w:val="000000" w:themeColor="text1"/>
        </w:rPr>
        <w:t xml:space="preserve">The </w:t>
      </w:r>
      <w:r w:rsidR="00D91E0B" w:rsidRPr="00A02AA3">
        <w:rPr>
          <w:rFonts w:ascii="Arial" w:hAnsi="Arial" w:cs="Arial"/>
          <w:color w:val="000000" w:themeColor="text1"/>
        </w:rPr>
        <w:t xml:space="preserve">WHO estimates that there are more than 1 billion people who would benefit from one or more assistive products. </w:t>
      </w:r>
      <w:r w:rsidR="009729A3">
        <w:rPr>
          <w:rFonts w:ascii="Arial" w:hAnsi="Arial" w:cs="Arial"/>
          <w:color w:val="000000" w:themeColor="text1"/>
        </w:rPr>
        <w:t>F</w:t>
      </w:r>
      <w:r w:rsidR="009729A3">
        <w:rPr>
          <w:rFonts w:ascii="Arial" w:hAnsi="Arial" w:cs="Arial"/>
        </w:rPr>
        <w:t xml:space="preserve">or children with disabilities, assistive products can represent the difference between enjoying basic rights, or being deprived of them.  Assistive products can help children to become more mobile, communicate, see and hear better, and participate more fully in education, family and community life. However, these products are effective only if they are appropriate to the individual child who uses them, and if they work well in the context in which the child lives. </w:t>
      </w:r>
    </w:p>
    <w:p w14:paraId="394C0766" w14:textId="77777777" w:rsidR="00D91E0B" w:rsidRPr="00A02AA3" w:rsidRDefault="00D91E0B" w:rsidP="003866AE">
      <w:pPr>
        <w:spacing w:line="240" w:lineRule="auto"/>
        <w:ind w:left="360"/>
        <w:jc w:val="both"/>
        <w:rPr>
          <w:rFonts w:ascii="Arial" w:hAnsi="Arial" w:cs="Arial"/>
          <w:color w:val="000000" w:themeColor="text1"/>
        </w:rPr>
      </w:pPr>
      <w:r w:rsidRPr="00A02AA3">
        <w:rPr>
          <w:rFonts w:ascii="Arial" w:hAnsi="Arial" w:cs="Arial"/>
          <w:color w:val="000000" w:themeColor="text1"/>
        </w:rPr>
        <w:t xml:space="preserve">With populations ageing </w:t>
      </w:r>
      <w:r w:rsidR="003866AE">
        <w:rPr>
          <w:rFonts w:ascii="Arial" w:hAnsi="Arial" w:cs="Arial"/>
          <w:color w:val="000000" w:themeColor="text1"/>
        </w:rPr>
        <w:t xml:space="preserve">and the prevalence of </w:t>
      </w:r>
      <w:r w:rsidRPr="00A02AA3">
        <w:rPr>
          <w:rFonts w:ascii="Arial" w:hAnsi="Arial" w:cs="Arial"/>
          <w:color w:val="000000" w:themeColor="text1"/>
        </w:rPr>
        <w:t xml:space="preserve">noncommunicable diseases rising across the world, this number is likely to rise above 2 billion by 2050, with many older people </w:t>
      </w:r>
      <w:r w:rsidRPr="00A02AA3">
        <w:rPr>
          <w:rFonts w:ascii="Arial" w:hAnsi="Arial" w:cs="Arial"/>
          <w:color w:val="000000" w:themeColor="text1"/>
        </w:rPr>
        <w:lastRenderedPageBreak/>
        <w:t>needing two or more products as they age. Those who most need assistive technology include, among others: people with disability, older people, people with noncommunicable diseases, people with mental health conditions including dementia and autism, and people with gradual functional decline.</w:t>
      </w:r>
    </w:p>
    <w:p w14:paraId="34C4B04B" w14:textId="77777777" w:rsidR="00D91E0B" w:rsidRDefault="00D84C54" w:rsidP="003866AE">
      <w:pPr>
        <w:spacing w:line="240" w:lineRule="auto"/>
        <w:ind w:left="360"/>
        <w:jc w:val="both"/>
        <w:rPr>
          <w:rFonts w:ascii="Arial" w:hAnsi="Arial" w:cs="Arial"/>
          <w:color w:val="000000" w:themeColor="text1"/>
        </w:rPr>
      </w:pPr>
      <w:r w:rsidRPr="00A02AA3">
        <w:rPr>
          <w:rFonts w:ascii="Arial" w:hAnsi="Arial" w:cs="Arial"/>
          <w:color w:val="000000" w:themeColor="text1"/>
        </w:rPr>
        <w:t>Today only 1 in 10 people in need have access to assistive products, owing to high costs and a lack of financing, availability, awareness and trained personnel</w:t>
      </w:r>
      <w:r w:rsidR="00B20828" w:rsidRPr="00A02AA3">
        <w:rPr>
          <w:rStyle w:val="FootnoteReference"/>
          <w:rFonts w:ascii="Arial" w:hAnsi="Arial" w:cs="Arial"/>
          <w:color w:val="000000" w:themeColor="text1"/>
        </w:rPr>
        <w:footnoteReference w:id="13"/>
      </w:r>
      <w:r w:rsidRPr="00A02AA3">
        <w:rPr>
          <w:rFonts w:ascii="Arial" w:hAnsi="Arial" w:cs="Arial"/>
          <w:color w:val="000000" w:themeColor="text1"/>
        </w:rPr>
        <w:t>. For example, 70 million people need a wheelchair but only 5–15% have access to one</w:t>
      </w:r>
      <w:r w:rsidR="008B021A" w:rsidRPr="00A02AA3">
        <w:rPr>
          <w:rStyle w:val="FootnoteReference"/>
          <w:rFonts w:ascii="Arial" w:hAnsi="Arial" w:cs="Arial"/>
          <w:color w:val="000000" w:themeColor="text1"/>
        </w:rPr>
        <w:footnoteReference w:id="14"/>
      </w:r>
      <w:r w:rsidRPr="00A02AA3">
        <w:rPr>
          <w:rFonts w:ascii="Arial" w:hAnsi="Arial" w:cs="Arial"/>
          <w:color w:val="000000" w:themeColor="text1"/>
        </w:rPr>
        <w:t>, and hearing aid production meets only 10% of global need and 3% of the need in low-income countries</w:t>
      </w:r>
      <w:r w:rsidR="00152032">
        <w:rPr>
          <w:rFonts w:ascii="Arial" w:hAnsi="Arial" w:cs="Arial"/>
          <w:color w:val="000000" w:themeColor="text1"/>
        </w:rPr>
        <w:t>.</w:t>
      </w:r>
      <w:r w:rsidR="00B20828" w:rsidRPr="00A02AA3">
        <w:rPr>
          <w:rStyle w:val="FootnoteReference"/>
          <w:rFonts w:ascii="Arial" w:hAnsi="Arial" w:cs="Arial"/>
          <w:color w:val="000000" w:themeColor="text1"/>
        </w:rPr>
        <w:footnoteReference w:id="15"/>
      </w:r>
      <w:r w:rsidR="0056126E" w:rsidRPr="00A02AA3">
        <w:rPr>
          <w:rFonts w:ascii="Arial" w:hAnsi="Arial" w:cs="Arial"/>
          <w:color w:val="000000" w:themeColor="text1"/>
        </w:rPr>
        <w:t xml:space="preserve"> </w:t>
      </w:r>
      <w:r w:rsidRPr="00A02AA3">
        <w:rPr>
          <w:rFonts w:ascii="Arial" w:hAnsi="Arial" w:cs="Arial"/>
          <w:color w:val="000000" w:themeColor="text1"/>
        </w:rPr>
        <w:t>Moreover, 200 million people with low vision do not have access to spectacles or other low-vision devices.</w:t>
      </w:r>
      <w:r w:rsidR="009729A3">
        <w:rPr>
          <w:rFonts w:ascii="Arial" w:hAnsi="Arial" w:cs="Arial"/>
          <w:color w:val="000000" w:themeColor="text1"/>
        </w:rPr>
        <w:t xml:space="preserve"> </w:t>
      </w:r>
    </w:p>
    <w:p w14:paraId="78ABF7B9" w14:textId="77777777" w:rsidR="003343B7" w:rsidRPr="00A02AA3" w:rsidRDefault="003343B7" w:rsidP="003866AE">
      <w:pPr>
        <w:spacing w:line="240" w:lineRule="auto"/>
        <w:ind w:left="360"/>
        <w:jc w:val="both"/>
        <w:rPr>
          <w:rFonts w:ascii="Arial" w:hAnsi="Arial" w:cs="Arial"/>
          <w:color w:val="000000" w:themeColor="text1"/>
        </w:rPr>
      </w:pPr>
      <w:r w:rsidRPr="00A02AA3">
        <w:rPr>
          <w:rFonts w:ascii="Arial" w:hAnsi="Arial" w:cs="Arial"/>
          <w:color w:val="000000" w:themeColor="text1"/>
        </w:rPr>
        <w:t>Poor access rate</w:t>
      </w:r>
      <w:r w:rsidR="00152032">
        <w:rPr>
          <w:rFonts w:ascii="Arial" w:hAnsi="Arial" w:cs="Arial"/>
          <w:color w:val="000000" w:themeColor="text1"/>
        </w:rPr>
        <w:t>s</w:t>
      </w:r>
      <w:r w:rsidRPr="00A02AA3">
        <w:rPr>
          <w:rFonts w:ascii="Arial" w:hAnsi="Arial" w:cs="Arial"/>
          <w:color w:val="000000" w:themeColor="text1"/>
        </w:rPr>
        <w:t xml:space="preserve"> </w:t>
      </w:r>
      <w:r w:rsidR="00152032">
        <w:rPr>
          <w:rFonts w:ascii="Arial" w:hAnsi="Arial" w:cs="Arial"/>
          <w:color w:val="000000" w:themeColor="text1"/>
        </w:rPr>
        <w:t>are</w:t>
      </w:r>
      <w:r w:rsidRPr="00A02AA3">
        <w:rPr>
          <w:rFonts w:ascii="Arial" w:hAnsi="Arial" w:cs="Arial"/>
          <w:color w:val="000000" w:themeColor="text1"/>
        </w:rPr>
        <w:t xml:space="preserve"> not only a problem of lack of priority, </w:t>
      </w:r>
      <w:r w:rsidR="00152032">
        <w:rPr>
          <w:rFonts w:ascii="Arial" w:hAnsi="Arial" w:cs="Arial"/>
          <w:color w:val="000000" w:themeColor="text1"/>
        </w:rPr>
        <w:t xml:space="preserve">but </w:t>
      </w:r>
      <w:r w:rsidR="009F2382" w:rsidRPr="00A02AA3">
        <w:rPr>
          <w:rFonts w:ascii="Arial" w:hAnsi="Arial" w:cs="Arial"/>
          <w:color w:val="000000" w:themeColor="text1"/>
        </w:rPr>
        <w:t xml:space="preserve">also </w:t>
      </w:r>
      <w:r w:rsidRPr="00A02AA3">
        <w:rPr>
          <w:rFonts w:ascii="Arial" w:hAnsi="Arial" w:cs="Arial"/>
          <w:color w:val="000000" w:themeColor="text1"/>
        </w:rPr>
        <w:t xml:space="preserve">due to over-priced assistive products and service provision. To address this, especially to make </w:t>
      </w:r>
      <w:r w:rsidR="009F2382" w:rsidRPr="00A02AA3">
        <w:rPr>
          <w:rFonts w:ascii="Arial" w:hAnsi="Arial" w:cs="Arial"/>
          <w:color w:val="000000" w:themeColor="text1"/>
        </w:rPr>
        <w:t xml:space="preserve">the </w:t>
      </w:r>
      <w:r w:rsidRPr="00A02AA3">
        <w:rPr>
          <w:rFonts w:ascii="Arial" w:hAnsi="Arial" w:cs="Arial"/>
          <w:color w:val="000000" w:themeColor="text1"/>
        </w:rPr>
        <w:t>high-</w:t>
      </w:r>
      <w:r w:rsidR="00A02AA3" w:rsidRPr="00A02AA3">
        <w:rPr>
          <w:rFonts w:ascii="Arial" w:hAnsi="Arial" w:cs="Arial"/>
          <w:color w:val="000000" w:themeColor="text1"/>
        </w:rPr>
        <w:t>quality</w:t>
      </w:r>
      <w:r w:rsidRPr="00A02AA3">
        <w:rPr>
          <w:rFonts w:ascii="Arial" w:hAnsi="Arial" w:cs="Arial"/>
          <w:color w:val="000000" w:themeColor="text1"/>
        </w:rPr>
        <w:t xml:space="preserve"> assistive products available at an affordable cost</w:t>
      </w:r>
      <w:r w:rsidR="009F2382" w:rsidRPr="00A02AA3">
        <w:rPr>
          <w:rFonts w:ascii="Arial" w:hAnsi="Arial" w:cs="Arial"/>
          <w:color w:val="000000" w:themeColor="text1"/>
        </w:rPr>
        <w:t xml:space="preserve">, the </w:t>
      </w:r>
      <w:r w:rsidR="00152032">
        <w:rPr>
          <w:rFonts w:ascii="Arial" w:hAnsi="Arial" w:cs="Arial"/>
          <w:color w:val="000000" w:themeColor="text1"/>
        </w:rPr>
        <w:t>WHO</w:t>
      </w:r>
      <w:r w:rsidR="009F2382" w:rsidRPr="00A02AA3">
        <w:rPr>
          <w:rFonts w:ascii="Arial" w:hAnsi="Arial" w:cs="Arial"/>
          <w:color w:val="000000" w:themeColor="text1"/>
        </w:rPr>
        <w:t xml:space="preserve"> created a multi stakeholder platform - </w:t>
      </w:r>
      <w:r w:rsidRPr="00A02AA3">
        <w:rPr>
          <w:rFonts w:ascii="Arial" w:hAnsi="Arial" w:cs="Arial"/>
          <w:color w:val="000000" w:themeColor="text1"/>
        </w:rPr>
        <w:t xml:space="preserve">Global </w:t>
      </w:r>
      <w:r w:rsidR="009F2382" w:rsidRPr="00A02AA3">
        <w:rPr>
          <w:rFonts w:ascii="Arial" w:hAnsi="Arial" w:cs="Arial"/>
          <w:color w:val="000000" w:themeColor="text1"/>
        </w:rPr>
        <w:t>C</w:t>
      </w:r>
      <w:r w:rsidRPr="00A02AA3">
        <w:rPr>
          <w:rFonts w:ascii="Arial" w:hAnsi="Arial" w:cs="Arial"/>
          <w:color w:val="000000" w:themeColor="text1"/>
        </w:rPr>
        <w:t>ooperation</w:t>
      </w:r>
      <w:r w:rsidR="009F2382" w:rsidRPr="00A02AA3">
        <w:rPr>
          <w:rFonts w:ascii="Arial" w:hAnsi="Arial" w:cs="Arial"/>
          <w:color w:val="000000" w:themeColor="text1"/>
        </w:rPr>
        <w:t xml:space="preserve"> </w:t>
      </w:r>
      <w:r w:rsidRPr="00A02AA3">
        <w:rPr>
          <w:rFonts w:ascii="Arial" w:hAnsi="Arial" w:cs="Arial"/>
          <w:color w:val="000000" w:themeColor="text1"/>
        </w:rPr>
        <w:t>on Assistive Health Technology or GATE</w:t>
      </w:r>
      <w:r w:rsidR="009F2382" w:rsidRPr="00A02AA3">
        <w:rPr>
          <w:rFonts w:ascii="Arial" w:hAnsi="Arial" w:cs="Arial"/>
          <w:color w:val="000000" w:themeColor="text1"/>
        </w:rPr>
        <w:t xml:space="preserve">. </w:t>
      </w:r>
      <w:r w:rsidR="008B021A" w:rsidRPr="00A02AA3">
        <w:rPr>
          <w:rFonts w:ascii="Arial" w:hAnsi="Arial" w:cs="Arial"/>
          <w:color w:val="000000" w:themeColor="text1"/>
        </w:rPr>
        <w:t>This Global Cooperation has one goal: to improve access to high-quality, affordable, assistive products</w:t>
      </w:r>
      <w:r w:rsidR="009F2382" w:rsidRPr="00A02AA3">
        <w:rPr>
          <w:rFonts w:ascii="Arial" w:hAnsi="Arial" w:cs="Arial"/>
          <w:color w:val="000000" w:themeColor="text1"/>
        </w:rPr>
        <w:t xml:space="preserve"> for everyone, everywhere – no one to be leaving behind.</w:t>
      </w:r>
    </w:p>
    <w:p w14:paraId="784B632C" w14:textId="77777777" w:rsidR="009729A3" w:rsidRDefault="0056126E" w:rsidP="009729A3">
      <w:pPr>
        <w:spacing w:line="240" w:lineRule="auto"/>
        <w:ind w:left="360"/>
        <w:jc w:val="both"/>
        <w:rPr>
          <w:rFonts w:ascii="Arial" w:hAnsi="Arial" w:cs="Arial"/>
          <w:color w:val="000000" w:themeColor="text1"/>
        </w:rPr>
      </w:pPr>
      <w:r w:rsidRPr="00A02AA3">
        <w:rPr>
          <w:rFonts w:ascii="Arial" w:hAnsi="Arial" w:cs="Arial"/>
          <w:color w:val="000000" w:themeColor="text1"/>
        </w:rPr>
        <w:t xml:space="preserve">Assistive products </w:t>
      </w:r>
      <w:r w:rsidR="004554D7" w:rsidRPr="00A02AA3">
        <w:rPr>
          <w:rFonts w:ascii="Arial" w:hAnsi="Arial" w:cs="Arial"/>
          <w:color w:val="000000" w:themeColor="text1"/>
        </w:rPr>
        <w:t xml:space="preserve">industry currently remains limited and specialized, with a handful of private/public sector actors who more or less monopolistically determine how research and development resources are directed, what products reach the market and what they cost. The industry is seen as producing “specialized products” that primarily serve high-income markets. There is a tendency among reimbursing authorities or insurance agencies to feel that assistive products are overpriced, have high service delivery costs, and are not as essential as other health products, since they do not cure diseases or save lives. </w:t>
      </w:r>
      <w:r w:rsidR="00BD46FD" w:rsidRPr="00A02AA3">
        <w:rPr>
          <w:rFonts w:ascii="Arial" w:hAnsi="Arial" w:cs="Arial"/>
          <w:color w:val="000000" w:themeColor="text1"/>
        </w:rPr>
        <w:t>All of these factors result</w:t>
      </w:r>
      <w:r w:rsidR="009729A3">
        <w:rPr>
          <w:rFonts w:ascii="Arial" w:hAnsi="Arial" w:cs="Arial"/>
          <w:color w:val="000000" w:themeColor="text1"/>
        </w:rPr>
        <w:t xml:space="preserve"> in low coverage.</w:t>
      </w:r>
    </w:p>
    <w:p w14:paraId="7F288FA2" w14:textId="77777777" w:rsidR="009729A3" w:rsidRDefault="0056126E" w:rsidP="003866AE">
      <w:pPr>
        <w:spacing w:line="240" w:lineRule="auto"/>
        <w:ind w:left="360"/>
        <w:jc w:val="both"/>
        <w:rPr>
          <w:rFonts w:ascii="Arial" w:hAnsi="Arial" w:cs="Arial"/>
          <w:color w:val="000000" w:themeColor="text1"/>
        </w:rPr>
      </w:pPr>
      <w:r w:rsidRPr="00A02AA3">
        <w:rPr>
          <w:rFonts w:ascii="Arial" w:hAnsi="Arial" w:cs="Arial"/>
          <w:color w:val="000000" w:themeColor="text1"/>
        </w:rPr>
        <w:t xml:space="preserve">Currently, assistive products </w:t>
      </w:r>
      <w:r w:rsidR="004554D7" w:rsidRPr="00A02AA3">
        <w:rPr>
          <w:rFonts w:ascii="Arial" w:hAnsi="Arial" w:cs="Arial"/>
          <w:color w:val="000000" w:themeColor="text1"/>
        </w:rPr>
        <w:t xml:space="preserve">industry operates </w:t>
      </w:r>
      <w:r w:rsidR="00BD46FD" w:rsidRPr="00A02AA3">
        <w:rPr>
          <w:rFonts w:ascii="Arial" w:hAnsi="Arial" w:cs="Arial"/>
          <w:color w:val="000000" w:themeColor="text1"/>
        </w:rPr>
        <w:t xml:space="preserve">with a “high margin – low volume” concept. </w:t>
      </w:r>
      <w:r w:rsidR="006A04C2" w:rsidRPr="00A02AA3">
        <w:rPr>
          <w:rFonts w:ascii="Arial" w:hAnsi="Arial" w:cs="Arial"/>
          <w:color w:val="000000" w:themeColor="text1"/>
        </w:rPr>
        <w:t xml:space="preserve">If, however, industry lowers cost and takes advantage of economies of scale – it will be a win-win for all parties concerned. </w:t>
      </w:r>
      <w:r w:rsidR="00BD46FD" w:rsidRPr="00A02AA3">
        <w:rPr>
          <w:rFonts w:ascii="Arial" w:hAnsi="Arial" w:cs="Arial"/>
          <w:color w:val="000000" w:themeColor="text1"/>
        </w:rPr>
        <w:t xml:space="preserve">Today’s </w:t>
      </w:r>
      <w:r w:rsidR="00152032">
        <w:rPr>
          <w:rFonts w:ascii="Arial" w:hAnsi="Arial" w:cs="Arial"/>
          <w:color w:val="000000" w:themeColor="text1"/>
        </w:rPr>
        <w:t>assistive technology</w:t>
      </w:r>
      <w:r w:rsidR="00BD46FD" w:rsidRPr="00A02AA3">
        <w:rPr>
          <w:rFonts w:ascii="Arial" w:hAnsi="Arial" w:cs="Arial"/>
          <w:color w:val="000000" w:themeColor="text1"/>
        </w:rPr>
        <w:t xml:space="preserve"> market is quite similar</w:t>
      </w:r>
      <w:r w:rsidR="00A4298A">
        <w:rPr>
          <w:rFonts w:ascii="Arial" w:hAnsi="Arial" w:cs="Arial"/>
          <w:color w:val="000000" w:themeColor="text1"/>
        </w:rPr>
        <w:t xml:space="preserve"> </w:t>
      </w:r>
      <w:r w:rsidR="00BD46FD" w:rsidRPr="00A02AA3">
        <w:rPr>
          <w:rFonts w:ascii="Arial" w:hAnsi="Arial" w:cs="Arial"/>
          <w:color w:val="000000" w:themeColor="text1"/>
        </w:rPr>
        <w:t xml:space="preserve">to </w:t>
      </w:r>
      <w:r w:rsidR="00F41010">
        <w:rPr>
          <w:rFonts w:ascii="Arial" w:hAnsi="Arial" w:cs="Arial"/>
          <w:color w:val="000000" w:themeColor="text1"/>
        </w:rPr>
        <w:t xml:space="preserve">the neglected disease </w:t>
      </w:r>
      <w:r w:rsidR="00BD46FD" w:rsidRPr="00A02AA3">
        <w:rPr>
          <w:rFonts w:ascii="Arial" w:hAnsi="Arial" w:cs="Arial"/>
          <w:color w:val="000000" w:themeColor="text1"/>
        </w:rPr>
        <w:t>medicines/vaccines market</w:t>
      </w:r>
      <w:r w:rsidR="00F41010">
        <w:rPr>
          <w:rFonts w:ascii="Arial" w:hAnsi="Arial" w:cs="Arial"/>
          <w:color w:val="000000" w:themeColor="text1"/>
        </w:rPr>
        <w:t xml:space="preserve"> </w:t>
      </w:r>
      <w:r w:rsidR="00BD46FD" w:rsidRPr="00A02AA3">
        <w:rPr>
          <w:rFonts w:ascii="Arial" w:hAnsi="Arial" w:cs="Arial"/>
          <w:color w:val="000000" w:themeColor="text1"/>
        </w:rPr>
        <w:t xml:space="preserve">– mostly, for high income countries or </w:t>
      </w:r>
      <w:r w:rsidR="00F41010">
        <w:rPr>
          <w:rFonts w:ascii="Arial" w:hAnsi="Arial" w:cs="Arial"/>
          <w:color w:val="000000" w:themeColor="text1"/>
        </w:rPr>
        <w:t xml:space="preserve">the </w:t>
      </w:r>
      <w:r w:rsidR="00BD46FD" w:rsidRPr="00A02AA3">
        <w:rPr>
          <w:rFonts w:ascii="Arial" w:hAnsi="Arial" w:cs="Arial"/>
          <w:color w:val="000000" w:themeColor="text1"/>
        </w:rPr>
        <w:t>rich. WHO has considerable experience making medicines and va</w:t>
      </w:r>
      <w:r w:rsidR="00FC3820" w:rsidRPr="00A02AA3">
        <w:rPr>
          <w:rFonts w:ascii="Arial" w:hAnsi="Arial" w:cs="Arial"/>
          <w:color w:val="000000" w:themeColor="text1"/>
        </w:rPr>
        <w:t>c</w:t>
      </w:r>
      <w:r w:rsidR="00BD46FD" w:rsidRPr="00A02AA3">
        <w:rPr>
          <w:rFonts w:ascii="Arial" w:hAnsi="Arial" w:cs="Arial"/>
          <w:color w:val="000000" w:themeColor="text1"/>
        </w:rPr>
        <w:t>cines affordable and accessible through innovation, partnership, transfer of technology, local production and bulk-purchase</w:t>
      </w:r>
      <w:r w:rsidR="00152032">
        <w:rPr>
          <w:rFonts w:ascii="Arial" w:hAnsi="Arial" w:cs="Arial"/>
          <w:color w:val="000000" w:themeColor="text1"/>
        </w:rPr>
        <w:t>.</w:t>
      </w:r>
      <w:r w:rsidR="00AD354D" w:rsidRPr="00A02AA3">
        <w:rPr>
          <w:rStyle w:val="FootnoteReference"/>
          <w:rFonts w:ascii="Arial" w:hAnsi="Arial" w:cs="Arial"/>
          <w:color w:val="000000" w:themeColor="text1"/>
        </w:rPr>
        <w:footnoteReference w:id="16"/>
      </w:r>
      <w:r w:rsidR="006A04C2" w:rsidRPr="00A02AA3">
        <w:rPr>
          <w:rFonts w:ascii="Arial" w:hAnsi="Arial" w:cs="Arial"/>
          <w:color w:val="000000" w:themeColor="text1"/>
          <w:vertAlign w:val="superscript"/>
        </w:rPr>
        <w:t>,</w:t>
      </w:r>
      <w:r w:rsidR="006A04C2" w:rsidRPr="00A02AA3">
        <w:rPr>
          <w:rStyle w:val="FootnoteReference"/>
          <w:rFonts w:ascii="Arial" w:hAnsi="Arial" w:cs="Arial"/>
          <w:color w:val="000000" w:themeColor="text1"/>
        </w:rPr>
        <w:footnoteReference w:id="17"/>
      </w:r>
      <w:r w:rsidR="00FC3820" w:rsidRPr="00A02AA3">
        <w:rPr>
          <w:rFonts w:ascii="Arial" w:hAnsi="Arial" w:cs="Arial"/>
          <w:color w:val="000000" w:themeColor="text1"/>
        </w:rPr>
        <w:t xml:space="preserve"> </w:t>
      </w:r>
      <w:r w:rsidR="00BD46FD" w:rsidRPr="00A02AA3">
        <w:rPr>
          <w:rFonts w:ascii="Arial" w:hAnsi="Arial" w:cs="Arial"/>
          <w:color w:val="000000" w:themeColor="text1"/>
        </w:rPr>
        <w:t xml:space="preserve">This expertise is relevant to the </w:t>
      </w:r>
      <w:r w:rsidR="00FC3820" w:rsidRPr="00A02AA3">
        <w:rPr>
          <w:rFonts w:ascii="Arial" w:hAnsi="Arial" w:cs="Arial"/>
          <w:color w:val="000000" w:themeColor="text1"/>
        </w:rPr>
        <w:t xml:space="preserve">assistive products </w:t>
      </w:r>
      <w:r w:rsidR="00BD46FD" w:rsidRPr="00A02AA3">
        <w:rPr>
          <w:rFonts w:ascii="Arial" w:hAnsi="Arial" w:cs="Arial"/>
          <w:color w:val="000000" w:themeColor="text1"/>
        </w:rPr>
        <w:t>sector. Based on this valuable expertise,</w:t>
      </w:r>
      <w:r w:rsidR="00FC3820" w:rsidRPr="00A02AA3">
        <w:rPr>
          <w:rFonts w:ascii="Arial" w:hAnsi="Arial" w:cs="Arial"/>
          <w:color w:val="000000" w:themeColor="text1"/>
        </w:rPr>
        <w:t xml:space="preserve"> </w:t>
      </w:r>
      <w:r w:rsidR="00BD46FD" w:rsidRPr="00A02AA3">
        <w:rPr>
          <w:rFonts w:ascii="Arial" w:hAnsi="Arial" w:cs="Arial"/>
          <w:color w:val="000000" w:themeColor="text1"/>
        </w:rPr>
        <w:t xml:space="preserve">WHO </w:t>
      </w:r>
      <w:r w:rsidR="00FC3820" w:rsidRPr="00A02AA3">
        <w:rPr>
          <w:rFonts w:ascii="Arial" w:hAnsi="Arial" w:cs="Arial"/>
          <w:color w:val="000000" w:themeColor="text1"/>
        </w:rPr>
        <w:t>would like</w:t>
      </w:r>
      <w:r w:rsidR="00A4298A">
        <w:rPr>
          <w:rFonts w:ascii="Arial" w:hAnsi="Arial" w:cs="Arial"/>
          <w:color w:val="000000" w:themeColor="text1"/>
        </w:rPr>
        <w:t xml:space="preserve"> to</w:t>
      </w:r>
      <w:r w:rsidR="00FC3820" w:rsidRPr="00A02AA3">
        <w:rPr>
          <w:rFonts w:ascii="Arial" w:hAnsi="Arial" w:cs="Arial"/>
          <w:color w:val="000000" w:themeColor="text1"/>
        </w:rPr>
        <w:t xml:space="preserve"> coordinate </w:t>
      </w:r>
      <w:r w:rsidR="00152032">
        <w:rPr>
          <w:rFonts w:ascii="Arial" w:hAnsi="Arial" w:cs="Arial"/>
          <w:color w:val="000000" w:themeColor="text1"/>
        </w:rPr>
        <w:t xml:space="preserve">a </w:t>
      </w:r>
      <w:r w:rsidR="00FC3820" w:rsidRPr="00A02AA3">
        <w:rPr>
          <w:rFonts w:ascii="Arial" w:hAnsi="Arial" w:cs="Arial"/>
          <w:color w:val="000000" w:themeColor="text1"/>
        </w:rPr>
        <w:t xml:space="preserve">similar </w:t>
      </w:r>
      <w:r w:rsidR="00BD46FD" w:rsidRPr="00A02AA3">
        <w:rPr>
          <w:rFonts w:ascii="Arial" w:hAnsi="Arial" w:cs="Arial"/>
          <w:color w:val="000000" w:themeColor="text1"/>
        </w:rPr>
        <w:t xml:space="preserve">initiative to </w:t>
      </w:r>
      <w:r w:rsidR="00FC3820" w:rsidRPr="00A02AA3">
        <w:rPr>
          <w:rFonts w:ascii="Arial" w:hAnsi="Arial" w:cs="Arial"/>
          <w:color w:val="000000" w:themeColor="text1"/>
        </w:rPr>
        <w:t xml:space="preserve">make </w:t>
      </w:r>
      <w:r w:rsidR="006A04C2" w:rsidRPr="00A02AA3">
        <w:rPr>
          <w:rFonts w:ascii="Arial" w:hAnsi="Arial" w:cs="Arial"/>
          <w:color w:val="000000" w:themeColor="text1"/>
        </w:rPr>
        <w:t xml:space="preserve">high quality </w:t>
      </w:r>
      <w:r w:rsidR="00FC3820" w:rsidRPr="00A02AA3">
        <w:rPr>
          <w:rFonts w:ascii="Arial" w:hAnsi="Arial" w:cs="Arial"/>
          <w:color w:val="000000" w:themeColor="text1"/>
        </w:rPr>
        <w:t xml:space="preserve">assistive products </w:t>
      </w:r>
      <w:r w:rsidR="006A04C2" w:rsidRPr="00A02AA3">
        <w:rPr>
          <w:rFonts w:ascii="Arial" w:hAnsi="Arial" w:cs="Arial"/>
          <w:color w:val="000000" w:themeColor="text1"/>
        </w:rPr>
        <w:t xml:space="preserve">available at an </w:t>
      </w:r>
      <w:r w:rsidR="00BD46FD" w:rsidRPr="00A02AA3">
        <w:rPr>
          <w:rFonts w:ascii="Arial" w:hAnsi="Arial" w:cs="Arial"/>
          <w:color w:val="000000" w:themeColor="text1"/>
        </w:rPr>
        <w:t>affordable</w:t>
      </w:r>
      <w:r w:rsidR="006A04C2" w:rsidRPr="00A02AA3">
        <w:rPr>
          <w:rFonts w:ascii="Arial" w:hAnsi="Arial" w:cs="Arial"/>
          <w:color w:val="000000" w:themeColor="text1"/>
        </w:rPr>
        <w:t xml:space="preserve"> cost</w:t>
      </w:r>
      <w:r w:rsidR="00FC3820" w:rsidRPr="00A02AA3">
        <w:rPr>
          <w:rFonts w:ascii="Arial" w:hAnsi="Arial" w:cs="Arial"/>
          <w:color w:val="000000" w:themeColor="text1"/>
        </w:rPr>
        <w:t xml:space="preserve">. </w:t>
      </w:r>
      <w:r w:rsidR="00BD46FD" w:rsidRPr="00A02AA3">
        <w:rPr>
          <w:rFonts w:ascii="Arial" w:hAnsi="Arial" w:cs="Arial"/>
          <w:color w:val="000000" w:themeColor="text1"/>
        </w:rPr>
        <w:t>However, WHO needs the</w:t>
      </w:r>
      <w:r w:rsidR="00AD354D" w:rsidRPr="00A02AA3">
        <w:rPr>
          <w:rFonts w:ascii="Arial" w:hAnsi="Arial" w:cs="Arial"/>
          <w:color w:val="000000" w:themeColor="text1"/>
        </w:rPr>
        <w:t xml:space="preserve"> </w:t>
      </w:r>
      <w:r w:rsidR="00BD46FD" w:rsidRPr="00A02AA3">
        <w:rPr>
          <w:rFonts w:ascii="Arial" w:hAnsi="Arial" w:cs="Arial"/>
          <w:color w:val="000000" w:themeColor="text1"/>
        </w:rPr>
        <w:t xml:space="preserve">active participation </w:t>
      </w:r>
      <w:r w:rsidR="00AD354D" w:rsidRPr="00A02AA3">
        <w:rPr>
          <w:rFonts w:ascii="Arial" w:hAnsi="Arial" w:cs="Arial"/>
          <w:color w:val="000000" w:themeColor="text1"/>
        </w:rPr>
        <w:t xml:space="preserve">and support </w:t>
      </w:r>
      <w:r w:rsidR="00BD46FD" w:rsidRPr="00A02AA3">
        <w:rPr>
          <w:rFonts w:ascii="Arial" w:hAnsi="Arial" w:cs="Arial"/>
          <w:color w:val="000000" w:themeColor="text1"/>
        </w:rPr>
        <w:t>of international organizations including donor agencies</w:t>
      </w:r>
      <w:r w:rsidR="00AD354D" w:rsidRPr="00A02AA3">
        <w:rPr>
          <w:rFonts w:ascii="Arial" w:hAnsi="Arial" w:cs="Arial"/>
          <w:color w:val="000000" w:themeColor="text1"/>
        </w:rPr>
        <w:t xml:space="preserve">. </w:t>
      </w:r>
    </w:p>
    <w:p w14:paraId="521B3568" w14:textId="77777777" w:rsidR="009729A3" w:rsidRDefault="009729A3">
      <w:pPr>
        <w:rPr>
          <w:rFonts w:ascii="Arial" w:hAnsi="Arial" w:cs="Arial"/>
          <w:color w:val="000000" w:themeColor="text1"/>
        </w:rPr>
      </w:pPr>
      <w:r>
        <w:rPr>
          <w:rFonts w:ascii="Arial" w:hAnsi="Arial" w:cs="Arial"/>
          <w:color w:val="000000" w:themeColor="text1"/>
        </w:rPr>
        <w:br w:type="page"/>
      </w:r>
    </w:p>
    <w:p w14:paraId="78DCC4D9" w14:textId="77777777" w:rsidR="00271894" w:rsidRDefault="00271894" w:rsidP="00AE742F">
      <w:pPr>
        <w:pStyle w:val="Heading2"/>
      </w:pPr>
      <w:r>
        <w:lastRenderedPageBreak/>
        <w:t xml:space="preserve">Opportunities for collaboration to develop and </w:t>
      </w:r>
      <w:r w:rsidR="00AE742F">
        <w:t>provide</w:t>
      </w:r>
      <w:r>
        <w:t xml:space="preserve"> assistive products:</w:t>
      </w:r>
    </w:p>
    <w:p w14:paraId="4878B284" w14:textId="77777777" w:rsidR="008B021A" w:rsidRPr="00A02AA3" w:rsidRDefault="008B021A" w:rsidP="003866AE">
      <w:pPr>
        <w:spacing w:line="240" w:lineRule="auto"/>
        <w:ind w:left="360"/>
        <w:jc w:val="both"/>
        <w:rPr>
          <w:rFonts w:ascii="Arial" w:hAnsi="Arial" w:cs="Arial"/>
          <w:color w:val="000000" w:themeColor="text1"/>
        </w:rPr>
      </w:pPr>
      <w:r w:rsidRPr="00A02AA3">
        <w:rPr>
          <w:rFonts w:ascii="Arial" w:hAnsi="Arial" w:cs="Arial"/>
          <w:color w:val="000000" w:themeColor="text1"/>
        </w:rPr>
        <w:t xml:space="preserve">There is a need for coordinated and large volume procurement, as well as waivers on import duties to reduce costs. Towards this as a first step, the World Health </w:t>
      </w:r>
      <w:r w:rsidR="00152032">
        <w:rPr>
          <w:rFonts w:ascii="Arial" w:hAnsi="Arial" w:cs="Arial"/>
          <w:color w:val="000000" w:themeColor="text1"/>
        </w:rPr>
        <w:t>O</w:t>
      </w:r>
      <w:r w:rsidRPr="00A02AA3">
        <w:rPr>
          <w:rFonts w:ascii="Arial" w:hAnsi="Arial" w:cs="Arial"/>
          <w:color w:val="000000" w:themeColor="text1"/>
        </w:rPr>
        <w:t xml:space="preserve">rganization launched the Priority Assistive </w:t>
      </w:r>
      <w:r w:rsidR="009729A3">
        <w:rPr>
          <w:rFonts w:ascii="Arial" w:hAnsi="Arial" w:cs="Arial"/>
          <w:color w:val="000000" w:themeColor="text1"/>
        </w:rPr>
        <w:t>Products List (APL) during the s</w:t>
      </w:r>
      <w:r w:rsidRPr="00A02AA3">
        <w:rPr>
          <w:rFonts w:ascii="Arial" w:hAnsi="Arial" w:cs="Arial"/>
          <w:color w:val="000000" w:themeColor="text1"/>
        </w:rPr>
        <w:t>ixty-ninth World Health Assembly in 2016</w:t>
      </w:r>
      <w:r w:rsidR="00152032">
        <w:rPr>
          <w:rFonts w:ascii="Arial" w:hAnsi="Arial" w:cs="Arial"/>
          <w:color w:val="000000" w:themeColor="text1"/>
        </w:rPr>
        <w:t>.</w:t>
      </w:r>
      <w:r w:rsidRPr="00A02AA3">
        <w:rPr>
          <w:rStyle w:val="FootnoteReference"/>
          <w:rFonts w:ascii="Arial" w:hAnsi="Arial" w:cs="Arial"/>
          <w:color w:val="000000" w:themeColor="text1"/>
        </w:rPr>
        <w:footnoteReference w:id="18"/>
      </w:r>
      <w:r w:rsidRPr="00A02AA3">
        <w:rPr>
          <w:rFonts w:ascii="Arial" w:hAnsi="Arial" w:cs="Arial"/>
          <w:color w:val="000000" w:themeColor="text1"/>
        </w:rPr>
        <w:t xml:space="preserve"> The priority assistive products list is not restrictive, but </w:t>
      </w:r>
      <w:r w:rsidR="0073171E" w:rsidRPr="00A02AA3">
        <w:rPr>
          <w:rFonts w:ascii="Arial" w:hAnsi="Arial" w:cs="Arial"/>
          <w:color w:val="000000" w:themeColor="text1"/>
        </w:rPr>
        <w:t>it offers the guidance on priority products including identification of products, which need immediate market shaping</w:t>
      </w:r>
      <w:r w:rsidRPr="00A02AA3">
        <w:rPr>
          <w:rFonts w:ascii="Arial" w:hAnsi="Arial" w:cs="Arial"/>
          <w:color w:val="000000" w:themeColor="text1"/>
        </w:rPr>
        <w:t>.</w:t>
      </w:r>
    </w:p>
    <w:p w14:paraId="59654B31" w14:textId="77777777" w:rsidR="00A02AA3" w:rsidRDefault="00532FA8" w:rsidP="003866AE">
      <w:pPr>
        <w:spacing w:line="240" w:lineRule="auto"/>
        <w:ind w:left="360"/>
        <w:jc w:val="both"/>
        <w:rPr>
          <w:rFonts w:ascii="Arial" w:hAnsi="Arial" w:cs="Arial"/>
          <w:color w:val="000000" w:themeColor="text1"/>
        </w:rPr>
      </w:pPr>
      <w:r w:rsidRPr="00A02AA3">
        <w:rPr>
          <w:rFonts w:ascii="Arial" w:hAnsi="Arial" w:cs="Arial"/>
          <w:color w:val="000000" w:themeColor="text1"/>
        </w:rPr>
        <w:t>Most of the GLAD member</w:t>
      </w:r>
      <w:r w:rsidR="00A4298A">
        <w:rPr>
          <w:rFonts w:ascii="Arial" w:hAnsi="Arial" w:cs="Arial"/>
          <w:color w:val="000000" w:themeColor="text1"/>
        </w:rPr>
        <w:t xml:space="preserve"> agencies</w:t>
      </w:r>
      <w:r w:rsidRPr="00A02AA3">
        <w:rPr>
          <w:rFonts w:ascii="Arial" w:hAnsi="Arial" w:cs="Arial"/>
          <w:color w:val="000000" w:themeColor="text1"/>
        </w:rPr>
        <w:t xml:space="preserve"> play</w:t>
      </w:r>
      <w:r w:rsidR="00290710" w:rsidRPr="00A02AA3">
        <w:rPr>
          <w:rFonts w:ascii="Arial" w:hAnsi="Arial" w:cs="Arial"/>
          <w:color w:val="000000" w:themeColor="text1"/>
        </w:rPr>
        <w:t xml:space="preserve"> </w:t>
      </w:r>
      <w:r w:rsidRPr="00A02AA3">
        <w:rPr>
          <w:rFonts w:ascii="Arial" w:hAnsi="Arial" w:cs="Arial"/>
          <w:color w:val="000000" w:themeColor="text1"/>
        </w:rPr>
        <w:t>an important role in market shaping, especially in reducing the cost of medicines and vaccines</w:t>
      </w:r>
      <w:r w:rsidR="00290710" w:rsidRPr="00A02AA3">
        <w:rPr>
          <w:rFonts w:ascii="Arial" w:hAnsi="Arial" w:cs="Arial"/>
          <w:color w:val="000000" w:themeColor="text1"/>
        </w:rPr>
        <w:t xml:space="preserve">. They also </w:t>
      </w:r>
      <w:r w:rsidR="00152032">
        <w:rPr>
          <w:rFonts w:ascii="Arial" w:hAnsi="Arial" w:cs="Arial"/>
          <w:color w:val="000000" w:themeColor="text1"/>
        </w:rPr>
        <w:t>support or establish entities</w:t>
      </w:r>
      <w:r w:rsidR="00152032" w:rsidRPr="00A02AA3">
        <w:rPr>
          <w:rFonts w:ascii="Arial" w:hAnsi="Arial" w:cs="Arial"/>
          <w:color w:val="000000" w:themeColor="text1"/>
        </w:rPr>
        <w:t xml:space="preserve"> </w:t>
      </w:r>
      <w:r w:rsidR="00290710" w:rsidRPr="00A02AA3">
        <w:rPr>
          <w:rFonts w:ascii="Arial" w:hAnsi="Arial" w:cs="Arial"/>
          <w:color w:val="000000" w:themeColor="text1"/>
        </w:rPr>
        <w:t xml:space="preserve">like </w:t>
      </w:r>
      <w:r w:rsidR="00152032">
        <w:rPr>
          <w:rFonts w:ascii="Arial" w:hAnsi="Arial" w:cs="Arial"/>
          <w:color w:val="000000" w:themeColor="text1"/>
        </w:rPr>
        <w:t xml:space="preserve">the </w:t>
      </w:r>
      <w:r w:rsidRPr="00A02AA3">
        <w:rPr>
          <w:rFonts w:ascii="Arial" w:hAnsi="Arial" w:cs="Arial"/>
          <w:color w:val="000000" w:themeColor="text1"/>
        </w:rPr>
        <w:t>Global Fund</w:t>
      </w:r>
      <w:r w:rsidR="00152032">
        <w:rPr>
          <w:rFonts w:ascii="Arial" w:hAnsi="Arial" w:cs="Arial"/>
          <w:color w:val="000000" w:themeColor="text1"/>
        </w:rPr>
        <w:t xml:space="preserve"> to fight AIDS, TB and malaria</w:t>
      </w:r>
      <w:r w:rsidRPr="00A02AA3">
        <w:rPr>
          <w:rFonts w:ascii="Arial" w:hAnsi="Arial" w:cs="Arial"/>
          <w:color w:val="000000" w:themeColor="text1"/>
        </w:rPr>
        <w:t>, UNITAID, GAVI</w:t>
      </w:r>
      <w:r w:rsidR="00290710" w:rsidRPr="00A02AA3">
        <w:rPr>
          <w:rFonts w:ascii="Arial" w:hAnsi="Arial" w:cs="Arial"/>
          <w:color w:val="000000" w:themeColor="text1"/>
        </w:rPr>
        <w:t xml:space="preserve"> to </w:t>
      </w:r>
      <w:r w:rsidR="00074232" w:rsidRPr="00A02AA3">
        <w:rPr>
          <w:rFonts w:ascii="Arial" w:hAnsi="Arial" w:cs="Arial"/>
          <w:color w:val="000000" w:themeColor="text1"/>
        </w:rPr>
        <w:t>drive the market or make the market work in favour of the agencies who are purchasing the products in bulk. M</w:t>
      </w:r>
      <w:r w:rsidR="00A66018" w:rsidRPr="00A02AA3">
        <w:rPr>
          <w:rFonts w:ascii="Arial" w:hAnsi="Arial" w:cs="Arial"/>
          <w:color w:val="000000" w:themeColor="text1"/>
        </w:rPr>
        <w:t>arket shaping</w:t>
      </w:r>
      <w:r w:rsidR="00074232" w:rsidRPr="00A02AA3">
        <w:rPr>
          <w:rFonts w:ascii="Arial" w:hAnsi="Arial" w:cs="Arial"/>
          <w:color w:val="000000" w:themeColor="text1"/>
        </w:rPr>
        <w:t xml:space="preserve">, </w:t>
      </w:r>
      <w:r w:rsidR="00A66018" w:rsidRPr="00A02AA3">
        <w:rPr>
          <w:rFonts w:ascii="Arial" w:hAnsi="Arial" w:cs="Arial"/>
          <w:color w:val="000000" w:themeColor="text1"/>
        </w:rPr>
        <w:t>mobilizing collective purchasing power in particular</w:t>
      </w:r>
      <w:r w:rsidR="00A4298A">
        <w:rPr>
          <w:rFonts w:ascii="Arial" w:hAnsi="Arial" w:cs="Arial"/>
          <w:color w:val="000000" w:themeColor="text1"/>
        </w:rPr>
        <w:t>,</w:t>
      </w:r>
      <w:r w:rsidR="00A66018" w:rsidRPr="00A02AA3">
        <w:rPr>
          <w:rFonts w:ascii="Arial" w:hAnsi="Arial" w:cs="Arial"/>
          <w:color w:val="000000" w:themeColor="text1"/>
        </w:rPr>
        <w:t xml:space="preserve"> has clearly demonstrated its potential to enhance donor or national governments’ value for money, diversify the supply base, increase shipment reliability, and ultimately increase</w:t>
      </w:r>
      <w:r w:rsidR="00290710" w:rsidRPr="00A02AA3">
        <w:rPr>
          <w:rFonts w:ascii="Arial" w:hAnsi="Arial" w:cs="Arial"/>
          <w:color w:val="000000" w:themeColor="text1"/>
        </w:rPr>
        <w:t xml:space="preserve"> access to affordable </w:t>
      </w:r>
      <w:r w:rsidR="00A66018" w:rsidRPr="00A02AA3">
        <w:rPr>
          <w:rFonts w:ascii="Arial" w:hAnsi="Arial" w:cs="Arial"/>
          <w:color w:val="000000" w:themeColor="text1"/>
        </w:rPr>
        <w:t>product</w:t>
      </w:r>
      <w:r w:rsidR="00290710" w:rsidRPr="00A02AA3">
        <w:rPr>
          <w:rFonts w:ascii="Arial" w:hAnsi="Arial" w:cs="Arial"/>
          <w:color w:val="000000" w:themeColor="text1"/>
        </w:rPr>
        <w:t>s</w:t>
      </w:r>
      <w:r w:rsidR="00A66018" w:rsidRPr="00A02AA3">
        <w:rPr>
          <w:rStyle w:val="FootnoteReference"/>
          <w:rFonts w:ascii="Arial" w:hAnsi="Arial" w:cs="Arial"/>
          <w:color w:val="000000" w:themeColor="text1"/>
        </w:rPr>
        <w:footnoteReference w:id="19"/>
      </w:r>
      <w:r w:rsidR="00A66018" w:rsidRPr="00A02AA3">
        <w:rPr>
          <w:rFonts w:ascii="Arial" w:hAnsi="Arial" w:cs="Arial"/>
          <w:color w:val="000000" w:themeColor="text1"/>
        </w:rPr>
        <w:t xml:space="preserve">. </w:t>
      </w:r>
      <w:r w:rsidR="00152032">
        <w:rPr>
          <w:rFonts w:ascii="Arial" w:hAnsi="Arial" w:cs="Arial"/>
          <w:color w:val="000000" w:themeColor="text1"/>
        </w:rPr>
        <w:t>N</w:t>
      </w:r>
      <w:r w:rsidR="002E01DE" w:rsidRPr="00A02AA3">
        <w:rPr>
          <w:rFonts w:ascii="Arial" w:hAnsi="Arial" w:cs="Arial"/>
          <w:color w:val="000000" w:themeColor="text1"/>
        </w:rPr>
        <w:t xml:space="preserve">ational programmes like Assistive Technology Programme of Norway (NAV) reduced </w:t>
      </w:r>
      <w:r w:rsidR="00152032">
        <w:rPr>
          <w:rFonts w:ascii="Arial" w:hAnsi="Arial" w:cs="Arial"/>
          <w:color w:val="000000" w:themeColor="text1"/>
        </w:rPr>
        <w:t xml:space="preserve">the </w:t>
      </w:r>
      <w:r w:rsidR="002E01DE" w:rsidRPr="00A02AA3">
        <w:rPr>
          <w:rFonts w:ascii="Arial" w:hAnsi="Arial" w:cs="Arial"/>
          <w:color w:val="000000" w:themeColor="text1"/>
        </w:rPr>
        <w:t>cost</w:t>
      </w:r>
      <w:r w:rsidR="00152032">
        <w:rPr>
          <w:rFonts w:ascii="Arial" w:hAnsi="Arial" w:cs="Arial"/>
          <w:color w:val="000000" w:themeColor="text1"/>
        </w:rPr>
        <w:t>s</w:t>
      </w:r>
      <w:r w:rsidR="002E01DE" w:rsidRPr="00A02AA3">
        <w:rPr>
          <w:rFonts w:ascii="Arial" w:hAnsi="Arial" w:cs="Arial"/>
          <w:color w:val="000000" w:themeColor="text1"/>
        </w:rPr>
        <w:t xml:space="preserve"> of unit product</w:t>
      </w:r>
      <w:r w:rsidR="00152032">
        <w:rPr>
          <w:rFonts w:ascii="Arial" w:hAnsi="Arial" w:cs="Arial"/>
          <w:color w:val="000000" w:themeColor="text1"/>
        </w:rPr>
        <w:t>s</w:t>
      </w:r>
      <w:r w:rsidR="002E01DE" w:rsidRPr="00A02AA3">
        <w:rPr>
          <w:rFonts w:ascii="Arial" w:hAnsi="Arial" w:cs="Arial"/>
          <w:color w:val="000000" w:themeColor="text1"/>
        </w:rPr>
        <w:t xml:space="preserve"> </w:t>
      </w:r>
      <w:r w:rsidR="00152032">
        <w:rPr>
          <w:rFonts w:ascii="Arial" w:hAnsi="Arial" w:cs="Arial"/>
          <w:color w:val="000000" w:themeColor="text1"/>
        </w:rPr>
        <w:t xml:space="preserve">through </w:t>
      </w:r>
      <w:r w:rsidR="002E01DE" w:rsidRPr="00A02AA3">
        <w:rPr>
          <w:rFonts w:ascii="Arial" w:hAnsi="Arial" w:cs="Arial"/>
          <w:color w:val="000000" w:themeColor="text1"/>
        </w:rPr>
        <w:t>central bulk purchasing.</w:t>
      </w:r>
    </w:p>
    <w:p w14:paraId="1E027D74" w14:textId="77777777" w:rsidR="00D2068D" w:rsidRPr="00A02AA3" w:rsidRDefault="002E01DE">
      <w:pPr>
        <w:spacing w:line="240" w:lineRule="auto"/>
        <w:ind w:left="360"/>
        <w:jc w:val="both"/>
        <w:rPr>
          <w:rFonts w:ascii="Arial" w:hAnsi="Arial" w:cs="Arial"/>
          <w:color w:val="000000" w:themeColor="text1"/>
        </w:rPr>
      </w:pPr>
      <w:r w:rsidRPr="00A02AA3">
        <w:rPr>
          <w:rFonts w:ascii="Arial" w:hAnsi="Arial" w:cs="Arial"/>
          <w:color w:val="000000" w:themeColor="text1"/>
        </w:rPr>
        <w:t xml:space="preserve">It is now the time for the GLAD members to use their own knowledge, expertise and resources to make optimum use of the collective purchasing power </w:t>
      </w:r>
      <w:r w:rsidR="00A4298A">
        <w:rPr>
          <w:rFonts w:ascii="Arial" w:hAnsi="Arial" w:cs="Arial"/>
          <w:color w:val="000000" w:themeColor="text1"/>
        </w:rPr>
        <w:t>in</w:t>
      </w:r>
      <w:r w:rsidRPr="00A02AA3">
        <w:rPr>
          <w:rFonts w:ascii="Arial" w:hAnsi="Arial" w:cs="Arial"/>
          <w:color w:val="000000" w:themeColor="text1"/>
        </w:rPr>
        <w:t xml:space="preserve"> provisioning of affordable assistive products and accessibility of the built environment and fulfil their commitments towards CRPD, Article 32 </w:t>
      </w:r>
      <w:r w:rsidR="00A4298A">
        <w:rPr>
          <w:rFonts w:ascii="Arial" w:hAnsi="Arial" w:cs="Arial"/>
          <w:color w:val="000000" w:themeColor="text1"/>
        </w:rPr>
        <w:t xml:space="preserve">on </w:t>
      </w:r>
      <w:r w:rsidRPr="00A02AA3">
        <w:rPr>
          <w:rFonts w:ascii="Arial" w:hAnsi="Arial" w:cs="Arial"/>
          <w:color w:val="000000" w:themeColor="text1"/>
        </w:rPr>
        <w:t xml:space="preserve">International Cooperation. This would open the </w:t>
      </w:r>
      <w:r w:rsidR="00152032">
        <w:rPr>
          <w:rFonts w:ascii="Arial" w:hAnsi="Arial" w:cs="Arial"/>
          <w:color w:val="000000" w:themeColor="text1"/>
        </w:rPr>
        <w:t>g</w:t>
      </w:r>
      <w:r w:rsidRPr="00A02AA3">
        <w:rPr>
          <w:rFonts w:ascii="Arial" w:hAnsi="Arial" w:cs="Arial"/>
          <w:color w:val="000000" w:themeColor="text1"/>
        </w:rPr>
        <w:t xml:space="preserve">ate of </w:t>
      </w:r>
      <w:r w:rsidR="00152032">
        <w:rPr>
          <w:rFonts w:ascii="Arial" w:hAnsi="Arial" w:cs="Arial"/>
          <w:color w:val="000000" w:themeColor="text1"/>
        </w:rPr>
        <w:t>i</w:t>
      </w:r>
      <w:r w:rsidRPr="00A02AA3">
        <w:rPr>
          <w:rFonts w:ascii="Arial" w:hAnsi="Arial" w:cs="Arial"/>
          <w:color w:val="000000" w:themeColor="text1"/>
        </w:rPr>
        <w:t>nclusion for millions of people with disabilities.</w:t>
      </w:r>
      <w:r w:rsidR="00A4298A">
        <w:rPr>
          <w:rFonts w:ascii="Arial" w:hAnsi="Arial" w:cs="Arial"/>
          <w:color w:val="000000" w:themeColor="text1"/>
        </w:rPr>
        <w:tab/>
      </w:r>
      <w:r w:rsidR="0027276E" w:rsidRPr="00A02AA3">
        <w:rPr>
          <w:rFonts w:ascii="Arial" w:hAnsi="Arial" w:cs="Arial"/>
          <w:color w:val="000000" w:themeColor="text1"/>
        </w:rPr>
        <w:br/>
      </w:r>
    </w:p>
    <w:p w14:paraId="60939F22" w14:textId="77777777" w:rsidR="00FC251D" w:rsidRPr="00A02AA3" w:rsidRDefault="0049371A" w:rsidP="00F41010">
      <w:pPr>
        <w:pStyle w:val="Heading1"/>
      </w:pPr>
      <w:r w:rsidRPr="00A02AA3">
        <w:t>Action to be considered by GLAD members</w:t>
      </w:r>
      <w:r w:rsidR="00644596" w:rsidRPr="00A02AA3">
        <w:t xml:space="preserve"> (Way forward)</w:t>
      </w:r>
    </w:p>
    <w:p w14:paraId="1A4CCCF2" w14:textId="77777777" w:rsidR="0027276E" w:rsidRPr="00A02AA3" w:rsidRDefault="00644596" w:rsidP="003866AE">
      <w:pPr>
        <w:spacing w:line="240" w:lineRule="auto"/>
        <w:jc w:val="both"/>
        <w:rPr>
          <w:rFonts w:ascii="Arial" w:hAnsi="Arial" w:cs="Arial"/>
          <w:color w:val="000000" w:themeColor="text1"/>
        </w:rPr>
      </w:pPr>
      <w:r w:rsidRPr="00A02AA3">
        <w:rPr>
          <w:rFonts w:ascii="Arial" w:hAnsi="Arial" w:cs="Arial"/>
          <w:color w:val="000000" w:themeColor="text1"/>
        </w:rPr>
        <w:t xml:space="preserve">Setting </w:t>
      </w:r>
      <w:r w:rsidR="007B275D" w:rsidRPr="00A02AA3">
        <w:rPr>
          <w:rFonts w:ascii="Arial" w:hAnsi="Arial" w:cs="Arial"/>
          <w:color w:val="000000" w:themeColor="text1"/>
        </w:rPr>
        <w:t xml:space="preserve">up a working group on assistive products and accessibility </w:t>
      </w:r>
      <w:r w:rsidR="00562F13">
        <w:rPr>
          <w:rFonts w:ascii="Arial" w:hAnsi="Arial" w:cs="Arial"/>
          <w:color w:val="000000" w:themeColor="text1"/>
        </w:rPr>
        <w:t>to consider the following</w:t>
      </w:r>
      <w:r w:rsidR="0027276E" w:rsidRPr="00A02AA3">
        <w:rPr>
          <w:rFonts w:ascii="Arial" w:hAnsi="Arial" w:cs="Arial"/>
          <w:color w:val="000000" w:themeColor="text1"/>
        </w:rPr>
        <w:t xml:space="preserve">: </w:t>
      </w:r>
    </w:p>
    <w:p w14:paraId="0F5F217B" w14:textId="77777777" w:rsidR="00261CCD" w:rsidRPr="00261CCD" w:rsidRDefault="00562F13" w:rsidP="00261CCD">
      <w:pPr>
        <w:pStyle w:val="NUMBEREDLIST"/>
        <w:tabs>
          <w:tab w:val="left" w:pos="1530"/>
        </w:tabs>
        <w:ind w:hanging="540"/>
        <w:rPr>
          <w:rStyle w:val="NUMBEREDLISTChar"/>
        </w:rPr>
      </w:pPr>
      <w:r w:rsidRPr="00261CCD">
        <w:rPr>
          <w:rStyle w:val="NUMBEREDLISTChar"/>
        </w:rPr>
        <w:t>I</w:t>
      </w:r>
      <w:r w:rsidR="0027276E" w:rsidRPr="00261CCD">
        <w:rPr>
          <w:rStyle w:val="NUMBEREDLISTChar"/>
        </w:rPr>
        <w:t>dentify the key persons/departments within the respective organization</w:t>
      </w:r>
      <w:r w:rsidRPr="00261CCD">
        <w:rPr>
          <w:rStyle w:val="NUMBEREDLISTChar"/>
        </w:rPr>
        <w:t>s</w:t>
      </w:r>
      <w:r w:rsidR="0027276E" w:rsidRPr="00261CCD">
        <w:rPr>
          <w:rStyle w:val="NUMBEREDLISTChar"/>
        </w:rPr>
        <w:t xml:space="preserve">, who can share expertise and resources to </w:t>
      </w:r>
      <w:r w:rsidRPr="00261CCD">
        <w:rPr>
          <w:rStyle w:val="NUMBEREDLISTChar"/>
        </w:rPr>
        <w:t xml:space="preserve">accelerate and scale-up </w:t>
      </w:r>
      <w:r w:rsidR="0027276E" w:rsidRPr="00261CCD">
        <w:rPr>
          <w:rStyle w:val="NUMBEREDLISTChar"/>
        </w:rPr>
        <w:t>provisioning of assistive products and accessibility of the built environment;</w:t>
      </w:r>
    </w:p>
    <w:p w14:paraId="4F941CB0" w14:textId="77777777" w:rsidR="003C04D5" w:rsidRPr="00261CCD" w:rsidRDefault="003C04D5" w:rsidP="00261CCD">
      <w:pPr>
        <w:pStyle w:val="NUMBEREDLIST"/>
        <w:tabs>
          <w:tab w:val="left" w:pos="1530"/>
        </w:tabs>
        <w:ind w:hanging="540"/>
        <w:rPr>
          <w:rStyle w:val="NUMBEREDLISTChar"/>
        </w:rPr>
      </w:pPr>
      <w:r w:rsidRPr="00261CCD">
        <w:rPr>
          <w:rStyle w:val="NUMBEREDLISTChar"/>
        </w:rPr>
        <w:t xml:space="preserve">Undertake strategic advocacy and awareness raising activities on accessibility of the built environment and </w:t>
      </w:r>
      <w:r w:rsidR="000B1621" w:rsidRPr="00261CCD">
        <w:rPr>
          <w:rStyle w:val="NUMBEREDLISTChar"/>
        </w:rPr>
        <w:t xml:space="preserve">highlight the need for </w:t>
      </w:r>
      <w:r w:rsidRPr="00261CCD">
        <w:rPr>
          <w:rStyle w:val="NUMBEREDLISTChar"/>
        </w:rPr>
        <w:t xml:space="preserve">market shaping of </w:t>
      </w:r>
      <w:r w:rsidR="00B725F8" w:rsidRPr="00261CCD">
        <w:rPr>
          <w:rStyle w:val="NUMBEREDLISTChar"/>
        </w:rPr>
        <w:t>priority</w:t>
      </w:r>
      <w:r w:rsidRPr="00261CCD">
        <w:rPr>
          <w:rStyle w:val="NUMBEREDLISTChar"/>
        </w:rPr>
        <w:t xml:space="preserve"> assistive products </w:t>
      </w:r>
    </w:p>
    <w:p w14:paraId="001D5DD7" w14:textId="77777777" w:rsidR="0027276E" w:rsidRPr="00261CCD" w:rsidRDefault="0027276E" w:rsidP="00261CCD">
      <w:pPr>
        <w:pStyle w:val="NUMBEREDLIST"/>
        <w:tabs>
          <w:tab w:val="left" w:pos="1530"/>
        </w:tabs>
        <w:ind w:hanging="540"/>
        <w:rPr>
          <w:rStyle w:val="NUMBEREDLISTChar"/>
        </w:rPr>
      </w:pPr>
      <w:r w:rsidRPr="00261CCD">
        <w:rPr>
          <w:rStyle w:val="NUMBEREDLISTChar"/>
        </w:rPr>
        <w:t>Develop</w:t>
      </w:r>
      <w:r w:rsidR="000B1621" w:rsidRPr="00261CCD">
        <w:rPr>
          <w:rStyle w:val="NUMBEREDLISTChar"/>
        </w:rPr>
        <w:t>/identify mechanisms for effective collaboration</w:t>
      </w:r>
      <w:r w:rsidR="003C04D5" w:rsidRPr="00261CCD">
        <w:rPr>
          <w:rStyle w:val="NUMBEREDLISTChar"/>
        </w:rPr>
        <w:t xml:space="preserve"> among GLAD members, </w:t>
      </w:r>
      <w:r w:rsidR="000B1621" w:rsidRPr="00261CCD">
        <w:rPr>
          <w:rStyle w:val="NUMBEREDLISTChar"/>
        </w:rPr>
        <w:t xml:space="preserve">e.g. a potential 3-year action plan involving </w:t>
      </w:r>
      <w:r w:rsidR="003C04D5" w:rsidRPr="00261CCD">
        <w:rPr>
          <w:rStyle w:val="NUMBEREDLISTChar"/>
        </w:rPr>
        <w:t>IDA, UNICEF</w:t>
      </w:r>
      <w:r w:rsidR="000B1621" w:rsidRPr="00261CCD">
        <w:rPr>
          <w:rStyle w:val="NUMBEREDLISTChar"/>
        </w:rPr>
        <w:t>,</w:t>
      </w:r>
      <w:r w:rsidR="003C04D5" w:rsidRPr="00261CCD">
        <w:rPr>
          <w:rStyle w:val="NUMBEREDLISTChar"/>
        </w:rPr>
        <w:t xml:space="preserve"> WHO</w:t>
      </w:r>
      <w:r w:rsidR="000B1621" w:rsidRPr="00261CCD">
        <w:rPr>
          <w:rStyle w:val="NUMBEREDLISTChar"/>
        </w:rPr>
        <w:t xml:space="preserve"> and other stakeholders relevant for market shaping and combined procurement.</w:t>
      </w:r>
    </w:p>
    <w:p w14:paraId="01A5A2AD" w14:textId="77777777" w:rsidR="0027276E" w:rsidRPr="00261CCD" w:rsidRDefault="0027276E" w:rsidP="00261CCD">
      <w:pPr>
        <w:pStyle w:val="NUMBEREDLIST"/>
        <w:tabs>
          <w:tab w:val="left" w:pos="1530"/>
        </w:tabs>
        <w:ind w:hanging="540"/>
        <w:rPr>
          <w:rStyle w:val="NUMBEREDLISTChar"/>
        </w:rPr>
      </w:pPr>
      <w:r w:rsidRPr="00261CCD">
        <w:rPr>
          <w:rStyle w:val="NUMBEREDLISTChar"/>
        </w:rPr>
        <w:t xml:space="preserve">Develop/compile a GLAD procurement </w:t>
      </w:r>
      <w:r w:rsidR="000B1621" w:rsidRPr="00261CCD">
        <w:rPr>
          <w:rStyle w:val="NUMBEREDLISTChar"/>
        </w:rPr>
        <w:t>t</w:t>
      </w:r>
      <w:r w:rsidRPr="00261CCD">
        <w:rPr>
          <w:rStyle w:val="NUMBEREDLISTChar"/>
        </w:rPr>
        <w:t>oolkit on accessibility to include practical information on incorporating accessibility in procurement procedures, financial tracking of accessibility and quality assurance</w:t>
      </w:r>
      <w:r w:rsidR="00562F13" w:rsidRPr="00261CCD">
        <w:rPr>
          <w:rStyle w:val="NUMBEREDLISTChar"/>
        </w:rPr>
        <w:t xml:space="preserve"> mechanisms</w:t>
      </w:r>
      <w:r w:rsidRPr="00261CCD">
        <w:rPr>
          <w:rStyle w:val="NUMBEREDLISTChar"/>
        </w:rPr>
        <w:t xml:space="preserve">, which can be used by </w:t>
      </w:r>
      <w:r w:rsidR="00562F13" w:rsidRPr="00261CCD">
        <w:rPr>
          <w:rStyle w:val="NUMBEREDLISTChar"/>
        </w:rPr>
        <w:t xml:space="preserve">development partners </w:t>
      </w:r>
      <w:r w:rsidRPr="00261CCD">
        <w:rPr>
          <w:rStyle w:val="NUMBEREDLISTChar"/>
        </w:rPr>
        <w:t>for projects involving infrastructure.</w:t>
      </w:r>
    </w:p>
    <w:p w14:paraId="4A5E88B6" w14:textId="77777777" w:rsidR="003C04D5" w:rsidRPr="00261CCD" w:rsidRDefault="003C04D5" w:rsidP="00261CCD">
      <w:pPr>
        <w:pStyle w:val="NUMBEREDLIST"/>
        <w:tabs>
          <w:tab w:val="left" w:pos="1530"/>
        </w:tabs>
        <w:ind w:hanging="540"/>
        <w:rPr>
          <w:rStyle w:val="NUMBEREDLISTChar"/>
        </w:rPr>
      </w:pPr>
      <w:r w:rsidRPr="00261CCD">
        <w:rPr>
          <w:rStyle w:val="NUMBEREDLISTChar"/>
        </w:rPr>
        <w:t xml:space="preserve">Invest in market shaping of </w:t>
      </w:r>
      <w:r w:rsidR="00261CCD">
        <w:rPr>
          <w:rStyle w:val="NUMBEREDLISTChar"/>
        </w:rPr>
        <w:t>five</w:t>
      </w:r>
      <w:r w:rsidRPr="00261CCD">
        <w:rPr>
          <w:rStyle w:val="NUMBEREDLISTChar"/>
        </w:rPr>
        <w:t xml:space="preserve"> top most priority essential assistive products</w:t>
      </w:r>
      <w:r w:rsidR="00562F13" w:rsidRPr="00261CCD">
        <w:rPr>
          <w:rStyle w:val="NUMBEREDLISTChar"/>
        </w:rPr>
        <w:t>,</w:t>
      </w:r>
      <w:r w:rsidRPr="00261CCD">
        <w:rPr>
          <w:rStyle w:val="NUMBEREDLISTChar"/>
        </w:rPr>
        <w:t xml:space="preserve"> </w:t>
      </w:r>
      <w:r w:rsidR="00562F13" w:rsidRPr="00261CCD">
        <w:rPr>
          <w:rStyle w:val="NUMBEREDLISTChar"/>
        </w:rPr>
        <w:t xml:space="preserve">relevant for children and adults with disabilities, </w:t>
      </w:r>
      <w:r w:rsidRPr="00261CCD">
        <w:rPr>
          <w:rStyle w:val="NUMBEREDLISTChar"/>
        </w:rPr>
        <w:t xml:space="preserve">to improve </w:t>
      </w:r>
      <w:r w:rsidR="00562F13" w:rsidRPr="00261CCD">
        <w:rPr>
          <w:rStyle w:val="NUMBEREDLISTChar"/>
        </w:rPr>
        <w:t xml:space="preserve">product </w:t>
      </w:r>
      <w:r w:rsidRPr="00261CCD">
        <w:rPr>
          <w:rStyle w:val="NUMBEREDLISTChar"/>
        </w:rPr>
        <w:t>access.</w:t>
      </w:r>
    </w:p>
    <w:p w14:paraId="27AF895E" w14:textId="77777777" w:rsidR="00781E86" w:rsidRPr="00261CCD" w:rsidRDefault="00781E86" w:rsidP="00261CCD">
      <w:pPr>
        <w:pStyle w:val="NUMBEREDLIST"/>
        <w:tabs>
          <w:tab w:val="left" w:pos="1530"/>
        </w:tabs>
        <w:ind w:hanging="540"/>
        <w:rPr>
          <w:rStyle w:val="NUMBEREDLISTChar"/>
        </w:rPr>
      </w:pPr>
      <w:r w:rsidRPr="00261CCD">
        <w:rPr>
          <w:rStyle w:val="NUMBEREDLISTChar"/>
        </w:rPr>
        <w:t xml:space="preserve">Document good practices of </w:t>
      </w:r>
      <w:r w:rsidR="00CF4E38" w:rsidRPr="00261CCD">
        <w:rPr>
          <w:rStyle w:val="NUMBEREDLISTChar"/>
        </w:rPr>
        <w:t xml:space="preserve">provisioning of assistive products and </w:t>
      </w:r>
      <w:r w:rsidRPr="00261CCD">
        <w:rPr>
          <w:rStyle w:val="NUMBEREDLISTChar"/>
        </w:rPr>
        <w:t xml:space="preserve">accessibility of the built environment including cost, innovative/local materials, </w:t>
      </w:r>
      <w:r w:rsidR="00CF4E38" w:rsidRPr="00261CCD">
        <w:rPr>
          <w:rStyle w:val="NUMBEREDLISTChar"/>
        </w:rPr>
        <w:t xml:space="preserve">active </w:t>
      </w:r>
      <w:r w:rsidRPr="00261CCD">
        <w:rPr>
          <w:rStyle w:val="NUMBEREDLISTChar"/>
        </w:rPr>
        <w:t>involvement of persons with disabilities</w:t>
      </w:r>
      <w:r w:rsidR="00562F13" w:rsidRPr="00261CCD">
        <w:rPr>
          <w:rStyle w:val="NUMBEREDLISTChar"/>
        </w:rPr>
        <w:t>.</w:t>
      </w:r>
    </w:p>
    <w:p w14:paraId="1435B2BE" w14:textId="77777777" w:rsidR="00142B50" w:rsidRPr="00A02AA3" w:rsidRDefault="00142B50" w:rsidP="00A02AA3">
      <w:pPr>
        <w:spacing w:line="240" w:lineRule="auto"/>
        <w:rPr>
          <w:rFonts w:ascii="Arial" w:hAnsi="Arial" w:cs="Arial"/>
        </w:rPr>
      </w:pPr>
    </w:p>
    <w:sectPr w:rsidR="00142B50" w:rsidRPr="00A02AA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E9EFF" w14:textId="77777777" w:rsidR="00795934" w:rsidRDefault="00795934" w:rsidP="00FC251D">
      <w:pPr>
        <w:spacing w:after="0" w:line="240" w:lineRule="auto"/>
      </w:pPr>
      <w:r>
        <w:separator/>
      </w:r>
    </w:p>
  </w:endnote>
  <w:endnote w:type="continuationSeparator" w:id="0">
    <w:p w14:paraId="6CBB3B4C" w14:textId="77777777" w:rsidR="00795934" w:rsidRDefault="00795934" w:rsidP="00FC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ambria"/>
    <w:panose1 w:val="020B060402020202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Glacial Indifference">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8D897" w14:textId="77777777" w:rsidR="00795934" w:rsidRDefault="00795934" w:rsidP="00FC251D">
      <w:pPr>
        <w:spacing w:after="0" w:line="240" w:lineRule="auto"/>
      </w:pPr>
      <w:r>
        <w:separator/>
      </w:r>
    </w:p>
  </w:footnote>
  <w:footnote w:type="continuationSeparator" w:id="0">
    <w:p w14:paraId="3509F027" w14:textId="77777777" w:rsidR="00795934" w:rsidRDefault="00795934" w:rsidP="00FC251D">
      <w:pPr>
        <w:spacing w:after="0" w:line="240" w:lineRule="auto"/>
      </w:pPr>
      <w:r>
        <w:continuationSeparator/>
      </w:r>
    </w:p>
  </w:footnote>
  <w:footnote w:id="1">
    <w:p w14:paraId="3D668277" w14:textId="77777777" w:rsidR="008211FA" w:rsidRPr="00B72739" w:rsidRDefault="008211FA" w:rsidP="008211FA">
      <w:pPr>
        <w:pStyle w:val="FootnoteText"/>
        <w:rPr>
          <w:color w:val="000000" w:themeColor="text1"/>
          <w:sz w:val="18"/>
          <w:szCs w:val="18"/>
          <w:lang w:eastAsia="en-GB"/>
        </w:rPr>
      </w:pPr>
      <w:r w:rsidRPr="00B72739">
        <w:rPr>
          <w:rStyle w:val="FootnoteReference"/>
          <w:color w:val="000000" w:themeColor="text1"/>
          <w:sz w:val="18"/>
          <w:szCs w:val="18"/>
        </w:rPr>
        <w:footnoteRef/>
      </w:r>
      <w:r w:rsidRPr="00B72739">
        <w:rPr>
          <w:color w:val="000000" w:themeColor="text1"/>
          <w:sz w:val="18"/>
          <w:szCs w:val="18"/>
        </w:rPr>
        <w:t xml:space="preserve"> Accessible Components for the Built Environment: Technical Guidelines embracing Universal Design, p.1. </w:t>
      </w:r>
    </w:p>
  </w:footnote>
  <w:footnote w:id="2">
    <w:p w14:paraId="20A7D511" w14:textId="77777777" w:rsidR="008211FA" w:rsidRPr="00B72739" w:rsidRDefault="008211FA" w:rsidP="008211FA">
      <w:pPr>
        <w:pStyle w:val="FootnoteText"/>
        <w:rPr>
          <w:color w:val="000000" w:themeColor="text1"/>
          <w:sz w:val="18"/>
          <w:szCs w:val="18"/>
        </w:rPr>
      </w:pPr>
      <w:r w:rsidRPr="00B72739">
        <w:rPr>
          <w:rStyle w:val="FootnoteReference"/>
          <w:color w:val="000000" w:themeColor="text1"/>
          <w:sz w:val="18"/>
          <w:szCs w:val="18"/>
        </w:rPr>
        <w:footnoteRef/>
      </w:r>
      <w:r w:rsidRPr="00B72739">
        <w:rPr>
          <w:color w:val="000000" w:themeColor="text1"/>
          <w:sz w:val="18"/>
          <w:szCs w:val="18"/>
        </w:rPr>
        <w:t xml:space="preserve"> International Organization</w:t>
      </w:r>
      <w:r w:rsidR="00A74CEB">
        <w:rPr>
          <w:color w:val="000000" w:themeColor="text1"/>
          <w:sz w:val="18"/>
          <w:szCs w:val="18"/>
        </w:rPr>
        <w:t xml:space="preserve"> for Standardization</w:t>
      </w:r>
      <w:r w:rsidRPr="00B72739">
        <w:rPr>
          <w:i/>
          <w:color w:val="000000" w:themeColor="text1"/>
          <w:sz w:val="18"/>
          <w:szCs w:val="18"/>
        </w:rPr>
        <w:t xml:space="preserve">, International Standard, ISO 21542, Building construction — Accessibility and usability of the built environment, </w:t>
      </w:r>
      <w:r w:rsidRPr="00B72739">
        <w:rPr>
          <w:color w:val="000000" w:themeColor="text1"/>
          <w:sz w:val="18"/>
          <w:szCs w:val="18"/>
        </w:rPr>
        <w:t>ISO, Geneva, 2011, p. 3.</w:t>
      </w:r>
    </w:p>
  </w:footnote>
  <w:footnote w:id="3">
    <w:p w14:paraId="61A5ABBD" w14:textId="77777777" w:rsidR="0056126E" w:rsidRPr="00B72739" w:rsidRDefault="0056126E" w:rsidP="0056126E">
      <w:pPr>
        <w:autoSpaceDE w:val="0"/>
        <w:autoSpaceDN w:val="0"/>
        <w:adjustRightInd w:val="0"/>
        <w:spacing w:after="0" w:line="240" w:lineRule="auto"/>
        <w:rPr>
          <w:rFonts w:ascii="Arial" w:hAnsi="Arial" w:cs="Arial"/>
          <w:color w:val="000000" w:themeColor="text1"/>
          <w:sz w:val="18"/>
          <w:szCs w:val="18"/>
          <w:lang w:val="en-US" w:bidi="bn-IN"/>
        </w:rPr>
      </w:pPr>
      <w:r w:rsidRPr="00B72739">
        <w:rPr>
          <w:rStyle w:val="FootnoteReference"/>
          <w:rFonts w:ascii="Arial" w:hAnsi="Arial" w:cs="Arial"/>
          <w:color w:val="000000" w:themeColor="text1"/>
          <w:sz w:val="18"/>
          <w:szCs w:val="18"/>
        </w:rPr>
        <w:footnoteRef/>
      </w:r>
      <w:r w:rsidRPr="00B72739">
        <w:rPr>
          <w:rFonts w:ascii="Arial" w:hAnsi="Arial" w:cs="Arial"/>
          <w:color w:val="000000" w:themeColor="text1"/>
          <w:sz w:val="18"/>
          <w:szCs w:val="18"/>
        </w:rPr>
        <w:t xml:space="preserve"> </w:t>
      </w:r>
      <w:r w:rsidRPr="00B72739">
        <w:rPr>
          <w:rFonts w:ascii="Arial" w:hAnsi="Arial" w:cs="Arial"/>
          <w:color w:val="000000" w:themeColor="text1"/>
          <w:sz w:val="18"/>
          <w:szCs w:val="18"/>
          <w:lang w:val="en-US" w:bidi="bn-IN"/>
        </w:rPr>
        <w:t>United Nations. Convention on the Rights of Persons with Disabilities, G.A. Res. 61/106 (2007)</w:t>
      </w:r>
    </w:p>
    <w:p w14:paraId="2BBA6533" w14:textId="77777777" w:rsidR="0056126E" w:rsidRPr="00B72739" w:rsidRDefault="0056126E" w:rsidP="0056126E">
      <w:pPr>
        <w:pStyle w:val="FootnoteText"/>
        <w:rPr>
          <w:color w:val="000000" w:themeColor="text1"/>
          <w:sz w:val="18"/>
          <w:szCs w:val="18"/>
          <w:lang w:val="en-US"/>
        </w:rPr>
      </w:pPr>
      <w:r w:rsidRPr="00B72739">
        <w:rPr>
          <w:color w:val="000000" w:themeColor="text1"/>
          <w:sz w:val="18"/>
          <w:szCs w:val="18"/>
          <w:lang w:val="en-US" w:bidi="bn-IN"/>
        </w:rPr>
        <w:t>http://www.un.org/esa/socdev/enable/rights/convtexte.htm.</w:t>
      </w:r>
    </w:p>
  </w:footnote>
  <w:footnote w:id="4">
    <w:p w14:paraId="28C932D1" w14:textId="77777777" w:rsidR="0056126E" w:rsidRPr="00B72739" w:rsidRDefault="00291884" w:rsidP="0056126E">
      <w:pPr>
        <w:pStyle w:val="FootnoteText"/>
        <w:rPr>
          <w:color w:val="000000" w:themeColor="text1"/>
          <w:sz w:val="18"/>
          <w:szCs w:val="18"/>
          <w:lang w:val="en-US"/>
        </w:rPr>
      </w:pPr>
      <w:r w:rsidRPr="00B72739">
        <w:rPr>
          <w:rStyle w:val="FootnoteReference"/>
          <w:color w:val="000000" w:themeColor="text1"/>
          <w:sz w:val="18"/>
          <w:szCs w:val="18"/>
        </w:rPr>
        <w:footnoteRef/>
      </w:r>
      <w:r w:rsidRPr="00B72739">
        <w:rPr>
          <w:color w:val="000000" w:themeColor="text1"/>
          <w:sz w:val="18"/>
          <w:szCs w:val="18"/>
        </w:rPr>
        <w:t xml:space="preserve"> </w:t>
      </w:r>
      <w:r w:rsidR="0056126E" w:rsidRPr="00B72739">
        <w:rPr>
          <w:color w:val="000000" w:themeColor="text1"/>
          <w:sz w:val="18"/>
          <w:szCs w:val="18"/>
          <w:lang w:val="en-US"/>
        </w:rPr>
        <w:t>United Nations. Convention on the Rights of Persons with Disabilities, G.A. Res. 61/106 (2007)</w:t>
      </w:r>
    </w:p>
    <w:p w14:paraId="49AF34DF" w14:textId="77777777" w:rsidR="00291884" w:rsidRPr="00B72739" w:rsidRDefault="0056126E" w:rsidP="0056126E">
      <w:pPr>
        <w:pStyle w:val="FootnoteText"/>
        <w:rPr>
          <w:color w:val="000000" w:themeColor="text1"/>
          <w:sz w:val="18"/>
          <w:szCs w:val="18"/>
          <w:lang w:val="en-US"/>
        </w:rPr>
      </w:pPr>
      <w:r w:rsidRPr="00B72739">
        <w:rPr>
          <w:color w:val="000000" w:themeColor="text1"/>
          <w:sz w:val="18"/>
          <w:szCs w:val="18"/>
          <w:lang w:val="en-US"/>
        </w:rPr>
        <w:t>http://www.un.org/esa/socdev/enable/rights/convtexte.htm.</w:t>
      </w:r>
    </w:p>
  </w:footnote>
  <w:footnote w:id="5">
    <w:p w14:paraId="618C2AA6" w14:textId="77777777" w:rsidR="00E04E44" w:rsidRPr="00B72739" w:rsidRDefault="00E04E44">
      <w:pPr>
        <w:pStyle w:val="FootnoteText"/>
        <w:rPr>
          <w:color w:val="000000" w:themeColor="text1"/>
          <w:sz w:val="18"/>
          <w:szCs w:val="18"/>
          <w:lang w:val="en-US"/>
        </w:rPr>
      </w:pPr>
      <w:r w:rsidRPr="00B72739">
        <w:rPr>
          <w:rStyle w:val="FootnoteReference"/>
          <w:color w:val="000000" w:themeColor="text1"/>
          <w:sz w:val="18"/>
          <w:szCs w:val="18"/>
        </w:rPr>
        <w:footnoteRef/>
      </w:r>
      <w:r w:rsidRPr="00B72739">
        <w:rPr>
          <w:color w:val="000000" w:themeColor="text1"/>
          <w:sz w:val="18"/>
          <w:szCs w:val="18"/>
        </w:rPr>
        <w:t xml:space="preserve"> CRPD Committee, 2014, General Comment No.2 Article 9 Accessibility</w:t>
      </w:r>
    </w:p>
  </w:footnote>
  <w:footnote w:id="6">
    <w:p w14:paraId="594D01C3" w14:textId="77777777" w:rsidR="00271894" w:rsidRPr="00A02AA3" w:rsidRDefault="00271894" w:rsidP="00271894">
      <w:pPr>
        <w:pStyle w:val="FootnoteText"/>
        <w:rPr>
          <w:sz w:val="18"/>
          <w:szCs w:val="18"/>
          <w:lang w:val="en-US"/>
        </w:rPr>
      </w:pPr>
      <w:r w:rsidRPr="00B72739">
        <w:rPr>
          <w:rStyle w:val="FootnoteReference"/>
          <w:color w:val="000000" w:themeColor="text1"/>
          <w:sz w:val="18"/>
          <w:szCs w:val="18"/>
        </w:rPr>
        <w:footnoteRef/>
      </w:r>
      <w:r w:rsidRPr="00B72739">
        <w:rPr>
          <w:color w:val="000000" w:themeColor="text1"/>
          <w:sz w:val="18"/>
          <w:szCs w:val="18"/>
        </w:rPr>
        <w:t xml:space="preserve"> OECD 2017 </w:t>
      </w:r>
      <w:hyperlink r:id="rId1" w:history="1">
        <w:r w:rsidRPr="00A02AA3">
          <w:rPr>
            <w:rStyle w:val="Hyperlink"/>
            <w:sz w:val="18"/>
            <w:szCs w:val="18"/>
          </w:rPr>
          <w:t>Technical Notes for Investments in Infrastructure Needs</w:t>
        </w:r>
      </w:hyperlink>
      <w:r w:rsidRPr="00A02AA3">
        <w:rPr>
          <w:rStyle w:val="Hyperlink"/>
          <w:sz w:val="18"/>
          <w:szCs w:val="18"/>
        </w:rPr>
        <w:t>.</w:t>
      </w:r>
    </w:p>
  </w:footnote>
  <w:footnote w:id="7">
    <w:p w14:paraId="7A497F69" w14:textId="77777777" w:rsidR="00271894" w:rsidRPr="00B72739" w:rsidRDefault="00271894" w:rsidP="00271894">
      <w:pPr>
        <w:pStyle w:val="FootnoteText"/>
        <w:rPr>
          <w:color w:val="000000" w:themeColor="text1"/>
          <w:sz w:val="18"/>
          <w:szCs w:val="18"/>
          <w:lang w:val="en-US"/>
        </w:rPr>
      </w:pPr>
      <w:r w:rsidRPr="00B72739">
        <w:rPr>
          <w:rStyle w:val="FootnoteReference"/>
          <w:color w:val="000000" w:themeColor="text1"/>
          <w:sz w:val="18"/>
          <w:szCs w:val="18"/>
        </w:rPr>
        <w:footnoteRef/>
      </w:r>
      <w:r w:rsidRPr="00B72739">
        <w:rPr>
          <w:color w:val="000000" w:themeColor="text1"/>
          <w:sz w:val="18"/>
          <w:szCs w:val="18"/>
          <w:lang w:val="en-US"/>
        </w:rPr>
        <w:t xml:space="preserve"> Using the OECD data, accessed 12 January 2018 Aid (ODA) by sector and donor [DAC5]</w:t>
      </w:r>
    </w:p>
  </w:footnote>
  <w:footnote w:id="8">
    <w:p w14:paraId="70A9DCB9" w14:textId="77777777" w:rsidR="00152032" w:rsidRPr="00BF21C8" w:rsidRDefault="00152032" w:rsidP="00152032">
      <w:pPr>
        <w:pStyle w:val="FootnoteText"/>
        <w:rPr>
          <w:color w:val="auto"/>
          <w:sz w:val="18"/>
          <w:szCs w:val="18"/>
          <w:lang w:val="en-US"/>
        </w:rPr>
      </w:pPr>
      <w:r w:rsidRPr="00BF21C8">
        <w:rPr>
          <w:rStyle w:val="FootnoteReference"/>
          <w:color w:val="auto"/>
          <w:sz w:val="18"/>
          <w:szCs w:val="18"/>
        </w:rPr>
        <w:footnoteRef/>
      </w:r>
      <w:r w:rsidRPr="00BF21C8">
        <w:rPr>
          <w:color w:val="auto"/>
          <w:sz w:val="18"/>
          <w:szCs w:val="18"/>
        </w:rPr>
        <w:t xml:space="preserve"> </w:t>
      </w:r>
      <w:r w:rsidRPr="00BF21C8">
        <w:rPr>
          <w:rFonts w:eastAsiaTheme="majorEastAsia"/>
          <w:bCs/>
          <w:color w:val="auto"/>
          <w:sz w:val="18"/>
          <w:szCs w:val="18"/>
          <w:lang w:val="en-US"/>
        </w:rPr>
        <w:t xml:space="preserve">World Bank /WHO, 2011, </w:t>
      </w:r>
      <w:r w:rsidRPr="00BF21C8">
        <w:rPr>
          <w:rFonts w:eastAsiaTheme="majorEastAsia"/>
          <w:bCs/>
          <w:i/>
          <w:color w:val="auto"/>
          <w:sz w:val="18"/>
          <w:szCs w:val="18"/>
          <w:lang w:val="en-US"/>
        </w:rPr>
        <w:t>World Report on Disability,</w:t>
      </w:r>
      <w:r w:rsidRPr="00BF21C8">
        <w:rPr>
          <w:rFonts w:eastAsiaTheme="majorEastAsia"/>
          <w:bCs/>
          <w:color w:val="auto"/>
          <w:sz w:val="18"/>
          <w:szCs w:val="18"/>
          <w:lang w:val="en-US"/>
        </w:rPr>
        <w:t xml:space="preserve"> World Bank/WHO (</w:t>
      </w:r>
      <w:hyperlink r:id="rId2" w:history="1">
        <w:r w:rsidRPr="00BF21C8">
          <w:rPr>
            <w:rStyle w:val="Hyperlink"/>
            <w:rFonts w:eastAsiaTheme="majorEastAsia"/>
            <w:bCs/>
            <w:color w:val="auto"/>
            <w:sz w:val="18"/>
            <w:szCs w:val="18"/>
            <w:lang w:val="en-US"/>
          </w:rPr>
          <w:t>Link</w:t>
        </w:r>
      </w:hyperlink>
      <w:r w:rsidRPr="00BF21C8">
        <w:rPr>
          <w:rFonts w:eastAsiaTheme="majorEastAsia"/>
          <w:bCs/>
          <w:color w:val="auto"/>
          <w:sz w:val="18"/>
          <w:szCs w:val="18"/>
          <w:lang w:val="en-US"/>
        </w:rPr>
        <w:t>)</w:t>
      </w:r>
    </w:p>
  </w:footnote>
  <w:footnote w:id="9">
    <w:p w14:paraId="3F858F88" w14:textId="77777777" w:rsidR="0097527E" w:rsidRPr="00BF21C8" w:rsidRDefault="0097527E">
      <w:pPr>
        <w:pStyle w:val="FootnoteText"/>
        <w:rPr>
          <w:color w:val="auto"/>
          <w:sz w:val="18"/>
          <w:szCs w:val="18"/>
          <w:lang w:val="en-US"/>
        </w:rPr>
      </w:pPr>
      <w:r w:rsidRPr="00BF21C8">
        <w:rPr>
          <w:rStyle w:val="FootnoteReference"/>
          <w:color w:val="auto"/>
          <w:sz w:val="18"/>
          <w:szCs w:val="18"/>
        </w:rPr>
        <w:footnoteRef/>
      </w:r>
      <w:r w:rsidRPr="00BF21C8">
        <w:rPr>
          <w:color w:val="auto"/>
          <w:sz w:val="18"/>
          <w:szCs w:val="18"/>
        </w:rPr>
        <w:t xml:space="preserve"> </w:t>
      </w:r>
      <w:r w:rsidRPr="00BF21C8">
        <w:rPr>
          <w:rFonts w:eastAsiaTheme="majorEastAsia"/>
          <w:bCs/>
          <w:color w:val="auto"/>
          <w:sz w:val="18"/>
          <w:szCs w:val="18"/>
          <w:lang w:val="en-US"/>
        </w:rPr>
        <w:t xml:space="preserve">World Bank /WHO, 2011, </w:t>
      </w:r>
      <w:r w:rsidRPr="00BF21C8">
        <w:rPr>
          <w:rFonts w:eastAsiaTheme="majorEastAsia"/>
          <w:bCs/>
          <w:i/>
          <w:color w:val="auto"/>
          <w:sz w:val="18"/>
          <w:szCs w:val="18"/>
          <w:lang w:val="en-US"/>
        </w:rPr>
        <w:t>World Report on Disability,</w:t>
      </w:r>
      <w:r w:rsidRPr="00BF21C8">
        <w:rPr>
          <w:rFonts w:eastAsiaTheme="majorEastAsia"/>
          <w:bCs/>
          <w:color w:val="auto"/>
          <w:sz w:val="18"/>
          <w:szCs w:val="18"/>
          <w:lang w:val="en-US"/>
        </w:rPr>
        <w:t xml:space="preserve"> World Bank/WHO (</w:t>
      </w:r>
      <w:hyperlink r:id="rId3" w:history="1">
        <w:r w:rsidRPr="00BF21C8">
          <w:rPr>
            <w:rStyle w:val="Hyperlink"/>
            <w:rFonts w:eastAsiaTheme="majorEastAsia"/>
            <w:bCs/>
            <w:color w:val="auto"/>
            <w:sz w:val="18"/>
            <w:szCs w:val="18"/>
            <w:lang w:val="en-US"/>
          </w:rPr>
          <w:t>Link</w:t>
        </w:r>
      </w:hyperlink>
      <w:r w:rsidRPr="00BF21C8">
        <w:rPr>
          <w:rFonts w:eastAsiaTheme="majorEastAsia"/>
          <w:bCs/>
          <w:color w:val="auto"/>
          <w:sz w:val="18"/>
          <w:szCs w:val="18"/>
          <w:lang w:val="en-US"/>
        </w:rPr>
        <w:t>)</w:t>
      </w:r>
    </w:p>
  </w:footnote>
  <w:footnote w:id="10">
    <w:p w14:paraId="01E024A9" w14:textId="77777777" w:rsidR="0097527E" w:rsidRPr="00BF21C8" w:rsidRDefault="0097527E">
      <w:pPr>
        <w:pStyle w:val="FootnoteText"/>
        <w:rPr>
          <w:color w:val="auto"/>
          <w:sz w:val="18"/>
          <w:szCs w:val="18"/>
          <w:lang w:val="en-US"/>
        </w:rPr>
      </w:pPr>
      <w:r w:rsidRPr="00BF21C8">
        <w:rPr>
          <w:rStyle w:val="FootnoteReference"/>
          <w:color w:val="auto"/>
          <w:sz w:val="18"/>
          <w:szCs w:val="18"/>
        </w:rPr>
        <w:footnoteRef/>
      </w:r>
      <w:r w:rsidRPr="00BF21C8">
        <w:rPr>
          <w:color w:val="auto"/>
          <w:sz w:val="18"/>
          <w:szCs w:val="18"/>
        </w:rPr>
        <w:t xml:space="preserve"> </w:t>
      </w:r>
      <w:r w:rsidRPr="00BF21C8">
        <w:rPr>
          <w:i/>
          <w:color w:val="auto"/>
          <w:sz w:val="18"/>
          <w:szCs w:val="18"/>
        </w:rPr>
        <w:t xml:space="preserve">Education for All the cost of accessibility, 2005, </w:t>
      </w:r>
      <w:proofErr w:type="spellStart"/>
      <w:r w:rsidRPr="00BF21C8">
        <w:rPr>
          <w:color w:val="auto"/>
          <w:sz w:val="18"/>
          <w:szCs w:val="18"/>
        </w:rPr>
        <w:t>Steinford</w:t>
      </w:r>
      <w:proofErr w:type="spellEnd"/>
      <w:r w:rsidRPr="00BF21C8">
        <w:rPr>
          <w:color w:val="auto"/>
          <w:sz w:val="18"/>
          <w:szCs w:val="18"/>
        </w:rPr>
        <w:t>, Edward, World Bank. (</w:t>
      </w:r>
      <w:hyperlink r:id="rId4" w:history="1">
        <w:r w:rsidRPr="00BF21C8">
          <w:rPr>
            <w:rStyle w:val="Hyperlink"/>
            <w:color w:val="auto"/>
            <w:sz w:val="18"/>
            <w:szCs w:val="18"/>
          </w:rPr>
          <w:t>Link</w:t>
        </w:r>
      </w:hyperlink>
      <w:r w:rsidRPr="00BF21C8">
        <w:rPr>
          <w:color w:val="auto"/>
          <w:sz w:val="18"/>
          <w:szCs w:val="18"/>
        </w:rPr>
        <w:t>)</w:t>
      </w:r>
    </w:p>
  </w:footnote>
  <w:footnote w:id="11">
    <w:p w14:paraId="0EEB091E" w14:textId="77777777" w:rsidR="00902B37" w:rsidRPr="009729A3" w:rsidRDefault="00902B37" w:rsidP="00902B37">
      <w:pPr>
        <w:pStyle w:val="FootnoteText"/>
        <w:rPr>
          <w:color w:val="auto"/>
        </w:rPr>
      </w:pPr>
      <w:r w:rsidRPr="00BF21C8">
        <w:rPr>
          <w:rStyle w:val="FootnoteReference"/>
          <w:color w:val="auto"/>
          <w:sz w:val="18"/>
          <w:szCs w:val="18"/>
        </w:rPr>
        <w:footnoteRef/>
      </w:r>
      <w:r w:rsidRPr="00BF21C8">
        <w:rPr>
          <w:color w:val="auto"/>
          <w:sz w:val="18"/>
          <w:szCs w:val="18"/>
        </w:rPr>
        <w:t xml:space="preserve"> </w:t>
      </w:r>
      <w:r w:rsidRPr="009729A3">
        <w:rPr>
          <w:color w:val="auto"/>
        </w:rPr>
        <w:t>UN DESA, A Design Manual for a Barrier Free Environment (</w:t>
      </w:r>
      <w:hyperlink r:id="rId5" w:history="1">
        <w:r w:rsidRPr="009729A3">
          <w:rPr>
            <w:rStyle w:val="Hyperlink"/>
            <w:color w:val="auto"/>
          </w:rPr>
          <w:t>Link</w:t>
        </w:r>
      </w:hyperlink>
      <w:r w:rsidRPr="009729A3">
        <w:rPr>
          <w:color w:val="auto"/>
        </w:rPr>
        <w:t>), Accessibility Rules Implementation Guide UNDP Serbia (</w:t>
      </w:r>
      <w:hyperlink r:id="rId6" w:history="1">
        <w:r w:rsidRPr="009729A3">
          <w:rPr>
            <w:rStyle w:val="Hyperlink"/>
            <w:color w:val="auto"/>
          </w:rPr>
          <w:t>Link</w:t>
        </w:r>
      </w:hyperlink>
      <w:r w:rsidRPr="009729A3">
        <w:rPr>
          <w:color w:val="auto"/>
        </w:rPr>
        <w:t xml:space="preserve">). </w:t>
      </w:r>
    </w:p>
    <w:p w14:paraId="69C96D55" w14:textId="77777777" w:rsidR="00902B37" w:rsidRPr="009729A3" w:rsidRDefault="00902B37" w:rsidP="00902B37">
      <w:pPr>
        <w:pStyle w:val="FootnoteText"/>
        <w:rPr>
          <w:lang w:val="en-US"/>
        </w:rPr>
      </w:pPr>
    </w:p>
  </w:footnote>
  <w:footnote w:id="12">
    <w:p w14:paraId="6F7457E0" w14:textId="77777777" w:rsidR="002240CB" w:rsidRPr="009729A3" w:rsidRDefault="002240CB" w:rsidP="002240CB">
      <w:pPr>
        <w:pStyle w:val="FootnoteText"/>
        <w:rPr>
          <w:lang w:val="en-US"/>
        </w:rPr>
      </w:pPr>
      <w:r w:rsidRPr="009729A3">
        <w:rPr>
          <w:rStyle w:val="FootnoteReference"/>
          <w:color w:val="000000" w:themeColor="text1"/>
        </w:rPr>
        <w:footnoteRef/>
      </w:r>
      <w:r w:rsidRPr="009729A3">
        <w:rPr>
          <w:color w:val="000000" w:themeColor="text1"/>
        </w:rPr>
        <w:t xml:space="preserve"> </w:t>
      </w:r>
      <w:r w:rsidRPr="009729A3">
        <w:rPr>
          <w:rFonts w:eastAsiaTheme="majorEastAsia"/>
          <w:bCs/>
          <w:color w:val="000000" w:themeColor="text1"/>
          <w:lang w:val="en-US"/>
        </w:rPr>
        <w:t xml:space="preserve">World Bank /WHO, 2011, </w:t>
      </w:r>
      <w:r w:rsidRPr="009729A3">
        <w:rPr>
          <w:rFonts w:eastAsiaTheme="majorEastAsia"/>
          <w:bCs/>
          <w:i/>
          <w:color w:val="000000" w:themeColor="text1"/>
          <w:lang w:val="en-US"/>
        </w:rPr>
        <w:t>World Report on Disability,</w:t>
      </w:r>
      <w:r w:rsidRPr="009729A3">
        <w:rPr>
          <w:rFonts w:eastAsiaTheme="majorEastAsia"/>
          <w:bCs/>
          <w:color w:val="000000" w:themeColor="text1"/>
          <w:lang w:val="en-US"/>
        </w:rPr>
        <w:t xml:space="preserve"> World Bank/</w:t>
      </w:r>
      <w:r w:rsidRPr="009729A3">
        <w:rPr>
          <w:rFonts w:eastAsiaTheme="majorEastAsia"/>
          <w:bCs/>
          <w:lang w:val="en-US"/>
        </w:rPr>
        <w:t>WHO p</w:t>
      </w:r>
      <w:r w:rsidR="00B72962" w:rsidRPr="009729A3">
        <w:rPr>
          <w:rFonts w:eastAsiaTheme="majorEastAsia"/>
          <w:bCs/>
          <w:lang w:val="en-US"/>
        </w:rPr>
        <w:t>.</w:t>
      </w:r>
      <w:r w:rsidRPr="009729A3">
        <w:rPr>
          <w:rFonts w:eastAsiaTheme="majorEastAsia"/>
          <w:bCs/>
          <w:lang w:val="en-US"/>
        </w:rPr>
        <w:t>174 (</w:t>
      </w:r>
      <w:hyperlink r:id="rId7" w:history="1">
        <w:r w:rsidRPr="009729A3">
          <w:rPr>
            <w:rStyle w:val="Hyperlink"/>
            <w:rFonts w:eastAsiaTheme="majorEastAsia"/>
            <w:bCs/>
            <w:lang w:val="en-US"/>
          </w:rPr>
          <w:t>Link</w:t>
        </w:r>
      </w:hyperlink>
      <w:r w:rsidRPr="009729A3">
        <w:rPr>
          <w:rFonts w:eastAsiaTheme="majorEastAsia"/>
          <w:bCs/>
          <w:lang w:val="en-US"/>
        </w:rPr>
        <w:t>)</w:t>
      </w:r>
    </w:p>
  </w:footnote>
  <w:footnote w:id="13">
    <w:p w14:paraId="5D5C3232" w14:textId="77777777" w:rsidR="00B20828" w:rsidRPr="00B72739" w:rsidRDefault="00B20828">
      <w:pPr>
        <w:pStyle w:val="FootnoteText"/>
        <w:rPr>
          <w:color w:val="000000" w:themeColor="text1"/>
          <w:sz w:val="18"/>
          <w:szCs w:val="18"/>
          <w:lang w:val="en-US"/>
        </w:rPr>
      </w:pPr>
      <w:r w:rsidRPr="00B72739">
        <w:rPr>
          <w:rStyle w:val="FootnoteReference"/>
          <w:color w:val="000000" w:themeColor="text1"/>
          <w:sz w:val="18"/>
          <w:szCs w:val="18"/>
        </w:rPr>
        <w:footnoteRef/>
      </w:r>
      <w:r w:rsidRPr="00B72739">
        <w:rPr>
          <w:color w:val="000000" w:themeColor="text1"/>
          <w:sz w:val="18"/>
          <w:szCs w:val="18"/>
        </w:rPr>
        <w:t xml:space="preserve"> </w:t>
      </w:r>
      <w:r w:rsidR="008B021A" w:rsidRPr="00B72739">
        <w:rPr>
          <w:color w:val="000000" w:themeColor="text1"/>
          <w:sz w:val="18"/>
          <w:szCs w:val="18"/>
        </w:rPr>
        <w:t xml:space="preserve">Assistive technology. Fact sheet. Geneva: World Health Organization; 2016 (http://www.who.int/mediacentre/factsheets/assistive-technology/en/, accessed 6 October 2017).  </w:t>
      </w:r>
    </w:p>
  </w:footnote>
  <w:footnote w:id="14">
    <w:p w14:paraId="34FE91E4" w14:textId="77777777" w:rsidR="008B021A" w:rsidRPr="00B72739" w:rsidRDefault="008B021A">
      <w:pPr>
        <w:pStyle w:val="FootnoteText"/>
        <w:rPr>
          <w:color w:val="000000" w:themeColor="text1"/>
          <w:sz w:val="18"/>
          <w:szCs w:val="18"/>
          <w:lang w:val="en-US"/>
        </w:rPr>
      </w:pPr>
      <w:r w:rsidRPr="00B72739">
        <w:rPr>
          <w:rStyle w:val="FootnoteReference"/>
          <w:color w:val="000000" w:themeColor="text1"/>
          <w:sz w:val="18"/>
          <w:szCs w:val="18"/>
        </w:rPr>
        <w:footnoteRef/>
      </w:r>
      <w:r w:rsidRPr="00B72739">
        <w:rPr>
          <w:color w:val="000000" w:themeColor="text1"/>
          <w:sz w:val="18"/>
          <w:szCs w:val="18"/>
        </w:rPr>
        <w:t xml:space="preserve"> Guidelines on the provision of manual wheelchairs in less-resourced settings. Geneva: World Health Organization; 2008 (http://www.who.int/disabilities/publications/technology/English%20Wheelchair%20Guidelines%20(EN%20for %20the%20web).</w:t>
      </w:r>
      <w:proofErr w:type="spellStart"/>
      <w:r w:rsidRPr="00B72739">
        <w:rPr>
          <w:color w:val="000000" w:themeColor="text1"/>
          <w:sz w:val="18"/>
          <w:szCs w:val="18"/>
        </w:rPr>
        <w:t>pdf?ua</w:t>
      </w:r>
      <w:proofErr w:type="spellEnd"/>
      <w:r w:rsidRPr="00B72739">
        <w:rPr>
          <w:color w:val="000000" w:themeColor="text1"/>
          <w:sz w:val="18"/>
          <w:szCs w:val="18"/>
        </w:rPr>
        <w:t>=1, accessed 2 October 2017). The estimate in the guidelines of 65 million has been adjusted in line with the growth in the global population.</w:t>
      </w:r>
    </w:p>
  </w:footnote>
  <w:footnote w:id="15">
    <w:p w14:paraId="252F969F" w14:textId="77777777" w:rsidR="00B20828" w:rsidRPr="00B72739" w:rsidRDefault="00B20828">
      <w:pPr>
        <w:pStyle w:val="FootnoteText"/>
        <w:rPr>
          <w:color w:val="000000" w:themeColor="text1"/>
          <w:sz w:val="18"/>
          <w:szCs w:val="18"/>
          <w:lang w:val="en-US"/>
        </w:rPr>
      </w:pPr>
      <w:r w:rsidRPr="00B72739">
        <w:rPr>
          <w:rStyle w:val="FootnoteReference"/>
          <w:color w:val="000000" w:themeColor="text1"/>
          <w:sz w:val="18"/>
          <w:szCs w:val="18"/>
        </w:rPr>
        <w:footnoteRef/>
      </w:r>
      <w:r w:rsidRPr="00B72739">
        <w:rPr>
          <w:color w:val="000000" w:themeColor="text1"/>
          <w:sz w:val="18"/>
          <w:szCs w:val="18"/>
        </w:rPr>
        <w:t xml:space="preserve"> </w:t>
      </w:r>
      <w:r w:rsidR="009F2382" w:rsidRPr="00B72739">
        <w:rPr>
          <w:color w:val="000000" w:themeColor="text1"/>
          <w:sz w:val="18"/>
          <w:szCs w:val="18"/>
        </w:rPr>
        <w:t>Deafness and hearing loss. Fact sheet. Geneva: World Health Organization; 2017 (http://www.who.int/mediacentre/factsheets/fs300/en/, accessed 2 October 2017).</w:t>
      </w:r>
    </w:p>
  </w:footnote>
  <w:footnote w:id="16">
    <w:p w14:paraId="2DB20D7B" w14:textId="77777777" w:rsidR="00AD354D" w:rsidRPr="00B72739" w:rsidRDefault="00AD354D" w:rsidP="00AD354D">
      <w:pPr>
        <w:pStyle w:val="FootnoteText"/>
        <w:rPr>
          <w:color w:val="000000" w:themeColor="text1"/>
          <w:sz w:val="18"/>
          <w:szCs w:val="18"/>
        </w:rPr>
      </w:pPr>
      <w:r w:rsidRPr="00B72739">
        <w:rPr>
          <w:rStyle w:val="FootnoteReference"/>
          <w:color w:val="000000" w:themeColor="text1"/>
          <w:sz w:val="18"/>
          <w:szCs w:val="18"/>
        </w:rPr>
        <w:footnoteRef/>
      </w:r>
      <w:r w:rsidRPr="00B72739">
        <w:rPr>
          <w:color w:val="000000" w:themeColor="text1"/>
          <w:sz w:val="18"/>
          <w:szCs w:val="18"/>
        </w:rPr>
        <w:t xml:space="preserve"> WHO: Public Health, Innovation, Intellectual Property. Geneva: World Health Organization</w:t>
      </w:r>
    </w:p>
    <w:p w14:paraId="22BBF89C" w14:textId="77777777" w:rsidR="00AD354D" w:rsidRPr="00B72739" w:rsidRDefault="00AD354D" w:rsidP="00AD354D">
      <w:pPr>
        <w:pStyle w:val="FootnoteText"/>
        <w:rPr>
          <w:color w:val="000000" w:themeColor="text1"/>
          <w:sz w:val="18"/>
          <w:szCs w:val="18"/>
          <w:lang w:val="en-US"/>
        </w:rPr>
      </w:pPr>
      <w:r w:rsidRPr="00B72739">
        <w:rPr>
          <w:color w:val="000000" w:themeColor="text1"/>
          <w:sz w:val="18"/>
          <w:szCs w:val="18"/>
        </w:rPr>
        <w:t>(http://www.who.int/phi/implementation/en/)</w:t>
      </w:r>
    </w:p>
  </w:footnote>
  <w:footnote w:id="17">
    <w:p w14:paraId="203D32BE" w14:textId="77777777" w:rsidR="006A04C2" w:rsidRPr="00B72739" w:rsidRDefault="006A04C2" w:rsidP="006A04C2">
      <w:pPr>
        <w:pStyle w:val="FootnoteText"/>
        <w:rPr>
          <w:color w:val="000000" w:themeColor="text1"/>
          <w:sz w:val="18"/>
          <w:szCs w:val="18"/>
        </w:rPr>
      </w:pPr>
      <w:r w:rsidRPr="00B72739">
        <w:rPr>
          <w:rStyle w:val="FootnoteReference"/>
          <w:color w:val="000000" w:themeColor="text1"/>
          <w:sz w:val="18"/>
          <w:szCs w:val="18"/>
        </w:rPr>
        <w:footnoteRef/>
      </w:r>
      <w:r w:rsidRPr="00B72739">
        <w:rPr>
          <w:color w:val="000000" w:themeColor="text1"/>
          <w:sz w:val="18"/>
          <w:szCs w:val="18"/>
        </w:rPr>
        <w:t xml:space="preserve"> UNITAID. Innovative financing to shape markets for HIV/AIDS, Malaria and Tuberculosis.</w:t>
      </w:r>
    </w:p>
    <w:p w14:paraId="66D07418" w14:textId="77777777" w:rsidR="006A04C2" w:rsidRPr="00B72739" w:rsidRDefault="006A04C2" w:rsidP="006A04C2">
      <w:pPr>
        <w:pStyle w:val="FootnoteText"/>
        <w:rPr>
          <w:color w:val="000000" w:themeColor="text1"/>
          <w:sz w:val="18"/>
          <w:szCs w:val="18"/>
          <w:lang w:val="en-US"/>
        </w:rPr>
      </w:pPr>
      <w:r w:rsidRPr="00B72739">
        <w:rPr>
          <w:color w:val="000000" w:themeColor="text1"/>
          <w:sz w:val="18"/>
          <w:szCs w:val="18"/>
        </w:rPr>
        <w:t>Geneva: World Health Organization (http://www.unitaid.eu/en/)</w:t>
      </w:r>
    </w:p>
  </w:footnote>
  <w:footnote w:id="18">
    <w:p w14:paraId="6602AB16" w14:textId="77777777" w:rsidR="008B021A" w:rsidRPr="00B72739" w:rsidRDefault="008B021A">
      <w:pPr>
        <w:pStyle w:val="FootnoteText"/>
        <w:rPr>
          <w:color w:val="000000" w:themeColor="text1"/>
          <w:sz w:val="18"/>
          <w:szCs w:val="18"/>
          <w:lang w:val="en-US"/>
        </w:rPr>
      </w:pPr>
      <w:r w:rsidRPr="00B72739">
        <w:rPr>
          <w:rStyle w:val="FootnoteReference"/>
          <w:color w:val="000000" w:themeColor="text1"/>
          <w:sz w:val="18"/>
          <w:szCs w:val="18"/>
        </w:rPr>
        <w:footnoteRef/>
      </w:r>
      <w:r w:rsidRPr="00B72739">
        <w:rPr>
          <w:color w:val="000000" w:themeColor="text1"/>
          <w:sz w:val="18"/>
          <w:szCs w:val="18"/>
        </w:rPr>
        <w:t xml:space="preserve"> Priority assistive products list. Geneva: World Health Organization; 2016 (http://who.int/phi/implementation/assistive_technology/EMP_PHI_2016.01/en/, accessed 2 October 2017).</w:t>
      </w:r>
    </w:p>
  </w:footnote>
  <w:footnote w:id="19">
    <w:p w14:paraId="0F6A5A30" w14:textId="77777777" w:rsidR="00A66018" w:rsidRPr="00B72739" w:rsidRDefault="00A66018">
      <w:pPr>
        <w:pStyle w:val="FootnoteText"/>
        <w:rPr>
          <w:color w:val="000000" w:themeColor="text1"/>
          <w:sz w:val="18"/>
          <w:szCs w:val="18"/>
          <w:lang w:val="en-US"/>
        </w:rPr>
      </w:pPr>
      <w:r w:rsidRPr="00B72739">
        <w:rPr>
          <w:rStyle w:val="FootnoteReference"/>
          <w:color w:val="000000" w:themeColor="text1"/>
          <w:sz w:val="18"/>
          <w:szCs w:val="18"/>
        </w:rPr>
        <w:footnoteRef/>
      </w:r>
      <w:r w:rsidRPr="00B72739">
        <w:rPr>
          <w:color w:val="000000" w:themeColor="text1"/>
          <w:sz w:val="18"/>
          <w:szCs w:val="18"/>
        </w:rPr>
        <w:t xml:space="preserve"> </w:t>
      </w:r>
      <w:r w:rsidR="00074232" w:rsidRPr="00B72739">
        <w:rPr>
          <w:color w:val="000000" w:themeColor="text1"/>
          <w:sz w:val="18"/>
          <w:szCs w:val="18"/>
        </w:rPr>
        <w:t>SMASH:</w:t>
      </w:r>
      <w:r w:rsidRPr="00B72739">
        <w:rPr>
          <w:color w:val="000000" w:themeColor="text1"/>
          <w:sz w:val="18"/>
          <w:szCs w:val="18"/>
        </w:rPr>
        <w:t xml:space="preserve"> Strategies for Market Shaping</w:t>
      </w:r>
      <w:r w:rsidR="00290710" w:rsidRPr="00B72739">
        <w:rPr>
          <w:color w:val="000000" w:themeColor="text1"/>
          <w:sz w:val="18"/>
          <w:szCs w:val="18"/>
        </w:rPr>
        <w:t xml:space="preserve">. Finland </w:t>
      </w:r>
      <w:proofErr w:type="spellStart"/>
      <w:r w:rsidR="00074232" w:rsidRPr="00B72739">
        <w:rPr>
          <w:color w:val="000000" w:themeColor="text1"/>
          <w:sz w:val="18"/>
          <w:szCs w:val="18"/>
        </w:rPr>
        <w:t>Nenonen</w:t>
      </w:r>
      <w:proofErr w:type="spellEnd"/>
      <w:r w:rsidR="00074232" w:rsidRPr="00B72739">
        <w:rPr>
          <w:color w:val="000000" w:themeColor="text1"/>
          <w:sz w:val="18"/>
          <w:szCs w:val="18"/>
        </w:rPr>
        <w:t xml:space="preserve">, </w:t>
      </w:r>
      <w:proofErr w:type="spellStart"/>
      <w:r w:rsidR="00074232" w:rsidRPr="00B72739">
        <w:rPr>
          <w:color w:val="000000" w:themeColor="text1"/>
          <w:sz w:val="18"/>
          <w:szCs w:val="18"/>
        </w:rPr>
        <w:t>Storbaacka</w:t>
      </w:r>
      <w:proofErr w:type="spellEnd"/>
      <w:r w:rsidR="002E01DE" w:rsidRPr="00B72739">
        <w:rPr>
          <w:color w:val="000000" w:themeColor="text1"/>
          <w:sz w:val="18"/>
          <w:szCs w:val="18"/>
        </w:rPr>
        <w:t xml:space="preserve">, </w:t>
      </w:r>
      <w:r w:rsidR="00074232" w:rsidRPr="00B72739">
        <w:rPr>
          <w:color w:val="000000" w:themeColor="text1"/>
          <w:sz w:val="18"/>
          <w:szCs w:val="18"/>
        </w:rPr>
        <w:t xml:space="preserve"> </w:t>
      </w:r>
      <w:r w:rsidR="00290710" w:rsidRPr="00B72739">
        <w:rPr>
          <w:color w:val="000000" w:themeColor="text1"/>
          <w:sz w:val="18"/>
          <w:szCs w:val="18"/>
        </w:rPr>
        <w:t>(http://execed.hankensse.fi/5-strategies-for-market-shaping)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7E0C"/>
    <w:multiLevelType w:val="hybridMultilevel"/>
    <w:tmpl w:val="A75A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5587"/>
    <w:multiLevelType w:val="multilevel"/>
    <w:tmpl w:val="117E911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AF0038"/>
    <w:multiLevelType w:val="hybridMultilevel"/>
    <w:tmpl w:val="ECA88724"/>
    <w:lvl w:ilvl="0" w:tplc="C4E640A8">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25D4C"/>
    <w:multiLevelType w:val="hybridMultilevel"/>
    <w:tmpl w:val="4164FE4A"/>
    <w:lvl w:ilvl="0" w:tplc="2B86261E">
      <w:start w:val="1"/>
      <w:numFmt w:val="decimal"/>
      <w:pStyle w:val="NUMBEREDLIST"/>
      <w:lvlText w:val="6.%1."/>
      <w:lvlJc w:val="left"/>
      <w:pPr>
        <w:ind w:left="1080" w:hanging="360"/>
      </w:pPr>
      <w:rPr>
        <w:rFonts w:hint="default"/>
        <w:b/>
        <w:color w:val="1F497D"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55DC5"/>
    <w:multiLevelType w:val="hybridMultilevel"/>
    <w:tmpl w:val="8ABCF3D0"/>
    <w:lvl w:ilvl="0" w:tplc="F4C4849C">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301C7"/>
    <w:multiLevelType w:val="multilevel"/>
    <w:tmpl w:val="A16EAA4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90058A1"/>
    <w:multiLevelType w:val="hybridMultilevel"/>
    <w:tmpl w:val="FB5A6586"/>
    <w:lvl w:ilvl="0" w:tplc="716CD6F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E2C15"/>
    <w:multiLevelType w:val="multilevel"/>
    <w:tmpl w:val="86A4E8EC"/>
    <w:lvl w:ilvl="0">
      <w:start w:val="1"/>
      <w:numFmt w:val="decimal"/>
      <w:lvlText w:val="%1."/>
      <w:lvlJc w:val="left"/>
      <w:pPr>
        <w:ind w:left="108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4A26BBC"/>
    <w:multiLevelType w:val="hybridMultilevel"/>
    <w:tmpl w:val="A806911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F14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7E45D6"/>
    <w:multiLevelType w:val="multilevel"/>
    <w:tmpl w:val="6F94E334"/>
    <w:lvl w:ilvl="0">
      <w:start w:val="5"/>
      <w:numFmt w:val="decimal"/>
      <w:lvlText w:val="%1"/>
      <w:lvlJc w:val="left"/>
      <w:pPr>
        <w:ind w:left="1260" w:hanging="360"/>
      </w:pPr>
      <w:rPr>
        <w:rFonts w:hint="default"/>
      </w:rPr>
    </w:lvl>
    <w:lvl w:ilvl="1">
      <w:start w:val="1"/>
      <w:numFmt w:val="decimal"/>
      <w:lvlText w:val="%1.%2"/>
      <w:lvlJc w:val="left"/>
      <w:pPr>
        <w:ind w:left="1800" w:hanging="360"/>
      </w:pPr>
      <w:rPr>
        <w:rFonts w:hint="default"/>
        <w:b/>
        <w:color w:val="1F497D" w:themeColor="text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48B9166D"/>
    <w:multiLevelType w:val="multilevel"/>
    <w:tmpl w:val="CF488C14"/>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C868BA"/>
    <w:multiLevelType w:val="hybridMultilevel"/>
    <w:tmpl w:val="D1484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1D0645"/>
    <w:multiLevelType w:val="hybridMultilevel"/>
    <w:tmpl w:val="7BCA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F141F"/>
    <w:multiLevelType w:val="multilevel"/>
    <w:tmpl w:val="5776ACE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0C0EFA"/>
    <w:multiLevelType w:val="multilevel"/>
    <w:tmpl w:val="90D0F70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1C6359"/>
    <w:multiLevelType w:val="multilevel"/>
    <w:tmpl w:val="732AAF5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3416FE"/>
    <w:multiLevelType w:val="multilevel"/>
    <w:tmpl w:val="8F38D176"/>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6CEC65F8"/>
    <w:multiLevelType w:val="hybridMultilevel"/>
    <w:tmpl w:val="42D4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D103A"/>
    <w:multiLevelType w:val="hybridMultilevel"/>
    <w:tmpl w:val="4938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91B91"/>
    <w:multiLevelType w:val="multilevel"/>
    <w:tmpl w:val="AD74A71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F752F95"/>
    <w:multiLevelType w:val="hybridMultilevel"/>
    <w:tmpl w:val="F520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0B6FE5"/>
    <w:multiLevelType w:val="multilevel"/>
    <w:tmpl w:val="E9E0B49C"/>
    <w:lvl w:ilvl="0">
      <w:start w:val="6"/>
      <w:numFmt w:val="decimal"/>
      <w:lvlText w:val="%1"/>
      <w:lvlJc w:val="left"/>
      <w:pPr>
        <w:ind w:left="72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880" w:hanging="1440"/>
      </w:pPr>
      <w:rPr>
        <w:rFonts w:hint="default"/>
      </w:rPr>
    </w:lvl>
    <w:lvl w:ilvl="8">
      <w:start w:val="1"/>
      <w:numFmt w:val="decimal"/>
      <w:lvlText w:val="%1.%2.%3.%4.%5.%6.%7.%8.%9"/>
      <w:lvlJc w:val="left"/>
      <w:pPr>
        <w:ind w:left="13680" w:hanging="1800"/>
      </w:pPr>
      <w:rPr>
        <w:rFonts w:hint="default"/>
      </w:rPr>
    </w:lvl>
  </w:abstractNum>
  <w:abstractNum w:abstractNumId="23" w15:restartNumberingAfterBreak="0">
    <w:nsid w:val="7F832845"/>
    <w:multiLevelType w:val="multilevel"/>
    <w:tmpl w:val="CFF4412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9"/>
  </w:num>
  <w:num w:numId="3">
    <w:abstractNumId w:val="18"/>
  </w:num>
  <w:num w:numId="4">
    <w:abstractNumId w:val="12"/>
  </w:num>
  <w:num w:numId="5">
    <w:abstractNumId w:val="0"/>
  </w:num>
  <w:num w:numId="6">
    <w:abstractNumId w:val="2"/>
  </w:num>
  <w:num w:numId="7">
    <w:abstractNumId w:val="6"/>
  </w:num>
  <w:num w:numId="8">
    <w:abstractNumId w:val="13"/>
  </w:num>
  <w:num w:numId="9">
    <w:abstractNumId w:val="7"/>
  </w:num>
  <w:num w:numId="10">
    <w:abstractNumId w:val="20"/>
  </w:num>
  <w:num w:numId="11">
    <w:abstractNumId w:val="14"/>
  </w:num>
  <w:num w:numId="12">
    <w:abstractNumId w:val="8"/>
  </w:num>
  <w:num w:numId="13">
    <w:abstractNumId w:val="9"/>
  </w:num>
  <w:num w:numId="14">
    <w:abstractNumId w:val="23"/>
  </w:num>
  <w:num w:numId="15">
    <w:abstractNumId w:val="15"/>
  </w:num>
  <w:num w:numId="16">
    <w:abstractNumId w:val="11"/>
  </w:num>
  <w:num w:numId="17">
    <w:abstractNumId w:val="1"/>
  </w:num>
  <w:num w:numId="18">
    <w:abstractNumId w:val="16"/>
  </w:num>
  <w:num w:numId="19">
    <w:abstractNumId w:val="3"/>
  </w:num>
  <w:num w:numId="20">
    <w:abstractNumId w:val="10"/>
  </w:num>
  <w:num w:numId="21">
    <w:abstractNumId w:val="4"/>
  </w:num>
  <w:num w:numId="22">
    <w:abstractNumId w:val="22"/>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5C"/>
    <w:rsid w:val="00060D1B"/>
    <w:rsid w:val="00067D04"/>
    <w:rsid w:val="00074232"/>
    <w:rsid w:val="00084BAF"/>
    <w:rsid w:val="00084E14"/>
    <w:rsid w:val="0008588A"/>
    <w:rsid w:val="00090439"/>
    <w:rsid w:val="000B0ED3"/>
    <w:rsid w:val="000B1621"/>
    <w:rsid w:val="000F433D"/>
    <w:rsid w:val="0011761C"/>
    <w:rsid w:val="00134E0B"/>
    <w:rsid w:val="00142B50"/>
    <w:rsid w:val="001438AE"/>
    <w:rsid w:val="00152032"/>
    <w:rsid w:val="00164C13"/>
    <w:rsid w:val="001863A3"/>
    <w:rsid w:val="001A5315"/>
    <w:rsid w:val="001D011E"/>
    <w:rsid w:val="001F7CED"/>
    <w:rsid w:val="002240CB"/>
    <w:rsid w:val="0024713A"/>
    <w:rsid w:val="002557CC"/>
    <w:rsid w:val="00257A00"/>
    <w:rsid w:val="00261CCD"/>
    <w:rsid w:val="00270788"/>
    <w:rsid w:val="00271894"/>
    <w:rsid w:val="0027276E"/>
    <w:rsid w:val="00290710"/>
    <w:rsid w:val="00291884"/>
    <w:rsid w:val="002B1A18"/>
    <w:rsid w:val="002E01DE"/>
    <w:rsid w:val="002F2BD2"/>
    <w:rsid w:val="002F5A3E"/>
    <w:rsid w:val="00312D91"/>
    <w:rsid w:val="00320B89"/>
    <w:rsid w:val="003306D4"/>
    <w:rsid w:val="003343B7"/>
    <w:rsid w:val="00361244"/>
    <w:rsid w:val="0036149B"/>
    <w:rsid w:val="00376D0F"/>
    <w:rsid w:val="0038335C"/>
    <w:rsid w:val="003866AE"/>
    <w:rsid w:val="003973C4"/>
    <w:rsid w:val="003A1C45"/>
    <w:rsid w:val="003B4679"/>
    <w:rsid w:val="003B4F01"/>
    <w:rsid w:val="003C04D5"/>
    <w:rsid w:val="003C7A90"/>
    <w:rsid w:val="003E28BC"/>
    <w:rsid w:val="00411571"/>
    <w:rsid w:val="004544BE"/>
    <w:rsid w:val="004554D7"/>
    <w:rsid w:val="00460882"/>
    <w:rsid w:val="00475261"/>
    <w:rsid w:val="00491F1A"/>
    <w:rsid w:val="0049371A"/>
    <w:rsid w:val="004A3014"/>
    <w:rsid w:val="004C4375"/>
    <w:rsid w:val="0050249E"/>
    <w:rsid w:val="005178B8"/>
    <w:rsid w:val="00532FA8"/>
    <w:rsid w:val="00533FF1"/>
    <w:rsid w:val="0055268B"/>
    <w:rsid w:val="0056126E"/>
    <w:rsid w:val="00562F13"/>
    <w:rsid w:val="005731FF"/>
    <w:rsid w:val="0057391A"/>
    <w:rsid w:val="005A585C"/>
    <w:rsid w:val="005C7259"/>
    <w:rsid w:val="005E6386"/>
    <w:rsid w:val="00644596"/>
    <w:rsid w:val="006608FA"/>
    <w:rsid w:val="006A04C2"/>
    <w:rsid w:val="006B4E2B"/>
    <w:rsid w:val="006B4FDA"/>
    <w:rsid w:val="006F1CDF"/>
    <w:rsid w:val="006F5881"/>
    <w:rsid w:val="00727F75"/>
    <w:rsid w:val="0073171E"/>
    <w:rsid w:val="0073309C"/>
    <w:rsid w:val="00745B17"/>
    <w:rsid w:val="00772F92"/>
    <w:rsid w:val="00781E86"/>
    <w:rsid w:val="00795934"/>
    <w:rsid w:val="007B275D"/>
    <w:rsid w:val="007D3A84"/>
    <w:rsid w:val="007E6BEA"/>
    <w:rsid w:val="008211FA"/>
    <w:rsid w:val="008277C0"/>
    <w:rsid w:val="0085043F"/>
    <w:rsid w:val="00893E7F"/>
    <w:rsid w:val="008B021A"/>
    <w:rsid w:val="008B1F30"/>
    <w:rsid w:val="008E73A5"/>
    <w:rsid w:val="00902B37"/>
    <w:rsid w:val="00902DC4"/>
    <w:rsid w:val="00937A78"/>
    <w:rsid w:val="00953444"/>
    <w:rsid w:val="00961B0C"/>
    <w:rsid w:val="009729A3"/>
    <w:rsid w:val="0097527E"/>
    <w:rsid w:val="00977781"/>
    <w:rsid w:val="00981271"/>
    <w:rsid w:val="00982C96"/>
    <w:rsid w:val="009A1859"/>
    <w:rsid w:val="009A63DB"/>
    <w:rsid w:val="009D3408"/>
    <w:rsid w:val="009F2382"/>
    <w:rsid w:val="00A02AA3"/>
    <w:rsid w:val="00A4298A"/>
    <w:rsid w:val="00A5257A"/>
    <w:rsid w:val="00A554F0"/>
    <w:rsid w:val="00A66018"/>
    <w:rsid w:val="00A74CEB"/>
    <w:rsid w:val="00AA6EDF"/>
    <w:rsid w:val="00AB0AEC"/>
    <w:rsid w:val="00AD354D"/>
    <w:rsid w:val="00AE742F"/>
    <w:rsid w:val="00B06096"/>
    <w:rsid w:val="00B1748F"/>
    <w:rsid w:val="00B20828"/>
    <w:rsid w:val="00B725F8"/>
    <w:rsid w:val="00B72739"/>
    <w:rsid w:val="00B72962"/>
    <w:rsid w:val="00B80D4B"/>
    <w:rsid w:val="00B964E0"/>
    <w:rsid w:val="00BA7167"/>
    <w:rsid w:val="00BD1E59"/>
    <w:rsid w:val="00BD46FD"/>
    <w:rsid w:val="00BF21C8"/>
    <w:rsid w:val="00C91276"/>
    <w:rsid w:val="00CA49B6"/>
    <w:rsid w:val="00CE1431"/>
    <w:rsid w:val="00CF4E38"/>
    <w:rsid w:val="00D117CD"/>
    <w:rsid w:val="00D2068D"/>
    <w:rsid w:val="00D66D3C"/>
    <w:rsid w:val="00D84C54"/>
    <w:rsid w:val="00D87EE1"/>
    <w:rsid w:val="00D91E0B"/>
    <w:rsid w:val="00DA5B44"/>
    <w:rsid w:val="00DF3416"/>
    <w:rsid w:val="00DF5409"/>
    <w:rsid w:val="00E04E44"/>
    <w:rsid w:val="00E129F0"/>
    <w:rsid w:val="00E57D51"/>
    <w:rsid w:val="00E60DBB"/>
    <w:rsid w:val="00E841F3"/>
    <w:rsid w:val="00EB71A8"/>
    <w:rsid w:val="00ED36F2"/>
    <w:rsid w:val="00EE3019"/>
    <w:rsid w:val="00EF225C"/>
    <w:rsid w:val="00F1394F"/>
    <w:rsid w:val="00F41010"/>
    <w:rsid w:val="00F47E26"/>
    <w:rsid w:val="00F54FB1"/>
    <w:rsid w:val="00F7451F"/>
    <w:rsid w:val="00FC23FD"/>
    <w:rsid w:val="00FC251D"/>
    <w:rsid w:val="00FC3820"/>
    <w:rsid w:val="00FC5618"/>
    <w:rsid w:val="00FD4D2F"/>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45B4"/>
  <w15:chartTrackingRefBased/>
  <w15:docId w15:val="{67CA26F5-A964-4D06-A019-36F5214C3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894"/>
    <w:pPr>
      <w:keepNext/>
      <w:keepLines/>
      <w:numPr>
        <w:numId w:val="11"/>
      </w:numPr>
      <w:spacing w:before="240" w:after="0" w:line="240" w:lineRule="auto"/>
      <w:outlineLvl w:val="0"/>
    </w:pPr>
    <w:rPr>
      <w:rFonts w:ascii="Arial" w:eastAsiaTheme="majorEastAsia" w:hAnsi="Arial" w:cs="Arial"/>
      <w:b/>
      <w:bCs/>
      <w:color w:val="365F91" w:themeColor="accent1" w:themeShade="BF"/>
    </w:rPr>
  </w:style>
  <w:style w:type="paragraph" w:styleId="Heading2">
    <w:name w:val="heading 2"/>
    <w:basedOn w:val="Normal"/>
    <w:next w:val="Normal"/>
    <w:link w:val="Heading2Char"/>
    <w:uiPriority w:val="9"/>
    <w:unhideWhenUsed/>
    <w:qFormat/>
    <w:rsid w:val="00271894"/>
    <w:pPr>
      <w:keepNext/>
      <w:keepLines/>
      <w:numPr>
        <w:ilvl w:val="1"/>
        <w:numId w:val="11"/>
      </w:numPr>
      <w:spacing w:before="40" w:after="0" w:line="240" w:lineRule="auto"/>
      <w:outlineLvl w:val="1"/>
    </w:pPr>
    <w:rPr>
      <w:rFonts w:ascii="Arial" w:eastAsiaTheme="majorEastAsia" w:hAnsi="Arial" w:cs="Arial"/>
      <w:b/>
      <w:bCs/>
      <w:color w:val="365F91" w:themeColor="accent1" w:themeShade="BF"/>
    </w:rPr>
  </w:style>
  <w:style w:type="paragraph" w:styleId="Heading3">
    <w:name w:val="heading 3"/>
    <w:basedOn w:val="Normal"/>
    <w:next w:val="Normal"/>
    <w:link w:val="Heading3Char"/>
    <w:uiPriority w:val="9"/>
    <w:unhideWhenUsed/>
    <w:qFormat/>
    <w:rsid w:val="00271894"/>
    <w:pPr>
      <w:keepNext/>
      <w:keepLines/>
      <w:spacing w:before="40" w:after="0" w:line="240" w:lineRule="auto"/>
      <w:ind w:left="360"/>
      <w:jc w:val="both"/>
      <w:outlineLvl w:val="2"/>
    </w:pPr>
    <w:rPr>
      <w:rFonts w:ascii="Arial" w:eastAsiaTheme="majorEastAsia" w:hAnsi="Arial" w:cs="Arial"/>
      <w:b/>
      <w:b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basedOn w:val="DefaultParagraphFont"/>
    <w:uiPriority w:val="99"/>
    <w:rsid w:val="005A585C"/>
    <w:rPr>
      <w:rFonts w:ascii="Glacial Indifference" w:hAnsi="Glacial Indifference" w:hint="default"/>
      <w:color w:val="000000"/>
    </w:rPr>
  </w:style>
  <w:style w:type="paragraph" w:styleId="ListParagraph">
    <w:name w:val="List Paragraph"/>
    <w:basedOn w:val="Normal"/>
    <w:uiPriority w:val="34"/>
    <w:qFormat/>
    <w:rsid w:val="00FC251D"/>
    <w:pPr>
      <w:ind w:left="720"/>
      <w:contextualSpacing/>
    </w:pPr>
    <w:rPr>
      <w:rFonts w:ascii="Arial" w:eastAsia="Times New Roman" w:hAnsi="Arial" w:cs="Arial"/>
      <w:color w:val="3F4348"/>
      <w:szCs w:val="24"/>
      <w:lang w:val="en"/>
    </w:rPr>
  </w:style>
  <w:style w:type="character" w:styleId="FootnoteReference">
    <w:name w:val="footnote reference"/>
    <w:basedOn w:val="DefaultParagraphFont"/>
    <w:uiPriority w:val="99"/>
    <w:semiHidden/>
    <w:unhideWhenUsed/>
    <w:rsid w:val="00FC251D"/>
    <w:rPr>
      <w:vertAlign w:val="superscript"/>
    </w:rPr>
  </w:style>
  <w:style w:type="paragraph" w:styleId="FootnoteText">
    <w:name w:val="footnote text"/>
    <w:basedOn w:val="Normal"/>
    <w:link w:val="FootnoteTextChar"/>
    <w:uiPriority w:val="99"/>
    <w:unhideWhenUsed/>
    <w:rsid w:val="00937A78"/>
    <w:pPr>
      <w:spacing w:after="0" w:line="240" w:lineRule="auto"/>
    </w:pPr>
    <w:rPr>
      <w:rFonts w:ascii="Arial" w:eastAsia="Times New Roman" w:hAnsi="Arial" w:cs="Arial"/>
      <w:color w:val="3F4348"/>
      <w:sz w:val="20"/>
      <w:szCs w:val="20"/>
      <w:lang w:val="en"/>
    </w:rPr>
  </w:style>
  <w:style w:type="character" w:customStyle="1" w:styleId="FootnoteTextChar">
    <w:name w:val="Footnote Text Char"/>
    <w:basedOn w:val="DefaultParagraphFont"/>
    <w:link w:val="FootnoteText"/>
    <w:uiPriority w:val="99"/>
    <w:rsid w:val="00937A78"/>
    <w:rPr>
      <w:rFonts w:ascii="Arial" w:eastAsia="Times New Roman" w:hAnsi="Arial" w:cs="Arial"/>
      <w:color w:val="3F4348"/>
      <w:sz w:val="20"/>
      <w:szCs w:val="20"/>
      <w:lang w:val="en"/>
    </w:rPr>
  </w:style>
  <w:style w:type="character" w:styleId="Hyperlink">
    <w:name w:val="Hyperlink"/>
    <w:basedOn w:val="DefaultParagraphFont"/>
    <w:uiPriority w:val="99"/>
    <w:unhideWhenUsed/>
    <w:rsid w:val="0097527E"/>
    <w:rPr>
      <w:color w:val="0563C1"/>
      <w:u w:val="single"/>
    </w:rPr>
  </w:style>
  <w:style w:type="character" w:customStyle="1" w:styleId="Heading1Char">
    <w:name w:val="Heading 1 Char"/>
    <w:basedOn w:val="DefaultParagraphFont"/>
    <w:link w:val="Heading1"/>
    <w:uiPriority w:val="9"/>
    <w:rsid w:val="00271894"/>
    <w:rPr>
      <w:rFonts w:ascii="Arial" w:eastAsiaTheme="majorEastAsia" w:hAnsi="Arial" w:cs="Arial"/>
      <w:b/>
      <w:bCs/>
      <w:color w:val="365F91" w:themeColor="accent1" w:themeShade="BF"/>
    </w:rPr>
  </w:style>
  <w:style w:type="character" w:customStyle="1" w:styleId="Heading2Char">
    <w:name w:val="Heading 2 Char"/>
    <w:basedOn w:val="DefaultParagraphFont"/>
    <w:link w:val="Heading2"/>
    <w:uiPriority w:val="9"/>
    <w:rsid w:val="00271894"/>
    <w:rPr>
      <w:rFonts w:ascii="Arial" w:eastAsiaTheme="majorEastAsia" w:hAnsi="Arial" w:cs="Arial"/>
      <w:b/>
      <w:bCs/>
      <w:color w:val="365F91" w:themeColor="accent1" w:themeShade="BF"/>
    </w:rPr>
  </w:style>
  <w:style w:type="character" w:customStyle="1" w:styleId="Heading3Char">
    <w:name w:val="Heading 3 Char"/>
    <w:basedOn w:val="DefaultParagraphFont"/>
    <w:link w:val="Heading3"/>
    <w:uiPriority w:val="9"/>
    <w:rsid w:val="00271894"/>
    <w:rPr>
      <w:rFonts w:ascii="Arial" w:eastAsiaTheme="majorEastAsia" w:hAnsi="Arial" w:cs="Arial"/>
      <w:b/>
      <w:bCs/>
      <w:color w:val="243F60" w:themeColor="accent1" w:themeShade="7F"/>
    </w:rPr>
  </w:style>
  <w:style w:type="paragraph" w:styleId="BalloonText">
    <w:name w:val="Balloon Text"/>
    <w:basedOn w:val="Normal"/>
    <w:link w:val="BalloonTextChar"/>
    <w:uiPriority w:val="99"/>
    <w:semiHidden/>
    <w:unhideWhenUsed/>
    <w:rsid w:val="00D20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68D"/>
    <w:rPr>
      <w:rFonts w:ascii="Segoe UI" w:hAnsi="Segoe UI" w:cs="Segoe UI"/>
      <w:sz w:val="18"/>
      <w:szCs w:val="18"/>
    </w:rPr>
  </w:style>
  <w:style w:type="paragraph" w:customStyle="1" w:styleId="Default">
    <w:name w:val="Default"/>
    <w:rsid w:val="0057391A"/>
    <w:pPr>
      <w:autoSpaceDE w:val="0"/>
      <w:autoSpaceDN w:val="0"/>
      <w:adjustRightInd w:val="0"/>
      <w:spacing w:after="0" w:line="240" w:lineRule="auto"/>
    </w:pPr>
    <w:rPr>
      <w:rFonts w:ascii="Times New Roman" w:hAnsi="Times New Roman" w:cs="Times New Roman"/>
      <w:color w:val="000000"/>
      <w:sz w:val="24"/>
      <w:szCs w:val="24"/>
      <w:lang w:val="en-US" w:bidi="bn-IN"/>
    </w:rPr>
  </w:style>
  <w:style w:type="character" w:styleId="CommentReference">
    <w:name w:val="annotation reference"/>
    <w:basedOn w:val="DefaultParagraphFont"/>
    <w:uiPriority w:val="99"/>
    <w:semiHidden/>
    <w:unhideWhenUsed/>
    <w:rsid w:val="003866AE"/>
    <w:rPr>
      <w:sz w:val="18"/>
      <w:szCs w:val="18"/>
    </w:rPr>
  </w:style>
  <w:style w:type="paragraph" w:styleId="CommentText">
    <w:name w:val="annotation text"/>
    <w:basedOn w:val="Normal"/>
    <w:link w:val="CommentTextChar"/>
    <w:uiPriority w:val="99"/>
    <w:semiHidden/>
    <w:unhideWhenUsed/>
    <w:rsid w:val="003866AE"/>
    <w:pPr>
      <w:spacing w:line="240" w:lineRule="auto"/>
    </w:pPr>
    <w:rPr>
      <w:sz w:val="24"/>
      <w:szCs w:val="24"/>
    </w:rPr>
  </w:style>
  <w:style w:type="character" w:customStyle="1" w:styleId="CommentTextChar">
    <w:name w:val="Comment Text Char"/>
    <w:basedOn w:val="DefaultParagraphFont"/>
    <w:link w:val="CommentText"/>
    <w:uiPriority w:val="99"/>
    <w:semiHidden/>
    <w:rsid w:val="003866AE"/>
    <w:rPr>
      <w:sz w:val="24"/>
      <w:szCs w:val="24"/>
    </w:rPr>
  </w:style>
  <w:style w:type="paragraph" w:styleId="CommentSubject">
    <w:name w:val="annotation subject"/>
    <w:basedOn w:val="CommentText"/>
    <w:next w:val="CommentText"/>
    <w:link w:val="CommentSubjectChar"/>
    <w:uiPriority w:val="99"/>
    <w:semiHidden/>
    <w:unhideWhenUsed/>
    <w:rsid w:val="003866AE"/>
    <w:rPr>
      <w:b/>
      <w:bCs/>
      <w:sz w:val="20"/>
      <w:szCs w:val="20"/>
    </w:rPr>
  </w:style>
  <w:style w:type="character" w:customStyle="1" w:styleId="CommentSubjectChar">
    <w:name w:val="Comment Subject Char"/>
    <w:basedOn w:val="CommentTextChar"/>
    <w:link w:val="CommentSubject"/>
    <w:uiPriority w:val="99"/>
    <w:semiHidden/>
    <w:rsid w:val="003866AE"/>
    <w:rPr>
      <w:b/>
      <w:bCs/>
      <w:sz w:val="20"/>
      <w:szCs w:val="20"/>
    </w:rPr>
  </w:style>
  <w:style w:type="paragraph" w:styleId="Title">
    <w:name w:val="Title"/>
    <w:basedOn w:val="Normal"/>
    <w:next w:val="Normal"/>
    <w:link w:val="TitleChar"/>
    <w:uiPriority w:val="10"/>
    <w:qFormat/>
    <w:rsid w:val="00A74CEB"/>
    <w:pPr>
      <w:spacing w:line="240" w:lineRule="auto"/>
      <w:jc w:val="center"/>
    </w:pPr>
    <w:rPr>
      <w:rFonts w:ascii="Arial" w:hAnsi="Arial" w:cs="Arial"/>
      <w:b/>
    </w:rPr>
  </w:style>
  <w:style w:type="character" w:customStyle="1" w:styleId="TitleChar">
    <w:name w:val="Title Char"/>
    <w:basedOn w:val="DefaultParagraphFont"/>
    <w:link w:val="Title"/>
    <w:uiPriority w:val="10"/>
    <w:rsid w:val="00A74CEB"/>
    <w:rPr>
      <w:rFonts w:ascii="Arial" w:hAnsi="Arial" w:cs="Arial"/>
      <w:b/>
    </w:rPr>
  </w:style>
  <w:style w:type="paragraph" w:styleId="Revision">
    <w:name w:val="Revision"/>
    <w:hidden/>
    <w:uiPriority w:val="99"/>
    <w:semiHidden/>
    <w:rsid w:val="00B725F8"/>
    <w:pPr>
      <w:spacing w:after="0" w:line="240" w:lineRule="auto"/>
    </w:pPr>
  </w:style>
  <w:style w:type="paragraph" w:customStyle="1" w:styleId="NUMBEREDLIST">
    <w:name w:val="NUMBERED LIST"/>
    <w:basedOn w:val="Normal"/>
    <w:link w:val="NUMBEREDLISTChar"/>
    <w:qFormat/>
    <w:rsid w:val="00261CCD"/>
    <w:pPr>
      <w:numPr>
        <w:numId w:val="19"/>
      </w:numPr>
      <w:spacing w:after="120" w:line="240" w:lineRule="auto"/>
    </w:pPr>
    <w:rPr>
      <w:rFonts w:ascii="Arial" w:eastAsia="Times New Roman" w:hAnsi="Arial" w:cs="Arial"/>
      <w:color w:val="000000" w:themeColor="text1"/>
      <w:lang w:val="en"/>
    </w:rPr>
  </w:style>
  <w:style w:type="character" w:styleId="FollowedHyperlink">
    <w:name w:val="FollowedHyperlink"/>
    <w:basedOn w:val="DefaultParagraphFont"/>
    <w:uiPriority w:val="99"/>
    <w:semiHidden/>
    <w:unhideWhenUsed/>
    <w:rsid w:val="002240CB"/>
    <w:rPr>
      <w:color w:val="800080" w:themeColor="followedHyperlink"/>
      <w:u w:val="single"/>
    </w:rPr>
  </w:style>
  <w:style w:type="character" w:customStyle="1" w:styleId="NUMBEREDLISTChar">
    <w:name w:val="NUMBERED LIST Char"/>
    <w:basedOn w:val="DefaultParagraphFont"/>
    <w:link w:val="NUMBEREDLIST"/>
    <w:rsid w:val="00A554F0"/>
    <w:rPr>
      <w:rFonts w:ascii="Arial" w:eastAsia="Times New Roman" w:hAnsi="Arial" w:cs="Arial"/>
      <w:color w:val="000000" w:themeColor="text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58474">
      <w:bodyDiv w:val="1"/>
      <w:marLeft w:val="0"/>
      <w:marRight w:val="0"/>
      <w:marTop w:val="0"/>
      <w:marBottom w:val="0"/>
      <w:divBdr>
        <w:top w:val="none" w:sz="0" w:space="0" w:color="auto"/>
        <w:left w:val="none" w:sz="0" w:space="0" w:color="auto"/>
        <w:bottom w:val="none" w:sz="0" w:space="0" w:color="auto"/>
        <w:right w:val="none" w:sz="0" w:space="0" w:color="auto"/>
      </w:divBdr>
    </w:div>
    <w:div w:id="623191462">
      <w:bodyDiv w:val="1"/>
      <w:marLeft w:val="0"/>
      <w:marRight w:val="0"/>
      <w:marTop w:val="0"/>
      <w:marBottom w:val="0"/>
      <w:divBdr>
        <w:top w:val="none" w:sz="0" w:space="0" w:color="auto"/>
        <w:left w:val="none" w:sz="0" w:space="0" w:color="auto"/>
        <w:bottom w:val="none" w:sz="0" w:space="0" w:color="auto"/>
        <w:right w:val="none" w:sz="0" w:space="0" w:color="auto"/>
      </w:divBdr>
    </w:div>
    <w:div w:id="684358511">
      <w:bodyDiv w:val="1"/>
      <w:marLeft w:val="0"/>
      <w:marRight w:val="0"/>
      <w:marTop w:val="0"/>
      <w:marBottom w:val="0"/>
      <w:divBdr>
        <w:top w:val="none" w:sz="0" w:space="0" w:color="auto"/>
        <w:left w:val="none" w:sz="0" w:space="0" w:color="auto"/>
        <w:bottom w:val="none" w:sz="0" w:space="0" w:color="auto"/>
        <w:right w:val="none" w:sz="0" w:space="0" w:color="auto"/>
      </w:divBdr>
    </w:div>
    <w:div w:id="742216787">
      <w:bodyDiv w:val="1"/>
      <w:marLeft w:val="0"/>
      <w:marRight w:val="0"/>
      <w:marTop w:val="0"/>
      <w:marBottom w:val="0"/>
      <w:divBdr>
        <w:top w:val="none" w:sz="0" w:space="0" w:color="auto"/>
        <w:left w:val="none" w:sz="0" w:space="0" w:color="auto"/>
        <w:bottom w:val="none" w:sz="0" w:space="0" w:color="auto"/>
        <w:right w:val="none" w:sz="0" w:space="0" w:color="auto"/>
      </w:divBdr>
    </w:div>
    <w:div w:id="823819345">
      <w:bodyDiv w:val="1"/>
      <w:marLeft w:val="0"/>
      <w:marRight w:val="0"/>
      <w:marTop w:val="0"/>
      <w:marBottom w:val="0"/>
      <w:divBdr>
        <w:top w:val="none" w:sz="0" w:space="0" w:color="auto"/>
        <w:left w:val="none" w:sz="0" w:space="0" w:color="auto"/>
        <w:bottom w:val="none" w:sz="0" w:space="0" w:color="auto"/>
        <w:right w:val="none" w:sz="0" w:space="0" w:color="auto"/>
      </w:divBdr>
    </w:div>
    <w:div w:id="1107121911">
      <w:bodyDiv w:val="1"/>
      <w:marLeft w:val="0"/>
      <w:marRight w:val="0"/>
      <w:marTop w:val="0"/>
      <w:marBottom w:val="0"/>
      <w:divBdr>
        <w:top w:val="none" w:sz="0" w:space="0" w:color="auto"/>
        <w:left w:val="none" w:sz="0" w:space="0" w:color="auto"/>
        <w:bottom w:val="none" w:sz="0" w:space="0" w:color="auto"/>
        <w:right w:val="none" w:sz="0" w:space="0" w:color="auto"/>
      </w:divBdr>
    </w:div>
    <w:div w:id="1187406201">
      <w:bodyDiv w:val="1"/>
      <w:marLeft w:val="0"/>
      <w:marRight w:val="0"/>
      <w:marTop w:val="0"/>
      <w:marBottom w:val="0"/>
      <w:divBdr>
        <w:top w:val="none" w:sz="0" w:space="0" w:color="auto"/>
        <w:left w:val="none" w:sz="0" w:space="0" w:color="auto"/>
        <w:bottom w:val="none" w:sz="0" w:space="0" w:color="auto"/>
        <w:right w:val="none" w:sz="0" w:space="0" w:color="auto"/>
      </w:divBdr>
    </w:div>
    <w:div w:id="1217425285">
      <w:bodyDiv w:val="1"/>
      <w:marLeft w:val="0"/>
      <w:marRight w:val="0"/>
      <w:marTop w:val="0"/>
      <w:marBottom w:val="0"/>
      <w:divBdr>
        <w:top w:val="none" w:sz="0" w:space="0" w:color="auto"/>
        <w:left w:val="none" w:sz="0" w:space="0" w:color="auto"/>
        <w:bottom w:val="none" w:sz="0" w:space="0" w:color="auto"/>
        <w:right w:val="none" w:sz="0" w:space="0" w:color="auto"/>
      </w:divBdr>
    </w:div>
    <w:div w:id="2003964175">
      <w:bodyDiv w:val="1"/>
      <w:marLeft w:val="0"/>
      <w:marRight w:val="0"/>
      <w:marTop w:val="0"/>
      <w:marBottom w:val="0"/>
      <w:divBdr>
        <w:top w:val="none" w:sz="0" w:space="0" w:color="auto"/>
        <w:left w:val="none" w:sz="0" w:space="0" w:color="auto"/>
        <w:bottom w:val="none" w:sz="0" w:space="0" w:color="auto"/>
        <w:right w:val="none" w:sz="0" w:space="0" w:color="auto"/>
      </w:divBdr>
    </w:div>
    <w:div w:id="20075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fid-disability-framework-2015" TargetMode="External"/><Relationship Id="rId13" Type="http://schemas.openxmlformats.org/officeDocument/2006/relationships/hyperlink" Target="http://dfat.gov.au/about-us/publications/Pages/accessibility-design-guide-universal-design-principles-for-australia-s-aid-program.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fat.gov.au/about-us/publications/pages/development-for-all-2015-2020.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ica.go.jp/english/our_work/thematic_issues/social/activit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ica.go.jp/english/our_work/thematic_issues/social/pdf/guideline_disability.pdf" TargetMode="External"/><Relationship Id="rId4" Type="http://schemas.openxmlformats.org/officeDocument/2006/relationships/settings" Target="settings.xml"/><Relationship Id="rId9" Type="http://schemas.openxmlformats.org/officeDocument/2006/relationships/hyperlink" Target="https://www.gov.uk/government/publications/dfid-policy-on-standards-of-accessibility-for-disabled-people-in-dfid-financed-education-construc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disabilities/world_report/2011/en/" TargetMode="External"/><Relationship Id="rId7" Type="http://schemas.openxmlformats.org/officeDocument/2006/relationships/hyperlink" Target="http://www.who.int/disabilities/world_report/2011/en/" TargetMode="External"/><Relationship Id="rId2" Type="http://schemas.openxmlformats.org/officeDocument/2006/relationships/hyperlink" Target="http://www.who.int/disabilities/world_report/2011/en/" TargetMode="External"/><Relationship Id="rId1" Type="http://schemas.openxmlformats.org/officeDocument/2006/relationships/hyperlink" Target="https://www.oecd.org/env/cc/g20-climate/Technical-note-estimates-of-infrastructure-investment-needs.pdf" TargetMode="External"/><Relationship Id="rId6" Type="http://schemas.openxmlformats.org/officeDocument/2006/relationships/hyperlink" Target="http://www.rs.undp.org/content/serbia/en/home/library/poverty/accesibility-rules-implementation-guide.html" TargetMode="External"/><Relationship Id="rId5" Type="http://schemas.openxmlformats.org/officeDocument/2006/relationships/hyperlink" Target="http://www.un.org/esa/socdev/enable/designm/" TargetMode="External"/><Relationship Id="rId4" Type="http://schemas.openxmlformats.org/officeDocument/2006/relationships/hyperlink" Target="http://documents.worldbank.org/curated/en/185031468178138911/Education-for-All-the-cost-of-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6770-1742-764D-B778-6F93EDAE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Gopal Mitra</dc:creator>
  <cp:keywords/>
  <dc:description/>
  <cp:lastModifiedBy>Talin Avades</cp:lastModifiedBy>
  <cp:revision>6</cp:revision>
  <dcterms:created xsi:type="dcterms:W3CDTF">2018-01-17T22:52:00Z</dcterms:created>
  <dcterms:modified xsi:type="dcterms:W3CDTF">2018-01-19T13:47:00Z</dcterms:modified>
</cp:coreProperties>
</file>