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1C77" w14:textId="111D4A8A" w:rsidR="005F110C" w:rsidRPr="00680837" w:rsidRDefault="005F110C" w:rsidP="005F110C">
      <w:pPr>
        <w:pStyle w:val="Title"/>
        <w:rPr>
          <w:lang w:val="en-GB"/>
        </w:rPr>
      </w:pPr>
      <w:r w:rsidRPr="00680837">
        <w:rPr>
          <w:lang w:val="en-GB"/>
        </w:rPr>
        <w:t>JOINT STATEMENT</w:t>
      </w:r>
    </w:p>
    <w:p w14:paraId="154E769C" w14:textId="20EAC5D4" w:rsidR="005F110C" w:rsidRPr="00680837" w:rsidRDefault="005F110C" w:rsidP="005F110C">
      <w:pPr>
        <w:pStyle w:val="Title"/>
        <w:rPr>
          <w:lang w:val="en-GB"/>
        </w:rPr>
      </w:pPr>
      <w:r w:rsidRPr="00680837">
        <w:rPr>
          <w:lang w:val="en-GB"/>
        </w:rPr>
        <w:t>TOWARDS INCLUSIVE SOCIAL PROTECTION SYSTEM</w:t>
      </w:r>
      <w:r w:rsidR="002965AC" w:rsidRPr="00680837">
        <w:rPr>
          <w:lang w:val="en-GB"/>
        </w:rPr>
        <w:t>S</w:t>
      </w:r>
      <w:r w:rsidRPr="00680837">
        <w:rPr>
          <w:lang w:val="en-GB"/>
        </w:rPr>
        <w:t xml:space="preserve"> SUPPORTING</w:t>
      </w:r>
    </w:p>
    <w:p w14:paraId="7084AC3A" w14:textId="67334355" w:rsidR="00A32F84" w:rsidRPr="00680837" w:rsidRDefault="003E45C4" w:rsidP="00A32F84">
      <w:pPr>
        <w:pStyle w:val="Title"/>
        <w:rPr>
          <w:lang w:val="en-GB"/>
        </w:rPr>
      </w:pPr>
      <w:r w:rsidRPr="00680837">
        <w:rPr>
          <w:noProof/>
          <w:lang w:val="en-GB" w:eastAsia="en-GB"/>
        </w:rPr>
        <mc:AlternateContent>
          <mc:Choice Requires="wps">
            <w:drawing>
              <wp:anchor distT="0" distB="0" distL="114300" distR="114300" simplePos="0" relativeHeight="251659264" behindDoc="0" locked="0" layoutInCell="1" allowOverlap="1" wp14:anchorId="16C81A40" wp14:editId="4419C858">
                <wp:simplePos x="0" y="0"/>
                <wp:positionH relativeFrom="margin">
                  <wp:posOffset>0</wp:posOffset>
                </wp:positionH>
                <wp:positionV relativeFrom="paragraph">
                  <wp:posOffset>3618865</wp:posOffset>
                </wp:positionV>
                <wp:extent cx="5943600" cy="2233207"/>
                <wp:effectExtent l="0" t="0" r="25400" b="27940"/>
                <wp:wrapNone/>
                <wp:docPr id="3" name="Rectangle 3" descr="Color-block pull quote"/>
                <wp:cNvGraphicFramePr/>
                <a:graphic xmlns:a="http://schemas.openxmlformats.org/drawingml/2006/main">
                  <a:graphicData uri="http://schemas.microsoft.com/office/word/2010/wordprocessingShape">
                    <wps:wsp>
                      <wps:cNvSpPr/>
                      <wps:spPr>
                        <a:xfrm>
                          <a:off x="0" y="0"/>
                          <a:ext cx="5943600" cy="2233207"/>
                        </a:xfrm>
                        <a:prstGeom prst="rect">
                          <a:avLst/>
                        </a:prstGeom>
                        <a:ln/>
                      </wps:spPr>
                      <wps:style>
                        <a:lnRef idx="2">
                          <a:schemeClr val="dk1"/>
                        </a:lnRef>
                        <a:fillRef idx="1">
                          <a:schemeClr val="lt1"/>
                        </a:fillRef>
                        <a:effectRef idx="0">
                          <a:schemeClr val="dk1"/>
                        </a:effectRef>
                        <a:fontRef idx="minor">
                          <a:schemeClr val="dk1"/>
                        </a:fontRef>
                      </wps:style>
                      <wps:txbx>
                        <w:txbxContent>
                          <w:p w14:paraId="5FE7A051" w14:textId="0934F083" w:rsidR="00336524" w:rsidRPr="00CE3985" w:rsidRDefault="00336524" w:rsidP="00CE3985">
                            <w:pPr>
                              <w:spacing w:before="0" w:after="0"/>
                              <w:jc w:val="left"/>
                              <w:rPr>
                                <w:rFonts w:ascii="Times New Roman" w:eastAsia="Times New Roman" w:hAnsi="Times New Roman" w:cs="Times New Roman"/>
                                <w:szCs w:val="22"/>
                                <w:lang w:val="en-GB" w:eastAsia="zh-CN"/>
                              </w:rPr>
                            </w:pPr>
                            <w:r w:rsidRPr="00AF6EF6">
                              <w:rPr>
                                <w:color w:val="262626" w:themeColor="text1" w:themeTint="D9"/>
                                <w:szCs w:val="22"/>
                              </w:rPr>
                              <w:t>As of 23 January 2018, the following organisations have committed to endorsing this joint statement: International Labour Organization (ILO), International Disability Alliance (IDA), Global Coalition for Social Protection Floors, Australia Department of Foreign Affairs and Trade (DFAT),</w:t>
                            </w:r>
                            <w:r w:rsidRPr="00AF6EF6">
                              <w:rPr>
                                <w:szCs w:val="22"/>
                              </w:rPr>
                              <w:t xml:space="preserve"> </w:t>
                            </w:r>
                            <w:r w:rsidRPr="003C05F8">
                              <w:rPr>
                                <w:szCs w:val="22"/>
                                <w:lang w:val="en-GB"/>
                              </w:rPr>
                              <w:t xml:space="preserve">Bundesministerium für wirtschaftliche Zusammenarbeit und Entwicklung (BMZ), </w:t>
                            </w:r>
                            <w:r w:rsidRPr="003C05F8">
                              <w:rPr>
                                <w:color w:val="262626" w:themeColor="text1" w:themeTint="D9"/>
                                <w:szCs w:val="22"/>
                                <w:lang w:val="en-GB"/>
                              </w:rPr>
                              <w:t>Deutsche Gesellschaft für Internationale Zusammenarbeit</w:t>
                            </w:r>
                            <w:r w:rsidRPr="00AF6EF6">
                              <w:rPr>
                                <w:color w:val="262626" w:themeColor="text1" w:themeTint="D9"/>
                                <w:szCs w:val="22"/>
                              </w:rPr>
                              <w:t xml:space="preserve"> (GIZ), Japan International Cooperation Agency (JICA), International Centre for Evidence in Disability,</w:t>
                            </w:r>
                            <w:r>
                              <w:rPr>
                                <w:color w:val="262626" w:themeColor="text1" w:themeTint="D9"/>
                                <w:szCs w:val="22"/>
                              </w:rPr>
                              <w:t xml:space="preserve"> Leonard Cheshire International-University College London (LCD-UCL),</w:t>
                            </w:r>
                            <w:r w:rsidRPr="00AF6EF6">
                              <w:rPr>
                                <w:color w:val="262626" w:themeColor="text1" w:themeTint="D9"/>
                                <w:szCs w:val="22"/>
                              </w:rPr>
                              <w:t xml:space="preserve"> United Nations Development Programme (UNDP), United Nations Economic and Social Commission for Western Asia (UN ESCWA), United Nations Children's Fund (UNICEF) and the United Nations Research Institute for Social Development (UNRISD)</w:t>
                            </w:r>
                            <w:r>
                              <w:rPr>
                                <w:color w:val="262626" w:themeColor="text1" w:themeTint="D9"/>
                                <w:szCs w:val="22"/>
                              </w:rPr>
                              <w:t xml:space="preserve">, </w:t>
                            </w:r>
                            <w:r w:rsidRPr="00CE3985">
                              <w:rPr>
                                <w:rFonts w:ascii="Calibri" w:eastAsia="Times New Roman" w:hAnsi="Calibri" w:cs="Times New Roman"/>
                                <w:color w:val="000000"/>
                                <w:szCs w:val="22"/>
                                <w:shd w:val="clear" w:color="auto" w:fill="FFFFFF"/>
                                <w:lang w:val="en-GB" w:eastAsia="zh-CN"/>
                              </w:rPr>
                              <w:t>UN Special Rapporteur on the Rights of Persons with Disabilities</w:t>
                            </w:r>
                            <w:r w:rsidRPr="00AF6EF6">
                              <w:rPr>
                                <w:color w:val="262626" w:themeColor="text1" w:themeTint="D9"/>
                                <w:szCs w:val="22"/>
                              </w:rPr>
                              <w:t xml:space="preserve">. </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81A40" id="Rectangle 3" o:spid="_x0000_s1026" alt="Color-block pull quote" style="position:absolute;left:0;text-align:left;margin-left:0;margin-top:284.95pt;width:468pt;height:175.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" fillcolor="white [3201]" strokecolor="black [3200]" strokeweight="1pt">
                <v:textbox inset="28.8pt,7.2pt,28.8pt,7.2pt">
                  <w:txbxContent>
                    <w:p w14:paraId="5FE7A051" w14:textId="0934F083" w:rsidR="00336524" w:rsidRPr="00CE3985" w:rsidRDefault="00336524" w:rsidP="00CE3985">
                      <w:pPr>
                        <w:spacing w:before="0" w:after="0"/>
                        <w:jc w:val="left"/>
                        <w:rPr>
                          <w:rFonts w:ascii="Times New Roman" w:eastAsia="Times New Roman" w:hAnsi="Times New Roman" w:cs="Times New Roman"/>
                          <w:szCs w:val="22"/>
                          <w:lang w:val="en-GB" w:eastAsia="zh-CN"/>
                        </w:rPr>
                      </w:pPr>
                      <w:r w:rsidRPr="00AF6EF6">
                        <w:rPr>
                          <w:color w:val="262626" w:themeColor="text1" w:themeTint="D9"/>
                          <w:szCs w:val="22"/>
                        </w:rPr>
                        <w:t>As of 23 January 2018, the following organisations have committed to endorsing this joint statement: International Labour Organization (ILO), International Disability Alliance (IDA), Global Coalition for Social Protection Floors, Australia Department of Foreign Affairs and Trade (DFAT),</w:t>
                      </w:r>
                      <w:r w:rsidRPr="00AF6EF6">
                        <w:rPr>
                          <w:szCs w:val="22"/>
                        </w:rPr>
                        <w:t xml:space="preserve"> </w:t>
                      </w:r>
                      <w:r w:rsidRPr="003C05F8">
                        <w:rPr>
                          <w:szCs w:val="22"/>
                          <w:lang w:val="en-GB"/>
                        </w:rPr>
                        <w:t xml:space="preserve">Bundesministerium für wirtschaftliche Zusammenarbeit und Entwicklung (BMZ), </w:t>
                      </w:r>
                      <w:r w:rsidRPr="003C05F8">
                        <w:rPr>
                          <w:color w:val="262626" w:themeColor="text1" w:themeTint="D9"/>
                          <w:szCs w:val="22"/>
                          <w:lang w:val="en-GB"/>
                        </w:rPr>
                        <w:t>Deutsche Gesellschaft für Internationale Zusammenarbeit</w:t>
                      </w:r>
                      <w:r w:rsidRPr="00AF6EF6">
                        <w:rPr>
                          <w:color w:val="262626" w:themeColor="text1" w:themeTint="D9"/>
                          <w:szCs w:val="22"/>
                        </w:rPr>
                        <w:t xml:space="preserve"> (GIZ), Japan International Cooperation Agency (JICA), International Centre for Evidence in Disability,</w:t>
                      </w:r>
                      <w:r>
                        <w:rPr>
                          <w:color w:val="262626" w:themeColor="text1" w:themeTint="D9"/>
                          <w:szCs w:val="22"/>
                        </w:rPr>
                        <w:t xml:space="preserve"> Leonard Cheshire International-University College London (LCD-UCL),</w:t>
                      </w:r>
                      <w:r w:rsidRPr="00AF6EF6">
                        <w:rPr>
                          <w:color w:val="262626" w:themeColor="text1" w:themeTint="D9"/>
                          <w:szCs w:val="22"/>
                        </w:rPr>
                        <w:t xml:space="preserve"> United Nations Development Programme (UNDP), United Nations Economic and Social Commission for Western Asia (UN ESCWA), United Nations Children's Fund (UNICEF) and the United Nations Research Institute for Social Development (UNRISD)</w:t>
                      </w:r>
                      <w:r>
                        <w:rPr>
                          <w:color w:val="262626" w:themeColor="text1" w:themeTint="D9"/>
                          <w:szCs w:val="22"/>
                        </w:rPr>
                        <w:t xml:space="preserve">, </w:t>
                      </w:r>
                      <w:r w:rsidRPr="00CE3985">
                        <w:rPr>
                          <w:rFonts w:ascii="Calibri" w:eastAsia="Times New Roman" w:hAnsi="Calibri" w:cs="Times New Roman"/>
                          <w:color w:val="000000"/>
                          <w:szCs w:val="22"/>
                          <w:shd w:val="clear" w:color="auto" w:fill="FFFFFF"/>
                          <w:lang w:val="en-GB" w:eastAsia="zh-CN"/>
                        </w:rPr>
                        <w:t>UN Special Rapporteur on the Rights of Persons with Disabilities</w:t>
                      </w:r>
                      <w:r w:rsidRPr="00AF6EF6">
                        <w:rPr>
                          <w:color w:val="262626" w:themeColor="text1" w:themeTint="D9"/>
                          <w:szCs w:val="22"/>
                        </w:rPr>
                        <w:t xml:space="preserve">. </w:t>
                      </w:r>
                    </w:p>
                  </w:txbxContent>
                </v:textbox>
                <w10:wrap anchorx="margin"/>
              </v:rect>
            </w:pict>
          </mc:Fallback>
        </mc:AlternateContent>
      </w:r>
      <w:r w:rsidR="00B46428">
        <w:rPr>
          <w:lang w:val="en-GB"/>
        </w:rPr>
        <w:t xml:space="preserve">THE </w:t>
      </w:r>
      <w:r w:rsidR="005F110C" w:rsidRPr="00680837">
        <w:rPr>
          <w:lang w:val="en-GB"/>
        </w:rPr>
        <w:t>FULL AND EFFECTIVE PARTICIPATION OF PERSONS WITH DISABILITIES</w:t>
      </w:r>
    </w:p>
    <w:p w14:paraId="70352E27" w14:textId="783A148C" w:rsidR="00A32F84" w:rsidRPr="00680837" w:rsidRDefault="00A32F84" w:rsidP="00A32F84">
      <w:pPr>
        <w:rPr>
          <w:lang w:val="en-GB"/>
        </w:rPr>
      </w:pPr>
    </w:p>
    <w:p w14:paraId="26DC7942" w14:textId="77777777" w:rsidR="00A32F84" w:rsidRPr="00680837" w:rsidRDefault="00A32F84" w:rsidP="00A32F84">
      <w:pPr>
        <w:rPr>
          <w:lang w:val="en-GB"/>
        </w:rPr>
        <w:sectPr w:rsidR="00A32F84" w:rsidRPr="00680837" w:rsidSect="00AB7B1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40" w:right="1440" w:bottom="1440" w:left="1440" w:header="708" w:footer="708" w:gutter="0"/>
          <w:pgNumType w:start="0"/>
          <w:cols w:space="708"/>
          <w:docGrid w:linePitch="360"/>
        </w:sectPr>
      </w:pPr>
    </w:p>
    <w:sdt>
      <w:sdtPr>
        <w:rPr>
          <w:rFonts w:eastAsiaTheme="minorHAnsi" w:cstheme="minorBidi"/>
          <w:b w:val="0"/>
          <w:sz w:val="22"/>
          <w:szCs w:val="24"/>
          <w:lang w:val="en-GB"/>
        </w:rPr>
        <w:id w:val="-553084209"/>
        <w:docPartObj>
          <w:docPartGallery w:val="Table of Contents"/>
          <w:docPartUnique/>
        </w:docPartObj>
      </w:sdtPr>
      <w:sdtEndPr>
        <w:rPr>
          <w:bCs/>
          <w:noProof/>
        </w:rPr>
      </w:sdtEndPr>
      <w:sdtContent>
        <w:p w14:paraId="143E01D5" w14:textId="321BCC97" w:rsidR="00AE2D7D" w:rsidRPr="00680837" w:rsidRDefault="00AE2D7D">
          <w:pPr>
            <w:pStyle w:val="TOCHeading"/>
            <w:rPr>
              <w:lang w:val="en-GB"/>
            </w:rPr>
          </w:pPr>
          <w:r w:rsidRPr="00680837">
            <w:rPr>
              <w:lang w:val="en-GB"/>
            </w:rPr>
            <w:t>Table of Contents</w:t>
          </w:r>
        </w:p>
        <w:p w14:paraId="461AAA08" w14:textId="77777777" w:rsidR="00DC2E8F" w:rsidRPr="003C05F8" w:rsidRDefault="00AE2D7D" w:rsidP="003C05F8">
          <w:pPr>
            <w:pStyle w:val="TOC1"/>
            <w:spacing w:after="120"/>
            <w:ind w:right="1134"/>
            <w:rPr>
              <w:rFonts w:eastAsiaTheme="minorEastAsia"/>
              <w:noProof/>
              <w:sz w:val="22"/>
              <w:szCs w:val="22"/>
              <w:lang w:val="en-GB" w:eastAsia="ja-JP"/>
            </w:rPr>
          </w:pPr>
          <w:r w:rsidRPr="00680837">
            <w:rPr>
              <w:lang w:val="en-GB"/>
            </w:rPr>
            <w:fldChar w:fldCharType="begin"/>
          </w:r>
          <w:r w:rsidRPr="00680837">
            <w:rPr>
              <w:lang w:val="en-GB"/>
            </w:rPr>
            <w:instrText xml:space="preserve"> TOC \o "1-3" \h \z \u </w:instrText>
          </w:r>
          <w:r w:rsidRPr="00680837">
            <w:rPr>
              <w:lang w:val="en-GB"/>
            </w:rPr>
            <w:fldChar w:fldCharType="separate"/>
          </w:r>
          <w:hyperlink w:anchor="_Toc504036287" w:history="1">
            <w:r w:rsidR="00DC2E8F" w:rsidRPr="003C05F8">
              <w:rPr>
                <w:rStyle w:val="Hyperlink"/>
                <w:noProof/>
                <w:sz w:val="22"/>
                <w:szCs w:val="22"/>
                <w:lang w:val="en-GB"/>
              </w:rPr>
              <w:t>1.</w:t>
            </w:r>
            <w:r w:rsidR="00DC2E8F" w:rsidRPr="003C05F8">
              <w:rPr>
                <w:rFonts w:eastAsiaTheme="minorEastAsia"/>
                <w:noProof/>
                <w:sz w:val="22"/>
                <w:szCs w:val="22"/>
                <w:lang w:val="en-GB" w:eastAsia="ja-JP"/>
              </w:rPr>
              <w:tab/>
            </w:r>
            <w:r w:rsidR="00DC2E8F" w:rsidRPr="003C05F8">
              <w:rPr>
                <w:rStyle w:val="Hyperlink"/>
                <w:noProof/>
                <w:sz w:val="22"/>
                <w:szCs w:val="22"/>
                <w:lang w:val="en-GB"/>
              </w:rPr>
              <w:t>Introduction</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_Toc504036287 \h </w:instrText>
            </w:r>
            <w:r w:rsidR="00DC2E8F" w:rsidRPr="003C05F8">
              <w:rPr>
                <w:noProof/>
                <w:webHidden/>
                <w:sz w:val="22"/>
                <w:szCs w:val="22"/>
              </w:rPr>
            </w:r>
            <w:r w:rsidR="00DC2E8F" w:rsidRPr="003C05F8">
              <w:rPr>
                <w:noProof/>
                <w:webHidden/>
                <w:sz w:val="22"/>
                <w:szCs w:val="22"/>
              </w:rPr>
              <w:fldChar w:fldCharType="separate"/>
            </w:r>
            <w:r w:rsidR="00336524">
              <w:rPr>
                <w:noProof/>
                <w:webHidden/>
                <w:sz w:val="22"/>
                <w:szCs w:val="22"/>
              </w:rPr>
              <w:t>3</w:t>
            </w:r>
            <w:r w:rsidR="00DC2E8F" w:rsidRPr="003C05F8">
              <w:rPr>
                <w:noProof/>
                <w:webHidden/>
                <w:sz w:val="22"/>
                <w:szCs w:val="22"/>
              </w:rPr>
              <w:fldChar w:fldCharType="end"/>
            </w:r>
          </w:hyperlink>
        </w:p>
        <w:p w14:paraId="07F9DB0A" w14:textId="77777777" w:rsidR="00DC2E8F" w:rsidRPr="003C05F8" w:rsidRDefault="00336524" w:rsidP="003C05F8">
          <w:pPr>
            <w:pStyle w:val="TOC1"/>
            <w:spacing w:after="120"/>
            <w:ind w:right="1134"/>
            <w:rPr>
              <w:rFonts w:eastAsiaTheme="minorEastAsia"/>
              <w:noProof/>
              <w:sz w:val="22"/>
              <w:szCs w:val="22"/>
              <w:lang w:val="en-GB" w:eastAsia="ja-JP"/>
            </w:rPr>
          </w:pPr>
          <w:hyperlink w:anchor="_Toc504036288" w:history="1">
            <w:r w:rsidR="00DC2E8F" w:rsidRPr="003C05F8">
              <w:rPr>
                <w:rStyle w:val="Hyperlink"/>
                <w:noProof/>
                <w:sz w:val="22"/>
                <w:szCs w:val="22"/>
                <w:lang w:val="en-GB"/>
              </w:rPr>
              <w:t>2.</w:t>
            </w:r>
            <w:r w:rsidR="00DC2E8F" w:rsidRPr="003C05F8">
              <w:rPr>
                <w:rFonts w:eastAsiaTheme="minorEastAsia"/>
                <w:noProof/>
                <w:sz w:val="22"/>
                <w:szCs w:val="22"/>
                <w:lang w:val="en-GB" w:eastAsia="ja-JP"/>
              </w:rPr>
              <w:tab/>
            </w:r>
            <w:r w:rsidR="00DC2E8F" w:rsidRPr="003C05F8">
              <w:rPr>
                <w:rStyle w:val="Hyperlink"/>
                <w:noProof/>
                <w:sz w:val="22"/>
                <w:szCs w:val="22"/>
                <w:lang w:val="en-GB"/>
              </w:rPr>
              <w:t>Why does social protection matter for persons with disabilities?</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_Toc504036288 \h </w:instrText>
            </w:r>
            <w:r w:rsidR="00DC2E8F" w:rsidRPr="003C05F8">
              <w:rPr>
                <w:noProof/>
                <w:webHidden/>
                <w:sz w:val="22"/>
                <w:szCs w:val="22"/>
              </w:rPr>
            </w:r>
            <w:r w:rsidR="00DC2E8F" w:rsidRPr="003C05F8">
              <w:rPr>
                <w:noProof/>
                <w:webHidden/>
                <w:sz w:val="22"/>
                <w:szCs w:val="22"/>
              </w:rPr>
              <w:fldChar w:fldCharType="separate"/>
            </w:r>
            <w:r>
              <w:rPr>
                <w:noProof/>
                <w:webHidden/>
                <w:sz w:val="22"/>
                <w:szCs w:val="22"/>
              </w:rPr>
              <w:t>4</w:t>
            </w:r>
            <w:r w:rsidR="00DC2E8F" w:rsidRPr="003C05F8">
              <w:rPr>
                <w:noProof/>
                <w:webHidden/>
                <w:sz w:val="22"/>
                <w:szCs w:val="22"/>
              </w:rPr>
              <w:fldChar w:fldCharType="end"/>
            </w:r>
          </w:hyperlink>
        </w:p>
        <w:p w14:paraId="1754B1DA" w14:textId="77777777" w:rsidR="00DC2E8F" w:rsidRPr="003C05F8" w:rsidRDefault="00336524" w:rsidP="003C05F8">
          <w:pPr>
            <w:pStyle w:val="TOC2"/>
            <w:spacing w:after="120"/>
            <w:ind w:right="1134"/>
            <w:rPr>
              <w:rFonts w:eastAsiaTheme="minorEastAsia"/>
              <w:noProof/>
              <w:szCs w:val="22"/>
              <w:lang w:val="en-GB" w:eastAsia="ja-JP"/>
            </w:rPr>
          </w:pPr>
          <w:hyperlink w:anchor="_Toc504036289" w:history="1">
            <w:r w:rsidR="00DC2E8F" w:rsidRPr="003C05F8">
              <w:rPr>
                <w:rStyle w:val="Hyperlink"/>
                <w:noProof/>
                <w:szCs w:val="22"/>
                <w:lang w:val="en-GB"/>
              </w:rPr>
              <w:t>2.1.</w:t>
            </w:r>
            <w:r w:rsidR="00DC2E8F" w:rsidRPr="003C05F8">
              <w:rPr>
                <w:rFonts w:eastAsiaTheme="minorEastAsia"/>
                <w:noProof/>
                <w:szCs w:val="22"/>
                <w:lang w:val="en-GB" w:eastAsia="ja-JP"/>
              </w:rPr>
              <w:tab/>
            </w:r>
            <w:r w:rsidR="00DC2E8F" w:rsidRPr="003C05F8">
              <w:rPr>
                <w:rStyle w:val="Hyperlink"/>
                <w:noProof/>
                <w:szCs w:val="22"/>
                <w:lang w:val="en-GB"/>
              </w:rPr>
              <w:t>Greater exposure to risks and vulnerabilities throughout the life cycle</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_Toc504036289 \h </w:instrText>
            </w:r>
            <w:r w:rsidR="00DC2E8F" w:rsidRPr="003C05F8">
              <w:rPr>
                <w:noProof/>
                <w:webHidden/>
                <w:szCs w:val="22"/>
              </w:rPr>
            </w:r>
            <w:r w:rsidR="00DC2E8F" w:rsidRPr="003C05F8">
              <w:rPr>
                <w:noProof/>
                <w:webHidden/>
                <w:szCs w:val="22"/>
              </w:rPr>
              <w:fldChar w:fldCharType="separate"/>
            </w:r>
            <w:r>
              <w:rPr>
                <w:noProof/>
                <w:webHidden/>
                <w:szCs w:val="22"/>
              </w:rPr>
              <w:t>4</w:t>
            </w:r>
            <w:r w:rsidR="00DC2E8F" w:rsidRPr="003C05F8">
              <w:rPr>
                <w:noProof/>
                <w:webHidden/>
                <w:szCs w:val="22"/>
              </w:rPr>
              <w:fldChar w:fldCharType="end"/>
            </w:r>
          </w:hyperlink>
        </w:p>
        <w:p w14:paraId="2737B9E9" w14:textId="77777777" w:rsidR="00DC2E8F" w:rsidRPr="003C05F8" w:rsidRDefault="00336524" w:rsidP="003C05F8">
          <w:pPr>
            <w:pStyle w:val="TOC2"/>
            <w:spacing w:after="120"/>
            <w:ind w:right="1134"/>
            <w:rPr>
              <w:rFonts w:eastAsiaTheme="minorEastAsia"/>
              <w:noProof/>
              <w:szCs w:val="22"/>
              <w:lang w:val="en-GB" w:eastAsia="ja-JP"/>
            </w:rPr>
          </w:pPr>
          <w:hyperlink w:anchor="_Toc504036290" w:history="1">
            <w:r w:rsidR="00DC2E8F" w:rsidRPr="003C05F8">
              <w:rPr>
                <w:rStyle w:val="Hyperlink"/>
                <w:noProof/>
                <w:szCs w:val="22"/>
                <w:lang w:val="en-GB"/>
              </w:rPr>
              <w:t>2.2.</w:t>
            </w:r>
            <w:r w:rsidR="00DC2E8F" w:rsidRPr="003C05F8">
              <w:rPr>
                <w:rFonts w:eastAsiaTheme="minorEastAsia"/>
                <w:noProof/>
                <w:szCs w:val="22"/>
                <w:lang w:val="en-GB" w:eastAsia="ja-JP"/>
              </w:rPr>
              <w:tab/>
            </w:r>
            <w:r w:rsidR="00DC2E8F" w:rsidRPr="003C05F8">
              <w:rPr>
                <w:rStyle w:val="Hyperlink"/>
                <w:noProof/>
                <w:szCs w:val="22"/>
                <w:lang w:val="en-GB"/>
              </w:rPr>
              <w:t>Disability-specific requirements</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_Toc504036290 \h </w:instrText>
            </w:r>
            <w:r w:rsidR="00DC2E8F" w:rsidRPr="003C05F8">
              <w:rPr>
                <w:noProof/>
                <w:webHidden/>
                <w:szCs w:val="22"/>
              </w:rPr>
            </w:r>
            <w:r w:rsidR="00DC2E8F" w:rsidRPr="003C05F8">
              <w:rPr>
                <w:noProof/>
                <w:webHidden/>
                <w:szCs w:val="22"/>
              </w:rPr>
              <w:fldChar w:fldCharType="separate"/>
            </w:r>
            <w:r>
              <w:rPr>
                <w:noProof/>
                <w:webHidden/>
                <w:szCs w:val="22"/>
              </w:rPr>
              <w:t>5</w:t>
            </w:r>
            <w:r w:rsidR="00DC2E8F" w:rsidRPr="003C05F8">
              <w:rPr>
                <w:noProof/>
                <w:webHidden/>
                <w:szCs w:val="22"/>
              </w:rPr>
              <w:fldChar w:fldCharType="end"/>
            </w:r>
          </w:hyperlink>
        </w:p>
        <w:p w14:paraId="1FE3DE96" w14:textId="1ECDA561" w:rsidR="00DC2E8F" w:rsidRPr="003C05F8" w:rsidRDefault="00336524" w:rsidP="003C05F8">
          <w:pPr>
            <w:pStyle w:val="TOC1"/>
            <w:spacing w:after="120"/>
            <w:ind w:right="1134"/>
            <w:rPr>
              <w:rFonts w:eastAsiaTheme="minorEastAsia"/>
              <w:noProof/>
              <w:sz w:val="22"/>
              <w:szCs w:val="22"/>
              <w:lang w:val="en-GB" w:eastAsia="ja-JP"/>
            </w:rPr>
          </w:pPr>
          <w:hyperlink w:anchor="_Toc504036291" w:history="1">
            <w:r w:rsidR="00DC2E8F" w:rsidRPr="003C05F8">
              <w:rPr>
                <w:rStyle w:val="Hyperlink"/>
                <w:noProof/>
                <w:sz w:val="22"/>
                <w:szCs w:val="22"/>
                <w:lang w:val="en-GB"/>
              </w:rPr>
              <w:t>3.</w:t>
            </w:r>
            <w:r w:rsidR="00DC2E8F" w:rsidRPr="003C05F8">
              <w:rPr>
                <w:rFonts w:eastAsiaTheme="minorEastAsia"/>
                <w:noProof/>
                <w:sz w:val="22"/>
                <w:szCs w:val="22"/>
                <w:lang w:val="en-GB" w:eastAsia="ja-JP"/>
              </w:rPr>
              <w:tab/>
            </w:r>
            <w:r w:rsidR="00DC2E8F" w:rsidRPr="003C05F8">
              <w:rPr>
                <w:rStyle w:val="Hyperlink"/>
                <w:noProof/>
                <w:sz w:val="22"/>
                <w:szCs w:val="22"/>
                <w:lang w:val="en-GB"/>
              </w:rPr>
              <w:t>Rethinking social protection systems in light of the Convention on the Rights of Persons with Disabilities (CRPD)</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_Toc504036291 \h </w:instrText>
            </w:r>
            <w:r w:rsidR="00DC2E8F" w:rsidRPr="003C05F8">
              <w:rPr>
                <w:noProof/>
                <w:webHidden/>
                <w:sz w:val="22"/>
                <w:szCs w:val="22"/>
              </w:rPr>
            </w:r>
            <w:r w:rsidR="00DC2E8F" w:rsidRPr="003C05F8">
              <w:rPr>
                <w:noProof/>
                <w:webHidden/>
                <w:sz w:val="22"/>
                <w:szCs w:val="22"/>
              </w:rPr>
              <w:fldChar w:fldCharType="separate"/>
            </w:r>
            <w:r>
              <w:rPr>
                <w:noProof/>
                <w:webHidden/>
                <w:sz w:val="22"/>
                <w:szCs w:val="22"/>
              </w:rPr>
              <w:t>5</w:t>
            </w:r>
            <w:r w:rsidR="00DC2E8F" w:rsidRPr="003C05F8">
              <w:rPr>
                <w:noProof/>
                <w:webHidden/>
                <w:sz w:val="22"/>
                <w:szCs w:val="22"/>
              </w:rPr>
              <w:fldChar w:fldCharType="end"/>
            </w:r>
          </w:hyperlink>
        </w:p>
        <w:p w14:paraId="03DEEA27" w14:textId="77777777" w:rsidR="00DC2E8F" w:rsidRPr="003C05F8" w:rsidRDefault="00336524" w:rsidP="003C05F8">
          <w:pPr>
            <w:pStyle w:val="TOC1"/>
            <w:spacing w:after="120"/>
            <w:ind w:right="1134"/>
            <w:rPr>
              <w:rFonts w:eastAsiaTheme="minorEastAsia"/>
              <w:noProof/>
              <w:sz w:val="22"/>
              <w:szCs w:val="22"/>
              <w:lang w:val="en-GB" w:eastAsia="ja-JP"/>
            </w:rPr>
          </w:pPr>
          <w:hyperlink w:anchor="_Toc504036292" w:history="1">
            <w:r w:rsidR="00DC2E8F" w:rsidRPr="003C05F8">
              <w:rPr>
                <w:rStyle w:val="Hyperlink"/>
                <w:noProof/>
                <w:sz w:val="22"/>
                <w:szCs w:val="22"/>
                <w:lang w:val="en-GB"/>
              </w:rPr>
              <w:t>4.</w:t>
            </w:r>
            <w:r w:rsidR="00DC2E8F" w:rsidRPr="003C05F8">
              <w:rPr>
                <w:rFonts w:eastAsiaTheme="minorEastAsia"/>
                <w:noProof/>
                <w:sz w:val="22"/>
                <w:szCs w:val="22"/>
                <w:lang w:val="en-GB" w:eastAsia="ja-JP"/>
              </w:rPr>
              <w:tab/>
            </w:r>
            <w:r w:rsidR="00DC2E8F" w:rsidRPr="003C05F8">
              <w:rPr>
                <w:rStyle w:val="Hyperlink"/>
                <w:noProof/>
                <w:sz w:val="22"/>
                <w:szCs w:val="22"/>
                <w:lang w:val="en-GB"/>
              </w:rPr>
              <w:t>Building inclusive social protection systems that foster the inclusion and participation of persons with disabilities</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_Toc504036292 \h </w:instrText>
            </w:r>
            <w:r w:rsidR="00DC2E8F" w:rsidRPr="003C05F8">
              <w:rPr>
                <w:noProof/>
                <w:webHidden/>
                <w:sz w:val="22"/>
                <w:szCs w:val="22"/>
              </w:rPr>
            </w:r>
            <w:r w:rsidR="00DC2E8F" w:rsidRPr="003C05F8">
              <w:rPr>
                <w:noProof/>
                <w:webHidden/>
                <w:sz w:val="22"/>
                <w:szCs w:val="22"/>
              </w:rPr>
              <w:fldChar w:fldCharType="separate"/>
            </w:r>
            <w:r>
              <w:rPr>
                <w:noProof/>
                <w:webHidden/>
                <w:sz w:val="22"/>
                <w:szCs w:val="22"/>
              </w:rPr>
              <w:t>7</w:t>
            </w:r>
            <w:r w:rsidR="00DC2E8F" w:rsidRPr="003C05F8">
              <w:rPr>
                <w:noProof/>
                <w:webHidden/>
                <w:sz w:val="22"/>
                <w:szCs w:val="22"/>
              </w:rPr>
              <w:fldChar w:fldCharType="end"/>
            </w:r>
          </w:hyperlink>
        </w:p>
        <w:p w14:paraId="19C97C7D" w14:textId="77777777" w:rsidR="00DC2E8F" w:rsidRPr="003C05F8" w:rsidRDefault="00336524" w:rsidP="003C05F8">
          <w:pPr>
            <w:pStyle w:val="TOC2"/>
            <w:spacing w:after="120"/>
            <w:ind w:right="1134"/>
            <w:rPr>
              <w:rFonts w:eastAsiaTheme="minorEastAsia"/>
              <w:noProof/>
              <w:szCs w:val="22"/>
              <w:lang w:val="en-GB" w:eastAsia="ja-JP"/>
            </w:rPr>
          </w:pPr>
          <w:hyperlink w:anchor="_Toc504036293" w:history="1">
            <w:r w:rsidR="00DC2E8F" w:rsidRPr="003C05F8">
              <w:rPr>
                <w:rStyle w:val="Hyperlink"/>
                <w:noProof/>
                <w:szCs w:val="22"/>
                <w:lang w:val="en-GB"/>
              </w:rPr>
              <w:t>4.1.</w:t>
            </w:r>
            <w:r w:rsidR="00DC2E8F" w:rsidRPr="003C05F8">
              <w:rPr>
                <w:rFonts w:eastAsiaTheme="minorEastAsia"/>
                <w:noProof/>
                <w:szCs w:val="22"/>
                <w:lang w:val="en-GB" w:eastAsia="ja-JP"/>
              </w:rPr>
              <w:tab/>
            </w:r>
            <w:r w:rsidR="00DC2E8F" w:rsidRPr="003C05F8">
              <w:rPr>
                <w:rStyle w:val="Hyperlink"/>
                <w:noProof/>
                <w:szCs w:val="22"/>
                <w:lang w:val="en-GB"/>
              </w:rPr>
              <w:t>Non-discrimination and accessibility</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_Toc504036293 \h </w:instrText>
            </w:r>
            <w:r w:rsidR="00DC2E8F" w:rsidRPr="003C05F8">
              <w:rPr>
                <w:noProof/>
                <w:webHidden/>
                <w:szCs w:val="22"/>
              </w:rPr>
            </w:r>
            <w:r w:rsidR="00DC2E8F" w:rsidRPr="003C05F8">
              <w:rPr>
                <w:noProof/>
                <w:webHidden/>
                <w:szCs w:val="22"/>
              </w:rPr>
              <w:fldChar w:fldCharType="separate"/>
            </w:r>
            <w:r>
              <w:rPr>
                <w:noProof/>
                <w:webHidden/>
                <w:szCs w:val="22"/>
              </w:rPr>
              <w:t>8</w:t>
            </w:r>
            <w:r w:rsidR="00DC2E8F" w:rsidRPr="003C05F8">
              <w:rPr>
                <w:noProof/>
                <w:webHidden/>
                <w:szCs w:val="22"/>
              </w:rPr>
              <w:fldChar w:fldCharType="end"/>
            </w:r>
          </w:hyperlink>
        </w:p>
        <w:p w14:paraId="61B9823A" w14:textId="77777777" w:rsidR="00DC2E8F" w:rsidRPr="003C05F8" w:rsidRDefault="00336524" w:rsidP="003C05F8">
          <w:pPr>
            <w:pStyle w:val="TOC2"/>
            <w:spacing w:after="120"/>
            <w:ind w:right="1134"/>
            <w:rPr>
              <w:rFonts w:eastAsiaTheme="minorEastAsia"/>
              <w:noProof/>
              <w:szCs w:val="22"/>
              <w:lang w:val="en-GB" w:eastAsia="ja-JP"/>
            </w:rPr>
          </w:pPr>
          <w:hyperlink w:anchor="_Toc504036294" w:history="1">
            <w:r w:rsidR="00DC2E8F" w:rsidRPr="003C05F8">
              <w:rPr>
                <w:rStyle w:val="Hyperlink"/>
                <w:noProof/>
                <w:szCs w:val="22"/>
                <w:lang w:val="en-GB"/>
              </w:rPr>
              <w:t>4.2.</w:t>
            </w:r>
            <w:r w:rsidR="00DC2E8F" w:rsidRPr="003C05F8">
              <w:rPr>
                <w:rFonts w:eastAsiaTheme="minorEastAsia"/>
                <w:noProof/>
                <w:szCs w:val="22"/>
                <w:lang w:val="en-GB" w:eastAsia="ja-JP"/>
              </w:rPr>
              <w:tab/>
            </w:r>
            <w:r w:rsidR="00DC2E8F" w:rsidRPr="003C05F8">
              <w:rPr>
                <w:rStyle w:val="Hyperlink"/>
                <w:noProof/>
                <w:szCs w:val="22"/>
                <w:lang w:val="en-GB"/>
              </w:rPr>
              <w:t>Respect for dignity, personal autonomy, choice, control over one’s life and privacy</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_Toc504036294 \h </w:instrText>
            </w:r>
            <w:r w:rsidR="00DC2E8F" w:rsidRPr="003C05F8">
              <w:rPr>
                <w:noProof/>
                <w:webHidden/>
                <w:szCs w:val="22"/>
              </w:rPr>
            </w:r>
            <w:r w:rsidR="00DC2E8F" w:rsidRPr="003C05F8">
              <w:rPr>
                <w:noProof/>
                <w:webHidden/>
                <w:szCs w:val="22"/>
              </w:rPr>
              <w:fldChar w:fldCharType="separate"/>
            </w:r>
            <w:r>
              <w:rPr>
                <w:noProof/>
                <w:webHidden/>
                <w:szCs w:val="22"/>
              </w:rPr>
              <w:t>9</w:t>
            </w:r>
            <w:r w:rsidR="00DC2E8F" w:rsidRPr="003C05F8">
              <w:rPr>
                <w:noProof/>
                <w:webHidden/>
                <w:szCs w:val="22"/>
              </w:rPr>
              <w:fldChar w:fldCharType="end"/>
            </w:r>
          </w:hyperlink>
        </w:p>
        <w:p w14:paraId="24C5DB77" w14:textId="77777777" w:rsidR="00DC2E8F" w:rsidRPr="003C05F8" w:rsidRDefault="00336524" w:rsidP="003C05F8">
          <w:pPr>
            <w:pStyle w:val="TOC2"/>
            <w:spacing w:after="120"/>
            <w:ind w:right="1134"/>
            <w:rPr>
              <w:rFonts w:eastAsiaTheme="minorEastAsia"/>
              <w:noProof/>
              <w:szCs w:val="22"/>
              <w:lang w:val="en-GB" w:eastAsia="ja-JP"/>
            </w:rPr>
          </w:pPr>
          <w:hyperlink w:anchor="_Toc504036295" w:history="1">
            <w:r w:rsidR="00DC2E8F" w:rsidRPr="003C05F8">
              <w:rPr>
                <w:rStyle w:val="Hyperlink"/>
                <w:noProof/>
                <w:szCs w:val="22"/>
                <w:lang w:val="en-GB"/>
              </w:rPr>
              <w:t>4.3.</w:t>
            </w:r>
            <w:r w:rsidR="00DC2E8F" w:rsidRPr="003C05F8">
              <w:rPr>
                <w:rFonts w:eastAsiaTheme="minorEastAsia"/>
                <w:noProof/>
                <w:szCs w:val="22"/>
                <w:lang w:val="en-GB" w:eastAsia="ja-JP"/>
              </w:rPr>
              <w:tab/>
            </w:r>
            <w:r w:rsidR="00DC2E8F" w:rsidRPr="003C05F8">
              <w:rPr>
                <w:rStyle w:val="Hyperlink"/>
                <w:noProof/>
                <w:szCs w:val="22"/>
                <w:lang w:val="en-GB"/>
              </w:rPr>
              <w:t>Full and effective participation and inclusion</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_Toc504036295 \h </w:instrText>
            </w:r>
            <w:r w:rsidR="00DC2E8F" w:rsidRPr="003C05F8">
              <w:rPr>
                <w:noProof/>
                <w:webHidden/>
                <w:szCs w:val="22"/>
              </w:rPr>
            </w:r>
            <w:r w:rsidR="00DC2E8F" w:rsidRPr="003C05F8">
              <w:rPr>
                <w:noProof/>
                <w:webHidden/>
                <w:szCs w:val="22"/>
              </w:rPr>
              <w:fldChar w:fldCharType="separate"/>
            </w:r>
            <w:r>
              <w:rPr>
                <w:noProof/>
                <w:webHidden/>
                <w:szCs w:val="22"/>
              </w:rPr>
              <w:t>9</w:t>
            </w:r>
            <w:r w:rsidR="00DC2E8F" w:rsidRPr="003C05F8">
              <w:rPr>
                <w:noProof/>
                <w:webHidden/>
                <w:szCs w:val="22"/>
              </w:rPr>
              <w:fldChar w:fldCharType="end"/>
            </w:r>
          </w:hyperlink>
        </w:p>
        <w:p w14:paraId="55812963" w14:textId="524E3CC6" w:rsidR="00DC2E8F" w:rsidRPr="003C05F8" w:rsidRDefault="00336524" w:rsidP="003C05F8">
          <w:pPr>
            <w:pStyle w:val="TOC2"/>
            <w:spacing w:after="120"/>
            <w:ind w:right="1134"/>
            <w:rPr>
              <w:rFonts w:eastAsiaTheme="minorEastAsia"/>
              <w:noProof/>
              <w:szCs w:val="22"/>
              <w:lang w:val="en-GB" w:eastAsia="ja-JP"/>
            </w:rPr>
          </w:pPr>
          <w:hyperlink w:anchor="_Toc504036296" w:history="1">
            <w:r w:rsidR="00DC2E8F" w:rsidRPr="003C05F8">
              <w:rPr>
                <w:rStyle w:val="Hyperlink"/>
                <w:noProof/>
                <w:szCs w:val="22"/>
                <w:lang w:val="en-GB"/>
              </w:rPr>
              <w:t>4.4.</w:t>
            </w:r>
            <w:r w:rsidR="00DC2E8F" w:rsidRPr="003C05F8">
              <w:rPr>
                <w:rFonts w:eastAsiaTheme="minorEastAsia"/>
                <w:noProof/>
                <w:szCs w:val="22"/>
                <w:lang w:val="en-GB" w:eastAsia="ja-JP"/>
              </w:rPr>
              <w:tab/>
            </w:r>
            <w:r w:rsidR="00DC2E8F" w:rsidRPr="003C05F8">
              <w:rPr>
                <w:rStyle w:val="Hyperlink"/>
                <w:noProof/>
                <w:szCs w:val="22"/>
                <w:lang w:val="en-GB"/>
              </w:rPr>
              <w:t>Consultation and involvement of persons with disabilities</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_Toc504036296 \h </w:instrText>
            </w:r>
            <w:r w:rsidR="00DC2E8F" w:rsidRPr="003C05F8">
              <w:rPr>
                <w:noProof/>
                <w:webHidden/>
                <w:szCs w:val="22"/>
              </w:rPr>
            </w:r>
            <w:r w:rsidR="00DC2E8F" w:rsidRPr="003C05F8">
              <w:rPr>
                <w:noProof/>
                <w:webHidden/>
                <w:szCs w:val="22"/>
              </w:rPr>
              <w:fldChar w:fldCharType="separate"/>
            </w:r>
            <w:r>
              <w:rPr>
                <w:noProof/>
                <w:webHidden/>
                <w:szCs w:val="22"/>
              </w:rPr>
              <w:t>9</w:t>
            </w:r>
            <w:r w:rsidR="00DC2E8F" w:rsidRPr="003C05F8">
              <w:rPr>
                <w:noProof/>
                <w:webHidden/>
                <w:szCs w:val="22"/>
              </w:rPr>
              <w:fldChar w:fldCharType="end"/>
            </w:r>
          </w:hyperlink>
        </w:p>
        <w:p w14:paraId="571DADE7" w14:textId="77777777" w:rsidR="00DC2E8F" w:rsidRPr="003C05F8" w:rsidRDefault="00336524" w:rsidP="003C05F8">
          <w:pPr>
            <w:pStyle w:val="TOC2"/>
            <w:spacing w:after="120"/>
            <w:ind w:right="1134"/>
            <w:rPr>
              <w:rFonts w:eastAsiaTheme="minorEastAsia"/>
              <w:noProof/>
              <w:szCs w:val="22"/>
              <w:lang w:val="en-GB" w:eastAsia="ja-JP"/>
            </w:rPr>
          </w:pPr>
          <w:hyperlink w:anchor="_Toc504036297" w:history="1">
            <w:r w:rsidR="00DC2E8F" w:rsidRPr="003C05F8">
              <w:rPr>
                <w:rStyle w:val="Hyperlink"/>
                <w:noProof/>
                <w:szCs w:val="22"/>
                <w:lang w:val="en-GB"/>
              </w:rPr>
              <w:t>4.5.</w:t>
            </w:r>
            <w:r w:rsidR="00DC2E8F" w:rsidRPr="003C05F8">
              <w:rPr>
                <w:rFonts w:eastAsiaTheme="minorEastAsia"/>
                <w:noProof/>
                <w:szCs w:val="22"/>
                <w:lang w:val="en-GB" w:eastAsia="ja-JP"/>
              </w:rPr>
              <w:tab/>
            </w:r>
            <w:r w:rsidR="00DC2E8F" w:rsidRPr="003C05F8">
              <w:rPr>
                <w:rStyle w:val="Hyperlink"/>
                <w:noProof/>
                <w:szCs w:val="22"/>
                <w:lang w:val="en-GB"/>
              </w:rPr>
              <w:t>Attitudes and awareness</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_Toc504036297 \h </w:instrText>
            </w:r>
            <w:r w:rsidR="00DC2E8F" w:rsidRPr="003C05F8">
              <w:rPr>
                <w:noProof/>
                <w:webHidden/>
                <w:szCs w:val="22"/>
              </w:rPr>
            </w:r>
            <w:r w:rsidR="00DC2E8F" w:rsidRPr="003C05F8">
              <w:rPr>
                <w:noProof/>
                <w:webHidden/>
                <w:szCs w:val="22"/>
              </w:rPr>
              <w:fldChar w:fldCharType="separate"/>
            </w:r>
            <w:r>
              <w:rPr>
                <w:noProof/>
                <w:webHidden/>
                <w:szCs w:val="22"/>
              </w:rPr>
              <w:t>10</w:t>
            </w:r>
            <w:r w:rsidR="00DC2E8F" w:rsidRPr="003C05F8">
              <w:rPr>
                <w:noProof/>
                <w:webHidden/>
                <w:szCs w:val="22"/>
              </w:rPr>
              <w:fldChar w:fldCharType="end"/>
            </w:r>
          </w:hyperlink>
        </w:p>
        <w:p w14:paraId="28A5692F" w14:textId="77777777" w:rsidR="00DC2E8F" w:rsidRPr="003C05F8" w:rsidRDefault="00336524" w:rsidP="003C05F8">
          <w:pPr>
            <w:pStyle w:val="TOC2"/>
            <w:spacing w:after="120"/>
            <w:ind w:right="1134"/>
            <w:rPr>
              <w:rFonts w:eastAsiaTheme="minorEastAsia"/>
              <w:noProof/>
              <w:szCs w:val="22"/>
              <w:lang w:val="en-GB" w:eastAsia="ja-JP"/>
            </w:rPr>
          </w:pPr>
          <w:hyperlink w:anchor="_Toc504036298" w:history="1">
            <w:r w:rsidR="00DC2E8F" w:rsidRPr="003C05F8">
              <w:rPr>
                <w:rStyle w:val="Hyperlink"/>
                <w:noProof/>
                <w:szCs w:val="22"/>
                <w:lang w:val="en-GB"/>
              </w:rPr>
              <w:t>4.6.</w:t>
            </w:r>
            <w:r w:rsidR="00DC2E8F" w:rsidRPr="003C05F8">
              <w:rPr>
                <w:rFonts w:eastAsiaTheme="minorEastAsia"/>
                <w:noProof/>
                <w:szCs w:val="22"/>
                <w:lang w:val="en-GB" w:eastAsia="ja-JP"/>
              </w:rPr>
              <w:tab/>
            </w:r>
            <w:r w:rsidR="00DC2E8F" w:rsidRPr="003C05F8">
              <w:rPr>
                <w:rStyle w:val="Hyperlink"/>
                <w:noProof/>
                <w:szCs w:val="22"/>
                <w:lang w:val="en-GB"/>
              </w:rPr>
              <w:t>Adequacy of benefits and support</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_Toc504036298 \h </w:instrText>
            </w:r>
            <w:r w:rsidR="00DC2E8F" w:rsidRPr="003C05F8">
              <w:rPr>
                <w:noProof/>
                <w:webHidden/>
                <w:szCs w:val="22"/>
              </w:rPr>
            </w:r>
            <w:r w:rsidR="00DC2E8F" w:rsidRPr="003C05F8">
              <w:rPr>
                <w:noProof/>
                <w:webHidden/>
                <w:szCs w:val="22"/>
              </w:rPr>
              <w:fldChar w:fldCharType="separate"/>
            </w:r>
            <w:r>
              <w:rPr>
                <w:noProof/>
                <w:webHidden/>
                <w:szCs w:val="22"/>
              </w:rPr>
              <w:t>10</w:t>
            </w:r>
            <w:r w:rsidR="00DC2E8F" w:rsidRPr="003C05F8">
              <w:rPr>
                <w:noProof/>
                <w:webHidden/>
                <w:szCs w:val="22"/>
              </w:rPr>
              <w:fldChar w:fldCharType="end"/>
            </w:r>
          </w:hyperlink>
        </w:p>
        <w:p w14:paraId="6CC109FC" w14:textId="77777777" w:rsidR="00DC2E8F" w:rsidRPr="003C05F8" w:rsidRDefault="00336524" w:rsidP="003C05F8">
          <w:pPr>
            <w:pStyle w:val="TOC2"/>
            <w:spacing w:after="120"/>
            <w:ind w:right="1134"/>
            <w:rPr>
              <w:rFonts w:eastAsiaTheme="minorEastAsia"/>
              <w:noProof/>
              <w:szCs w:val="22"/>
              <w:lang w:val="en-GB" w:eastAsia="ja-JP"/>
            </w:rPr>
          </w:pPr>
          <w:hyperlink w:anchor="_Toc504036299" w:history="1">
            <w:r w:rsidR="00DC2E8F" w:rsidRPr="003C05F8">
              <w:rPr>
                <w:rStyle w:val="Hyperlink"/>
                <w:noProof/>
                <w:szCs w:val="22"/>
                <w:lang w:val="en-GB"/>
              </w:rPr>
              <w:t>4.7.</w:t>
            </w:r>
            <w:r w:rsidR="00DC2E8F" w:rsidRPr="003C05F8">
              <w:rPr>
                <w:rFonts w:eastAsiaTheme="minorEastAsia"/>
                <w:noProof/>
                <w:szCs w:val="22"/>
                <w:lang w:val="en-GB" w:eastAsia="ja-JP"/>
              </w:rPr>
              <w:tab/>
            </w:r>
            <w:r w:rsidR="00DC2E8F" w:rsidRPr="003C05F8">
              <w:rPr>
                <w:rStyle w:val="Hyperlink"/>
                <w:noProof/>
                <w:szCs w:val="22"/>
                <w:lang w:val="en-GB"/>
              </w:rPr>
              <w:t>Eligibility criteria and disability assessments</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_Toc504036299 \h </w:instrText>
            </w:r>
            <w:r w:rsidR="00DC2E8F" w:rsidRPr="003C05F8">
              <w:rPr>
                <w:noProof/>
                <w:webHidden/>
                <w:szCs w:val="22"/>
              </w:rPr>
            </w:r>
            <w:r w:rsidR="00DC2E8F" w:rsidRPr="003C05F8">
              <w:rPr>
                <w:noProof/>
                <w:webHidden/>
                <w:szCs w:val="22"/>
              </w:rPr>
              <w:fldChar w:fldCharType="separate"/>
            </w:r>
            <w:r>
              <w:rPr>
                <w:noProof/>
                <w:webHidden/>
                <w:szCs w:val="22"/>
              </w:rPr>
              <w:t>11</w:t>
            </w:r>
            <w:r w:rsidR="00DC2E8F" w:rsidRPr="003C05F8">
              <w:rPr>
                <w:noProof/>
                <w:webHidden/>
                <w:szCs w:val="22"/>
              </w:rPr>
              <w:fldChar w:fldCharType="end"/>
            </w:r>
          </w:hyperlink>
        </w:p>
        <w:p w14:paraId="44A9078D" w14:textId="77777777" w:rsidR="00DC2E8F" w:rsidRPr="003C05F8" w:rsidRDefault="00336524" w:rsidP="003C05F8">
          <w:pPr>
            <w:pStyle w:val="TOC2"/>
            <w:spacing w:after="120"/>
            <w:ind w:right="1134"/>
            <w:rPr>
              <w:rFonts w:eastAsiaTheme="minorEastAsia"/>
              <w:noProof/>
              <w:szCs w:val="22"/>
              <w:lang w:val="en-GB" w:eastAsia="ja-JP"/>
            </w:rPr>
          </w:pPr>
          <w:hyperlink w:anchor="_Toc504036300" w:history="1">
            <w:r w:rsidR="00DC2E8F" w:rsidRPr="003C05F8">
              <w:rPr>
                <w:rStyle w:val="Hyperlink"/>
                <w:noProof/>
                <w:szCs w:val="22"/>
                <w:lang w:val="en-GB"/>
              </w:rPr>
              <w:t>4.8.</w:t>
            </w:r>
            <w:r w:rsidR="00DC2E8F" w:rsidRPr="003C05F8">
              <w:rPr>
                <w:rFonts w:eastAsiaTheme="minorEastAsia"/>
                <w:noProof/>
                <w:szCs w:val="22"/>
                <w:lang w:val="en-GB" w:eastAsia="ja-JP"/>
              </w:rPr>
              <w:tab/>
            </w:r>
            <w:r w:rsidR="00DC2E8F" w:rsidRPr="003C05F8">
              <w:rPr>
                <w:rStyle w:val="Hyperlink"/>
                <w:noProof/>
                <w:szCs w:val="22"/>
                <w:lang w:val="en-GB"/>
              </w:rPr>
              <w:t>Monitoring and evaluation</w:t>
            </w:r>
            <w:r w:rsidR="00DC2E8F" w:rsidRPr="003C05F8">
              <w:rPr>
                <w:noProof/>
                <w:webHidden/>
                <w:szCs w:val="22"/>
              </w:rPr>
              <w:tab/>
            </w:r>
            <w:r w:rsidR="00DC2E8F" w:rsidRPr="003C05F8">
              <w:rPr>
                <w:noProof/>
                <w:webHidden/>
                <w:szCs w:val="22"/>
              </w:rPr>
              <w:fldChar w:fldCharType="begin"/>
            </w:r>
            <w:r w:rsidR="00DC2E8F" w:rsidRPr="003C05F8">
              <w:rPr>
                <w:noProof/>
                <w:webHidden/>
                <w:szCs w:val="22"/>
              </w:rPr>
              <w:instrText xml:space="preserve"> PAGEREF _Toc504036300 \h </w:instrText>
            </w:r>
            <w:r w:rsidR="00DC2E8F" w:rsidRPr="003C05F8">
              <w:rPr>
                <w:noProof/>
                <w:webHidden/>
                <w:szCs w:val="22"/>
              </w:rPr>
            </w:r>
            <w:r w:rsidR="00DC2E8F" w:rsidRPr="003C05F8">
              <w:rPr>
                <w:noProof/>
                <w:webHidden/>
                <w:szCs w:val="22"/>
              </w:rPr>
              <w:fldChar w:fldCharType="separate"/>
            </w:r>
            <w:r>
              <w:rPr>
                <w:noProof/>
                <w:webHidden/>
                <w:szCs w:val="22"/>
              </w:rPr>
              <w:t>11</w:t>
            </w:r>
            <w:r w:rsidR="00DC2E8F" w:rsidRPr="003C05F8">
              <w:rPr>
                <w:noProof/>
                <w:webHidden/>
                <w:szCs w:val="22"/>
              </w:rPr>
              <w:fldChar w:fldCharType="end"/>
            </w:r>
          </w:hyperlink>
        </w:p>
        <w:p w14:paraId="23938191" w14:textId="1E7E5D29" w:rsidR="00DC2E8F" w:rsidRPr="003C05F8" w:rsidRDefault="00336524" w:rsidP="003C05F8">
          <w:pPr>
            <w:pStyle w:val="TOC1"/>
            <w:spacing w:after="120"/>
            <w:ind w:right="1134"/>
            <w:rPr>
              <w:rFonts w:eastAsiaTheme="minorEastAsia"/>
              <w:noProof/>
              <w:sz w:val="22"/>
              <w:szCs w:val="22"/>
              <w:lang w:val="en-GB" w:eastAsia="ja-JP"/>
            </w:rPr>
          </w:pPr>
          <w:hyperlink w:anchor="_Toc504036301" w:history="1">
            <w:r w:rsidR="00DC2E8F" w:rsidRPr="003C05F8">
              <w:rPr>
                <w:rStyle w:val="Hyperlink"/>
                <w:noProof/>
                <w:sz w:val="22"/>
                <w:szCs w:val="22"/>
                <w:lang w:val="en-GB"/>
              </w:rPr>
              <w:t>Bibliography</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_Toc504036301 \h </w:instrText>
            </w:r>
            <w:r w:rsidR="00DC2E8F" w:rsidRPr="003C05F8">
              <w:rPr>
                <w:noProof/>
                <w:webHidden/>
                <w:sz w:val="22"/>
                <w:szCs w:val="22"/>
              </w:rPr>
            </w:r>
            <w:r w:rsidR="00DC2E8F" w:rsidRPr="003C05F8">
              <w:rPr>
                <w:noProof/>
                <w:webHidden/>
                <w:sz w:val="22"/>
                <w:szCs w:val="22"/>
              </w:rPr>
              <w:fldChar w:fldCharType="separate"/>
            </w:r>
            <w:r>
              <w:rPr>
                <w:noProof/>
                <w:webHidden/>
                <w:sz w:val="22"/>
                <w:szCs w:val="22"/>
              </w:rPr>
              <w:t>14</w:t>
            </w:r>
            <w:r w:rsidR="00DC2E8F" w:rsidRPr="003C05F8">
              <w:rPr>
                <w:noProof/>
                <w:webHidden/>
                <w:sz w:val="22"/>
                <w:szCs w:val="22"/>
              </w:rPr>
              <w:fldChar w:fldCharType="end"/>
            </w:r>
          </w:hyperlink>
        </w:p>
        <w:p w14:paraId="6CDE6D3E" w14:textId="70C8B094" w:rsidR="00DC2E8F" w:rsidRDefault="00336524" w:rsidP="003C05F8">
          <w:pPr>
            <w:pStyle w:val="TOC1"/>
            <w:spacing w:after="120"/>
            <w:ind w:right="1134"/>
            <w:rPr>
              <w:rFonts w:eastAsiaTheme="minorEastAsia"/>
              <w:noProof/>
              <w:sz w:val="22"/>
              <w:szCs w:val="22"/>
              <w:lang w:val="en-GB" w:eastAsia="ja-JP"/>
            </w:rPr>
          </w:pPr>
          <w:hyperlink w:anchor="_Toc504036302" w:history="1">
            <w:r w:rsidR="00DC2E8F" w:rsidRPr="003C05F8">
              <w:rPr>
                <w:rStyle w:val="Hyperlink"/>
                <w:noProof/>
                <w:sz w:val="22"/>
                <w:szCs w:val="22"/>
                <w:lang w:val="en-GB"/>
              </w:rPr>
              <w:t>Appendix</w:t>
            </w:r>
            <w:r w:rsidR="00DC2E8F" w:rsidRPr="003C05F8">
              <w:rPr>
                <w:noProof/>
                <w:webHidden/>
                <w:sz w:val="22"/>
                <w:szCs w:val="22"/>
              </w:rPr>
              <w:tab/>
            </w:r>
            <w:r w:rsidR="00DC2E8F" w:rsidRPr="003C05F8">
              <w:rPr>
                <w:noProof/>
                <w:webHidden/>
                <w:sz w:val="22"/>
                <w:szCs w:val="22"/>
              </w:rPr>
              <w:fldChar w:fldCharType="begin"/>
            </w:r>
            <w:r w:rsidR="00DC2E8F" w:rsidRPr="003C05F8">
              <w:rPr>
                <w:noProof/>
                <w:webHidden/>
                <w:sz w:val="22"/>
                <w:szCs w:val="22"/>
              </w:rPr>
              <w:instrText xml:space="preserve"> PAGEREF _Toc504036302 \h </w:instrText>
            </w:r>
            <w:r w:rsidR="00DC2E8F" w:rsidRPr="003C05F8">
              <w:rPr>
                <w:noProof/>
                <w:webHidden/>
                <w:sz w:val="22"/>
                <w:szCs w:val="22"/>
              </w:rPr>
            </w:r>
            <w:r w:rsidR="00DC2E8F" w:rsidRPr="003C05F8">
              <w:rPr>
                <w:noProof/>
                <w:webHidden/>
                <w:sz w:val="22"/>
                <w:szCs w:val="22"/>
              </w:rPr>
              <w:fldChar w:fldCharType="separate"/>
            </w:r>
            <w:r>
              <w:rPr>
                <w:noProof/>
                <w:webHidden/>
                <w:sz w:val="22"/>
                <w:szCs w:val="22"/>
              </w:rPr>
              <w:t>18</w:t>
            </w:r>
            <w:r w:rsidR="00DC2E8F" w:rsidRPr="003C05F8">
              <w:rPr>
                <w:noProof/>
                <w:webHidden/>
                <w:sz w:val="22"/>
                <w:szCs w:val="22"/>
              </w:rPr>
              <w:fldChar w:fldCharType="end"/>
            </w:r>
          </w:hyperlink>
        </w:p>
        <w:p w14:paraId="005D60F2" w14:textId="10DDC508" w:rsidR="0077557C" w:rsidRPr="00680837" w:rsidRDefault="00AE2D7D" w:rsidP="00182D47">
          <w:pPr>
            <w:ind w:right="567"/>
            <w:rPr>
              <w:lang w:val="en-GB"/>
            </w:rPr>
            <w:sectPr w:rsidR="0077557C" w:rsidRPr="00680837" w:rsidSect="004D3D9E">
              <w:endnotePr>
                <w:numFmt w:val="decimal"/>
              </w:endnotePr>
              <w:pgSz w:w="11900" w:h="16840"/>
              <w:pgMar w:top="1440" w:right="1440" w:bottom="1440" w:left="1440" w:header="708" w:footer="708" w:gutter="0"/>
              <w:cols w:space="708"/>
              <w:docGrid w:linePitch="360"/>
            </w:sectPr>
          </w:pPr>
          <w:r w:rsidRPr="00680837">
            <w:rPr>
              <w:b/>
              <w:bCs/>
              <w:noProof/>
              <w:lang w:val="en-GB"/>
            </w:rPr>
            <w:fldChar w:fldCharType="end"/>
          </w:r>
        </w:p>
      </w:sdtContent>
    </w:sdt>
    <w:p w14:paraId="6CB40A5F" w14:textId="4E6FC195" w:rsidR="00D075C4" w:rsidRPr="00680837" w:rsidRDefault="009E268B" w:rsidP="00DC2E8F">
      <w:pPr>
        <w:rPr>
          <w:lang w:val="en-GB"/>
        </w:rPr>
        <w:sectPr w:rsidR="00D075C4" w:rsidRPr="00680837" w:rsidSect="004D3D9E">
          <w:endnotePr>
            <w:numFmt w:val="decimal"/>
          </w:endnotePr>
          <w:pgSz w:w="11900" w:h="16840"/>
          <w:pgMar w:top="1440" w:right="1440" w:bottom="1440" w:left="1440" w:header="708" w:footer="708" w:gutter="0"/>
          <w:cols w:space="708"/>
          <w:docGrid w:linePitch="360"/>
        </w:sectPr>
      </w:pPr>
      <w:r w:rsidRPr="00680837">
        <w:rPr>
          <w:noProof/>
          <w:szCs w:val="22"/>
          <w:lang w:val="en-GB" w:eastAsia="en-GB"/>
        </w:rPr>
        <mc:AlternateContent>
          <mc:Choice Requires="wps">
            <w:drawing>
              <wp:anchor distT="0" distB="0" distL="114300" distR="114300" simplePos="0" relativeHeight="251658240" behindDoc="0" locked="0" layoutInCell="1" allowOverlap="1" wp14:anchorId="31F8AF5E" wp14:editId="3D547D3A">
                <wp:simplePos x="0" y="0"/>
                <wp:positionH relativeFrom="column">
                  <wp:posOffset>19050</wp:posOffset>
                </wp:positionH>
                <wp:positionV relativeFrom="paragraph">
                  <wp:posOffset>0</wp:posOffset>
                </wp:positionV>
                <wp:extent cx="5667375" cy="3056255"/>
                <wp:effectExtent l="0" t="0" r="9525" b="0"/>
                <wp:wrapThrough wrapText="bothSides">
                  <wp:wrapPolygon edited="0">
                    <wp:start x="0" y="0"/>
                    <wp:lineTo x="0" y="21407"/>
                    <wp:lineTo x="21564" y="21407"/>
                    <wp:lineTo x="21564" y="0"/>
                    <wp:lineTo x="0" y="0"/>
                  </wp:wrapPolygon>
                </wp:wrapThrough>
                <wp:docPr id="148" name="Rectangle 148"/>
                <wp:cNvGraphicFramePr/>
                <a:graphic xmlns:a="http://schemas.openxmlformats.org/drawingml/2006/main">
                  <a:graphicData uri="http://schemas.microsoft.com/office/word/2010/wordprocessingShape">
                    <wps:wsp>
                      <wps:cNvSpPr/>
                      <wps:spPr>
                        <a:xfrm>
                          <a:off x="0" y="0"/>
                          <a:ext cx="5667375" cy="30562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9BAD2" w14:textId="77777777" w:rsidR="00336524" w:rsidRPr="005F110C" w:rsidRDefault="00336524" w:rsidP="001F70BA">
                            <w:pPr>
                              <w:pBdr>
                                <w:top w:val="single" w:sz="6" w:space="6" w:color="5B9BD5" w:themeColor="accent1"/>
                                <w:bottom w:val="single" w:sz="6" w:space="6" w:color="5B9BD5" w:themeColor="accent1"/>
                              </w:pBdr>
                              <w:shd w:val="clear" w:color="auto" w:fill="FFFFFF" w:themeFill="background1"/>
                              <w:spacing w:before="0" w:after="240"/>
                              <w:jc w:val="center"/>
                              <w:rPr>
                                <w:rFonts w:eastAsiaTheme="majorEastAsia" w:cstheme="majorBidi"/>
                                <w:b/>
                                <w:caps/>
                                <w:color w:val="000000" w:themeColor="text1"/>
                              </w:rPr>
                            </w:pPr>
                            <w:r w:rsidRPr="005F110C">
                              <w:rPr>
                                <w:rFonts w:eastAsiaTheme="majorEastAsia" w:cstheme="majorBidi"/>
                                <w:b/>
                                <w:caps/>
                                <w:color w:val="000000" w:themeColor="text1"/>
                              </w:rPr>
                              <w:t>about the joint statement</w:t>
                            </w:r>
                          </w:p>
                          <w:p w14:paraId="0E867240" w14:textId="63682188" w:rsidR="00336524" w:rsidRPr="00993392" w:rsidRDefault="00336524" w:rsidP="001F70BA">
                            <w:pPr>
                              <w:ind w:left="283" w:right="283"/>
                              <w:rPr>
                                <w:color w:val="000000" w:themeColor="text1"/>
                                <w:szCs w:val="22"/>
                                <w:lang w:val="en-GB"/>
                              </w:rPr>
                            </w:pPr>
                            <w:r w:rsidRPr="00993392">
                              <w:rPr>
                                <w:color w:val="000000" w:themeColor="text1"/>
                              </w:rPr>
                              <w:t xml:space="preserve">This joint statement </w:t>
                            </w:r>
                            <w:r>
                              <w:rPr>
                                <w:color w:val="000000" w:themeColor="text1"/>
                              </w:rPr>
                              <w:t>reflects</w:t>
                            </w:r>
                            <w:r w:rsidRPr="00993392">
                              <w:rPr>
                                <w:color w:val="000000" w:themeColor="text1"/>
                              </w:rPr>
                              <w:t xml:space="preserve"> our </w:t>
                            </w:r>
                            <w:r>
                              <w:rPr>
                                <w:color w:val="000000" w:themeColor="text1"/>
                              </w:rPr>
                              <w:t>shared</w:t>
                            </w:r>
                            <w:r w:rsidRPr="00993392">
                              <w:rPr>
                                <w:color w:val="000000" w:themeColor="text1"/>
                              </w:rPr>
                              <w:t xml:space="preserve"> commitment to inclusive social protection systems for </w:t>
                            </w:r>
                            <w:r>
                              <w:rPr>
                                <w:color w:val="000000" w:themeColor="text1"/>
                              </w:rPr>
                              <w:t>persons</w:t>
                            </w:r>
                            <w:r w:rsidRPr="00993392">
                              <w:rPr>
                                <w:color w:val="000000" w:themeColor="text1"/>
                              </w:rPr>
                              <w:t xml:space="preserve"> with disabilities. The statement </w:t>
                            </w:r>
                            <w:r w:rsidRPr="00960381">
                              <w:rPr>
                                <w:color w:val="000000" w:themeColor="text1"/>
                              </w:rPr>
                              <w:t>emerged</w:t>
                            </w:r>
                            <w:r w:rsidRPr="00993392">
                              <w:rPr>
                                <w:color w:val="000000" w:themeColor="text1"/>
                              </w:rPr>
                              <w:t xml:space="preserve"> from meetings and discussions between international partners working on the issues of disability and social protection.</w:t>
                            </w:r>
                            <w:r w:rsidRPr="00993392">
                              <w:rPr>
                                <w:color w:val="000000" w:themeColor="text1"/>
                                <w:szCs w:val="22"/>
                                <w:lang w:val="en-GB"/>
                              </w:rPr>
                              <w:t xml:space="preserve"> These meetings also contributed to the first report of the U</w:t>
                            </w:r>
                            <w:r>
                              <w:rPr>
                                <w:color w:val="000000" w:themeColor="text1"/>
                                <w:szCs w:val="22"/>
                                <w:lang w:val="en-GB"/>
                              </w:rPr>
                              <w:t xml:space="preserve">nited </w:t>
                            </w:r>
                            <w:r w:rsidRPr="00993392">
                              <w:rPr>
                                <w:color w:val="000000" w:themeColor="text1"/>
                                <w:szCs w:val="22"/>
                                <w:lang w:val="en-GB"/>
                              </w:rPr>
                              <w:t>N</w:t>
                            </w:r>
                            <w:r>
                              <w:rPr>
                                <w:color w:val="000000" w:themeColor="text1"/>
                                <w:szCs w:val="22"/>
                                <w:lang w:val="en-GB"/>
                              </w:rPr>
                              <w:t>ations (UN)</w:t>
                            </w:r>
                            <w:r w:rsidRPr="00993392">
                              <w:rPr>
                                <w:color w:val="000000" w:themeColor="text1"/>
                                <w:szCs w:val="22"/>
                                <w:lang w:val="en-GB"/>
                              </w:rPr>
                              <w:t xml:space="preserve"> Special Rapporteur on the </w:t>
                            </w:r>
                            <w:r>
                              <w:rPr>
                                <w:color w:val="000000" w:themeColor="text1"/>
                                <w:szCs w:val="22"/>
                                <w:lang w:val="en-GB"/>
                              </w:rPr>
                              <w:t>R</w:t>
                            </w:r>
                            <w:r w:rsidRPr="00993392">
                              <w:rPr>
                                <w:color w:val="000000" w:themeColor="text1"/>
                                <w:szCs w:val="22"/>
                                <w:lang w:val="en-GB"/>
                              </w:rPr>
                              <w:t xml:space="preserve">ights of </w:t>
                            </w:r>
                            <w:r>
                              <w:rPr>
                                <w:color w:val="000000" w:themeColor="text1"/>
                                <w:szCs w:val="22"/>
                                <w:lang w:val="en-GB"/>
                              </w:rPr>
                              <w:t>P</w:t>
                            </w:r>
                            <w:r w:rsidRPr="00993392">
                              <w:rPr>
                                <w:color w:val="000000" w:themeColor="text1"/>
                                <w:szCs w:val="22"/>
                                <w:lang w:val="en-GB"/>
                              </w:rPr>
                              <w:t xml:space="preserve">ersons with </w:t>
                            </w:r>
                            <w:r>
                              <w:rPr>
                                <w:color w:val="000000" w:themeColor="text1"/>
                                <w:szCs w:val="22"/>
                                <w:lang w:val="en-GB"/>
                              </w:rPr>
                              <w:t>D</w:t>
                            </w:r>
                            <w:r w:rsidRPr="00993392">
                              <w:rPr>
                                <w:color w:val="000000" w:themeColor="text1"/>
                                <w:szCs w:val="22"/>
                                <w:lang w:val="en-GB"/>
                              </w:rPr>
                              <w:t>isabilities to the UN General Assembly (September 2015), which highlighted the importance of disability-inclusive social protection</w:t>
                            </w:r>
                            <w:r>
                              <w:rPr>
                                <w:color w:val="000000" w:themeColor="text1"/>
                                <w:szCs w:val="22"/>
                                <w:lang w:val="en-GB"/>
                              </w:rPr>
                              <w:t xml:space="preserve"> systems</w:t>
                            </w:r>
                            <w:r w:rsidRPr="00993392">
                              <w:rPr>
                                <w:color w:val="000000" w:themeColor="text1"/>
                                <w:szCs w:val="22"/>
                                <w:lang w:val="en-GB"/>
                              </w:rPr>
                              <w:t>.</w:t>
                            </w:r>
                          </w:p>
                          <w:p w14:paraId="56D9A750" w14:textId="027FFCE4" w:rsidR="00336524" w:rsidRPr="00F57535" w:rsidRDefault="00336524" w:rsidP="001F70BA">
                            <w:pPr>
                              <w:ind w:left="283" w:right="283"/>
                              <w:rPr>
                                <w:color w:val="000000" w:themeColor="text1"/>
                                <w:szCs w:val="22"/>
                                <w:lang w:val="en-GB"/>
                              </w:rPr>
                            </w:pPr>
                            <w:r>
                              <w:rPr>
                                <w:color w:val="000000" w:themeColor="text1"/>
                              </w:rPr>
                              <w:t>Noting</w:t>
                            </w:r>
                            <w:r w:rsidRPr="00993392">
                              <w:rPr>
                                <w:color w:val="000000" w:themeColor="text1"/>
                              </w:rPr>
                              <w:t xml:space="preserve"> the key findings of international experiences </w:t>
                            </w:r>
                            <w:r>
                              <w:rPr>
                                <w:color w:val="000000" w:themeColor="text1"/>
                              </w:rPr>
                              <w:t>gathered</w:t>
                            </w:r>
                            <w:r w:rsidRPr="00993392">
                              <w:rPr>
                                <w:color w:val="000000" w:themeColor="text1"/>
                              </w:rPr>
                              <w:t xml:space="preserve"> from different stakeholders, this joint statement </w:t>
                            </w:r>
                            <w:r>
                              <w:rPr>
                                <w:color w:val="000000" w:themeColor="text1"/>
                              </w:rPr>
                              <w:t>sets</w:t>
                            </w:r>
                            <w:r w:rsidRPr="00993392">
                              <w:rPr>
                                <w:color w:val="000000" w:themeColor="text1"/>
                              </w:rPr>
                              <w:t xml:space="preserve"> out the specific risks and vulnerabilities </w:t>
                            </w:r>
                            <w:r>
                              <w:rPr>
                                <w:color w:val="000000" w:themeColor="text1"/>
                              </w:rPr>
                              <w:t>faced by</w:t>
                            </w:r>
                            <w:r w:rsidRPr="00993392">
                              <w:rPr>
                                <w:color w:val="000000" w:themeColor="text1"/>
                              </w:rPr>
                              <w:t xml:space="preserve"> </w:t>
                            </w:r>
                            <w:r>
                              <w:rPr>
                                <w:color w:val="000000" w:themeColor="text1"/>
                              </w:rPr>
                              <w:t>persons</w:t>
                            </w:r>
                            <w:r w:rsidRPr="00993392">
                              <w:rPr>
                                <w:color w:val="000000" w:themeColor="text1"/>
                              </w:rPr>
                              <w:t xml:space="preserve"> with disabilities and their families and how social protection systems can effectively protect them from </w:t>
                            </w:r>
                            <w:r>
                              <w:rPr>
                                <w:color w:val="000000" w:themeColor="text1"/>
                              </w:rPr>
                              <w:t xml:space="preserve">livelihood </w:t>
                            </w:r>
                            <w:r w:rsidRPr="00993392">
                              <w:rPr>
                                <w:color w:val="000000" w:themeColor="text1"/>
                              </w:rPr>
                              <w:t xml:space="preserve">shocks, reduce and prevent poverty and enable them to participate fully in society. We hope that this statement will guide and support future action to ensure that social protection systems take into account the rights of </w:t>
                            </w:r>
                            <w:r>
                              <w:rPr>
                                <w:color w:val="000000" w:themeColor="text1"/>
                              </w:rPr>
                              <w:t>persons</w:t>
                            </w:r>
                            <w:r w:rsidRPr="00993392">
                              <w:rPr>
                                <w:color w:val="000000" w:themeColor="text1"/>
                              </w:rPr>
                              <w:t xml:space="preserve"> with disabilities and support their full and effective participation</w:t>
                            </w:r>
                            <w:r>
                              <w:rPr>
                                <w:color w:val="000000" w:themeColor="text1"/>
                              </w:rPr>
                              <w:t>.</w:t>
                            </w:r>
                          </w:p>
                        </w:txbxContent>
                      </wps:txbx>
                      <wps:bodyPr rot="0" spcFirstLastPara="0" vertOverflow="overflow" horzOverflow="overflow" vert="horz" wrap="square" lIns="0" tIns="0" rIns="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1F8AF5E" id="Rectangle 148" o:spid="_x0000_s1027" style="position:absolute;left:0;text-align:left;margin-left:1.5pt;margin-top:0;width:446.25pt;height:2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" fillcolor="#deeaf6 [660]" stroked="f" strokeweight="1pt">
                <v:textbox style="mso-fit-shape-to-text:t" inset="0,0,0,5mm">
                  <w:txbxContent>
                    <w:p w14:paraId="26D9BAD2" w14:textId="77777777" w:rsidR="00336524" w:rsidRPr="005F110C" w:rsidRDefault="00336524" w:rsidP="001F70BA">
                      <w:pPr>
                        <w:pBdr>
                          <w:top w:val="single" w:sz="6" w:space="6" w:color="5B9BD5" w:themeColor="accent1"/>
                          <w:bottom w:val="single" w:sz="6" w:space="6" w:color="5B9BD5" w:themeColor="accent1"/>
                        </w:pBdr>
                        <w:shd w:val="clear" w:color="auto" w:fill="FFFFFF" w:themeFill="background1"/>
                        <w:spacing w:before="0" w:after="240"/>
                        <w:jc w:val="center"/>
                        <w:rPr>
                          <w:rFonts w:eastAsiaTheme="majorEastAsia" w:cstheme="majorBidi"/>
                          <w:b/>
                          <w:caps/>
                          <w:color w:val="000000" w:themeColor="text1"/>
                        </w:rPr>
                      </w:pPr>
                      <w:r w:rsidRPr="005F110C">
                        <w:rPr>
                          <w:rFonts w:eastAsiaTheme="majorEastAsia" w:cstheme="majorBidi"/>
                          <w:b/>
                          <w:caps/>
                          <w:color w:val="000000" w:themeColor="text1"/>
                        </w:rPr>
                        <w:t>about the joint statement</w:t>
                      </w:r>
                    </w:p>
                    <w:p w14:paraId="0E867240" w14:textId="63682188" w:rsidR="00336524" w:rsidRPr="00993392" w:rsidRDefault="00336524" w:rsidP="001F70BA">
                      <w:pPr>
                        <w:ind w:left="283" w:right="283"/>
                        <w:rPr>
                          <w:color w:val="000000" w:themeColor="text1"/>
                          <w:szCs w:val="22"/>
                          <w:lang w:val="en-GB"/>
                        </w:rPr>
                      </w:pPr>
                      <w:r w:rsidRPr="00993392">
                        <w:rPr>
                          <w:color w:val="000000" w:themeColor="text1"/>
                        </w:rPr>
                        <w:t xml:space="preserve">This joint statement </w:t>
                      </w:r>
                      <w:r>
                        <w:rPr>
                          <w:color w:val="000000" w:themeColor="text1"/>
                        </w:rPr>
                        <w:t>reflects</w:t>
                      </w:r>
                      <w:r w:rsidRPr="00993392">
                        <w:rPr>
                          <w:color w:val="000000" w:themeColor="text1"/>
                        </w:rPr>
                        <w:t xml:space="preserve"> our </w:t>
                      </w:r>
                      <w:r>
                        <w:rPr>
                          <w:color w:val="000000" w:themeColor="text1"/>
                        </w:rPr>
                        <w:t>shared</w:t>
                      </w:r>
                      <w:r w:rsidRPr="00993392">
                        <w:rPr>
                          <w:color w:val="000000" w:themeColor="text1"/>
                        </w:rPr>
                        <w:t xml:space="preserve"> commitment to inclusive social protection systems for </w:t>
                      </w:r>
                      <w:r>
                        <w:rPr>
                          <w:color w:val="000000" w:themeColor="text1"/>
                        </w:rPr>
                        <w:t>persons</w:t>
                      </w:r>
                      <w:r w:rsidRPr="00993392">
                        <w:rPr>
                          <w:color w:val="000000" w:themeColor="text1"/>
                        </w:rPr>
                        <w:t xml:space="preserve"> with disabilities. The statement </w:t>
                      </w:r>
                      <w:r w:rsidRPr="00960381">
                        <w:rPr>
                          <w:color w:val="000000" w:themeColor="text1"/>
                        </w:rPr>
                        <w:t>emerged</w:t>
                      </w:r>
                      <w:r w:rsidRPr="00993392">
                        <w:rPr>
                          <w:color w:val="000000" w:themeColor="text1"/>
                        </w:rPr>
                        <w:t xml:space="preserve"> from meetings and discussions between international partners working on the issues of disability and social protection.</w:t>
                      </w:r>
                      <w:r w:rsidRPr="00993392">
                        <w:rPr>
                          <w:color w:val="000000" w:themeColor="text1"/>
                          <w:szCs w:val="22"/>
                          <w:lang w:val="en-GB"/>
                        </w:rPr>
                        <w:t xml:space="preserve"> These meetings also contributed to the first report of the U</w:t>
                      </w:r>
                      <w:r>
                        <w:rPr>
                          <w:color w:val="000000" w:themeColor="text1"/>
                          <w:szCs w:val="22"/>
                          <w:lang w:val="en-GB"/>
                        </w:rPr>
                        <w:t xml:space="preserve">nited </w:t>
                      </w:r>
                      <w:r w:rsidRPr="00993392">
                        <w:rPr>
                          <w:color w:val="000000" w:themeColor="text1"/>
                          <w:szCs w:val="22"/>
                          <w:lang w:val="en-GB"/>
                        </w:rPr>
                        <w:t>N</w:t>
                      </w:r>
                      <w:r>
                        <w:rPr>
                          <w:color w:val="000000" w:themeColor="text1"/>
                          <w:szCs w:val="22"/>
                          <w:lang w:val="en-GB"/>
                        </w:rPr>
                        <w:t>ations (UN)</w:t>
                      </w:r>
                      <w:r w:rsidRPr="00993392">
                        <w:rPr>
                          <w:color w:val="000000" w:themeColor="text1"/>
                          <w:szCs w:val="22"/>
                          <w:lang w:val="en-GB"/>
                        </w:rPr>
                        <w:t xml:space="preserve"> Special Rapporteur on the </w:t>
                      </w:r>
                      <w:r>
                        <w:rPr>
                          <w:color w:val="000000" w:themeColor="text1"/>
                          <w:szCs w:val="22"/>
                          <w:lang w:val="en-GB"/>
                        </w:rPr>
                        <w:t>R</w:t>
                      </w:r>
                      <w:r w:rsidRPr="00993392">
                        <w:rPr>
                          <w:color w:val="000000" w:themeColor="text1"/>
                          <w:szCs w:val="22"/>
                          <w:lang w:val="en-GB"/>
                        </w:rPr>
                        <w:t xml:space="preserve">ights of </w:t>
                      </w:r>
                      <w:r>
                        <w:rPr>
                          <w:color w:val="000000" w:themeColor="text1"/>
                          <w:szCs w:val="22"/>
                          <w:lang w:val="en-GB"/>
                        </w:rPr>
                        <w:t>P</w:t>
                      </w:r>
                      <w:r w:rsidRPr="00993392">
                        <w:rPr>
                          <w:color w:val="000000" w:themeColor="text1"/>
                          <w:szCs w:val="22"/>
                          <w:lang w:val="en-GB"/>
                        </w:rPr>
                        <w:t xml:space="preserve">ersons with </w:t>
                      </w:r>
                      <w:r>
                        <w:rPr>
                          <w:color w:val="000000" w:themeColor="text1"/>
                          <w:szCs w:val="22"/>
                          <w:lang w:val="en-GB"/>
                        </w:rPr>
                        <w:t>D</w:t>
                      </w:r>
                      <w:r w:rsidRPr="00993392">
                        <w:rPr>
                          <w:color w:val="000000" w:themeColor="text1"/>
                          <w:szCs w:val="22"/>
                          <w:lang w:val="en-GB"/>
                        </w:rPr>
                        <w:t>isabilities to the UN General Assembly (September 2015), which highlighted the importance of disability-inclusive social protection</w:t>
                      </w:r>
                      <w:r>
                        <w:rPr>
                          <w:color w:val="000000" w:themeColor="text1"/>
                          <w:szCs w:val="22"/>
                          <w:lang w:val="en-GB"/>
                        </w:rPr>
                        <w:t xml:space="preserve"> systems</w:t>
                      </w:r>
                      <w:r w:rsidRPr="00993392">
                        <w:rPr>
                          <w:color w:val="000000" w:themeColor="text1"/>
                          <w:szCs w:val="22"/>
                          <w:lang w:val="en-GB"/>
                        </w:rPr>
                        <w:t>.</w:t>
                      </w:r>
                    </w:p>
                    <w:p w14:paraId="56D9A750" w14:textId="027FFCE4" w:rsidR="00336524" w:rsidRPr="00F57535" w:rsidRDefault="00336524" w:rsidP="001F70BA">
                      <w:pPr>
                        <w:ind w:left="283" w:right="283"/>
                        <w:rPr>
                          <w:color w:val="000000" w:themeColor="text1"/>
                          <w:szCs w:val="22"/>
                          <w:lang w:val="en-GB"/>
                        </w:rPr>
                      </w:pPr>
                      <w:r>
                        <w:rPr>
                          <w:color w:val="000000" w:themeColor="text1"/>
                        </w:rPr>
                        <w:t>Noting</w:t>
                      </w:r>
                      <w:r w:rsidRPr="00993392">
                        <w:rPr>
                          <w:color w:val="000000" w:themeColor="text1"/>
                        </w:rPr>
                        <w:t xml:space="preserve"> the key findings of international experiences </w:t>
                      </w:r>
                      <w:r>
                        <w:rPr>
                          <w:color w:val="000000" w:themeColor="text1"/>
                        </w:rPr>
                        <w:t>gathered</w:t>
                      </w:r>
                      <w:r w:rsidRPr="00993392">
                        <w:rPr>
                          <w:color w:val="000000" w:themeColor="text1"/>
                        </w:rPr>
                        <w:t xml:space="preserve"> from different stakeholders, this joint statement </w:t>
                      </w:r>
                      <w:r>
                        <w:rPr>
                          <w:color w:val="000000" w:themeColor="text1"/>
                        </w:rPr>
                        <w:t>sets</w:t>
                      </w:r>
                      <w:r w:rsidRPr="00993392">
                        <w:rPr>
                          <w:color w:val="000000" w:themeColor="text1"/>
                        </w:rPr>
                        <w:t xml:space="preserve"> out the specific risks and vulnerabilities </w:t>
                      </w:r>
                      <w:r>
                        <w:rPr>
                          <w:color w:val="000000" w:themeColor="text1"/>
                        </w:rPr>
                        <w:t>faced by</w:t>
                      </w:r>
                      <w:r w:rsidRPr="00993392">
                        <w:rPr>
                          <w:color w:val="000000" w:themeColor="text1"/>
                        </w:rPr>
                        <w:t xml:space="preserve"> </w:t>
                      </w:r>
                      <w:r>
                        <w:rPr>
                          <w:color w:val="000000" w:themeColor="text1"/>
                        </w:rPr>
                        <w:t>persons</w:t>
                      </w:r>
                      <w:r w:rsidRPr="00993392">
                        <w:rPr>
                          <w:color w:val="000000" w:themeColor="text1"/>
                        </w:rPr>
                        <w:t xml:space="preserve"> with disabilities and their families and how social protection systems can effectively protect them from </w:t>
                      </w:r>
                      <w:r>
                        <w:rPr>
                          <w:color w:val="000000" w:themeColor="text1"/>
                        </w:rPr>
                        <w:t xml:space="preserve">livelihood </w:t>
                      </w:r>
                      <w:r w:rsidRPr="00993392">
                        <w:rPr>
                          <w:color w:val="000000" w:themeColor="text1"/>
                        </w:rPr>
                        <w:t xml:space="preserve">shocks, reduce and prevent poverty and enable them to participate fully in society. We hope that this statement will guide and support future action to ensure that social protection systems take into account the rights of </w:t>
                      </w:r>
                      <w:r>
                        <w:rPr>
                          <w:color w:val="000000" w:themeColor="text1"/>
                        </w:rPr>
                        <w:t>persons</w:t>
                      </w:r>
                      <w:r w:rsidRPr="00993392">
                        <w:rPr>
                          <w:color w:val="000000" w:themeColor="text1"/>
                        </w:rPr>
                        <w:t xml:space="preserve"> with disabilities and support their full and effective participation</w:t>
                      </w:r>
                      <w:r>
                        <w:rPr>
                          <w:color w:val="000000" w:themeColor="text1"/>
                        </w:rPr>
                        <w:t>.</w:t>
                      </w:r>
                    </w:p>
                  </w:txbxContent>
                </v:textbox>
                <w10:wrap type="through"/>
              </v:rect>
            </w:pict>
          </mc:Fallback>
        </mc:AlternateContent>
      </w:r>
    </w:p>
    <w:p w14:paraId="3345C3B8" w14:textId="45F16BA1" w:rsidR="00DD7697" w:rsidRPr="00680837" w:rsidRDefault="00DD7697" w:rsidP="00A4063F">
      <w:pPr>
        <w:pStyle w:val="Heading1"/>
        <w:numPr>
          <w:ilvl w:val="0"/>
          <w:numId w:val="31"/>
        </w:numPr>
        <w:rPr>
          <w:rStyle w:val="Heading1Char"/>
          <w:b/>
          <w:lang w:val="en-GB"/>
        </w:rPr>
      </w:pPr>
      <w:bookmarkStart w:id="0" w:name="_Toc504036287"/>
      <w:r w:rsidRPr="00680837">
        <w:rPr>
          <w:rStyle w:val="Heading1Char"/>
          <w:b/>
          <w:lang w:val="en-GB"/>
        </w:rPr>
        <w:t>Introduction</w:t>
      </w:r>
      <w:bookmarkEnd w:id="0"/>
    </w:p>
    <w:p w14:paraId="435205EC" w14:textId="7AA7E887" w:rsidR="00101D89" w:rsidRPr="00680837" w:rsidRDefault="005F39AA" w:rsidP="00CE3076">
      <w:pPr>
        <w:rPr>
          <w:szCs w:val="22"/>
          <w:lang w:val="en-GB"/>
        </w:rPr>
      </w:pPr>
      <w:r w:rsidRPr="00680837">
        <w:rPr>
          <w:b/>
          <w:i/>
          <w:szCs w:val="22"/>
          <w:lang w:val="en-GB"/>
        </w:rPr>
        <w:t>Persons with disabilities</w:t>
      </w:r>
      <w:r w:rsidR="00101D89" w:rsidRPr="00680837">
        <w:rPr>
          <w:rStyle w:val="EndnoteReference"/>
          <w:b/>
          <w:i/>
          <w:szCs w:val="22"/>
          <w:lang w:val="en-GB"/>
        </w:rPr>
        <w:endnoteReference w:id="2"/>
      </w:r>
      <w:r w:rsidR="00101D89" w:rsidRPr="00680837">
        <w:rPr>
          <w:b/>
          <w:i/>
          <w:szCs w:val="22"/>
          <w:lang w:val="en-GB"/>
        </w:rPr>
        <w:t xml:space="preserve"> </w:t>
      </w:r>
      <w:r w:rsidR="00101D89">
        <w:rPr>
          <w:b/>
          <w:i/>
          <w:szCs w:val="22"/>
          <w:lang w:val="en-GB"/>
        </w:rPr>
        <w:t>comprise</w:t>
      </w:r>
      <w:r w:rsidR="00101D89" w:rsidRPr="00680837">
        <w:rPr>
          <w:b/>
          <w:i/>
          <w:szCs w:val="22"/>
          <w:lang w:val="en-GB"/>
        </w:rPr>
        <w:t xml:space="preserve"> 15</w:t>
      </w:r>
      <w:r w:rsidR="00101D89">
        <w:rPr>
          <w:b/>
          <w:i/>
          <w:szCs w:val="22"/>
          <w:lang w:val="en-GB"/>
        </w:rPr>
        <w:t xml:space="preserve"> per cent</w:t>
      </w:r>
      <w:r w:rsidR="00101D89" w:rsidRPr="00680837">
        <w:rPr>
          <w:b/>
          <w:i/>
          <w:szCs w:val="22"/>
          <w:lang w:val="en-GB"/>
        </w:rPr>
        <w:t xml:space="preserve"> of the world’s population</w:t>
      </w:r>
      <w:r w:rsidR="00101D89">
        <w:rPr>
          <w:b/>
          <w:i/>
          <w:szCs w:val="22"/>
          <w:lang w:val="en-GB"/>
        </w:rPr>
        <w:t>.</w:t>
      </w:r>
      <w:r w:rsidR="00101D89" w:rsidRPr="00680837">
        <w:rPr>
          <w:b/>
          <w:i/>
          <w:szCs w:val="22"/>
          <w:lang w:val="en-GB"/>
        </w:rPr>
        <w:t xml:space="preserve"> </w:t>
      </w:r>
      <w:r w:rsidR="00101D89">
        <w:rPr>
          <w:b/>
          <w:i/>
          <w:szCs w:val="22"/>
          <w:lang w:val="en-GB"/>
        </w:rPr>
        <w:t>The majority</w:t>
      </w:r>
      <w:r w:rsidR="00101D89" w:rsidRPr="00680837">
        <w:rPr>
          <w:b/>
          <w:i/>
          <w:szCs w:val="22"/>
          <w:lang w:val="en-GB"/>
        </w:rPr>
        <w:t xml:space="preserve"> live in low</w:t>
      </w:r>
      <w:r w:rsidR="00101D89">
        <w:rPr>
          <w:b/>
          <w:i/>
          <w:szCs w:val="22"/>
          <w:lang w:val="en-GB"/>
        </w:rPr>
        <w:t>-</w:t>
      </w:r>
      <w:r w:rsidR="00101D89" w:rsidRPr="00680837">
        <w:rPr>
          <w:b/>
          <w:i/>
          <w:szCs w:val="22"/>
          <w:lang w:val="en-GB"/>
        </w:rPr>
        <w:t xml:space="preserve"> and middle-income countries and face multiple barriers leading to inequalities</w:t>
      </w:r>
      <w:r w:rsidR="00101D89" w:rsidRPr="00680837">
        <w:rPr>
          <w:rStyle w:val="EndnoteReference"/>
          <w:b/>
          <w:i/>
          <w:szCs w:val="22"/>
          <w:lang w:val="en-GB"/>
        </w:rPr>
        <w:endnoteReference w:id="3"/>
      </w:r>
      <w:r w:rsidR="00101D89" w:rsidRPr="00680837">
        <w:rPr>
          <w:b/>
          <w:i/>
          <w:szCs w:val="22"/>
          <w:lang w:val="en-GB"/>
        </w:rPr>
        <w:t xml:space="preserve"> such as</w:t>
      </w:r>
      <w:r w:rsidR="00101D89" w:rsidRPr="00680837">
        <w:rPr>
          <w:szCs w:val="22"/>
          <w:lang w:val="en-GB"/>
        </w:rPr>
        <w:t xml:space="preserve">: overrepresentation among people living in poverty; lower participation in social, economic and public life; and lower economic health and education outcomes. </w:t>
      </w:r>
      <w:r w:rsidR="00101D89" w:rsidRPr="00680837">
        <w:rPr>
          <w:b/>
          <w:i/>
          <w:szCs w:val="22"/>
          <w:lang w:val="en-GB"/>
        </w:rPr>
        <w:t>Exclusion of persons with disabilities has a significant cost for individuals and households as well as for societies</w:t>
      </w:r>
      <w:r w:rsidR="00101D89">
        <w:rPr>
          <w:b/>
          <w:i/>
          <w:szCs w:val="22"/>
          <w:lang w:val="en-GB"/>
        </w:rPr>
        <w:t xml:space="preserve">; </w:t>
      </w:r>
      <w:r w:rsidR="00101D89" w:rsidRPr="00680837">
        <w:rPr>
          <w:b/>
          <w:i/>
          <w:szCs w:val="22"/>
          <w:lang w:val="en-GB"/>
        </w:rPr>
        <w:t xml:space="preserve">economic losses related to the exclusion of persons with disabilities from the labour force range from </w:t>
      </w:r>
      <w:r w:rsidR="00101D89">
        <w:rPr>
          <w:b/>
          <w:i/>
          <w:szCs w:val="22"/>
          <w:lang w:val="en-GB"/>
        </w:rPr>
        <w:t>three</w:t>
      </w:r>
      <w:r w:rsidR="00101D89" w:rsidRPr="00680837">
        <w:rPr>
          <w:b/>
          <w:i/>
          <w:szCs w:val="22"/>
          <w:lang w:val="en-GB"/>
        </w:rPr>
        <w:t xml:space="preserve"> </w:t>
      </w:r>
      <w:r w:rsidR="00964B4F">
        <w:rPr>
          <w:b/>
          <w:i/>
          <w:szCs w:val="22"/>
          <w:lang w:val="en-GB"/>
        </w:rPr>
        <w:t>to</w:t>
      </w:r>
      <w:r w:rsidR="00964B4F" w:rsidRPr="00680837">
        <w:rPr>
          <w:b/>
          <w:i/>
          <w:szCs w:val="22"/>
          <w:lang w:val="en-GB"/>
        </w:rPr>
        <w:t xml:space="preserve"> </w:t>
      </w:r>
      <w:r w:rsidR="00101D89">
        <w:rPr>
          <w:b/>
          <w:i/>
          <w:szCs w:val="22"/>
          <w:lang w:val="en-GB"/>
        </w:rPr>
        <w:t>seven</w:t>
      </w:r>
      <w:r w:rsidR="00101D89" w:rsidRPr="00680837">
        <w:rPr>
          <w:b/>
          <w:i/>
          <w:szCs w:val="22"/>
          <w:lang w:val="en-GB"/>
        </w:rPr>
        <w:t xml:space="preserve"> per cent of </w:t>
      </w:r>
      <w:r w:rsidR="00101D89">
        <w:rPr>
          <w:b/>
          <w:i/>
          <w:szCs w:val="22"/>
          <w:lang w:val="en-GB"/>
        </w:rPr>
        <w:t>g</w:t>
      </w:r>
      <w:r w:rsidR="00101D89" w:rsidRPr="00680837">
        <w:rPr>
          <w:b/>
          <w:i/>
          <w:szCs w:val="22"/>
          <w:lang w:val="en-GB"/>
        </w:rPr>
        <w:t xml:space="preserve">ross </w:t>
      </w:r>
      <w:r w:rsidR="00101D89">
        <w:rPr>
          <w:b/>
          <w:i/>
          <w:szCs w:val="22"/>
          <w:lang w:val="en-GB"/>
        </w:rPr>
        <w:t>d</w:t>
      </w:r>
      <w:r w:rsidR="00101D89" w:rsidRPr="00680837">
        <w:rPr>
          <w:b/>
          <w:i/>
          <w:szCs w:val="22"/>
          <w:lang w:val="en-GB"/>
        </w:rPr>
        <w:t xml:space="preserve">omestic </w:t>
      </w:r>
      <w:r w:rsidR="00101D89">
        <w:rPr>
          <w:b/>
          <w:i/>
          <w:szCs w:val="22"/>
          <w:lang w:val="en-GB"/>
        </w:rPr>
        <w:t>p</w:t>
      </w:r>
      <w:r w:rsidR="00101D89" w:rsidRPr="00680837">
        <w:rPr>
          <w:b/>
          <w:i/>
          <w:szCs w:val="22"/>
          <w:lang w:val="en-GB"/>
        </w:rPr>
        <w:t>roduct (GDP)</w:t>
      </w:r>
      <w:r w:rsidR="00101D89" w:rsidRPr="00680837">
        <w:rPr>
          <w:rStyle w:val="EndnoteReference"/>
          <w:b/>
          <w:i/>
          <w:szCs w:val="22"/>
          <w:lang w:val="en-GB"/>
        </w:rPr>
        <w:endnoteReference w:id="4"/>
      </w:r>
      <w:r w:rsidR="00101D89" w:rsidRPr="00680837">
        <w:rPr>
          <w:b/>
          <w:i/>
          <w:szCs w:val="22"/>
          <w:lang w:val="en-GB"/>
        </w:rPr>
        <w:t>.</w:t>
      </w:r>
    </w:p>
    <w:p w14:paraId="0A3F04C9" w14:textId="28188364" w:rsidR="00101D89" w:rsidRPr="00680837" w:rsidRDefault="00101D89" w:rsidP="00CE3076">
      <w:pPr>
        <w:rPr>
          <w:szCs w:val="22"/>
          <w:lang w:val="en-GB"/>
        </w:rPr>
      </w:pPr>
      <w:r w:rsidRPr="00680837">
        <w:rPr>
          <w:szCs w:val="22"/>
          <w:lang w:val="en-GB"/>
        </w:rPr>
        <w:t>Together with broader</w:t>
      </w:r>
      <w:r>
        <w:rPr>
          <w:szCs w:val="22"/>
          <w:lang w:val="en-GB"/>
        </w:rPr>
        <w:t xml:space="preserve"> and more</w:t>
      </w:r>
      <w:r w:rsidRPr="00680837">
        <w:rPr>
          <w:szCs w:val="22"/>
          <w:lang w:val="en-GB"/>
        </w:rPr>
        <w:t xml:space="preserve"> inclusive national policies, </w:t>
      </w:r>
      <w:bookmarkStart w:id="1" w:name="_Hlk496360378"/>
      <w:r w:rsidRPr="00680837">
        <w:rPr>
          <w:b/>
          <w:i/>
          <w:szCs w:val="22"/>
          <w:lang w:val="en-GB"/>
        </w:rPr>
        <w:t>social protection</w:t>
      </w:r>
      <w:r w:rsidRPr="00680837">
        <w:rPr>
          <w:rStyle w:val="EndnoteReference"/>
          <w:b/>
          <w:i/>
          <w:szCs w:val="22"/>
          <w:lang w:val="en-GB"/>
        </w:rPr>
        <w:endnoteReference w:id="5"/>
      </w:r>
      <w:r w:rsidRPr="00680837">
        <w:rPr>
          <w:b/>
          <w:i/>
          <w:szCs w:val="22"/>
          <w:lang w:val="en-GB"/>
        </w:rPr>
        <w:t xml:space="preserve"> is critical </w:t>
      </w:r>
      <w:r>
        <w:rPr>
          <w:b/>
          <w:i/>
          <w:szCs w:val="22"/>
          <w:lang w:val="en-GB"/>
        </w:rPr>
        <w:t>for</w:t>
      </w:r>
      <w:r w:rsidRPr="00680837">
        <w:rPr>
          <w:b/>
          <w:i/>
          <w:szCs w:val="22"/>
          <w:lang w:val="en-GB"/>
        </w:rPr>
        <w:t xml:space="preserve"> supporting </w:t>
      </w:r>
      <w:r>
        <w:rPr>
          <w:b/>
          <w:i/>
          <w:szCs w:val="22"/>
          <w:lang w:val="en-GB"/>
        </w:rPr>
        <w:t xml:space="preserve">the </w:t>
      </w:r>
      <w:r w:rsidRPr="00680837">
        <w:rPr>
          <w:b/>
          <w:i/>
          <w:szCs w:val="22"/>
          <w:lang w:val="en-GB"/>
        </w:rPr>
        <w:t>resilience and participation of persons with disabilities and therefore contributes significantly to the realisation of the Sustainable Development Goals (SDGs)</w:t>
      </w:r>
      <w:r w:rsidRPr="00680837">
        <w:rPr>
          <w:szCs w:val="22"/>
          <w:lang w:val="en-GB"/>
        </w:rPr>
        <w:t xml:space="preserve">, </w:t>
      </w:r>
      <w:bookmarkEnd w:id="1"/>
      <w:r w:rsidRPr="00680837">
        <w:rPr>
          <w:szCs w:val="22"/>
          <w:lang w:val="en-GB"/>
        </w:rPr>
        <w:t xml:space="preserve">including </w:t>
      </w:r>
      <w:r>
        <w:rPr>
          <w:szCs w:val="22"/>
          <w:lang w:val="en-GB"/>
        </w:rPr>
        <w:t>ending</w:t>
      </w:r>
      <w:r w:rsidRPr="00680837">
        <w:rPr>
          <w:szCs w:val="22"/>
          <w:lang w:val="en-GB"/>
        </w:rPr>
        <w:t xml:space="preserve"> poverty (Goal 1), </w:t>
      </w:r>
      <w:r>
        <w:rPr>
          <w:szCs w:val="22"/>
          <w:lang w:val="en-GB"/>
        </w:rPr>
        <w:t>e</w:t>
      </w:r>
      <w:r w:rsidRPr="00680837">
        <w:rPr>
          <w:szCs w:val="22"/>
          <w:lang w:val="en-GB"/>
        </w:rPr>
        <w:t xml:space="preserve">nsuring healthy lives (Goal 3), </w:t>
      </w:r>
      <w:r>
        <w:rPr>
          <w:szCs w:val="22"/>
          <w:lang w:val="en-GB"/>
        </w:rPr>
        <w:t>a</w:t>
      </w:r>
      <w:r w:rsidRPr="00680837">
        <w:rPr>
          <w:szCs w:val="22"/>
          <w:lang w:val="en-GB"/>
        </w:rPr>
        <w:t xml:space="preserve">chieving gender equality (Goal 5), </w:t>
      </w:r>
      <w:r>
        <w:rPr>
          <w:szCs w:val="22"/>
          <w:lang w:val="en-GB"/>
        </w:rPr>
        <w:t>p</w:t>
      </w:r>
      <w:r w:rsidRPr="00680837">
        <w:rPr>
          <w:szCs w:val="22"/>
          <w:lang w:val="en-GB"/>
        </w:rPr>
        <w:t xml:space="preserve">romoting decent work (Goal 8) and </w:t>
      </w:r>
      <w:r>
        <w:rPr>
          <w:szCs w:val="22"/>
          <w:lang w:val="en-GB"/>
        </w:rPr>
        <w:t>r</w:t>
      </w:r>
      <w:r w:rsidRPr="00680837">
        <w:rPr>
          <w:szCs w:val="22"/>
          <w:lang w:val="en-GB"/>
        </w:rPr>
        <w:t>educing inequality (Goal 10).</w:t>
      </w:r>
      <w:r w:rsidRPr="00680837">
        <w:rPr>
          <w:rStyle w:val="EndnoteReference"/>
          <w:szCs w:val="22"/>
          <w:lang w:val="en-GB"/>
        </w:rPr>
        <w:endnoteReference w:id="6"/>
      </w:r>
      <w:r w:rsidRPr="00680837">
        <w:rPr>
          <w:szCs w:val="22"/>
          <w:lang w:val="en-GB"/>
        </w:rPr>
        <w:t xml:space="preserve"> SDG target 1.3 explicitly commits to i</w:t>
      </w:r>
      <w:r w:rsidRPr="00680837">
        <w:rPr>
          <w:lang w:val="en-GB"/>
        </w:rPr>
        <w:t>mplementing nationally</w:t>
      </w:r>
      <w:r>
        <w:rPr>
          <w:lang w:val="en-GB"/>
        </w:rPr>
        <w:noBreakHyphen/>
      </w:r>
      <w:r w:rsidRPr="00680837">
        <w:rPr>
          <w:lang w:val="en-GB"/>
        </w:rPr>
        <w:t>appropriate social protection systems and measures for all, including floors</w:t>
      </w:r>
      <w:r w:rsidRPr="00680837">
        <w:rPr>
          <w:rStyle w:val="EndnoteReference"/>
          <w:lang w:val="en-GB"/>
        </w:rPr>
        <w:endnoteReference w:id="7"/>
      </w:r>
      <w:r w:rsidRPr="00680837">
        <w:rPr>
          <w:lang w:val="en-GB"/>
        </w:rPr>
        <w:t>, and to achieving substantial coverage of the poor and the vulnerable</w:t>
      </w:r>
      <w:r>
        <w:rPr>
          <w:lang w:val="en-GB"/>
        </w:rPr>
        <w:t xml:space="preserve"> </w:t>
      </w:r>
      <w:r w:rsidRPr="00680837">
        <w:rPr>
          <w:lang w:val="en-GB"/>
        </w:rPr>
        <w:t>by 2030</w:t>
      </w:r>
      <w:r>
        <w:rPr>
          <w:lang w:val="en-GB"/>
        </w:rPr>
        <w:t>.</w:t>
      </w:r>
      <w:r w:rsidRPr="00680837">
        <w:rPr>
          <w:lang w:val="en-GB"/>
        </w:rPr>
        <w:t xml:space="preserve"> </w:t>
      </w:r>
      <w:r>
        <w:rPr>
          <w:lang w:val="en-GB"/>
        </w:rPr>
        <w:t>Furthermore, SD</w:t>
      </w:r>
      <w:r w:rsidR="00B21052">
        <w:rPr>
          <w:lang w:val="en-GB"/>
        </w:rPr>
        <w:t>G</w:t>
      </w:r>
      <w:r>
        <w:rPr>
          <w:lang w:val="en-GB"/>
        </w:rPr>
        <w:t xml:space="preserve"> I</w:t>
      </w:r>
      <w:r w:rsidRPr="00680837">
        <w:rPr>
          <w:lang w:val="en-GB"/>
        </w:rPr>
        <w:t>ndicator 1.3.1</w:t>
      </w:r>
      <w:r>
        <w:rPr>
          <w:lang w:val="en-GB"/>
        </w:rPr>
        <w:t xml:space="preserve"> specifically refers to persons with disabilities</w:t>
      </w:r>
      <w:r w:rsidRPr="00680837">
        <w:rPr>
          <w:rStyle w:val="EndnoteReference"/>
          <w:lang w:val="en-GB"/>
        </w:rPr>
        <w:endnoteReference w:id="8"/>
      </w:r>
      <w:r w:rsidRPr="00680837">
        <w:rPr>
          <w:lang w:val="en-GB"/>
        </w:rPr>
        <w:t>.</w:t>
      </w:r>
    </w:p>
    <w:p w14:paraId="2EA7363D" w14:textId="0F992C92" w:rsidR="00101D89" w:rsidRPr="00680837" w:rsidRDefault="00101D89" w:rsidP="00CE3076">
      <w:pPr>
        <w:rPr>
          <w:szCs w:val="22"/>
          <w:lang w:val="en-GB"/>
        </w:rPr>
      </w:pPr>
      <w:r w:rsidRPr="00680837">
        <w:rPr>
          <w:szCs w:val="22"/>
          <w:lang w:val="en-GB"/>
        </w:rPr>
        <w:t xml:space="preserve">The </w:t>
      </w:r>
      <w:r w:rsidRPr="00680837">
        <w:rPr>
          <w:b/>
          <w:i/>
          <w:szCs w:val="22"/>
          <w:lang w:val="en-GB"/>
        </w:rPr>
        <w:t>Convention on the Rights of Persons with Disabilities (CRPD),</w:t>
      </w:r>
      <w:r w:rsidRPr="00680837">
        <w:rPr>
          <w:szCs w:val="22"/>
          <w:lang w:val="en-GB"/>
        </w:rPr>
        <w:t xml:space="preserve"> adopted in 2006 and ratified as of </w:t>
      </w:r>
      <w:r>
        <w:rPr>
          <w:szCs w:val="22"/>
          <w:lang w:val="en-GB"/>
        </w:rPr>
        <w:t>2017</w:t>
      </w:r>
      <w:r w:rsidRPr="00680837">
        <w:rPr>
          <w:szCs w:val="22"/>
          <w:lang w:val="en-GB"/>
        </w:rPr>
        <w:t xml:space="preserve"> by </w:t>
      </w:r>
      <w:r w:rsidR="00E874F9" w:rsidRPr="00680837">
        <w:rPr>
          <w:szCs w:val="22"/>
          <w:lang w:val="en-GB"/>
        </w:rPr>
        <w:t>17</w:t>
      </w:r>
      <w:r w:rsidR="00E874F9">
        <w:rPr>
          <w:szCs w:val="22"/>
          <w:lang w:val="en-GB"/>
        </w:rPr>
        <w:t>5</w:t>
      </w:r>
      <w:r w:rsidR="00E874F9" w:rsidRPr="00680837">
        <w:rPr>
          <w:szCs w:val="22"/>
          <w:lang w:val="en-GB"/>
        </w:rPr>
        <w:t xml:space="preserve"> </w:t>
      </w:r>
      <w:r w:rsidRPr="00680837">
        <w:rPr>
          <w:szCs w:val="22"/>
          <w:lang w:val="en-GB"/>
        </w:rPr>
        <w:t>countries</w:t>
      </w:r>
      <w:r>
        <w:rPr>
          <w:szCs w:val="22"/>
          <w:lang w:val="en-GB"/>
        </w:rPr>
        <w:t>,</w:t>
      </w:r>
      <w:r w:rsidRPr="00680837">
        <w:rPr>
          <w:szCs w:val="22"/>
          <w:lang w:val="en-GB"/>
        </w:rPr>
        <w:t xml:space="preserve"> strongly re-affirms the right </w:t>
      </w:r>
      <w:r w:rsidR="00964B4F">
        <w:rPr>
          <w:szCs w:val="22"/>
          <w:lang w:val="en-GB"/>
        </w:rPr>
        <w:t xml:space="preserve">of persons with disabilities </w:t>
      </w:r>
      <w:r w:rsidRPr="00680837">
        <w:rPr>
          <w:szCs w:val="22"/>
          <w:lang w:val="en-GB"/>
        </w:rPr>
        <w:t>to social protection and establishes a pathway for their inclusion in all efforts related to the realization of this right (Article 28).</w:t>
      </w:r>
    </w:p>
    <w:p w14:paraId="5FD883DF" w14:textId="16609CA1" w:rsidR="00101D89" w:rsidRPr="00680837" w:rsidRDefault="00101D89" w:rsidP="00CE3076">
      <w:pPr>
        <w:widowControl w:val="0"/>
        <w:autoSpaceDE w:val="0"/>
        <w:autoSpaceDN w:val="0"/>
        <w:adjustRightInd w:val="0"/>
        <w:spacing w:after="240"/>
        <w:rPr>
          <w:rFonts w:cs="Times"/>
          <w:sz w:val="20"/>
          <w:szCs w:val="20"/>
          <w:lang w:val="en-GB"/>
        </w:rPr>
      </w:pPr>
      <w:r w:rsidRPr="00680837">
        <w:rPr>
          <w:szCs w:val="22"/>
          <w:lang w:val="en-GB"/>
        </w:rPr>
        <w:t>Most high-income countries already</w:t>
      </w:r>
      <w:r>
        <w:rPr>
          <w:szCs w:val="22"/>
          <w:lang w:val="en-GB"/>
        </w:rPr>
        <w:t xml:space="preserve"> have</w:t>
      </w:r>
      <w:r w:rsidRPr="00680837">
        <w:rPr>
          <w:szCs w:val="22"/>
          <w:lang w:val="en-GB"/>
        </w:rPr>
        <w:t xml:space="preserve"> significant social protection coverage for persons with disabilities and </w:t>
      </w:r>
      <w:r w:rsidRPr="00680837">
        <w:rPr>
          <w:b/>
          <w:i/>
          <w:szCs w:val="22"/>
          <w:lang w:val="en-GB"/>
        </w:rPr>
        <w:t>many middle</w:t>
      </w:r>
      <w:r>
        <w:rPr>
          <w:b/>
          <w:i/>
          <w:szCs w:val="22"/>
          <w:lang w:val="en-GB"/>
        </w:rPr>
        <w:t>-</w:t>
      </w:r>
      <w:r w:rsidRPr="00680837">
        <w:rPr>
          <w:b/>
          <w:i/>
          <w:szCs w:val="22"/>
          <w:lang w:val="en-GB"/>
        </w:rPr>
        <w:t xml:space="preserve"> and low-income countries are currently developing their social protection policies and systems. </w:t>
      </w:r>
      <w:r w:rsidRPr="00964B4F">
        <w:rPr>
          <w:b/>
          <w:i/>
          <w:szCs w:val="22"/>
          <w:lang w:val="en-GB"/>
        </w:rPr>
        <w:t>States</w:t>
      </w:r>
      <w:r w:rsidRPr="00680837">
        <w:rPr>
          <w:b/>
          <w:i/>
          <w:szCs w:val="22"/>
          <w:lang w:val="en-GB"/>
        </w:rPr>
        <w:t xml:space="preserve"> have committed to extending social protection coverage by adopting the ILO Social Protection Floors Recommendation, 2012 (No. 202)</w:t>
      </w:r>
      <w:r w:rsidRPr="00680837">
        <w:rPr>
          <w:rStyle w:val="EndnoteReference"/>
          <w:b/>
          <w:i/>
          <w:szCs w:val="22"/>
          <w:lang w:val="en-GB"/>
        </w:rPr>
        <w:endnoteReference w:id="9"/>
      </w:r>
      <w:r w:rsidRPr="00680837">
        <w:rPr>
          <w:b/>
          <w:i/>
          <w:szCs w:val="22"/>
          <w:lang w:val="en-GB"/>
        </w:rPr>
        <w:t>,</w:t>
      </w:r>
      <w:r w:rsidRPr="00680837" w:rsidDel="00AC1FBA">
        <w:rPr>
          <w:b/>
          <w:i/>
          <w:szCs w:val="22"/>
          <w:lang w:val="en-GB"/>
        </w:rPr>
        <w:t xml:space="preserve"> </w:t>
      </w:r>
      <w:r w:rsidRPr="00680837">
        <w:rPr>
          <w:b/>
          <w:i/>
          <w:szCs w:val="22"/>
          <w:lang w:val="en-GB"/>
        </w:rPr>
        <w:t>and are seeking guidance on how to ensure full inclusion of persons with disabilities</w:t>
      </w:r>
      <w:r w:rsidRPr="00680837">
        <w:rPr>
          <w:szCs w:val="22"/>
          <w:lang w:val="en-GB"/>
        </w:rPr>
        <w:t xml:space="preserve">. </w:t>
      </w:r>
    </w:p>
    <w:p w14:paraId="073C32F2" w14:textId="4F27292F" w:rsidR="00101D89" w:rsidRPr="00680837" w:rsidRDefault="00101D89" w:rsidP="00CE3076">
      <w:pPr>
        <w:rPr>
          <w:szCs w:val="22"/>
          <w:lang w:val="en-GB"/>
        </w:rPr>
      </w:pPr>
      <w:r w:rsidRPr="00680837">
        <w:rPr>
          <w:szCs w:val="22"/>
          <w:lang w:val="en-GB"/>
        </w:rPr>
        <w:t xml:space="preserve">As highlighted </w:t>
      </w:r>
      <w:r>
        <w:rPr>
          <w:szCs w:val="22"/>
          <w:lang w:val="en-GB"/>
        </w:rPr>
        <w:t>in</w:t>
      </w:r>
      <w:r w:rsidRPr="00680837">
        <w:rPr>
          <w:szCs w:val="22"/>
          <w:lang w:val="en-GB"/>
        </w:rPr>
        <w:t xml:space="preserve"> the </w:t>
      </w:r>
      <w:r>
        <w:rPr>
          <w:szCs w:val="22"/>
          <w:lang w:val="en-GB"/>
        </w:rPr>
        <w:t>r</w:t>
      </w:r>
      <w:r w:rsidRPr="00680837">
        <w:rPr>
          <w:szCs w:val="22"/>
          <w:lang w:val="en-GB"/>
        </w:rPr>
        <w:t xml:space="preserve">eport of the UN Special Rapporteur on the </w:t>
      </w:r>
      <w:r>
        <w:rPr>
          <w:szCs w:val="22"/>
          <w:lang w:val="en-GB"/>
        </w:rPr>
        <w:t>r</w:t>
      </w:r>
      <w:r w:rsidRPr="00680837">
        <w:rPr>
          <w:szCs w:val="22"/>
          <w:lang w:val="en-GB"/>
        </w:rPr>
        <w:t xml:space="preserve">ights of </w:t>
      </w:r>
      <w:r>
        <w:rPr>
          <w:szCs w:val="22"/>
          <w:lang w:val="en-GB"/>
        </w:rPr>
        <w:t>p</w:t>
      </w:r>
      <w:r w:rsidRPr="00680837">
        <w:rPr>
          <w:szCs w:val="22"/>
          <w:lang w:val="en-GB"/>
        </w:rPr>
        <w:t xml:space="preserve">ersons with </w:t>
      </w:r>
      <w:r>
        <w:rPr>
          <w:szCs w:val="22"/>
          <w:lang w:val="en-GB"/>
        </w:rPr>
        <w:t>d</w:t>
      </w:r>
      <w:r w:rsidRPr="00680837">
        <w:rPr>
          <w:szCs w:val="22"/>
          <w:lang w:val="en-GB"/>
        </w:rPr>
        <w:t>isabilities</w:t>
      </w:r>
      <w:r>
        <w:rPr>
          <w:szCs w:val="22"/>
          <w:lang w:val="en-GB"/>
        </w:rPr>
        <w:t>,</w:t>
      </w:r>
      <w:r w:rsidRPr="00680837">
        <w:rPr>
          <w:szCs w:val="22"/>
          <w:lang w:val="en-GB"/>
        </w:rPr>
        <w:t xml:space="preserve"> submitted to the UN General Assembly in September 2015</w:t>
      </w:r>
      <w:r w:rsidRPr="00680837">
        <w:rPr>
          <w:rStyle w:val="EndnoteReference"/>
          <w:szCs w:val="22"/>
          <w:lang w:val="en-GB"/>
        </w:rPr>
        <w:endnoteReference w:id="10"/>
      </w:r>
      <w:r w:rsidRPr="00680837">
        <w:rPr>
          <w:szCs w:val="22"/>
          <w:lang w:val="en-GB"/>
        </w:rPr>
        <w:t xml:space="preserve">, social protection is central to the implementation of the CRPD and to ensuring that persons with disabilities are not left behind in efforts to </w:t>
      </w:r>
      <w:r>
        <w:rPr>
          <w:szCs w:val="22"/>
          <w:lang w:val="en-GB"/>
        </w:rPr>
        <w:t>achieve</w:t>
      </w:r>
      <w:r w:rsidRPr="00680837">
        <w:rPr>
          <w:szCs w:val="22"/>
          <w:lang w:val="en-GB"/>
        </w:rPr>
        <w:t xml:space="preserve"> the SDGs. The report of the Special Rapporteur concludes: </w:t>
      </w:r>
    </w:p>
    <w:p w14:paraId="1FFD8050" w14:textId="77777777" w:rsidR="00101D89" w:rsidRPr="00680837" w:rsidRDefault="00101D89" w:rsidP="00CE3076">
      <w:pPr>
        <w:pStyle w:val="Quote"/>
        <w:rPr>
          <w:lang w:val="en-GB"/>
        </w:rPr>
      </w:pPr>
      <w:r w:rsidRPr="00680837">
        <w:rPr>
          <w:lang w:val="en-GB"/>
        </w:rPr>
        <w:t xml:space="preserve">“Securing the right of persons with disabilities to social protection must be a priority for States and the international community. Inclusive social protection systems, including social protection floors, can contribute significantly to supporting the social participation and inclusion of persons with disabilities by ensuring income security and access to social services. They can also play an important role in fostering the realization of the Sustainable Development Goals for persons with disabilities. </w:t>
      </w:r>
    </w:p>
    <w:p w14:paraId="30A0C5E2" w14:textId="5B304597" w:rsidR="00101D89" w:rsidRPr="00680837" w:rsidRDefault="00101D89" w:rsidP="00CE3076">
      <w:pPr>
        <w:pStyle w:val="Quote"/>
        <w:rPr>
          <w:lang w:val="en-GB"/>
        </w:rPr>
      </w:pPr>
      <w:r w:rsidRPr="00680837">
        <w:rPr>
          <w:lang w:val="en-GB"/>
        </w:rPr>
        <w:t>For that purpose, States must move away from traditional disability-welfare approaches and turn towards rights-based ones, and must develop comprehensive social protection systems that guarantee benefits and access to services for all persons with disabilities across the life cycle. The inclusion of persons with disabilities in social protection systems is not only a human rights issue, but also a crucial investment for development that States cannot afford to miss.”</w:t>
      </w:r>
    </w:p>
    <w:p w14:paraId="1788FE4B" w14:textId="2BB1F73A" w:rsidR="00101D89" w:rsidRPr="00680837" w:rsidRDefault="00101D89" w:rsidP="00CE3076">
      <w:pPr>
        <w:rPr>
          <w:color w:val="000000" w:themeColor="text1"/>
          <w:szCs w:val="22"/>
          <w:lang w:val="en-GB"/>
        </w:rPr>
      </w:pPr>
      <w:r w:rsidRPr="00680837">
        <w:rPr>
          <w:szCs w:val="22"/>
          <w:lang w:val="en-GB"/>
        </w:rPr>
        <w:t>Th</w:t>
      </w:r>
      <w:r>
        <w:rPr>
          <w:szCs w:val="22"/>
          <w:lang w:val="en-GB"/>
        </w:rPr>
        <w:t>e present</w:t>
      </w:r>
      <w:r w:rsidRPr="00680837">
        <w:rPr>
          <w:szCs w:val="22"/>
          <w:lang w:val="en-GB"/>
        </w:rPr>
        <w:t xml:space="preserve"> joint statement reflects the </w:t>
      </w:r>
      <w:r>
        <w:rPr>
          <w:szCs w:val="22"/>
          <w:lang w:val="en-GB"/>
        </w:rPr>
        <w:t xml:space="preserve">shared </w:t>
      </w:r>
      <w:r w:rsidRPr="00680837">
        <w:rPr>
          <w:szCs w:val="22"/>
          <w:lang w:val="en-GB"/>
        </w:rPr>
        <w:t xml:space="preserve">commitment of those who work in the fields of social protection and disability inclusion to promote inclusive social protection systems for persons with disabilities. </w:t>
      </w:r>
      <w:r>
        <w:rPr>
          <w:szCs w:val="22"/>
          <w:lang w:val="en-GB"/>
        </w:rPr>
        <w:t>It</w:t>
      </w:r>
      <w:r w:rsidRPr="00680837">
        <w:rPr>
          <w:szCs w:val="22"/>
          <w:lang w:val="en-GB"/>
        </w:rPr>
        <w:t xml:space="preserve"> acknowledges the key role</w:t>
      </w:r>
      <w:r>
        <w:rPr>
          <w:szCs w:val="22"/>
          <w:lang w:val="en-GB"/>
        </w:rPr>
        <w:t xml:space="preserve"> played by</w:t>
      </w:r>
      <w:r w:rsidRPr="00680837">
        <w:rPr>
          <w:szCs w:val="22"/>
          <w:lang w:val="en-GB"/>
        </w:rPr>
        <w:t xml:space="preserve"> social protection in realizing human rights and social and economic development</w:t>
      </w:r>
      <w:r w:rsidR="00964B4F">
        <w:rPr>
          <w:szCs w:val="22"/>
          <w:lang w:val="en-GB"/>
        </w:rPr>
        <w:t>. The statement</w:t>
      </w:r>
      <w:r w:rsidRPr="00680837">
        <w:rPr>
          <w:szCs w:val="22"/>
          <w:lang w:val="en-GB"/>
        </w:rPr>
        <w:t xml:space="preserve"> should guide future action to ensure that social protection systems fully respect the rights of persons with disabilities and support their full and effective participation.</w:t>
      </w:r>
    </w:p>
    <w:p w14:paraId="42A09283" w14:textId="457C9EB6" w:rsidR="00101D89" w:rsidRPr="00680837" w:rsidRDefault="00101D89" w:rsidP="00CE3076">
      <w:pPr>
        <w:pStyle w:val="Heading1"/>
        <w:numPr>
          <w:ilvl w:val="0"/>
          <w:numId w:val="31"/>
        </w:numPr>
        <w:rPr>
          <w:lang w:val="en-GB"/>
        </w:rPr>
      </w:pPr>
      <w:bookmarkStart w:id="2" w:name="_Toc504036288"/>
      <w:r w:rsidRPr="00680837">
        <w:rPr>
          <w:lang w:val="en-GB"/>
        </w:rPr>
        <w:t>Why does social protection matter for persons with disabilities?</w:t>
      </w:r>
      <w:bookmarkEnd w:id="2"/>
    </w:p>
    <w:p w14:paraId="4238DC97" w14:textId="3D38991A" w:rsidR="00101D89" w:rsidRPr="00680837" w:rsidRDefault="00101D89" w:rsidP="00BB3B5B">
      <w:pPr>
        <w:rPr>
          <w:szCs w:val="22"/>
          <w:lang w:val="en-GB"/>
        </w:rPr>
      </w:pPr>
      <w:r w:rsidRPr="00680837">
        <w:rPr>
          <w:szCs w:val="22"/>
          <w:lang w:val="en-GB"/>
        </w:rPr>
        <w:t>Social protection plays a critical and unique role for persons with disabilities, wh</w:t>
      </w:r>
      <w:r w:rsidR="00330363">
        <w:rPr>
          <w:szCs w:val="22"/>
          <w:lang w:val="en-GB"/>
        </w:rPr>
        <w:t>o</w:t>
      </w:r>
      <w:r w:rsidRPr="00680837">
        <w:rPr>
          <w:szCs w:val="22"/>
          <w:lang w:val="en-GB"/>
        </w:rPr>
        <w:t xml:space="preserve"> face multiple barriers such as discrimination in the labour market.</w:t>
      </w:r>
      <w:r>
        <w:rPr>
          <w:szCs w:val="22"/>
          <w:lang w:val="en-GB"/>
        </w:rPr>
        <w:t xml:space="preserve"> </w:t>
      </w:r>
      <w:r w:rsidRPr="00680837">
        <w:rPr>
          <w:szCs w:val="22"/>
          <w:lang w:val="en-GB"/>
        </w:rPr>
        <w:t xml:space="preserve">These barriers </w:t>
      </w:r>
      <w:r>
        <w:rPr>
          <w:szCs w:val="22"/>
          <w:lang w:val="en-GB"/>
        </w:rPr>
        <w:t>increase</w:t>
      </w:r>
      <w:r w:rsidRPr="00680837">
        <w:rPr>
          <w:szCs w:val="22"/>
          <w:lang w:val="en-GB"/>
        </w:rPr>
        <w:t xml:space="preserve"> vulnerabilities</w:t>
      </w:r>
      <w:r>
        <w:rPr>
          <w:szCs w:val="22"/>
          <w:lang w:val="en-GB"/>
        </w:rPr>
        <w:t>, exposure to risks and</w:t>
      </w:r>
      <w:r w:rsidRPr="00680837">
        <w:rPr>
          <w:szCs w:val="22"/>
          <w:lang w:val="en-GB"/>
        </w:rPr>
        <w:t xml:space="preserve"> </w:t>
      </w:r>
      <w:r>
        <w:rPr>
          <w:szCs w:val="22"/>
          <w:lang w:val="en-GB"/>
        </w:rPr>
        <w:t xml:space="preserve">the </w:t>
      </w:r>
      <w:r w:rsidRPr="00680837">
        <w:rPr>
          <w:szCs w:val="22"/>
          <w:lang w:val="en-GB"/>
        </w:rPr>
        <w:t>impact of economic or other shocks,</w:t>
      </w:r>
      <w:r>
        <w:rPr>
          <w:szCs w:val="22"/>
          <w:lang w:val="en-GB"/>
        </w:rPr>
        <w:t xml:space="preserve"> thus</w:t>
      </w:r>
      <w:r w:rsidRPr="00680837">
        <w:rPr>
          <w:szCs w:val="22"/>
          <w:lang w:val="en-GB"/>
        </w:rPr>
        <w:t xml:space="preserve"> prevent</w:t>
      </w:r>
      <w:r>
        <w:rPr>
          <w:szCs w:val="22"/>
          <w:lang w:val="en-GB"/>
        </w:rPr>
        <w:t>ing</w:t>
      </w:r>
      <w:r w:rsidRPr="00680837">
        <w:rPr>
          <w:szCs w:val="22"/>
          <w:lang w:val="en-GB"/>
        </w:rPr>
        <w:t xml:space="preserve"> </w:t>
      </w:r>
      <w:r w:rsidR="00964B4F">
        <w:rPr>
          <w:szCs w:val="22"/>
          <w:lang w:val="en-GB"/>
        </w:rPr>
        <w:t>individuals</w:t>
      </w:r>
      <w:r w:rsidR="00964B4F" w:rsidRPr="00680837">
        <w:rPr>
          <w:szCs w:val="22"/>
          <w:lang w:val="en-GB"/>
        </w:rPr>
        <w:t xml:space="preserve"> </w:t>
      </w:r>
      <w:r w:rsidRPr="00680837">
        <w:rPr>
          <w:szCs w:val="22"/>
          <w:lang w:val="en-GB"/>
        </w:rPr>
        <w:t xml:space="preserve">from </w:t>
      </w:r>
      <w:r>
        <w:rPr>
          <w:szCs w:val="22"/>
          <w:lang w:val="en-GB"/>
        </w:rPr>
        <w:t>enjoying</w:t>
      </w:r>
      <w:r w:rsidRPr="00680837">
        <w:rPr>
          <w:szCs w:val="22"/>
          <w:lang w:val="en-GB"/>
        </w:rPr>
        <w:t xml:space="preserve"> more favourable conditions. </w:t>
      </w:r>
    </w:p>
    <w:p w14:paraId="19F952DD" w14:textId="2CBEEC37" w:rsidR="00101D89" w:rsidRPr="00680837" w:rsidRDefault="00101D89" w:rsidP="00CE3076">
      <w:pPr>
        <w:pStyle w:val="Heading2"/>
        <w:numPr>
          <w:ilvl w:val="1"/>
          <w:numId w:val="31"/>
        </w:numPr>
        <w:rPr>
          <w:lang w:val="en-GB"/>
        </w:rPr>
      </w:pPr>
      <w:bookmarkStart w:id="3" w:name="_Toc504036289"/>
      <w:r w:rsidRPr="00680837">
        <w:rPr>
          <w:lang w:val="en-GB"/>
        </w:rPr>
        <w:t xml:space="preserve">Greater exposure to risks and vulnerabilities </w:t>
      </w:r>
      <w:r>
        <w:rPr>
          <w:lang w:val="en-GB"/>
        </w:rPr>
        <w:t>throughout</w:t>
      </w:r>
      <w:r w:rsidRPr="00680837">
        <w:rPr>
          <w:lang w:val="en-GB"/>
        </w:rPr>
        <w:t xml:space="preserve"> the life cycle</w:t>
      </w:r>
      <w:bookmarkEnd w:id="3"/>
    </w:p>
    <w:p w14:paraId="4289FA53" w14:textId="628DEBE7" w:rsidR="00101D89" w:rsidRPr="00680837" w:rsidRDefault="00101D89" w:rsidP="00CE3076">
      <w:pPr>
        <w:rPr>
          <w:szCs w:val="22"/>
          <w:lang w:val="en-GB"/>
        </w:rPr>
      </w:pPr>
      <w:r w:rsidRPr="00680837">
        <w:rPr>
          <w:szCs w:val="22"/>
          <w:lang w:val="en-GB"/>
        </w:rPr>
        <w:t xml:space="preserve">As a result of existing barriers, </w:t>
      </w:r>
      <w:r>
        <w:rPr>
          <w:szCs w:val="22"/>
          <w:lang w:val="en-GB"/>
        </w:rPr>
        <w:t xml:space="preserve">a </w:t>
      </w:r>
      <w:r w:rsidRPr="00680837">
        <w:rPr>
          <w:szCs w:val="22"/>
          <w:lang w:val="en-GB"/>
        </w:rPr>
        <w:t>lack of support and persistent discrimination, persons with disabilities are more exposed</w:t>
      </w:r>
      <w:r w:rsidR="000C01F3">
        <w:rPr>
          <w:szCs w:val="22"/>
          <w:lang w:val="en-GB"/>
        </w:rPr>
        <w:t xml:space="preserve"> throughout the life cycle</w:t>
      </w:r>
      <w:r w:rsidRPr="00680837">
        <w:rPr>
          <w:szCs w:val="22"/>
          <w:lang w:val="en-GB"/>
        </w:rPr>
        <w:t xml:space="preserve"> than </w:t>
      </w:r>
      <w:r>
        <w:rPr>
          <w:szCs w:val="22"/>
          <w:lang w:val="en-GB"/>
        </w:rPr>
        <w:t>those</w:t>
      </w:r>
      <w:r w:rsidRPr="00680837">
        <w:rPr>
          <w:szCs w:val="22"/>
          <w:lang w:val="en-GB"/>
        </w:rPr>
        <w:t xml:space="preserve"> without disabilities to </w:t>
      </w:r>
      <w:r>
        <w:rPr>
          <w:szCs w:val="22"/>
          <w:lang w:val="en-GB"/>
        </w:rPr>
        <w:t xml:space="preserve">the </w:t>
      </w:r>
      <w:r w:rsidRPr="00680837">
        <w:rPr>
          <w:szCs w:val="22"/>
          <w:lang w:val="en-GB"/>
        </w:rPr>
        <w:t>risks and vulnerabilities which are addressed by social protection systems</w:t>
      </w:r>
      <w:r w:rsidR="000C01F3">
        <w:rPr>
          <w:szCs w:val="22"/>
          <w:lang w:val="en-GB"/>
        </w:rPr>
        <w:t>.</w:t>
      </w:r>
    </w:p>
    <w:p w14:paraId="1BCB86FB" w14:textId="31E1C84D" w:rsidR="00101D89" w:rsidRPr="00680837" w:rsidRDefault="00101D89" w:rsidP="00DE5659">
      <w:pPr>
        <w:pStyle w:val="ListParagraph"/>
        <w:numPr>
          <w:ilvl w:val="0"/>
          <w:numId w:val="36"/>
        </w:numPr>
        <w:rPr>
          <w:szCs w:val="22"/>
          <w:lang w:val="en-GB"/>
        </w:rPr>
      </w:pPr>
      <w:r w:rsidRPr="00680837">
        <w:rPr>
          <w:i/>
          <w:szCs w:val="22"/>
          <w:lang w:val="en-GB"/>
        </w:rPr>
        <w:t>Poverty:</w:t>
      </w:r>
      <w:r w:rsidRPr="00680837">
        <w:rPr>
          <w:szCs w:val="22"/>
          <w:lang w:val="en-GB"/>
        </w:rPr>
        <w:t xml:space="preserve"> There is strong evidence demonstrating that persons with disabilities are over</w:t>
      </w:r>
      <w:r>
        <w:rPr>
          <w:szCs w:val="22"/>
          <w:lang w:val="en-GB"/>
        </w:rPr>
        <w:noBreakHyphen/>
      </w:r>
      <w:r w:rsidRPr="00680837">
        <w:rPr>
          <w:szCs w:val="22"/>
          <w:lang w:val="en-GB"/>
        </w:rPr>
        <w:t>represented among the poorest in the world</w:t>
      </w:r>
      <w:r w:rsidRPr="00680837">
        <w:rPr>
          <w:rStyle w:val="EndnoteReference"/>
          <w:szCs w:val="22"/>
          <w:lang w:val="en-GB"/>
        </w:rPr>
        <w:endnoteReference w:id="11"/>
      </w:r>
      <w:r w:rsidRPr="00680837">
        <w:rPr>
          <w:szCs w:val="22"/>
          <w:lang w:val="en-GB"/>
        </w:rPr>
        <w:t>, with higher rates of poverty and multiple deprivation.</w:t>
      </w:r>
      <w:r w:rsidRPr="00680837">
        <w:rPr>
          <w:rStyle w:val="EndnoteReference"/>
          <w:szCs w:val="22"/>
          <w:lang w:val="en-GB"/>
        </w:rPr>
        <w:endnoteReference w:id="12"/>
      </w:r>
      <w:r w:rsidRPr="00680837">
        <w:rPr>
          <w:szCs w:val="22"/>
          <w:lang w:val="en-GB"/>
        </w:rPr>
        <w:t xml:space="preserve"> Barriers to accessing employment</w:t>
      </w:r>
      <w:r>
        <w:rPr>
          <w:szCs w:val="22"/>
          <w:lang w:val="en-GB"/>
        </w:rPr>
        <w:t xml:space="preserve"> and</w:t>
      </w:r>
      <w:r w:rsidRPr="00680837">
        <w:rPr>
          <w:szCs w:val="22"/>
          <w:lang w:val="en-GB"/>
        </w:rPr>
        <w:t xml:space="preserve"> disability</w:t>
      </w:r>
      <w:r>
        <w:rPr>
          <w:szCs w:val="22"/>
          <w:lang w:val="en-GB"/>
        </w:rPr>
        <w:t>-</w:t>
      </w:r>
      <w:r w:rsidRPr="00680837">
        <w:rPr>
          <w:szCs w:val="22"/>
          <w:lang w:val="en-GB"/>
        </w:rPr>
        <w:t xml:space="preserve">related costs restrict their </w:t>
      </w:r>
      <w:r>
        <w:rPr>
          <w:szCs w:val="22"/>
          <w:lang w:val="en-GB"/>
        </w:rPr>
        <w:t>ability</w:t>
      </w:r>
      <w:r w:rsidRPr="00680837">
        <w:rPr>
          <w:szCs w:val="22"/>
          <w:lang w:val="en-GB"/>
        </w:rPr>
        <w:t xml:space="preserve"> to escape poverty. </w:t>
      </w:r>
    </w:p>
    <w:p w14:paraId="47121564" w14:textId="3F565C3A" w:rsidR="00101D89" w:rsidRPr="00DC0802" w:rsidRDefault="00101D89" w:rsidP="00CE3076">
      <w:pPr>
        <w:pStyle w:val="ListParagraph"/>
        <w:numPr>
          <w:ilvl w:val="0"/>
          <w:numId w:val="36"/>
        </w:numPr>
        <w:rPr>
          <w:i/>
          <w:szCs w:val="22"/>
          <w:lang w:val="en-GB"/>
        </w:rPr>
      </w:pPr>
      <w:r w:rsidRPr="00DE5659">
        <w:rPr>
          <w:i/>
          <w:szCs w:val="22"/>
          <w:lang w:val="en-GB"/>
        </w:rPr>
        <w:t>Unaffordable health care, including rehabilitation</w:t>
      </w:r>
      <w:r w:rsidRPr="00DE5659">
        <w:rPr>
          <w:rFonts w:cs="Helvetica"/>
          <w:color w:val="262626"/>
          <w:szCs w:val="22"/>
          <w:lang w:val="en-GB"/>
        </w:rPr>
        <w:t>: In all countries, it is more difficult for persons with disabilities to access health care effectively, including rehabilitation. They are also more likely to face catastrophic health expenditures than persons without disabilities, thus exacerbating their already high poverty risks.</w:t>
      </w:r>
      <w:r w:rsidRPr="00DE5659">
        <w:rPr>
          <w:rStyle w:val="EndnoteReference"/>
          <w:rFonts w:cs="Helvetica"/>
          <w:color w:val="262626"/>
          <w:szCs w:val="22"/>
          <w:lang w:val="en-GB"/>
        </w:rPr>
        <w:endnoteReference w:id="13"/>
      </w:r>
      <w:r w:rsidRPr="00DE5659">
        <w:rPr>
          <w:rFonts w:cs="Helvetica"/>
          <w:color w:val="262626"/>
          <w:szCs w:val="22"/>
          <w:lang w:val="en-GB"/>
        </w:rPr>
        <w:t xml:space="preserve"> </w:t>
      </w:r>
      <w:r w:rsidR="00964B4F">
        <w:rPr>
          <w:rFonts w:cs="Helvetica"/>
          <w:color w:val="262626"/>
          <w:szCs w:val="22"/>
          <w:lang w:val="en-GB"/>
        </w:rPr>
        <w:t>P</w:t>
      </w:r>
      <w:r w:rsidRPr="00DE5659">
        <w:rPr>
          <w:rFonts w:cs="Helvetica"/>
          <w:color w:val="262626"/>
          <w:szCs w:val="22"/>
          <w:lang w:val="en-GB"/>
        </w:rPr>
        <w:t>ersons with disabilities living in rural or isolated areas</w:t>
      </w:r>
      <w:r w:rsidR="00964B4F">
        <w:rPr>
          <w:rFonts w:cs="Helvetica"/>
          <w:color w:val="262626"/>
          <w:szCs w:val="22"/>
          <w:lang w:val="en-GB"/>
        </w:rPr>
        <w:t xml:space="preserve"> may be particularly affected</w:t>
      </w:r>
      <w:r w:rsidRPr="00DE5659">
        <w:rPr>
          <w:rFonts w:cs="Helvetica"/>
          <w:color w:val="262626"/>
          <w:szCs w:val="22"/>
          <w:lang w:val="en-GB"/>
        </w:rPr>
        <w:t>.</w:t>
      </w:r>
    </w:p>
    <w:p w14:paraId="7AF5EB61" w14:textId="0F1F3EE9" w:rsidR="00101D89" w:rsidRPr="00680837" w:rsidRDefault="00101D89" w:rsidP="00F227FF">
      <w:pPr>
        <w:pStyle w:val="ListParagraph"/>
        <w:numPr>
          <w:ilvl w:val="0"/>
          <w:numId w:val="36"/>
        </w:numPr>
        <w:rPr>
          <w:i/>
          <w:szCs w:val="22"/>
          <w:lang w:val="en-GB"/>
        </w:rPr>
      </w:pPr>
      <w:r w:rsidRPr="00680837">
        <w:rPr>
          <w:i/>
          <w:szCs w:val="22"/>
          <w:lang w:val="en-GB"/>
        </w:rPr>
        <w:t>Children with disabilities</w:t>
      </w:r>
      <w:r w:rsidRPr="00680837">
        <w:rPr>
          <w:szCs w:val="22"/>
          <w:lang w:val="en-GB"/>
        </w:rPr>
        <w:t>:</w:t>
      </w:r>
      <w:r w:rsidRPr="00680837">
        <w:rPr>
          <w:lang w:val="en-GB"/>
        </w:rPr>
        <w:t xml:space="preserve"> </w:t>
      </w:r>
      <w:r w:rsidRPr="00680837">
        <w:rPr>
          <w:szCs w:val="22"/>
          <w:lang w:val="en-GB"/>
        </w:rPr>
        <w:t xml:space="preserve">Families may restrict participation or even hide children from the rest of the community due to stigma or to protect them, </w:t>
      </w:r>
      <w:r>
        <w:rPr>
          <w:szCs w:val="22"/>
          <w:lang w:val="en-GB"/>
        </w:rPr>
        <w:t>reducing</w:t>
      </w:r>
      <w:r w:rsidRPr="00680837">
        <w:rPr>
          <w:szCs w:val="22"/>
          <w:lang w:val="en-GB"/>
        </w:rPr>
        <w:t xml:space="preserve"> the child’s access to support</w:t>
      </w:r>
      <w:r w:rsidRPr="00680837">
        <w:rPr>
          <w:rStyle w:val="EndnoteReference"/>
          <w:szCs w:val="22"/>
          <w:lang w:val="en-GB"/>
        </w:rPr>
        <w:endnoteReference w:id="14"/>
      </w:r>
      <w:r w:rsidRPr="00680837">
        <w:rPr>
          <w:szCs w:val="22"/>
          <w:lang w:val="en-GB"/>
        </w:rPr>
        <w:t>, education and other services. Children with disabilities are almost four times more likely to experience violence</w:t>
      </w:r>
      <w:r w:rsidRPr="00680837">
        <w:rPr>
          <w:rStyle w:val="EndnoteReference"/>
          <w:szCs w:val="22"/>
          <w:lang w:val="en-GB"/>
        </w:rPr>
        <w:endnoteReference w:id="15"/>
      </w:r>
      <w:r w:rsidRPr="00680837">
        <w:rPr>
          <w:szCs w:val="22"/>
          <w:lang w:val="en-GB"/>
        </w:rPr>
        <w:t xml:space="preserve"> and up to 17 times more likely to enter institutional care than their peers without disabilities</w:t>
      </w:r>
      <w:r w:rsidRPr="00680837">
        <w:rPr>
          <w:rStyle w:val="EndnoteReference"/>
          <w:szCs w:val="22"/>
          <w:lang w:val="en-GB"/>
        </w:rPr>
        <w:endnoteReference w:id="16"/>
      </w:r>
      <w:r>
        <w:rPr>
          <w:szCs w:val="22"/>
          <w:lang w:val="en-GB"/>
        </w:rPr>
        <w:t>, particularly owing to</w:t>
      </w:r>
      <w:r w:rsidRPr="00680837">
        <w:rPr>
          <w:szCs w:val="22"/>
          <w:lang w:val="en-GB"/>
        </w:rPr>
        <w:t xml:space="preserve"> </w:t>
      </w:r>
      <w:r>
        <w:rPr>
          <w:szCs w:val="22"/>
          <w:lang w:val="en-GB"/>
        </w:rPr>
        <w:t>insufficient</w:t>
      </w:r>
      <w:r w:rsidRPr="00680837">
        <w:rPr>
          <w:szCs w:val="22"/>
          <w:lang w:val="en-GB"/>
        </w:rPr>
        <w:t xml:space="preserve"> support </w:t>
      </w:r>
      <w:r>
        <w:rPr>
          <w:szCs w:val="22"/>
          <w:lang w:val="en-GB"/>
        </w:rPr>
        <w:t>for</w:t>
      </w:r>
      <w:r w:rsidRPr="00680837">
        <w:rPr>
          <w:szCs w:val="22"/>
          <w:lang w:val="en-GB"/>
        </w:rPr>
        <w:t xml:space="preserve"> families</w:t>
      </w:r>
      <w:r>
        <w:rPr>
          <w:szCs w:val="22"/>
          <w:lang w:val="en-GB"/>
        </w:rPr>
        <w:t>,</w:t>
      </w:r>
      <w:r w:rsidRPr="00680837">
        <w:rPr>
          <w:szCs w:val="22"/>
          <w:lang w:val="en-GB"/>
        </w:rPr>
        <w:t xml:space="preserve"> </w:t>
      </w:r>
      <w:r>
        <w:rPr>
          <w:szCs w:val="22"/>
          <w:lang w:val="en-GB"/>
        </w:rPr>
        <w:t>a lack of</w:t>
      </w:r>
      <w:r w:rsidRPr="00680837">
        <w:rPr>
          <w:szCs w:val="22"/>
          <w:lang w:val="en-GB"/>
        </w:rPr>
        <w:t xml:space="preserve"> inclusive education</w:t>
      </w:r>
      <w:r>
        <w:rPr>
          <w:szCs w:val="22"/>
          <w:lang w:val="en-GB"/>
        </w:rPr>
        <w:t xml:space="preserve"> and</w:t>
      </w:r>
      <w:r w:rsidRPr="00680837">
        <w:rPr>
          <w:szCs w:val="22"/>
          <w:lang w:val="en-GB"/>
        </w:rPr>
        <w:t xml:space="preserve"> poverty</w:t>
      </w:r>
      <w:r w:rsidRPr="00680837">
        <w:rPr>
          <w:rStyle w:val="EndnoteReference"/>
          <w:szCs w:val="22"/>
          <w:lang w:val="en-GB"/>
        </w:rPr>
        <w:endnoteReference w:id="17"/>
      </w:r>
      <w:r w:rsidRPr="00680837">
        <w:rPr>
          <w:szCs w:val="22"/>
          <w:lang w:val="en-GB"/>
        </w:rPr>
        <w:t>.</w:t>
      </w:r>
      <w:r w:rsidRPr="00680837">
        <w:rPr>
          <w:rFonts w:ascii="OpenSans" w:hAnsi="OpenSans" w:cs="OpenSans"/>
          <w:color w:val="454545"/>
          <w:sz w:val="32"/>
          <w:szCs w:val="32"/>
          <w:lang w:val="en-GB"/>
        </w:rPr>
        <w:t xml:space="preserve"> </w:t>
      </w:r>
    </w:p>
    <w:p w14:paraId="3D7505B5" w14:textId="61DC2D4B" w:rsidR="00101D89" w:rsidRPr="00680837" w:rsidRDefault="00101D89" w:rsidP="000A7011">
      <w:pPr>
        <w:pStyle w:val="ListParagraph"/>
        <w:numPr>
          <w:ilvl w:val="0"/>
          <w:numId w:val="23"/>
        </w:numPr>
        <w:rPr>
          <w:szCs w:val="22"/>
          <w:lang w:val="en-GB"/>
        </w:rPr>
      </w:pPr>
      <w:r w:rsidRPr="00680837">
        <w:rPr>
          <w:i/>
          <w:szCs w:val="22"/>
          <w:lang w:val="en-GB"/>
        </w:rPr>
        <w:t xml:space="preserve">Persons </w:t>
      </w:r>
      <w:r>
        <w:rPr>
          <w:i/>
          <w:szCs w:val="22"/>
          <w:lang w:val="en-GB"/>
        </w:rPr>
        <w:t xml:space="preserve">with disabilities </w:t>
      </w:r>
      <w:r w:rsidRPr="00680837">
        <w:rPr>
          <w:i/>
          <w:szCs w:val="22"/>
          <w:lang w:val="en-GB"/>
        </w:rPr>
        <w:t>of working age</w:t>
      </w:r>
      <w:r w:rsidRPr="00680837">
        <w:rPr>
          <w:szCs w:val="22"/>
          <w:lang w:val="en-GB"/>
        </w:rPr>
        <w:t xml:space="preserve">: </w:t>
      </w:r>
      <w:r>
        <w:rPr>
          <w:szCs w:val="22"/>
          <w:lang w:val="en-GB"/>
        </w:rPr>
        <w:t>In</w:t>
      </w:r>
      <w:r w:rsidRPr="00680837">
        <w:rPr>
          <w:szCs w:val="22"/>
          <w:lang w:val="en-GB"/>
        </w:rPr>
        <w:t xml:space="preserve"> all high</w:t>
      </w:r>
      <w:r>
        <w:rPr>
          <w:szCs w:val="22"/>
          <w:lang w:val="en-GB"/>
        </w:rPr>
        <w:t>-</w:t>
      </w:r>
      <w:r w:rsidRPr="00680837">
        <w:rPr>
          <w:szCs w:val="22"/>
          <w:lang w:val="en-GB"/>
        </w:rPr>
        <w:t>, middle</w:t>
      </w:r>
      <w:r>
        <w:rPr>
          <w:szCs w:val="22"/>
          <w:lang w:val="en-GB"/>
        </w:rPr>
        <w:t>-</w:t>
      </w:r>
      <w:r w:rsidRPr="00680837">
        <w:rPr>
          <w:szCs w:val="22"/>
          <w:lang w:val="en-GB"/>
        </w:rPr>
        <w:t xml:space="preserve"> and low-income countries, persons with disabilities</w:t>
      </w:r>
      <w:r>
        <w:rPr>
          <w:szCs w:val="22"/>
          <w:lang w:val="en-GB"/>
        </w:rPr>
        <w:t>,</w:t>
      </w:r>
      <w:r w:rsidRPr="00680837">
        <w:rPr>
          <w:szCs w:val="22"/>
          <w:lang w:val="en-GB"/>
        </w:rPr>
        <w:t xml:space="preserve"> especially women</w:t>
      </w:r>
      <w:r>
        <w:rPr>
          <w:szCs w:val="22"/>
          <w:lang w:val="en-GB"/>
        </w:rPr>
        <w:t>,</w:t>
      </w:r>
      <w:r w:rsidRPr="00680837">
        <w:rPr>
          <w:szCs w:val="22"/>
          <w:lang w:val="en-GB"/>
        </w:rPr>
        <w:t xml:space="preserve"> are </w:t>
      </w:r>
      <w:r>
        <w:rPr>
          <w:szCs w:val="22"/>
          <w:lang w:val="en-GB"/>
        </w:rPr>
        <w:t>significantly</w:t>
      </w:r>
      <w:r w:rsidRPr="00680837">
        <w:rPr>
          <w:szCs w:val="22"/>
          <w:lang w:val="en-GB"/>
        </w:rPr>
        <w:t xml:space="preserve"> less likely to be employed and even less likely to be employed in the formal economy. </w:t>
      </w:r>
      <w:r>
        <w:rPr>
          <w:szCs w:val="22"/>
          <w:lang w:val="en-GB"/>
        </w:rPr>
        <w:t>Consequently,</w:t>
      </w:r>
      <w:r w:rsidRPr="00680837">
        <w:rPr>
          <w:szCs w:val="22"/>
          <w:lang w:val="en-GB"/>
        </w:rPr>
        <w:t xml:space="preserve"> only a small proportion of persons with disabilities can </w:t>
      </w:r>
      <w:r>
        <w:rPr>
          <w:szCs w:val="22"/>
          <w:lang w:val="en-GB"/>
        </w:rPr>
        <w:t>rely</w:t>
      </w:r>
      <w:r w:rsidRPr="00680837">
        <w:rPr>
          <w:szCs w:val="22"/>
          <w:lang w:val="en-GB"/>
        </w:rPr>
        <w:t xml:space="preserve"> on stable and decent earnings and access contributory schemes</w:t>
      </w:r>
      <w:r w:rsidRPr="00680837">
        <w:rPr>
          <w:rStyle w:val="EndnoteReference"/>
          <w:szCs w:val="22"/>
          <w:lang w:val="en-GB"/>
        </w:rPr>
        <w:endnoteReference w:id="18"/>
      </w:r>
      <w:r w:rsidRPr="00680837">
        <w:rPr>
          <w:szCs w:val="22"/>
          <w:lang w:val="en-GB"/>
        </w:rPr>
        <w:t xml:space="preserve">. </w:t>
      </w:r>
    </w:p>
    <w:p w14:paraId="0887F068" w14:textId="5847607C" w:rsidR="00101D89" w:rsidRPr="00680837" w:rsidRDefault="00101D89" w:rsidP="004241AC">
      <w:pPr>
        <w:pStyle w:val="ListParagraph"/>
        <w:numPr>
          <w:ilvl w:val="0"/>
          <w:numId w:val="23"/>
        </w:numPr>
        <w:rPr>
          <w:szCs w:val="22"/>
          <w:lang w:val="en-GB"/>
        </w:rPr>
      </w:pPr>
      <w:r w:rsidRPr="00680837">
        <w:rPr>
          <w:i/>
          <w:szCs w:val="22"/>
          <w:lang w:val="en-GB"/>
        </w:rPr>
        <w:t>Old</w:t>
      </w:r>
      <w:r>
        <w:rPr>
          <w:i/>
          <w:szCs w:val="22"/>
          <w:lang w:val="en-GB"/>
        </w:rPr>
        <w:t>er persons with disabilities</w:t>
      </w:r>
      <w:r w:rsidRPr="00680837">
        <w:rPr>
          <w:szCs w:val="22"/>
          <w:lang w:val="en-GB"/>
        </w:rPr>
        <w:t>: The prevalence of disability increases with age</w:t>
      </w:r>
      <w:r>
        <w:rPr>
          <w:szCs w:val="22"/>
          <w:lang w:val="en-GB"/>
        </w:rPr>
        <w:t xml:space="preserve"> resulting in</w:t>
      </w:r>
      <w:r w:rsidRPr="00680837">
        <w:rPr>
          <w:szCs w:val="22"/>
          <w:lang w:val="en-GB"/>
        </w:rPr>
        <w:t xml:space="preserve"> a high percentage of older persons with disabilities who face an accumulated disadvantage</w:t>
      </w:r>
      <w:r w:rsidRPr="00680837">
        <w:rPr>
          <w:rStyle w:val="EndnoteReference"/>
          <w:szCs w:val="22"/>
          <w:lang w:val="en-GB"/>
        </w:rPr>
        <w:endnoteReference w:id="19"/>
      </w:r>
      <w:r w:rsidRPr="00680837">
        <w:rPr>
          <w:szCs w:val="22"/>
          <w:lang w:val="en-GB"/>
        </w:rPr>
        <w:t xml:space="preserve"> and who are often neglected in the design of social protection system</w:t>
      </w:r>
      <w:r>
        <w:rPr>
          <w:szCs w:val="22"/>
          <w:lang w:val="en-GB"/>
        </w:rPr>
        <w:t>s</w:t>
      </w:r>
      <w:r w:rsidRPr="00680837">
        <w:rPr>
          <w:szCs w:val="22"/>
          <w:lang w:val="en-GB"/>
        </w:rPr>
        <w:t>.</w:t>
      </w:r>
    </w:p>
    <w:p w14:paraId="686FF4B3" w14:textId="2754A354" w:rsidR="00101D89" w:rsidRPr="00680837" w:rsidRDefault="00101D89" w:rsidP="004F20B9">
      <w:pPr>
        <w:pStyle w:val="ListParagraph"/>
        <w:numPr>
          <w:ilvl w:val="0"/>
          <w:numId w:val="23"/>
        </w:numPr>
        <w:rPr>
          <w:szCs w:val="22"/>
          <w:lang w:val="en-GB"/>
        </w:rPr>
      </w:pPr>
      <w:r w:rsidRPr="00680837">
        <w:rPr>
          <w:i/>
          <w:szCs w:val="22"/>
          <w:lang w:val="en-GB"/>
        </w:rPr>
        <w:t xml:space="preserve">Women </w:t>
      </w:r>
      <w:r w:rsidRPr="007072BA">
        <w:rPr>
          <w:i/>
          <w:szCs w:val="22"/>
          <w:lang w:val="en-GB"/>
        </w:rPr>
        <w:t xml:space="preserve">with disabilities: </w:t>
      </w:r>
      <w:r w:rsidR="007072BA" w:rsidRPr="007072BA">
        <w:rPr>
          <w:szCs w:val="22"/>
          <w:lang w:val="en-GB"/>
        </w:rPr>
        <w:t xml:space="preserve">Women with disabilities </w:t>
      </w:r>
      <w:r w:rsidRPr="007072BA">
        <w:rPr>
          <w:szCs w:val="22"/>
          <w:lang w:val="en-GB"/>
        </w:rPr>
        <w:t>have higher</w:t>
      </w:r>
      <w:r w:rsidRPr="00680837">
        <w:rPr>
          <w:szCs w:val="22"/>
          <w:lang w:val="en-GB"/>
        </w:rPr>
        <w:t xml:space="preserve"> rates of unemployment</w:t>
      </w:r>
      <w:r w:rsidRPr="00680837">
        <w:rPr>
          <w:rStyle w:val="EndnoteReference"/>
          <w:szCs w:val="22"/>
          <w:lang w:val="en-GB"/>
        </w:rPr>
        <w:endnoteReference w:id="20"/>
      </w:r>
      <w:r w:rsidRPr="00680837">
        <w:rPr>
          <w:szCs w:val="22"/>
          <w:lang w:val="en-GB"/>
        </w:rPr>
        <w:t xml:space="preserve"> and are at higher risk of violence than women without disabilities and men with disabilities</w:t>
      </w:r>
      <w:r w:rsidRPr="00680837">
        <w:rPr>
          <w:rStyle w:val="EndnoteReference"/>
          <w:szCs w:val="22"/>
          <w:lang w:val="en-GB"/>
        </w:rPr>
        <w:endnoteReference w:id="21"/>
      </w:r>
      <w:r w:rsidRPr="00680837">
        <w:rPr>
          <w:szCs w:val="22"/>
          <w:lang w:val="en-GB"/>
        </w:rPr>
        <w:t xml:space="preserve">. They also </w:t>
      </w:r>
      <w:r>
        <w:rPr>
          <w:szCs w:val="22"/>
          <w:lang w:val="en-GB"/>
        </w:rPr>
        <w:t>encounter the</w:t>
      </w:r>
      <w:r w:rsidRPr="00680837">
        <w:rPr>
          <w:szCs w:val="22"/>
          <w:lang w:val="en-GB"/>
        </w:rPr>
        <w:t xml:space="preserve"> barriers faced by women in general such as precarious livelihoods, unequal access to and control over assets and resources, child car</w:t>
      </w:r>
      <w:r>
        <w:rPr>
          <w:szCs w:val="22"/>
          <w:lang w:val="en-GB"/>
        </w:rPr>
        <w:t>e</w:t>
      </w:r>
      <w:r w:rsidRPr="00680837">
        <w:rPr>
          <w:szCs w:val="22"/>
          <w:lang w:val="en-GB"/>
        </w:rPr>
        <w:t xml:space="preserve"> responsibilities and</w:t>
      </w:r>
      <w:r>
        <w:rPr>
          <w:szCs w:val="22"/>
          <w:lang w:val="en-GB"/>
        </w:rPr>
        <w:t xml:space="preserve"> a</w:t>
      </w:r>
      <w:r w:rsidRPr="00680837">
        <w:rPr>
          <w:szCs w:val="22"/>
          <w:lang w:val="en-GB"/>
        </w:rPr>
        <w:t xml:space="preserve"> lack of access to maternity protection. </w:t>
      </w:r>
    </w:p>
    <w:p w14:paraId="53D098CC" w14:textId="04856FF1" w:rsidR="00101D89" w:rsidRPr="00680837" w:rsidRDefault="00101D89" w:rsidP="00701029">
      <w:pPr>
        <w:rPr>
          <w:szCs w:val="22"/>
          <w:lang w:val="en-GB"/>
        </w:rPr>
      </w:pPr>
      <w:r w:rsidRPr="00680837">
        <w:rPr>
          <w:b/>
          <w:szCs w:val="22"/>
          <w:lang w:val="en-GB"/>
        </w:rPr>
        <w:t>In addition, groups such as indigenous persons with disabilities or those living in rural and remote areas</w:t>
      </w:r>
      <w:r w:rsidRPr="00680837">
        <w:rPr>
          <w:vertAlign w:val="superscript"/>
          <w:lang w:val="en-GB"/>
        </w:rPr>
        <w:endnoteReference w:id="22"/>
      </w:r>
      <w:r w:rsidRPr="00680837">
        <w:rPr>
          <w:b/>
          <w:szCs w:val="22"/>
          <w:lang w:val="en-GB"/>
        </w:rPr>
        <w:t xml:space="preserve"> </w:t>
      </w:r>
      <w:r>
        <w:rPr>
          <w:b/>
          <w:szCs w:val="22"/>
          <w:lang w:val="en-GB"/>
        </w:rPr>
        <w:t>face</w:t>
      </w:r>
      <w:r w:rsidRPr="00680837">
        <w:rPr>
          <w:b/>
          <w:szCs w:val="22"/>
          <w:lang w:val="en-GB"/>
        </w:rPr>
        <w:t xml:space="preserve"> particular disadvantages</w:t>
      </w:r>
      <w:r w:rsidRPr="00680837">
        <w:rPr>
          <w:szCs w:val="22"/>
          <w:lang w:val="en-GB"/>
        </w:rPr>
        <w:t xml:space="preserve"> that may </w:t>
      </w:r>
      <w:r>
        <w:rPr>
          <w:szCs w:val="22"/>
          <w:lang w:val="en-GB"/>
        </w:rPr>
        <w:t xml:space="preserve">further </w:t>
      </w:r>
      <w:r w:rsidRPr="00680837">
        <w:rPr>
          <w:szCs w:val="22"/>
          <w:lang w:val="en-GB"/>
        </w:rPr>
        <w:t xml:space="preserve">increase </w:t>
      </w:r>
      <w:r>
        <w:rPr>
          <w:szCs w:val="22"/>
          <w:lang w:val="en-GB"/>
        </w:rPr>
        <w:t xml:space="preserve">their </w:t>
      </w:r>
      <w:r w:rsidRPr="00680837">
        <w:rPr>
          <w:szCs w:val="22"/>
          <w:lang w:val="en-GB"/>
        </w:rPr>
        <w:t>vulnerability</w:t>
      </w:r>
      <w:r>
        <w:rPr>
          <w:szCs w:val="22"/>
          <w:lang w:val="en-GB"/>
        </w:rPr>
        <w:t>.</w:t>
      </w:r>
      <w:r w:rsidRPr="00680837">
        <w:rPr>
          <w:rFonts w:ascii="Times" w:hAnsi="Times"/>
          <w:szCs w:val="22"/>
          <w:lang w:val="en-GB"/>
        </w:rPr>
        <w:t xml:space="preserve"> </w:t>
      </w:r>
    </w:p>
    <w:p w14:paraId="7960E8B8" w14:textId="22896A76" w:rsidR="00101D89" w:rsidRPr="00680837" w:rsidRDefault="00101D89" w:rsidP="00292089">
      <w:pPr>
        <w:rPr>
          <w:szCs w:val="22"/>
          <w:lang w:val="en-GB"/>
        </w:rPr>
      </w:pPr>
      <w:r w:rsidRPr="00680837">
        <w:rPr>
          <w:szCs w:val="22"/>
          <w:lang w:val="en-GB"/>
        </w:rPr>
        <w:t xml:space="preserve">Persons with disabilities are also </w:t>
      </w:r>
      <w:r w:rsidRPr="00680837">
        <w:rPr>
          <w:b/>
          <w:szCs w:val="22"/>
          <w:lang w:val="en-GB"/>
        </w:rPr>
        <w:t>more vulnerable in humanitarian crises,</w:t>
      </w:r>
      <w:r w:rsidRPr="00680837">
        <w:rPr>
          <w:szCs w:val="22"/>
          <w:lang w:val="en-GB"/>
        </w:rPr>
        <w:t xml:space="preserve"> including conflicts and disasters</w:t>
      </w:r>
      <w:r w:rsidRPr="00680837">
        <w:rPr>
          <w:rStyle w:val="EndnoteReference"/>
          <w:szCs w:val="22"/>
          <w:lang w:val="en-GB"/>
        </w:rPr>
        <w:endnoteReference w:id="23"/>
      </w:r>
      <w:r w:rsidRPr="00680837">
        <w:rPr>
          <w:szCs w:val="22"/>
          <w:lang w:val="en-GB"/>
        </w:rPr>
        <w:t>. In such circumstances, persons with disabilities</w:t>
      </w:r>
      <w:r>
        <w:rPr>
          <w:szCs w:val="22"/>
          <w:lang w:val="en-GB"/>
        </w:rPr>
        <w:t>, especially children,</w:t>
      </w:r>
      <w:r w:rsidRPr="00680837">
        <w:rPr>
          <w:szCs w:val="22"/>
          <w:lang w:val="en-GB"/>
        </w:rPr>
        <w:t xml:space="preserve"> are more likely to be left behind, abandoned or neglected</w:t>
      </w:r>
      <w:r w:rsidRPr="00680837">
        <w:rPr>
          <w:rStyle w:val="EndnoteReference"/>
          <w:szCs w:val="22"/>
          <w:lang w:val="en-GB"/>
        </w:rPr>
        <w:endnoteReference w:id="24"/>
      </w:r>
      <w:r w:rsidRPr="00680837">
        <w:rPr>
          <w:szCs w:val="22"/>
          <w:lang w:val="en-GB"/>
        </w:rPr>
        <w:t>, and may lose essential medications and assistive devices</w:t>
      </w:r>
      <w:r>
        <w:rPr>
          <w:szCs w:val="22"/>
          <w:lang w:val="en-GB"/>
        </w:rPr>
        <w:t>,</w:t>
      </w:r>
      <w:r w:rsidRPr="00680837">
        <w:rPr>
          <w:szCs w:val="22"/>
          <w:lang w:val="en-GB"/>
        </w:rPr>
        <w:t xml:space="preserve"> result</w:t>
      </w:r>
      <w:r>
        <w:rPr>
          <w:szCs w:val="22"/>
          <w:lang w:val="en-GB"/>
        </w:rPr>
        <w:t>ing</w:t>
      </w:r>
      <w:r w:rsidRPr="00680837">
        <w:rPr>
          <w:szCs w:val="22"/>
          <w:lang w:val="en-GB"/>
        </w:rPr>
        <w:t xml:space="preserve"> in increased dependence on caregivers</w:t>
      </w:r>
      <w:r w:rsidRPr="00680837">
        <w:rPr>
          <w:rStyle w:val="EndnoteReference"/>
          <w:szCs w:val="22"/>
          <w:lang w:val="en-GB"/>
        </w:rPr>
        <w:endnoteReference w:id="25"/>
      </w:r>
      <w:r w:rsidRPr="00680837">
        <w:rPr>
          <w:szCs w:val="22"/>
          <w:lang w:val="en-GB"/>
        </w:rPr>
        <w:t>.</w:t>
      </w:r>
    </w:p>
    <w:p w14:paraId="1633EA49" w14:textId="5C571F14" w:rsidR="00101D89" w:rsidRPr="00680837" w:rsidRDefault="00101D89" w:rsidP="00A4063F">
      <w:pPr>
        <w:pStyle w:val="Heading2"/>
        <w:numPr>
          <w:ilvl w:val="1"/>
          <w:numId w:val="31"/>
        </w:numPr>
        <w:rPr>
          <w:lang w:val="en-GB"/>
        </w:rPr>
      </w:pPr>
      <w:bookmarkStart w:id="4" w:name="_Toc504036290"/>
      <w:r w:rsidRPr="00680837">
        <w:rPr>
          <w:lang w:val="en-GB"/>
        </w:rPr>
        <w:t>Disability-specific requirements</w:t>
      </w:r>
      <w:bookmarkEnd w:id="4"/>
    </w:p>
    <w:p w14:paraId="57EACFA2" w14:textId="6F1CF87B" w:rsidR="00101D89" w:rsidRPr="00680837" w:rsidRDefault="00101D89" w:rsidP="00883F1D">
      <w:pPr>
        <w:rPr>
          <w:szCs w:val="22"/>
          <w:lang w:val="en-GB"/>
        </w:rPr>
      </w:pPr>
      <w:r w:rsidRPr="00680837">
        <w:rPr>
          <w:b/>
          <w:i/>
          <w:szCs w:val="22"/>
          <w:lang w:val="en-GB"/>
        </w:rPr>
        <w:t xml:space="preserve">Persons with disabilities face barriers </w:t>
      </w:r>
      <w:r>
        <w:rPr>
          <w:b/>
          <w:i/>
          <w:szCs w:val="22"/>
          <w:lang w:val="en-GB"/>
        </w:rPr>
        <w:t>to</w:t>
      </w:r>
      <w:r w:rsidRPr="00680837">
        <w:rPr>
          <w:b/>
          <w:i/>
          <w:szCs w:val="22"/>
          <w:lang w:val="en-GB"/>
        </w:rPr>
        <w:t xml:space="preserve"> accessing employment, education, health care and disability-related services, and </w:t>
      </w:r>
      <w:r>
        <w:rPr>
          <w:b/>
          <w:i/>
          <w:szCs w:val="22"/>
          <w:lang w:val="en-GB"/>
        </w:rPr>
        <w:t>to</w:t>
      </w:r>
      <w:r w:rsidRPr="00680837">
        <w:rPr>
          <w:b/>
          <w:i/>
          <w:szCs w:val="22"/>
          <w:lang w:val="en-GB"/>
        </w:rPr>
        <w:t xml:space="preserve"> earning enough income to cover both ordinary and disability</w:t>
      </w:r>
      <w:r>
        <w:rPr>
          <w:b/>
          <w:i/>
          <w:szCs w:val="22"/>
          <w:lang w:val="en-GB"/>
        </w:rPr>
        <w:noBreakHyphen/>
      </w:r>
      <w:r w:rsidRPr="00680837">
        <w:rPr>
          <w:b/>
          <w:i/>
          <w:szCs w:val="22"/>
          <w:lang w:val="en-GB"/>
        </w:rPr>
        <w:t xml:space="preserve">related </w:t>
      </w:r>
      <w:r>
        <w:rPr>
          <w:b/>
          <w:i/>
          <w:szCs w:val="22"/>
          <w:lang w:val="en-GB"/>
        </w:rPr>
        <w:t>costs</w:t>
      </w:r>
      <w:r w:rsidRPr="00680837">
        <w:rPr>
          <w:b/>
          <w:i/>
          <w:szCs w:val="22"/>
          <w:lang w:val="en-GB"/>
        </w:rPr>
        <w:t xml:space="preserve">, severely restricting their </w:t>
      </w:r>
      <w:r>
        <w:rPr>
          <w:b/>
          <w:i/>
          <w:szCs w:val="22"/>
          <w:lang w:val="en-GB"/>
        </w:rPr>
        <w:t>escape</w:t>
      </w:r>
      <w:r w:rsidRPr="00680837">
        <w:rPr>
          <w:b/>
          <w:i/>
          <w:szCs w:val="22"/>
          <w:lang w:val="en-GB"/>
        </w:rPr>
        <w:t xml:space="preserve"> from poverty and their choices and opportunities </w:t>
      </w:r>
      <w:r>
        <w:rPr>
          <w:b/>
          <w:i/>
          <w:szCs w:val="22"/>
          <w:lang w:val="en-GB"/>
        </w:rPr>
        <w:t>in comparison with persons without disabilities</w:t>
      </w:r>
      <w:r w:rsidRPr="00680837">
        <w:rPr>
          <w:b/>
          <w:i/>
          <w:szCs w:val="22"/>
          <w:lang w:val="en-GB"/>
        </w:rPr>
        <w:t>.</w:t>
      </w:r>
      <w:r w:rsidRPr="00680837">
        <w:rPr>
          <w:szCs w:val="22"/>
          <w:lang w:val="en-GB"/>
        </w:rPr>
        <w:t xml:space="preserve"> Depending on the type and severity of impairment, environment, age, gender, </w:t>
      </w:r>
      <w:r w:rsidRPr="00680837">
        <w:rPr>
          <w:lang w:val="en-GB"/>
        </w:rPr>
        <w:t>ethnicity, poverty and other grounds for discrimination</w:t>
      </w:r>
      <w:r w:rsidRPr="00680837">
        <w:rPr>
          <w:szCs w:val="22"/>
          <w:lang w:val="en-GB"/>
        </w:rPr>
        <w:t>, persons with disabilities face different barriers to their full participation in society and therefore require different types of support.</w:t>
      </w:r>
      <w:r w:rsidRPr="00680837">
        <w:rPr>
          <w:b/>
          <w:i/>
          <w:szCs w:val="22"/>
          <w:lang w:val="en-GB"/>
        </w:rPr>
        <w:t xml:space="preserve"> </w:t>
      </w:r>
    </w:p>
    <w:p w14:paraId="4DCAFEFF" w14:textId="10BDE14D" w:rsidR="00101D89" w:rsidRPr="00680837" w:rsidRDefault="00101D89" w:rsidP="00C63862">
      <w:pPr>
        <w:rPr>
          <w:lang w:val="en-GB"/>
        </w:rPr>
      </w:pPr>
      <w:r>
        <w:rPr>
          <w:b/>
          <w:i/>
          <w:szCs w:val="22"/>
          <w:lang w:val="en-GB"/>
        </w:rPr>
        <w:t>However</w:t>
      </w:r>
      <w:r w:rsidRPr="00680837">
        <w:rPr>
          <w:b/>
          <w:i/>
          <w:szCs w:val="22"/>
          <w:lang w:val="en-GB"/>
        </w:rPr>
        <w:t>, in low</w:t>
      </w:r>
      <w:r>
        <w:rPr>
          <w:b/>
          <w:i/>
          <w:szCs w:val="22"/>
          <w:lang w:val="en-GB"/>
        </w:rPr>
        <w:t>-</w:t>
      </w:r>
      <w:r w:rsidRPr="00680837">
        <w:rPr>
          <w:b/>
          <w:i/>
          <w:szCs w:val="22"/>
          <w:lang w:val="en-GB"/>
        </w:rPr>
        <w:t xml:space="preserve"> and middle-income countries, there are very few publicly-funded mechanisms and schemes to ensure access to support services in the community</w:t>
      </w:r>
      <w:r w:rsidRPr="00680837">
        <w:rPr>
          <w:rStyle w:val="EndnoteReference"/>
          <w:b/>
          <w:i/>
          <w:szCs w:val="22"/>
          <w:lang w:val="en-GB"/>
        </w:rPr>
        <w:endnoteReference w:id="26"/>
      </w:r>
      <w:r w:rsidRPr="00680837">
        <w:rPr>
          <w:b/>
          <w:i/>
          <w:szCs w:val="22"/>
          <w:lang w:val="en-GB"/>
        </w:rPr>
        <w:t>.</w:t>
      </w:r>
      <w:r w:rsidRPr="00680837">
        <w:rPr>
          <w:szCs w:val="22"/>
          <w:lang w:val="en-GB"/>
        </w:rPr>
        <w:t xml:space="preserve"> Rather, </w:t>
      </w:r>
      <w:r>
        <w:rPr>
          <w:szCs w:val="22"/>
          <w:lang w:val="en-GB"/>
        </w:rPr>
        <w:t>much</w:t>
      </w:r>
      <w:r w:rsidRPr="00680837">
        <w:rPr>
          <w:szCs w:val="22"/>
          <w:lang w:val="en-GB"/>
        </w:rPr>
        <w:t xml:space="preserve"> of the support is provided by families, most often women.</w:t>
      </w:r>
      <w:r>
        <w:rPr>
          <w:szCs w:val="22"/>
          <w:lang w:val="en-GB"/>
        </w:rPr>
        <w:t xml:space="preserve"> Consequently, the</w:t>
      </w:r>
      <w:r w:rsidRPr="00680837">
        <w:rPr>
          <w:szCs w:val="22"/>
          <w:lang w:val="en-GB"/>
        </w:rPr>
        <w:t xml:space="preserve"> autonomy and choice of persons with disabilities</w:t>
      </w:r>
      <w:r>
        <w:rPr>
          <w:szCs w:val="22"/>
          <w:lang w:val="en-GB"/>
        </w:rPr>
        <w:t xml:space="preserve"> are often limited</w:t>
      </w:r>
      <w:r w:rsidRPr="00680837">
        <w:rPr>
          <w:szCs w:val="22"/>
          <w:lang w:val="en-GB"/>
        </w:rPr>
        <w:t xml:space="preserve"> and the economic opportunities of family members providing the support</w:t>
      </w:r>
      <w:r>
        <w:rPr>
          <w:szCs w:val="22"/>
          <w:lang w:val="en-GB"/>
        </w:rPr>
        <w:t xml:space="preserve"> are restricted</w:t>
      </w:r>
      <w:r w:rsidRPr="00680837">
        <w:rPr>
          <w:szCs w:val="22"/>
          <w:lang w:val="en-GB"/>
        </w:rPr>
        <w:t>, especially in situations of intensive support. For instance</w:t>
      </w:r>
      <w:r w:rsidRPr="00680837">
        <w:rPr>
          <w:lang w:val="en-GB"/>
        </w:rPr>
        <w:t xml:space="preserve">, </w:t>
      </w:r>
      <w:r w:rsidRPr="00680837">
        <w:rPr>
          <w:rFonts w:ascii="Calibri" w:hAnsi="Calibri" w:cs="Times New Roman"/>
          <w:szCs w:val="22"/>
          <w:lang w:val="en-GB"/>
        </w:rPr>
        <w:t xml:space="preserve">having a poor parent with a disability increases the likelihood of children </w:t>
      </w:r>
      <w:r>
        <w:rPr>
          <w:rFonts w:ascii="Calibri" w:hAnsi="Calibri" w:cs="Times New Roman"/>
          <w:szCs w:val="22"/>
          <w:lang w:val="en-GB"/>
        </w:rPr>
        <w:t>aged from seven</w:t>
      </w:r>
      <w:r w:rsidRPr="00680837">
        <w:rPr>
          <w:rFonts w:ascii="Calibri" w:hAnsi="Calibri" w:cs="Times New Roman"/>
          <w:szCs w:val="22"/>
          <w:lang w:val="en-GB"/>
        </w:rPr>
        <w:t xml:space="preserve"> to 16</w:t>
      </w:r>
      <w:r>
        <w:rPr>
          <w:rFonts w:ascii="Calibri" w:hAnsi="Calibri" w:cs="Times New Roman"/>
          <w:szCs w:val="22"/>
          <w:lang w:val="en-GB"/>
        </w:rPr>
        <w:t xml:space="preserve"> </w:t>
      </w:r>
      <w:r w:rsidRPr="00680837">
        <w:rPr>
          <w:rFonts w:ascii="Calibri" w:hAnsi="Calibri" w:cs="Times New Roman"/>
          <w:szCs w:val="22"/>
          <w:lang w:val="en-GB"/>
        </w:rPr>
        <w:t>year</w:t>
      </w:r>
      <w:r>
        <w:rPr>
          <w:rFonts w:ascii="Calibri" w:hAnsi="Calibri" w:cs="Times New Roman"/>
          <w:szCs w:val="22"/>
          <w:lang w:val="en-GB"/>
        </w:rPr>
        <w:t xml:space="preserve">s </w:t>
      </w:r>
      <w:r w:rsidRPr="00680837">
        <w:rPr>
          <w:rFonts w:ascii="Calibri" w:hAnsi="Calibri" w:cs="Times New Roman"/>
          <w:szCs w:val="22"/>
          <w:lang w:val="en-GB"/>
        </w:rPr>
        <w:t xml:space="preserve">never having been to school by </w:t>
      </w:r>
      <w:r>
        <w:rPr>
          <w:rFonts w:ascii="Calibri" w:hAnsi="Calibri" w:cs="Times New Roman"/>
          <w:szCs w:val="22"/>
          <w:lang w:val="en-GB"/>
        </w:rPr>
        <w:t>25</w:t>
      </w:r>
      <w:r w:rsidRPr="00680837">
        <w:rPr>
          <w:rFonts w:ascii="Calibri" w:hAnsi="Calibri" w:cs="Times New Roman"/>
          <w:szCs w:val="22"/>
          <w:lang w:val="en-GB"/>
        </w:rPr>
        <w:t xml:space="preserve"> percent</w:t>
      </w:r>
      <w:r>
        <w:rPr>
          <w:rFonts w:ascii="Calibri" w:hAnsi="Calibri" w:cs="Times New Roman"/>
          <w:szCs w:val="22"/>
          <w:lang w:val="en-GB"/>
        </w:rPr>
        <w:t>age points</w:t>
      </w:r>
      <w:r w:rsidRPr="00680837">
        <w:rPr>
          <w:rFonts w:ascii="Calibri" w:hAnsi="Calibri" w:cs="Times New Roman"/>
          <w:szCs w:val="22"/>
          <w:lang w:val="en-GB"/>
        </w:rPr>
        <w:t xml:space="preserve"> in the Philippines and </w:t>
      </w:r>
      <w:r>
        <w:rPr>
          <w:rFonts w:ascii="Calibri" w:hAnsi="Calibri" w:cs="Times New Roman"/>
          <w:szCs w:val="22"/>
          <w:lang w:val="en-GB"/>
        </w:rPr>
        <w:t>13 percentage points</w:t>
      </w:r>
      <w:r w:rsidRPr="00680837">
        <w:rPr>
          <w:rFonts w:ascii="Calibri" w:hAnsi="Calibri" w:cs="Times New Roman"/>
          <w:szCs w:val="22"/>
          <w:lang w:val="en-GB"/>
        </w:rPr>
        <w:t xml:space="preserve"> in Uganda</w:t>
      </w:r>
      <w:r w:rsidRPr="00680837">
        <w:rPr>
          <w:rStyle w:val="EndnoteReference"/>
          <w:rFonts w:ascii="Calibri" w:hAnsi="Calibri" w:cs="Times New Roman"/>
          <w:szCs w:val="22"/>
          <w:lang w:val="en-GB"/>
        </w:rPr>
        <w:endnoteReference w:id="27"/>
      </w:r>
      <w:r w:rsidRPr="00680837">
        <w:rPr>
          <w:rFonts w:ascii="Calibri" w:hAnsi="Calibri" w:cs="Times New Roman"/>
          <w:szCs w:val="22"/>
          <w:lang w:val="en-GB"/>
        </w:rPr>
        <w:t>.</w:t>
      </w:r>
      <w:r w:rsidRPr="00680837">
        <w:rPr>
          <w:lang w:val="en-GB"/>
        </w:rPr>
        <w:t xml:space="preserve"> </w:t>
      </w:r>
    </w:p>
    <w:p w14:paraId="01C7A94E" w14:textId="053B3B83" w:rsidR="00101D89" w:rsidRPr="00680837" w:rsidRDefault="00101D89" w:rsidP="00B752A7">
      <w:pPr>
        <w:rPr>
          <w:szCs w:val="22"/>
          <w:lang w:val="en-GB"/>
        </w:rPr>
      </w:pPr>
      <w:r w:rsidRPr="00680837">
        <w:rPr>
          <w:lang w:val="en-GB"/>
        </w:rPr>
        <w:t>Persons with disabilities may also need assistive devices such as wheel</w:t>
      </w:r>
      <w:r>
        <w:rPr>
          <w:lang w:val="en-GB"/>
        </w:rPr>
        <w:t>-</w:t>
      </w:r>
      <w:r w:rsidRPr="00680837">
        <w:rPr>
          <w:lang w:val="en-GB"/>
        </w:rPr>
        <w:t xml:space="preserve">chairs, white canes, </w:t>
      </w:r>
      <w:r>
        <w:rPr>
          <w:lang w:val="en-GB"/>
        </w:rPr>
        <w:t>B</w:t>
      </w:r>
      <w:r w:rsidRPr="00680837">
        <w:rPr>
          <w:lang w:val="en-GB"/>
        </w:rPr>
        <w:t xml:space="preserve">raille readers or consumables </w:t>
      </w:r>
      <w:r>
        <w:rPr>
          <w:lang w:val="en-GB"/>
        </w:rPr>
        <w:t xml:space="preserve">(e.g. </w:t>
      </w:r>
      <w:r w:rsidRPr="00680837">
        <w:rPr>
          <w:lang w:val="en-GB"/>
        </w:rPr>
        <w:t>hygienic kits</w:t>
      </w:r>
      <w:r>
        <w:rPr>
          <w:lang w:val="en-GB"/>
        </w:rPr>
        <w:t>)</w:t>
      </w:r>
      <w:r w:rsidRPr="00680837">
        <w:rPr>
          <w:lang w:val="en-GB"/>
        </w:rPr>
        <w:t xml:space="preserve">. Assistive devices can provide invaluable support </w:t>
      </w:r>
      <w:r>
        <w:rPr>
          <w:lang w:val="en-GB"/>
        </w:rPr>
        <w:t>for</w:t>
      </w:r>
      <w:r w:rsidRPr="00680837">
        <w:rPr>
          <w:lang w:val="en-GB"/>
        </w:rPr>
        <w:t xml:space="preserve"> mobility, communication and access to information to millions of persons with disabilities </w:t>
      </w:r>
      <w:r>
        <w:rPr>
          <w:lang w:val="en-GB"/>
        </w:rPr>
        <w:t>which</w:t>
      </w:r>
      <w:r w:rsidRPr="00680837">
        <w:rPr>
          <w:lang w:val="en-GB"/>
        </w:rPr>
        <w:t xml:space="preserve"> significantly </w:t>
      </w:r>
      <w:r>
        <w:rPr>
          <w:lang w:val="en-GB"/>
        </w:rPr>
        <w:t>increases</w:t>
      </w:r>
      <w:r w:rsidRPr="00680837">
        <w:rPr>
          <w:lang w:val="en-GB"/>
        </w:rPr>
        <w:t xml:space="preserve"> their autonomy. However,</w:t>
      </w:r>
      <w:r w:rsidRPr="00680837">
        <w:rPr>
          <w:rFonts w:cs="Helvetica"/>
          <w:color w:val="262626"/>
          <w:sz w:val="26"/>
          <w:szCs w:val="26"/>
          <w:lang w:val="en-GB"/>
        </w:rPr>
        <w:t xml:space="preserve"> </w:t>
      </w:r>
      <w:r w:rsidRPr="00680837">
        <w:rPr>
          <w:b/>
          <w:i/>
          <w:lang w:val="en-GB"/>
        </w:rPr>
        <w:t>affordability is one of the main barriers contributing to the fact that</w:t>
      </w:r>
      <w:r w:rsidRPr="00680837">
        <w:rPr>
          <w:rFonts w:cs="Helvetica"/>
          <w:color w:val="262626"/>
          <w:sz w:val="26"/>
          <w:szCs w:val="26"/>
          <w:lang w:val="en-GB"/>
        </w:rPr>
        <w:t xml:space="preserve"> </w:t>
      </w:r>
      <w:r w:rsidRPr="00680837">
        <w:rPr>
          <w:b/>
          <w:i/>
          <w:lang w:val="en-GB"/>
        </w:rPr>
        <w:t xml:space="preserve">only </w:t>
      </w:r>
      <w:r>
        <w:rPr>
          <w:b/>
          <w:i/>
          <w:lang w:val="en-GB"/>
        </w:rPr>
        <w:t xml:space="preserve">five to </w:t>
      </w:r>
      <w:r w:rsidRPr="00680837">
        <w:rPr>
          <w:b/>
          <w:i/>
          <w:lang w:val="en-GB"/>
        </w:rPr>
        <w:t>15</w:t>
      </w:r>
      <w:r>
        <w:rPr>
          <w:b/>
          <w:i/>
          <w:lang w:val="en-GB"/>
        </w:rPr>
        <w:t xml:space="preserve"> per cent</w:t>
      </w:r>
      <w:r w:rsidRPr="00680837">
        <w:rPr>
          <w:b/>
          <w:i/>
          <w:lang w:val="en-GB"/>
        </w:rPr>
        <w:t xml:space="preserve"> of the global population requiring assistive devices has access to them</w:t>
      </w:r>
      <w:r w:rsidRPr="00680837">
        <w:rPr>
          <w:rStyle w:val="EndnoteReference"/>
          <w:rFonts w:cs="Arial"/>
          <w:b/>
          <w:i/>
          <w:szCs w:val="22"/>
          <w:lang w:val="en-GB"/>
        </w:rPr>
        <w:endnoteReference w:id="28"/>
      </w:r>
      <w:r w:rsidRPr="00680837">
        <w:rPr>
          <w:b/>
          <w:i/>
          <w:lang w:val="en-GB"/>
        </w:rPr>
        <w:t xml:space="preserve">. </w:t>
      </w:r>
      <w:r w:rsidRPr="00680837">
        <w:rPr>
          <w:lang w:val="en-GB"/>
        </w:rPr>
        <w:t>The</w:t>
      </w:r>
      <w:r w:rsidRPr="00680837">
        <w:rPr>
          <w:i/>
          <w:lang w:val="en-GB"/>
        </w:rPr>
        <w:t xml:space="preserve"> </w:t>
      </w:r>
      <w:r w:rsidRPr="00680837">
        <w:rPr>
          <w:lang w:val="en-GB"/>
        </w:rPr>
        <w:t>problem is particularly acute in low- and middle</w:t>
      </w:r>
      <w:r>
        <w:rPr>
          <w:lang w:val="en-GB"/>
        </w:rPr>
        <w:noBreakHyphen/>
      </w:r>
      <w:r w:rsidRPr="00680837">
        <w:rPr>
          <w:lang w:val="en-GB"/>
        </w:rPr>
        <w:t>income countries where most assistive devices are either unavailable or unaffordable</w:t>
      </w:r>
      <w:r w:rsidRPr="00680837">
        <w:rPr>
          <w:rStyle w:val="EndnoteReference"/>
          <w:lang w:val="en-GB"/>
        </w:rPr>
        <w:endnoteReference w:id="29"/>
      </w:r>
      <w:r w:rsidRPr="00680837">
        <w:rPr>
          <w:lang w:val="en-GB"/>
        </w:rPr>
        <w:t xml:space="preserve">. </w:t>
      </w:r>
    </w:p>
    <w:p w14:paraId="39228D3B" w14:textId="5FCFD9D9" w:rsidR="00101D89" w:rsidRPr="00680837" w:rsidRDefault="00101D89" w:rsidP="00351024">
      <w:pPr>
        <w:rPr>
          <w:rFonts w:cs="Arial"/>
          <w:szCs w:val="22"/>
          <w:lang w:val="en-GB"/>
        </w:rPr>
      </w:pPr>
      <w:r w:rsidRPr="007072BA">
        <w:rPr>
          <w:rFonts w:cs="Arial"/>
          <w:szCs w:val="22"/>
          <w:lang w:val="en-GB"/>
        </w:rPr>
        <w:t xml:space="preserve">Furthermore, the </w:t>
      </w:r>
      <w:r w:rsidRPr="007072BA">
        <w:rPr>
          <w:rFonts w:cs="Arial"/>
          <w:b/>
          <w:i/>
          <w:szCs w:val="22"/>
          <w:lang w:val="en-GB"/>
        </w:rPr>
        <w:t>inaccessibility of existing services</w:t>
      </w:r>
      <w:r w:rsidRPr="007072BA">
        <w:rPr>
          <w:rFonts w:cs="Arial"/>
          <w:i/>
          <w:szCs w:val="22"/>
          <w:lang w:val="en-GB"/>
        </w:rPr>
        <w:t xml:space="preserve"> </w:t>
      </w:r>
      <w:r w:rsidRPr="007072BA">
        <w:rPr>
          <w:rFonts w:cs="Arial"/>
          <w:b/>
          <w:i/>
          <w:szCs w:val="22"/>
          <w:lang w:val="en-GB"/>
        </w:rPr>
        <w:t xml:space="preserve">generates additional costs for persons with disabilities </w:t>
      </w:r>
      <w:r w:rsidRPr="007072BA">
        <w:rPr>
          <w:rFonts w:cs="Arial"/>
          <w:szCs w:val="22"/>
          <w:lang w:val="en-GB"/>
        </w:rPr>
        <w:t>which persons without disabilities will not usually incur</w:t>
      </w:r>
      <w:r w:rsidRPr="007072BA">
        <w:rPr>
          <w:rFonts w:cs="Arial"/>
          <w:b/>
          <w:i/>
          <w:szCs w:val="22"/>
          <w:lang w:val="en-GB"/>
        </w:rPr>
        <w:t xml:space="preserve">. </w:t>
      </w:r>
      <w:r w:rsidRPr="007072BA">
        <w:rPr>
          <w:rFonts w:cs="Arial"/>
          <w:szCs w:val="22"/>
          <w:lang w:val="en-GB"/>
        </w:rPr>
        <w:t xml:space="preserve">For example, persons with disabilities often need to take a taxi because public transport is inaccessible; need to be accompanied by one of the few available sign language interpreters to use health services; and require a support person because public documents are inaccessible. </w:t>
      </w:r>
    </w:p>
    <w:p w14:paraId="0755CB96" w14:textId="19DD0A25" w:rsidR="00101D89" w:rsidRPr="00680837" w:rsidRDefault="00101D89" w:rsidP="00003C3E">
      <w:pPr>
        <w:rPr>
          <w:rFonts w:cs="Arial"/>
          <w:szCs w:val="22"/>
          <w:lang w:val="en-GB"/>
        </w:rPr>
      </w:pPr>
      <w:r w:rsidRPr="00680837">
        <w:rPr>
          <w:rFonts w:cs="Arial"/>
          <w:szCs w:val="22"/>
          <w:lang w:val="en-GB"/>
        </w:rPr>
        <w:t xml:space="preserve">In recent years, a number of studies have shown that </w:t>
      </w:r>
      <w:r w:rsidRPr="00680837">
        <w:rPr>
          <w:rFonts w:cs="Arial"/>
          <w:b/>
          <w:i/>
          <w:szCs w:val="22"/>
          <w:lang w:val="en-GB"/>
        </w:rPr>
        <w:t xml:space="preserve">disability-related costs can amount to roughly one-third of a </w:t>
      </w:r>
      <w:r>
        <w:rPr>
          <w:rFonts w:cs="Arial"/>
          <w:b/>
          <w:i/>
          <w:szCs w:val="22"/>
          <w:lang w:val="en-GB"/>
        </w:rPr>
        <w:t>national</w:t>
      </w:r>
      <w:r w:rsidRPr="00680837">
        <w:rPr>
          <w:rFonts w:cs="Arial"/>
          <w:b/>
          <w:i/>
          <w:szCs w:val="22"/>
          <w:lang w:val="en-GB"/>
        </w:rPr>
        <w:t xml:space="preserve"> average wage</w:t>
      </w:r>
      <w:r w:rsidRPr="00680837">
        <w:rPr>
          <w:rStyle w:val="EndnoteReference"/>
          <w:rFonts w:cs="Arial"/>
          <w:b/>
          <w:i/>
          <w:szCs w:val="22"/>
          <w:lang w:val="en-GB"/>
        </w:rPr>
        <w:endnoteReference w:id="30"/>
      </w:r>
      <w:r w:rsidRPr="00680837">
        <w:rPr>
          <w:rFonts w:cs="Arial"/>
          <w:szCs w:val="22"/>
          <w:lang w:val="en-GB"/>
        </w:rPr>
        <w:t>. However, disability-related costs are not, or not sufficiently, being taken into account in many countries’ social protection policies and programmes</w:t>
      </w:r>
      <w:r w:rsidRPr="00680837">
        <w:rPr>
          <w:rStyle w:val="EndnoteReference"/>
          <w:rFonts w:cs="Arial"/>
          <w:szCs w:val="22"/>
          <w:lang w:val="en-GB"/>
        </w:rPr>
        <w:endnoteReference w:id="31"/>
      </w:r>
      <w:r w:rsidRPr="00680837">
        <w:rPr>
          <w:rFonts w:cs="Arial"/>
          <w:szCs w:val="22"/>
          <w:lang w:val="en-GB"/>
        </w:rPr>
        <w:t>.</w:t>
      </w:r>
    </w:p>
    <w:p w14:paraId="21F27637" w14:textId="20A60F9D" w:rsidR="00101D89" w:rsidRPr="00680837" w:rsidRDefault="00101D89" w:rsidP="00003C3E">
      <w:pPr>
        <w:rPr>
          <w:szCs w:val="22"/>
          <w:lang w:val="en-GB"/>
        </w:rPr>
      </w:pPr>
      <w:r w:rsidRPr="00680837">
        <w:rPr>
          <w:szCs w:val="22"/>
          <w:lang w:val="en-GB"/>
        </w:rPr>
        <w:t xml:space="preserve">Even where support </w:t>
      </w:r>
      <w:r>
        <w:rPr>
          <w:szCs w:val="22"/>
          <w:lang w:val="en-GB"/>
        </w:rPr>
        <w:t>is</w:t>
      </w:r>
      <w:r w:rsidRPr="00680837">
        <w:rPr>
          <w:szCs w:val="22"/>
          <w:lang w:val="en-GB"/>
        </w:rPr>
        <w:t xml:space="preserve"> available, either in cash or in</w:t>
      </w:r>
      <w:r>
        <w:rPr>
          <w:szCs w:val="22"/>
          <w:lang w:val="en-GB"/>
        </w:rPr>
        <w:t xml:space="preserve"> </w:t>
      </w:r>
      <w:r w:rsidRPr="00680837">
        <w:rPr>
          <w:szCs w:val="22"/>
          <w:lang w:val="en-GB"/>
        </w:rPr>
        <w:t xml:space="preserve">kind, </w:t>
      </w:r>
      <w:r>
        <w:rPr>
          <w:szCs w:val="22"/>
          <w:lang w:val="en-GB"/>
        </w:rPr>
        <w:t>it is</w:t>
      </w:r>
      <w:r w:rsidRPr="00680837">
        <w:rPr>
          <w:szCs w:val="22"/>
          <w:lang w:val="en-GB"/>
        </w:rPr>
        <w:t xml:space="preserve"> often insufficient to </w:t>
      </w:r>
      <w:r>
        <w:rPr>
          <w:szCs w:val="22"/>
          <w:lang w:val="en-GB"/>
        </w:rPr>
        <w:t>afford</w:t>
      </w:r>
      <w:r w:rsidRPr="00680837">
        <w:rPr>
          <w:szCs w:val="22"/>
          <w:lang w:val="en-GB"/>
        </w:rPr>
        <w:t xml:space="preserve"> persons with disabilities an </w:t>
      </w:r>
      <w:r>
        <w:rPr>
          <w:szCs w:val="22"/>
          <w:lang w:val="en-GB"/>
        </w:rPr>
        <w:t>adequate</w:t>
      </w:r>
      <w:r w:rsidRPr="00680837">
        <w:rPr>
          <w:szCs w:val="22"/>
          <w:lang w:val="en-GB"/>
        </w:rPr>
        <w:t xml:space="preserve"> standard of living and </w:t>
      </w:r>
      <w:r>
        <w:rPr>
          <w:szCs w:val="22"/>
          <w:lang w:val="en-GB"/>
        </w:rPr>
        <w:t xml:space="preserve">level of </w:t>
      </w:r>
      <w:r w:rsidRPr="00680837">
        <w:rPr>
          <w:szCs w:val="22"/>
          <w:lang w:val="en-GB"/>
        </w:rPr>
        <w:t>participation</w:t>
      </w:r>
      <w:r w:rsidRPr="00680837">
        <w:rPr>
          <w:vertAlign w:val="superscript"/>
          <w:lang w:val="en-GB"/>
        </w:rPr>
        <w:endnoteReference w:id="32"/>
      </w:r>
      <w:r w:rsidRPr="00680837">
        <w:rPr>
          <w:szCs w:val="22"/>
          <w:lang w:val="en-GB"/>
        </w:rPr>
        <w:t>.</w:t>
      </w:r>
      <w:r w:rsidRPr="00680837">
        <w:rPr>
          <w:rFonts w:cs="Arial"/>
          <w:szCs w:val="22"/>
          <w:lang w:val="en-GB"/>
        </w:rPr>
        <w:t xml:space="preserve"> </w:t>
      </w:r>
      <w:r w:rsidR="007072BA">
        <w:rPr>
          <w:rFonts w:cs="Arial"/>
          <w:szCs w:val="22"/>
          <w:lang w:val="en-GB"/>
        </w:rPr>
        <w:t>S</w:t>
      </w:r>
      <w:r w:rsidRPr="00680837">
        <w:rPr>
          <w:rFonts w:cs="Arial"/>
          <w:szCs w:val="22"/>
          <w:lang w:val="en-GB"/>
        </w:rPr>
        <w:t xml:space="preserve">ome persons with disabilities may have no meaningful </w:t>
      </w:r>
      <w:r>
        <w:rPr>
          <w:rFonts w:cs="Arial"/>
          <w:szCs w:val="22"/>
          <w:lang w:val="en-GB"/>
        </w:rPr>
        <w:t>opportunities</w:t>
      </w:r>
      <w:r w:rsidRPr="00680837">
        <w:rPr>
          <w:rFonts w:cs="Arial"/>
          <w:szCs w:val="22"/>
          <w:lang w:val="en-GB"/>
        </w:rPr>
        <w:t xml:space="preserve"> </w:t>
      </w:r>
      <w:r>
        <w:rPr>
          <w:rFonts w:cs="Arial"/>
          <w:szCs w:val="22"/>
          <w:lang w:val="en-GB"/>
        </w:rPr>
        <w:t>to</w:t>
      </w:r>
      <w:r w:rsidRPr="00680837">
        <w:rPr>
          <w:rFonts w:cs="Arial"/>
          <w:szCs w:val="22"/>
          <w:lang w:val="en-GB"/>
        </w:rPr>
        <w:t xml:space="preserve"> access support services (e.g. due to a lack of transport infrastructure).</w:t>
      </w:r>
      <w:r>
        <w:rPr>
          <w:rFonts w:cs="Arial"/>
          <w:szCs w:val="22"/>
          <w:lang w:val="en-GB"/>
        </w:rPr>
        <w:t xml:space="preserve"> </w:t>
      </w:r>
      <w:r w:rsidRPr="00680837">
        <w:rPr>
          <w:szCs w:val="22"/>
          <w:lang w:val="en-GB"/>
        </w:rPr>
        <w:t xml:space="preserve">Moreover, complex bureaucratic processes </w:t>
      </w:r>
      <w:r>
        <w:rPr>
          <w:szCs w:val="22"/>
          <w:lang w:val="en-GB"/>
        </w:rPr>
        <w:t>may</w:t>
      </w:r>
      <w:r w:rsidR="007072BA">
        <w:rPr>
          <w:szCs w:val="22"/>
          <w:lang w:val="en-GB"/>
        </w:rPr>
        <w:t xml:space="preserve"> </w:t>
      </w:r>
      <w:r>
        <w:rPr>
          <w:szCs w:val="22"/>
          <w:lang w:val="en-GB"/>
        </w:rPr>
        <w:t>present an</w:t>
      </w:r>
      <w:r w:rsidRPr="00680837">
        <w:rPr>
          <w:szCs w:val="22"/>
          <w:lang w:val="en-GB"/>
        </w:rPr>
        <w:t xml:space="preserve"> even larger barrier for </w:t>
      </w:r>
      <w:r>
        <w:rPr>
          <w:szCs w:val="22"/>
          <w:lang w:val="en-GB"/>
        </w:rPr>
        <w:t>persons with disabilities</w:t>
      </w:r>
      <w:r w:rsidRPr="00680837">
        <w:rPr>
          <w:szCs w:val="22"/>
          <w:lang w:val="en-GB"/>
        </w:rPr>
        <w:t xml:space="preserve"> than</w:t>
      </w:r>
      <w:r>
        <w:rPr>
          <w:szCs w:val="22"/>
          <w:lang w:val="en-GB"/>
        </w:rPr>
        <w:t xml:space="preserve"> for</w:t>
      </w:r>
      <w:r w:rsidRPr="00680837">
        <w:rPr>
          <w:szCs w:val="22"/>
          <w:lang w:val="en-GB"/>
        </w:rPr>
        <w:t xml:space="preserve"> the rest of the population.</w:t>
      </w:r>
    </w:p>
    <w:p w14:paraId="7DFDE7FE" w14:textId="31A31E64" w:rsidR="00101D89" w:rsidRPr="00680837" w:rsidRDefault="00101D89" w:rsidP="00497F2E">
      <w:pPr>
        <w:pStyle w:val="Heading1"/>
        <w:numPr>
          <w:ilvl w:val="0"/>
          <w:numId w:val="31"/>
        </w:numPr>
        <w:rPr>
          <w:lang w:val="en-GB"/>
        </w:rPr>
      </w:pPr>
      <w:bookmarkStart w:id="5" w:name="_Toc504036291"/>
      <w:r w:rsidRPr="00680837">
        <w:rPr>
          <w:lang w:val="en-GB"/>
        </w:rPr>
        <w:t>Rethinking social protection systems in light of the Convention on the Rights of Persons with Disabilities</w:t>
      </w:r>
      <w:r>
        <w:rPr>
          <w:lang w:val="en-GB"/>
        </w:rPr>
        <w:t xml:space="preserve"> (CRPD)</w:t>
      </w:r>
      <w:bookmarkEnd w:id="5"/>
      <w:r w:rsidRPr="00680837">
        <w:rPr>
          <w:lang w:val="en-GB"/>
        </w:rPr>
        <w:t xml:space="preserve"> </w:t>
      </w:r>
    </w:p>
    <w:p w14:paraId="332BEEA1" w14:textId="07EF9E53" w:rsidR="00101D89" w:rsidRPr="00680837" w:rsidRDefault="00101D89" w:rsidP="00C63862">
      <w:pPr>
        <w:rPr>
          <w:szCs w:val="22"/>
          <w:lang w:val="en-GB"/>
        </w:rPr>
      </w:pPr>
      <w:r w:rsidRPr="00680837">
        <w:rPr>
          <w:b/>
          <w:i/>
          <w:szCs w:val="22"/>
          <w:lang w:val="en-GB"/>
        </w:rPr>
        <w:t xml:space="preserve">The CRPD emphasizes the key role of social protection to support </w:t>
      </w:r>
      <w:r w:rsidR="00BF0080">
        <w:rPr>
          <w:b/>
          <w:i/>
          <w:szCs w:val="22"/>
          <w:lang w:val="en-GB"/>
        </w:rPr>
        <w:t xml:space="preserve">the </w:t>
      </w:r>
      <w:r w:rsidRPr="00680837">
        <w:rPr>
          <w:b/>
          <w:i/>
          <w:szCs w:val="22"/>
          <w:lang w:val="en-GB"/>
        </w:rPr>
        <w:t>full and effective participation of persons with disabilities</w:t>
      </w:r>
      <w:r w:rsidRPr="00680837">
        <w:rPr>
          <w:szCs w:val="22"/>
          <w:lang w:val="en-GB"/>
        </w:rPr>
        <w:t xml:space="preserve">. </w:t>
      </w:r>
      <w:r>
        <w:rPr>
          <w:szCs w:val="22"/>
          <w:lang w:val="en-GB"/>
        </w:rPr>
        <w:t>It</w:t>
      </w:r>
      <w:r w:rsidRPr="00680837">
        <w:rPr>
          <w:szCs w:val="22"/>
          <w:lang w:val="en-GB"/>
        </w:rPr>
        <w:t xml:space="preserve"> acknowledges the specific challenges and requirements of persons with disabilities, and elaborates on the provisions of the Universal Declaration of Human Rights (Art</w:t>
      </w:r>
      <w:r>
        <w:rPr>
          <w:szCs w:val="22"/>
          <w:lang w:val="en-GB"/>
        </w:rPr>
        <w:t>icle</w:t>
      </w:r>
      <w:r w:rsidRPr="00680837">
        <w:rPr>
          <w:szCs w:val="22"/>
          <w:lang w:val="en-GB"/>
        </w:rPr>
        <w:t>s 22 and 25) and the International Covenant on Economic Social and Cultural Rights (ICESCR)</w:t>
      </w:r>
      <w:r w:rsidRPr="00680837">
        <w:rPr>
          <w:rStyle w:val="EndnoteReference"/>
          <w:szCs w:val="22"/>
          <w:lang w:val="en-GB"/>
        </w:rPr>
        <w:endnoteReference w:id="33"/>
      </w:r>
      <w:r w:rsidRPr="00680837">
        <w:rPr>
          <w:szCs w:val="22"/>
          <w:lang w:val="en-GB"/>
        </w:rPr>
        <w:t xml:space="preserve"> (Art</w:t>
      </w:r>
      <w:r>
        <w:rPr>
          <w:szCs w:val="22"/>
          <w:lang w:val="en-GB"/>
        </w:rPr>
        <w:t>icles</w:t>
      </w:r>
      <w:r w:rsidRPr="00680837">
        <w:rPr>
          <w:szCs w:val="22"/>
          <w:lang w:val="en-GB"/>
        </w:rPr>
        <w:t xml:space="preserve"> 9 and 11) by applying a </w:t>
      </w:r>
      <w:r w:rsidRPr="007072BA">
        <w:rPr>
          <w:szCs w:val="22"/>
          <w:lang w:val="en-GB"/>
        </w:rPr>
        <w:t>disability rights lens</w:t>
      </w:r>
      <w:r w:rsidRPr="00680837">
        <w:rPr>
          <w:szCs w:val="22"/>
          <w:lang w:val="en-GB"/>
        </w:rPr>
        <w:t xml:space="preserve">. </w:t>
      </w:r>
      <w:r>
        <w:rPr>
          <w:szCs w:val="22"/>
          <w:lang w:val="en-GB"/>
        </w:rPr>
        <w:t>Thus</w:t>
      </w:r>
      <w:r w:rsidRPr="00680837">
        <w:rPr>
          <w:szCs w:val="22"/>
          <w:lang w:val="en-GB"/>
        </w:rPr>
        <w:t xml:space="preserve">, the </w:t>
      </w:r>
      <w:r w:rsidRPr="00680837">
        <w:rPr>
          <w:b/>
          <w:i/>
          <w:szCs w:val="22"/>
          <w:lang w:val="en-GB"/>
        </w:rPr>
        <w:t>CRPD adopts a broad understanding of social protection</w:t>
      </w:r>
      <w:r w:rsidRPr="00680837">
        <w:rPr>
          <w:szCs w:val="22"/>
          <w:lang w:val="en-GB"/>
        </w:rPr>
        <w:t xml:space="preserve"> that effectively contributes to the realization of essential rights such as social security, adequate standards of living, living independently in the community or access to health care, education and employment. </w:t>
      </w:r>
    </w:p>
    <w:p w14:paraId="01CA849A" w14:textId="5BFB19BD" w:rsidR="00101D89" w:rsidRPr="00680837" w:rsidRDefault="00101D89" w:rsidP="00AF6627">
      <w:pPr>
        <w:rPr>
          <w:szCs w:val="22"/>
          <w:lang w:val="en-GB"/>
        </w:rPr>
      </w:pPr>
      <w:r w:rsidRPr="00680837">
        <w:rPr>
          <w:szCs w:val="22"/>
          <w:lang w:val="en-GB"/>
        </w:rPr>
        <w:t>The CRPD stipulates the following obligations of States with regard to social protection</w:t>
      </w:r>
      <w:r>
        <w:rPr>
          <w:szCs w:val="22"/>
          <w:lang w:val="en-GB"/>
        </w:rPr>
        <w:t>,</w:t>
      </w:r>
      <w:r w:rsidRPr="00680837">
        <w:rPr>
          <w:szCs w:val="22"/>
          <w:lang w:val="en-GB"/>
        </w:rPr>
        <w:t xml:space="preserve"> </w:t>
      </w:r>
      <w:r>
        <w:rPr>
          <w:szCs w:val="22"/>
          <w:lang w:val="en-GB"/>
        </w:rPr>
        <w:t>particularly in</w:t>
      </w:r>
      <w:r w:rsidRPr="00680837">
        <w:rPr>
          <w:szCs w:val="22"/>
          <w:lang w:val="en-GB"/>
        </w:rPr>
        <w:t xml:space="preserve"> </w:t>
      </w:r>
      <w:r>
        <w:rPr>
          <w:szCs w:val="22"/>
          <w:lang w:val="en-GB"/>
        </w:rPr>
        <w:t>A</w:t>
      </w:r>
      <w:r w:rsidRPr="00680837">
        <w:rPr>
          <w:szCs w:val="22"/>
          <w:lang w:val="en-GB"/>
        </w:rPr>
        <w:t xml:space="preserve">rticle 28, </w:t>
      </w:r>
      <w:r w:rsidRPr="00842AC8">
        <w:rPr>
          <w:szCs w:val="22"/>
          <w:lang w:val="en-GB"/>
        </w:rPr>
        <w:t>which are further</w:t>
      </w:r>
      <w:r w:rsidRPr="0099427C">
        <w:rPr>
          <w:szCs w:val="22"/>
          <w:lang w:val="en-GB"/>
        </w:rPr>
        <w:t xml:space="preserve"> illustrated by the CRPD </w:t>
      </w:r>
      <w:r w:rsidRPr="00842AC8">
        <w:rPr>
          <w:szCs w:val="22"/>
          <w:lang w:val="en-GB"/>
        </w:rPr>
        <w:t>C</w:t>
      </w:r>
      <w:r w:rsidRPr="0099427C">
        <w:rPr>
          <w:szCs w:val="22"/>
          <w:lang w:val="en-GB"/>
        </w:rPr>
        <w:t>ommittee’s recommendations to States P</w:t>
      </w:r>
      <w:r w:rsidRPr="00DC0802">
        <w:rPr>
          <w:szCs w:val="22"/>
          <w:lang w:val="en-GB"/>
        </w:rPr>
        <w:t>arties:</w:t>
      </w:r>
      <w:r w:rsidRPr="00680837">
        <w:rPr>
          <w:szCs w:val="22"/>
          <w:lang w:val="en-GB"/>
        </w:rPr>
        <w:t xml:space="preserve"> </w:t>
      </w:r>
    </w:p>
    <w:p w14:paraId="18FCBEAF" w14:textId="025A373B" w:rsidR="00101D89" w:rsidRPr="00680837" w:rsidRDefault="00101D89" w:rsidP="002073C9">
      <w:pPr>
        <w:pStyle w:val="ListParagraph"/>
        <w:numPr>
          <w:ilvl w:val="0"/>
          <w:numId w:val="36"/>
        </w:numPr>
        <w:rPr>
          <w:szCs w:val="22"/>
          <w:lang w:val="en-GB"/>
        </w:rPr>
      </w:pPr>
      <w:r>
        <w:rPr>
          <w:szCs w:val="22"/>
          <w:lang w:val="en-GB"/>
        </w:rPr>
        <w:t>To e</w:t>
      </w:r>
      <w:r w:rsidRPr="00680837">
        <w:rPr>
          <w:szCs w:val="22"/>
          <w:lang w:val="en-GB"/>
        </w:rPr>
        <w:t>nsur</w:t>
      </w:r>
      <w:r>
        <w:rPr>
          <w:szCs w:val="22"/>
          <w:lang w:val="en-GB"/>
        </w:rPr>
        <w:t>e</w:t>
      </w:r>
      <w:r w:rsidRPr="00680837">
        <w:rPr>
          <w:szCs w:val="22"/>
          <w:lang w:val="en-GB"/>
        </w:rPr>
        <w:t xml:space="preserve"> that persons with disabilities have equal access, without discrimination, to all social protection schemes and programmes, including poverty reduction programmes, </w:t>
      </w:r>
      <w:r w:rsidR="00EE3D6F">
        <w:rPr>
          <w:szCs w:val="22"/>
          <w:lang w:val="en-GB"/>
        </w:rPr>
        <w:t>pensions</w:t>
      </w:r>
      <w:r w:rsidRPr="00680837">
        <w:rPr>
          <w:szCs w:val="22"/>
          <w:lang w:val="en-GB"/>
        </w:rPr>
        <w:t xml:space="preserve"> and public housing (Art</w:t>
      </w:r>
      <w:r>
        <w:rPr>
          <w:szCs w:val="22"/>
          <w:lang w:val="en-GB"/>
        </w:rPr>
        <w:t>icle</w:t>
      </w:r>
      <w:r w:rsidRPr="00680837">
        <w:rPr>
          <w:szCs w:val="22"/>
          <w:lang w:val="en-GB"/>
        </w:rPr>
        <w:t xml:space="preserve"> 28)</w:t>
      </w:r>
      <w:r w:rsidRPr="00842AC8">
        <w:rPr>
          <w:szCs w:val="22"/>
          <w:vertAlign w:val="superscript"/>
          <w:lang w:val="en-GB"/>
        </w:rPr>
        <w:endnoteReference w:id="34"/>
      </w:r>
      <w:r w:rsidRPr="00680837">
        <w:rPr>
          <w:szCs w:val="22"/>
          <w:lang w:val="en-GB"/>
        </w:rPr>
        <w:t>, health insurance (Art</w:t>
      </w:r>
      <w:r>
        <w:rPr>
          <w:szCs w:val="22"/>
          <w:lang w:val="en-GB"/>
        </w:rPr>
        <w:t>icle</w:t>
      </w:r>
      <w:r w:rsidRPr="00680837">
        <w:rPr>
          <w:szCs w:val="22"/>
          <w:lang w:val="en-GB"/>
        </w:rPr>
        <w:t xml:space="preserve"> 25)</w:t>
      </w:r>
      <w:r w:rsidRPr="00842AC8">
        <w:rPr>
          <w:vertAlign w:val="superscript"/>
          <w:lang w:val="en-GB"/>
        </w:rPr>
        <w:endnoteReference w:id="35"/>
      </w:r>
      <w:r w:rsidRPr="00680837">
        <w:rPr>
          <w:szCs w:val="22"/>
          <w:lang w:val="en-GB"/>
        </w:rPr>
        <w:t xml:space="preserve">, and vocational training and </w:t>
      </w:r>
      <w:r w:rsidRPr="002073C9">
        <w:rPr>
          <w:szCs w:val="22"/>
          <w:lang w:val="en-GB"/>
        </w:rPr>
        <w:t>return-to-work</w:t>
      </w:r>
      <w:r w:rsidRPr="002073C9" w:rsidDel="002073C9">
        <w:rPr>
          <w:szCs w:val="22"/>
          <w:lang w:val="en-GB"/>
        </w:rPr>
        <w:t xml:space="preserve"> </w:t>
      </w:r>
      <w:r w:rsidRPr="00680837">
        <w:rPr>
          <w:szCs w:val="22"/>
          <w:lang w:val="en-GB"/>
        </w:rPr>
        <w:t>programmes (Art</w:t>
      </w:r>
      <w:r>
        <w:rPr>
          <w:szCs w:val="22"/>
          <w:lang w:val="en-GB"/>
        </w:rPr>
        <w:t>icle</w:t>
      </w:r>
      <w:r w:rsidRPr="00680837">
        <w:rPr>
          <w:szCs w:val="22"/>
          <w:lang w:val="en-GB"/>
        </w:rPr>
        <w:t xml:space="preserve"> 27)</w:t>
      </w:r>
      <w:r>
        <w:rPr>
          <w:szCs w:val="22"/>
          <w:lang w:val="en-GB"/>
        </w:rPr>
        <w:t>.</w:t>
      </w:r>
    </w:p>
    <w:p w14:paraId="10CEE1DA" w14:textId="5A058A41" w:rsidR="00101D89" w:rsidRPr="00680837" w:rsidRDefault="00101D89" w:rsidP="00367A0C">
      <w:pPr>
        <w:pStyle w:val="ListParagraph"/>
        <w:numPr>
          <w:ilvl w:val="0"/>
          <w:numId w:val="36"/>
        </w:numPr>
        <w:rPr>
          <w:szCs w:val="22"/>
          <w:lang w:val="en-GB"/>
        </w:rPr>
      </w:pPr>
      <w:r>
        <w:rPr>
          <w:szCs w:val="22"/>
          <w:lang w:val="en-GB"/>
        </w:rPr>
        <w:t>To e</w:t>
      </w:r>
      <w:r w:rsidRPr="00680837">
        <w:rPr>
          <w:szCs w:val="22"/>
          <w:lang w:val="en-GB"/>
        </w:rPr>
        <w:t>nsur</w:t>
      </w:r>
      <w:r>
        <w:rPr>
          <w:szCs w:val="22"/>
          <w:lang w:val="en-GB"/>
        </w:rPr>
        <w:t>e</w:t>
      </w:r>
      <w:r w:rsidRPr="00680837">
        <w:rPr>
          <w:szCs w:val="22"/>
          <w:lang w:val="en-GB"/>
        </w:rPr>
        <w:t xml:space="preserve"> that persons with disabilities have </w:t>
      </w:r>
      <w:r w:rsidRPr="00680837">
        <w:rPr>
          <w:b/>
          <w:i/>
          <w:szCs w:val="22"/>
          <w:lang w:val="en-GB"/>
        </w:rPr>
        <w:t>access to affordable and quality disability-related services</w:t>
      </w:r>
      <w:r w:rsidR="003F3BBA">
        <w:rPr>
          <w:b/>
          <w:i/>
          <w:szCs w:val="22"/>
          <w:lang w:val="en-GB"/>
        </w:rPr>
        <w:t xml:space="preserve"> and devices (article 28) </w:t>
      </w:r>
      <w:r w:rsidRPr="00680837">
        <w:rPr>
          <w:b/>
          <w:i/>
          <w:szCs w:val="22"/>
          <w:lang w:val="en-GB"/>
        </w:rPr>
        <w:t xml:space="preserve"> </w:t>
      </w:r>
      <w:r w:rsidRPr="00680837">
        <w:rPr>
          <w:szCs w:val="22"/>
          <w:lang w:val="en-GB"/>
        </w:rPr>
        <w:t xml:space="preserve"> </w:t>
      </w:r>
      <w:r w:rsidR="00BF0080">
        <w:rPr>
          <w:szCs w:val="22"/>
          <w:lang w:val="en-GB"/>
        </w:rPr>
        <w:t>which support</w:t>
      </w:r>
      <w:r w:rsidR="00BF0080" w:rsidRPr="00680837">
        <w:rPr>
          <w:szCs w:val="22"/>
          <w:lang w:val="en-GB"/>
        </w:rPr>
        <w:t xml:space="preserve"> </w:t>
      </w:r>
      <w:r w:rsidRPr="00680837">
        <w:rPr>
          <w:szCs w:val="22"/>
          <w:lang w:val="en-GB"/>
        </w:rPr>
        <w:t>living independently in the community (Art</w:t>
      </w:r>
      <w:r>
        <w:rPr>
          <w:szCs w:val="22"/>
          <w:lang w:val="en-GB"/>
        </w:rPr>
        <w:t>icle</w:t>
      </w:r>
      <w:r w:rsidRPr="00680837">
        <w:rPr>
          <w:szCs w:val="22"/>
          <w:lang w:val="en-GB"/>
        </w:rPr>
        <w:t xml:space="preserve"> 19) and that they </w:t>
      </w:r>
      <w:r>
        <w:rPr>
          <w:b/>
          <w:i/>
          <w:szCs w:val="22"/>
          <w:lang w:val="en-GB"/>
        </w:rPr>
        <w:t>receive assistance</w:t>
      </w:r>
      <w:r w:rsidRPr="00680837">
        <w:rPr>
          <w:b/>
          <w:i/>
          <w:szCs w:val="22"/>
          <w:lang w:val="en-GB"/>
        </w:rPr>
        <w:t xml:space="preserve"> to cover disability-related expenses</w:t>
      </w:r>
      <w:r w:rsidRPr="00680837">
        <w:rPr>
          <w:szCs w:val="22"/>
          <w:lang w:val="en-GB"/>
        </w:rPr>
        <w:t xml:space="preserve"> </w:t>
      </w:r>
      <w:r w:rsidRPr="00680837">
        <w:rPr>
          <w:vertAlign w:val="superscript"/>
          <w:lang w:val="en-GB"/>
        </w:rPr>
        <w:endnoteReference w:id="36"/>
      </w:r>
      <w:r w:rsidRPr="00680837">
        <w:rPr>
          <w:szCs w:val="22"/>
          <w:lang w:val="en-GB"/>
        </w:rPr>
        <w:t xml:space="preserve"> (Art</w:t>
      </w:r>
      <w:r>
        <w:rPr>
          <w:szCs w:val="22"/>
          <w:lang w:val="en-GB"/>
        </w:rPr>
        <w:t>icle</w:t>
      </w:r>
      <w:r w:rsidRPr="00680837">
        <w:rPr>
          <w:szCs w:val="22"/>
          <w:lang w:val="en-GB"/>
        </w:rPr>
        <w:t xml:space="preserve"> 28)</w:t>
      </w:r>
      <w:r>
        <w:rPr>
          <w:szCs w:val="22"/>
          <w:lang w:val="en-GB"/>
        </w:rPr>
        <w:t>.</w:t>
      </w:r>
    </w:p>
    <w:p w14:paraId="7680222C" w14:textId="53679696" w:rsidR="00101D89" w:rsidRPr="00680837" w:rsidRDefault="00101D89" w:rsidP="00C63862">
      <w:pPr>
        <w:pStyle w:val="ListParagraph"/>
        <w:numPr>
          <w:ilvl w:val="0"/>
          <w:numId w:val="36"/>
        </w:numPr>
        <w:rPr>
          <w:szCs w:val="22"/>
          <w:lang w:val="en-GB"/>
        </w:rPr>
      </w:pPr>
      <w:r>
        <w:rPr>
          <w:szCs w:val="22"/>
          <w:lang w:val="en-GB"/>
        </w:rPr>
        <w:t>To e</w:t>
      </w:r>
      <w:r w:rsidRPr="00680837">
        <w:rPr>
          <w:szCs w:val="22"/>
          <w:lang w:val="en-GB"/>
        </w:rPr>
        <w:t>nsur</w:t>
      </w:r>
      <w:r>
        <w:rPr>
          <w:szCs w:val="22"/>
          <w:lang w:val="en-GB"/>
        </w:rPr>
        <w:t>e</w:t>
      </w:r>
      <w:r w:rsidRPr="00680837">
        <w:rPr>
          <w:szCs w:val="22"/>
          <w:lang w:val="en-GB"/>
        </w:rPr>
        <w:t xml:space="preserve"> that persons with disabilities enjoy </w:t>
      </w:r>
      <w:r w:rsidRPr="00680837">
        <w:rPr>
          <w:b/>
          <w:i/>
          <w:szCs w:val="22"/>
          <w:lang w:val="en-GB"/>
        </w:rPr>
        <w:t>adequate standards of living on an equal basis with others</w:t>
      </w:r>
      <w:r w:rsidRPr="00680837">
        <w:rPr>
          <w:szCs w:val="22"/>
          <w:lang w:val="en-GB"/>
        </w:rPr>
        <w:t xml:space="preserve"> </w:t>
      </w:r>
      <w:r w:rsidRPr="00680837">
        <w:rPr>
          <w:vertAlign w:val="superscript"/>
          <w:lang w:val="en-GB"/>
        </w:rPr>
        <w:endnoteReference w:id="37"/>
      </w:r>
      <w:r w:rsidRPr="00680837">
        <w:rPr>
          <w:szCs w:val="22"/>
          <w:lang w:val="en-GB"/>
        </w:rPr>
        <w:t xml:space="preserve"> (Art</w:t>
      </w:r>
      <w:r>
        <w:rPr>
          <w:szCs w:val="22"/>
          <w:lang w:val="en-GB"/>
        </w:rPr>
        <w:t>icle</w:t>
      </w:r>
      <w:r w:rsidRPr="00680837">
        <w:rPr>
          <w:szCs w:val="22"/>
          <w:lang w:val="en-GB"/>
        </w:rPr>
        <w:t xml:space="preserve"> 28)</w:t>
      </w:r>
      <w:r>
        <w:rPr>
          <w:szCs w:val="22"/>
          <w:lang w:val="en-GB"/>
        </w:rPr>
        <w:t>.</w:t>
      </w:r>
    </w:p>
    <w:p w14:paraId="1B0FF145" w14:textId="2363B8D9" w:rsidR="00101D89" w:rsidRPr="00680837" w:rsidRDefault="00101D89" w:rsidP="00C63862">
      <w:pPr>
        <w:pStyle w:val="ListParagraph"/>
        <w:numPr>
          <w:ilvl w:val="0"/>
          <w:numId w:val="36"/>
        </w:numPr>
        <w:rPr>
          <w:szCs w:val="22"/>
          <w:lang w:val="en-GB"/>
        </w:rPr>
      </w:pPr>
      <w:r>
        <w:rPr>
          <w:b/>
          <w:i/>
          <w:szCs w:val="22"/>
          <w:lang w:val="en-GB"/>
        </w:rPr>
        <w:t>To s</w:t>
      </w:r>
      <w:r w:rsidRPr="00680837">
        <w:rPr>
          <w:b/>
          <w:i/>
          <w:szCs w:val="22"/>
          <w:lang w:val="en-GB"/>
        </w:rPr>
        <w:t>upport children with disabilities and their parents</w:t>
      </w:r>
      <w:r w:rsidRPr="00680837">
        <w:rPr>
          <w:szCs w:val="22"/>
          <w:lang w:val="en-GB"/>
        </w:rPr>
        <w:t xml:space="preserve"> and ensur</w:t>
      </w:r>
      <w:r w:rsidR="00BF0080">
        <w:rPr>
          <w:szCs w:val="22"/>
          <w:lang w:val="en-GB"/>
        </w:rPr>
        <w:t>e</w:t>
      </w:r>
      <w:r w:rsidRPr="00680837">
        <w:rPr>
          <w:szCs w:val="22"/>
          <w:lang w:val="en-GB"/>
        </w:rPr>
        <w:t xml:space="preserve"> that children in any case are living in family settings (Art</w:t>
      </w:r>
      <w:r>
        <w:rPr>
          <w:szCs w:val="22"/>
          <w:lang w:val="en-GB"/>
        </w:rPr>
        <w:t>icles</w:t>
      </w:r>
      <w:r w:rsidRPr="00680837">
        <w:rPr>
          <w:szCs w:val="22"/>
          <w:lang w:val="en-GB"/>
        </w:rPr>
        <w:t xml:space="preserve"> 7, 16, 18 and 23)</w:t>
      </w:r>
      <w:r>
        <w:rPr>
          <w:szCs w:val="22"/>
          <w:lang w:val="en-GB"/>
        </w:rPr>
        <w:t>.</w:t>
      </w:r>
    </w:p>
    <w:p w14:paraId="4EF123A7" w14:textId="4E3CDB84" w:rsidR="00101D89" w:rsidRPr="00680837" w:rsidRDefault="00101D89" w:rsidP="00126453">
      <w:pPr>
        <w:pStyle w:val="ListParagraph"/>
        <w:numPr>
          <w:ilvl w:val="0"/>
          <w:numId w:val="36"/>
        </w:numPr>
        <w:rPr>
          <w:szCs w:val="22"/>
          <w:lang w:val="en-GB"/>
        </w:rPr>
      </w:pPr>
      <w:r>
        <w:rPr>
          <w:szCs w:val="22"/>
          <w:lang w:val="en-GB"/>
        </w:rPr>
        <w:t>To e</w:t>
      </w:r>
      <w:r w:rsidRPr="00680837">
        <w:rPr>
          <w:szCs w:val="22"/>
          <w:lang w:val="en-GB"/>
        </w:rPr>
        <w:t>nsur</w:t>
      </w:r>
      <w:r>
        <w:rPr>
          <w:szCs w:val="22"/>
          <w:lang w:val="en-GB"/>
        </w:rPr>
        <w:t>e</w:t>
      </w:r>
      <w:r w:rsidRPr="00680837">
        <w:rPr>
          <w:szCs w:val="22"/>
          <w:lang w:val="en-GB"/>
        </w:rPr>
        <w:t xml:space="preserve"> that appropriate measures are taken to </w:t>
      </w:r>
      <w:r w:rsidRPr="00680837">
        <w:rPr>
          <w:b/>
          <w:szCs w:val="22"/>
          <w:lang w:val="en-GB"/>
        </w:rPr>
        <w:t>address the particular disadvantages faced by women</w:t>
      </w:r>
      <w:r w:rsidR="00126453">
        <w:rPr>
          <w:b/>
          <w:szCs w:val="22"/>
          <w:lang w:val="en-GB"/>
        </w:rPr>
        <w:t xml:space="preserve"> and girls</w:t>
      </w:r>
      <w:r w:rsidRPr="00680837">
        <w:rPr>
          <w:b/>
          <w:szCs w:val="22"/>
          <w:lang w:val="en-GB"/>
        </w:rPr>
        <w:t xml:space="preserve"> with disabilities</w:t>
      </w:r>
      <w:r w:rsidRPr="00680837">
        <w:rPr>
          <w:szCs w:val="22"/>
          <w:lang w:val="en-GB"/>
        </w:rPr>
        <w:t xml:space="preserve"> (Art</w:t>
      </w:r>
      <w:r>
        <w:rPr>
          <w:szCs w:val="22"/>
          <w:lang w:val="en-GB"/>
        </w:rPr>
        <w:t>icle</w:t>
      </w:r>
      <w:r w:rsidRPr="00680837">
        <w:rPr>
          <w:szCs w:val="22"/>
          <w:lang w:val="en-GB"/>
        </w:rPr>
        <w:t xml:space="preserve"> 6</w:t>
      </w:r>
      <w:r w:rsidR="00126453">
        <w:rPr>
          <w:szCs w:val="22"/>
          <w:lang w:val="en-GB"/>
        </w:rPr>
        <w:t xml:space="preserve"> and 28</w:t>
      </w:r>
      <w:r w:rsidRPr="00680837">
        <w:rPr>
          <w:szCs w:val="22"/>
          <w:lang w:val="en-GB"/>
        </w:rPr>
        <w:t>)</w:t>
      </w:r>
      <w:r w:rsidRPr="00680837">
        <w:rPr>
          <w:rStyle w:val="EndnoteReference"/>
          <w:szCs w:val="22"/>
          <w:lang w:val="en-GB"/>
        </w:rPr>
        <w:endnoteReference w:id="38"/>
      </w:r>
      <w:r w:rsidR="00126453">
        <w:rPr>
          <w:szCs w:val="22"/>
          <w:lang w:val="en-GB"/>
        </w:rPr>
        <w:t xml:space="preserve">. </w:t>
      </w:r>
    </w:p>
    <w:p w14:paraId="0914730A" w14:textId="08757F8B" w:rsidR="00101D89" w:rsidRPr="00680837" w:rsidRDefault="00101D89" w:rsidP="00C63862">
      <w:pPr>
        <w:pStyle w:val="ListParagraph"/>
        <w:numPr>
          <w:ilvl w:val="0"/>
          <w:numId w:val="36"/>
        </w:numPr>
        <w:rPr>
          <w:szCs w:val="22"/>
          <w:lang w:val="en-GB"/>
        </w:rPr>
      </w:pPr>
      <w:r>
        <w:rPr>
          <w:szCs w:val="22"/>
          <w:lang w:val="en-GB"/>
        </w:rPr>
        <w:t>To e</w:t>
      </w:r>
      <w:r w:rsidRPr="00680837">
        <w:rPr>
          <w:szCs w:val="22"/>
          <w:lang w:val="en-GB"/>
        </w:rPr>
        <w:t>nsur</w:t>
      </w:r>
      <w:r>
        <w:rPr>
          <w:szCs w:val="22"/>
          <w:lang w:val="en-GB"/>
        </w:rPr>
        <w:t>e</w:t>
      </w:r>
      <w:r w:rsidRPr="00680837">
        <w:rPr>
          <w:szCs w:val="22"/>
          <w:lang w:val="en-GB"/>
        </w:rPr>
        <w:t xml:space="preserve"> that all international cooperation programs are inclusive of and accessible to persons with disabilities (Art</w:t>
      </w:r>
      <w:r>
        <w:rPr>
          <w:szCs w:val="22"/>
          <w:lang w:val="en-GB"/>
        </w:rPr>
        <w:t>icle</w:t>
      </w:r>
      <w:r w:rsidRPr="00680837">
        <w:rPr>
          <w:szCs w:val="22"/>
          <w:lang w:val="en-GB"/>
        </w:rPr>
        <w:t xml:space="preserve"> 32) including in situations of humanitarian crisis (Art</w:t>
      </w:r>
      <w:r>
        <w:rPr>
          <w:szCs w:val="22"/>
          <w:lang w:val="en-GB"/>
        </w:rPr>
        <w:t>icle</w:t>
      </w:r>
      <w:r w:rsidRPr="00680837">
        <w:rPr>
          <w:szCs w:val="22"/>
          <w:lang w:val="en-GB"/>
        </w:rPr>
        <w:t xml:space="preserve"> 11)</w:t>
      </w:r>
      <w:r>
        <w:rPr>
          <w:szCs w:val="22"/>
          <w:lang w:val="en-GB"/>
        </w:rPr>
        <w:t>.</w:t>
      </w:r>
    </w:p>
    <w:p w14:paraId="2A6772BE" w14:textId="51BED13E" w:rsidR="00101D89" w:rsidRPr="00680837" w:rsidRDefault="00101D89" w:rsidP="005054B9">
      <w:pPr>
        <w:rPr>
          <w:b/>
          <w:szCs w:val="22"/>
          <w:lang w:val="en-GB"/>
        </w:rPr>
      </w:pPr>
      <w:r w:rsidRPr="00680837">
        <w:rPr>
          <w:szCs w:val="22"/>
          <w:lang w:val="en-GB"/>
        </w:rPr>
        <w:t xml:space="preserve">These obligations emphasize that </w:t>
      </w:r>
      <w:r w:rsidRPr="00680837">
        <w:rPr>
          <w:b/>
          <w:i/>
          <w:szCs w:val="22"/>
          <w:lang w:val="en-GB"/>
        </w:rPr>
        <w:t>social protection should always contribute to the empowerment, participation and inclusion of all persons with disabilities.</w:t>
      </w:r>
      <w:r w:rsidRPr="00680837">
        <w:rPr>
          <w:b/>
          <w:szCs w:val="22"/>
          <w:lang w:val="en-GB"/>
        </w:rPr>
        <w:t xml:space="preserve"> </w:t>
      </w:r>
    </w:p>
    <w:p w14:paraId="25F6ECCB" w14:textId="421D2EF5" w:rsidR="00101D89" w:rsidRPr="00680837" w:rsidRDefault="00101D89" w:rsidP="005054B9">
      <w:pPr>
        <w:rPr>
          <w:szCs w:val="22"/>
          <w:lang w:val="en-GB"/>
        </w:rPr>
      </w:pPr>
      <w:r w:rsidRPr="00680837">
        <w:rPr>
          <w:szCs w:val="22"/>
          <w:lang w:val="en-GB"/>
        </w:rPr>
        <w:t xml:space="preserve">The human rights-based approach to disability embraced by the </w:t>
      </w:r>
      <w:r w:rsidRPr="00680837">
        <w:rPr>
          <w:b/>
          <w:i/>
          <w:szCs w:val="22"/>
          <w:lang w:val="en-GB"/>
        </w:rPr>
        <w:t>CRPD has challenged the traditional perception of persons with disabilities</w:t>
      </w:r>
      <w:r>
        <w:rPr>
          <w:b/>
          <w:i/>
          <w:szCs w:val="22"/>
          <w:lang w:val="en-GB"/>
        </w:rPr>
        <w:t>,</w:t>
      </w:r>
      <w:r w:rsidRPr="00680837">
        <w:rPr>
          <w:b/>
          <w:i/>
          <w:szCs w:val="22"/>
          <w:lang w:val="en-GB"/>
        </w:rPr>
        <w:t xml:space="preserve"> le</w:t>
      </w:r>
      <w:r>
        <w:rPr>
          <w:b/>
          <w:i/>
          <w:szCs w:val="22"/>
          <w:lang w:val="en-GB"/>
        </w:rPr>
        <w:t>a</w:t>
      </w:r>
      <w:r w:rsidRPr="00680837">
        <w:rPr>
          <w:b/>
          <w:i/>
          <w:szCs w:val="22"/>
          <w:lang w:val="en-GB"/>
        </w:rPr>
        <w:t>d</w:t>
      </w:r>
      <w:r>
        <w:rPr>
          <w:b/>
          <w:i/>
          <w:szCs w:val="22"/>
          <w:lang w:val="en-GB"/>
        </w:rPr>
        <w:t>ing</w:t>
      </w:r>
      <w:r w:rsidRPr="00680837">
        <w:rPr>
          <w:b/>
          <w:i/>
          <w:szCs w:val="22"/>
          <w:lang w:val="en-GB"/>
        </w:rPr>
        <w:t xml:space="preserve"> to a paradigm shift. </w:t>
      </w:r>
      <w:r w:rsidRPr="00680837">
        <w:rPr>
          <w:szCs w:val="22"/>
          <w:lang w:val="en-GB"/>
        </w:rPr>
        <w:t xml:space="preserve">The CRPD highlights the major role of societal barriers in restricting </w:t>
      </w:r>
      <w:r>
        <w:rPr>
          <w:szCs w:val="22"/>
          <w:lang w:val="en-GB"/>
        </w:rPr>
        <w:t xml:space="preserve">the </w:t>
      </w:r>
      <w:r w:rsidRPr="00680837">
        <w:rPr>
          <w:szCs w:val="22"/>
          <w:lang w:val="en-GB"/>
        </w:rPr>
        <w:t>participation of persons with disabilities</w:t>
      </w:r>
      <w:r>
        <w:rPr>
          <w:szCs w:val="22"/>
          <w:lang w:val="en-GB"/>
        </w:rPr>
        <w:t xml:space="preserve"> and</w:t>
      </w:r>
      <w:r w:rsidRPr="00680837">
        <w:rPr>
          <w:szCs w:val="22"/>
          <w:lang w:val="en-GB"/>
        </w:rPr>
        <w:t xml:space="preserve"> sets out the steps that States should take to ensure that persons with disabilities are in</w:t>
      </w:r>
      <w:r>
        <w:rPr>
          <w:szCs w:val="22"/>
          <w:lang w:val="en-GB"/>
        </w:rPr>
        <w:t xml:space="preserve"> a</w:t>
      </w:r>
      <w:r w:rsidRPr="00680837">
        <w:rPr>
          <w:szCs w:val="22"/>
          <w:lang w:val="en-GB"/>
        </w:rPr>
        <w:t xml:space="preserve"> position to enjoy and exercise all their human rights on an equal basis with </w:t>
      </w:r>
      <w:r>
        <w:rPr>
          <w:szCs w:val="22"/>
          <w:lang w:val="en-GB"/>
        </w:rPr>
        <w:t>persons without disabilities</w:t>
      </w:r>
      <w:r w:rsidRPr="00680837">
        <w:rPr>
          <w:szCs w:val="22"/>
          <w:lang w:val="en-GB"/>
        </w:rPr>
        <w:t xml:space="preserve">. </w:t>
      </w:r>
    </w:p>
    <w:p w14:paraId="200AB0B3" w14:textId="37B70165" w:rsidR="00101D89" w:rsidRPr="00680837" w:rsidRDefault="00101D89" w:rsidP="009B4F9B">
      <w:pPr>
        <w:rPr>
          <w:szCs w:val="22"/>
          <w:lang w:val="en-GB"/>
        </w:rPr>
      </w:pPr>
      <w:r w:rsidRPr="00680837">
        <w:rPr>
          <w:b/>
          <w:i/>
          <w:szCs w:val="22"/>
          <w:lang w:val="en-GB"/>
        </w:rPr>
        <w:t xml:space="preserve">Historically, social protection </w:t>
      </w:r>
      <w:r>
        <w:rPr>
          <w:b/>
          <w:i/>
          <w:szCs w:val="22"/>
          <w:lang w:val="en-GB"/>
        </w:rPr>
        <w:t>viewed</w:t>
      </w:r>
      <w:r w:rsidRPr="00680837">
        <w:rPr>
          <w:b/>
          <w:i/>
          <w:szCs w:val="22"/>
          <w:lang w:val="en-GB"/>
        </w:rPr>
        <w:t xml:space="preserve"> disability essentially through the lens of</w:t>
      </w:r>
      <w:r>
        <w:rPr>
          <w:b/>
          <w:i/>
          <w:szCs w:val="22"/>
          <w:lang w:val="en-GB"/>
        </w:rPr>
        <w:t xml:space="preserve"> a</w:t>
      </w:r>
      <w:r w:rsidRPr="00680837">
        <w:rPr>
          <w:b/>
          <w:i/>
          <w:szCs w:val="22"/>
          <w:lang w:val="en-GB"/>
        </w:rPr>
        <w:t xml:space="preserve"> loss of capacity or incapacity to earn income</w:t>
      </w:r>
      <w:r>
        <w:rPr>
          <w:b/>
          <w:i/>
          <w:szCs w:val="22"/>
          <w:lang w:val="en-GB"/>
        </w:rPr>
        <w:t>.</w:t>
      </w:r>
      <w:r w:rsidRPr="00680837">
        <w:rPr>
          <w:b/>
          <w:i/>
          <w:szCs w:val="22"/>
          <w:lang w:val="en-GB"/>
        </w:rPr>
        <w:t xml:space="preserve"> </w:t>
      </w:r>
      <w:r>
        <w:rPr>
          <w:b/>
          <w:i/>
          <w:szCs w:val="22"/>
          <w:lang w:val="en-GB"/>
        </w:rPr>
        <w:t>C</w:t>
      </w:r>
      <w:r w:rsidRPr="00680837">
        <w:rPr>
          <w:b/>
          <w:i/>
          <w:szCs w:val="22"/>
          <w:lang w:val="en-GB"/>
        </w:rPr>
        <w:t xml:space="preserve">onsequently, persons with disabilities were considered </w:t>
      </w:r>
      <w:r>
        <w:rPr>
          <w:b/>
          <w:i/>
          <w:szCs w:val="22"/>
          <w:lang w:val="en-GB"/>
        </w:rPr>
        <w:t xml:space="preserve">to be </w:t>
      </w:r>
      <w:r w:rsidRPr="00680837">
        <w:rPr>
          <w:b/>
          <w:i/>
          <w:szCs w:val="22"/>
          <w:lang w:val="en-GB"/>
        </w:rPr>
        <w:t xml:space="preserve">one of the groups </w:t>
      </w:r>
      <w:r w:rsidR="00BF0080">
        <w:rPr>
          <w:b/>
          <w:i/>
          <w:szCs w:val="22"/>
          <w:lang w:val="en-GB"/>
        </w:rPr>
        <w:t>which required</w:t>
      </w:r>
      <w:r w:rsidR="00BF0080" w:rsidRPr="00680837">
        <w:rPr>
          <w:b/>
          <w:i/>
          <w:szCs w:val="22"/>
          <w:lang w:val="en-GB"/>
        </w:rPr>
        <w:t xml:space="preserve"> </w:t>
      </w:r>
      <w:r w:rsidRPr="00680837">
        <w:rPr>
          <w:b/>
          <w:i/>
          <w:szCs w:val="22"/>
          <w:lang w:val="en-GB"/>
        </w:rPr>
        <w:t>protection</w:t>
      </w:r>
      <w:r w:rsidRPr="00680837">
        <w:rPr>
          <w:rStyle w:val="EndnoteReference"/>
          <w:b/>
          <w:i/>
          <w:szCs w:val="22"/>
          <w:lang w:val="en-GB"/>
        </w:rPr>
        <w:endnoteReference w:id="39"/>
      </w:r>
      <w:r w:rsidR="00EE3D6F">
        <w:rPr>
          <w:b/>
          <w:i/>
          <w:szCs w:val="22"/>
          <w:lang w:val="en-GB"/>
        </w:rPr>
        <w:t xml:space="preserve"> </w:t>
      </w:r>
      <w:r w:rsidRPr="00680837">
        <w:rPr>
          <w:b/>
          <w:i/>
          <w:szCs w:val="22"/>
          <w:lang w:val="en-GB"/>
        </w:rPr>
        <w:t>rather than support</w:t>
      </w:r>
      <w:r w:rsidRPr="00680837">
        <w:rPr>
          <w:szCs w:val="22"/>
          <w:lang w:val="en-GB"/>
        </w:rPr>
        <w:t>. This approach reflects a societal perspective on disability as an individual problem</w:t>
      </w:r>
      <w:r>
        <w:rPr>
          <w:szCs w:val="22"/>
          <w:lang w:val="en-GB"/>
        </w:rPr>
        <w:t xml:space="preserve"> which</w:t>
      </w:r>
      <w:r w:rsidRPr="00680837">
        <w:rPr>
          <w:szCs w:val="22"/>
          <w:lang w:val="en-GB"/>
        </w:rPr>
        <w:t xml:space="preserve"> ignor</w:t>
      </w:r>
      <w:r>
        <w:rPr>
          <w:szCs w:val="22"/>
          <w:lang w:val="en-GB"/>
        </w:rPr>
        <w:t>es</w:t>
      </w:r>
      <w:r w:rsidRPr="00680837">
        <w:rPr>
          <w:szCs w:val="22"/>
          <w:lang w:val="en-GB"/>
        </w:rPr>
        <w:t xml:space="preserve"> the negative impact of social barriers and attitudes</w:t>
      </w:r>
      <w:r w:rsidRPr="00DC22AF">
        <w:rPr>
          <w:szCs w:val="22"/>
          <w:lang w:val="en-GB"/>
        </w:rPr>
        <w:t xml:space="preserve"> and is based on very low, if any, expectations for persons with disabilities to be able to contribute actively to society</w:t>
      </w:r>
      <w:r w:rsidRPr="00680837">
        <w:rPr>
          <w:szCs w:val="22"/>
          <w:lang w:val="en-GB"/>
        </w:rPr>
        <w:t xml:space="preserve">. As a </w:t>
      </w:r>
      <w:r>
        <w:rPr>
          <w:szCs w:val="22"/>
          <w:lang w:val="en-GB"/>
        </w:rPr>
        <w:t>result</w:t>
      </w:r>
      <w:r w:rsidRPr="00680837">
        <w:rPr>
          <w:szCs w:val="22"/>
          <w:lang w:val="en-GB"/>
        </w:rPr>
        <w:t xml:space="preserve">, many social protection policies focus solely on providing a basic level of subsistence or maintaining income after a loss of earning capacity in ways that may not promote participation and inclusion. </w:t>
      </w:r>
    </w:p>
    <w:p w14:paraId="03FFB314" w14:textId="519DF5A1" w:rsidR="00101D89" w:rsidRPr="00680837" w:rsidRDefault="00101D89" w:rsidP="00384450">
      <w:pPr>
        <w:rPr>
          <w:szCs w:val="22"/>
          <w:lang w:val="en-GB"/>
        </w:rPr>
      </w:pPr>
      <w:r w:rsidRPr="009A7CD9">
        <w:rPr>
          <w:szCs w:val="22"/>
          <w:lang w:val="en-GB"/>
        </w:rPr>
        <w:t>Th</w:t>
      </w:r>
      <w:r w:rsidRPr="00DC22AF">
        <w:rPr>
          <w:szCs w:val="22"/>
          <w:lang w:val="en-GB"/>
        </w:rPr>
        <w:t>e</w:t>
      </w:r>
      <w:r w:rsidRPr="009A7CD9">
        <w:rPr>
          <w:szCs w:val="22"/>
          <w:lang w:val="en-GB"/>
        </w:rPr>
        <w:t xml:space="preserve"> shift of paradigm</w:t>
      </w:r>
      <w:r w:rsidRPr="00DC22AF">
        <w:rPr>
          <w:szCs w:val="22"/>
          <w:lang w:val="en-GB"/>
        </w:rPr>
        <w:t xml:space="preserve"> initiated by the CRPD</w:t>
      </w:r>
      <w:r w:rsidRPr="009A7CD9">
        <w:rPr>
          <w:szCs w:val="22"/>
          <w:lang w:val="en-GB"/>
        </w:rPr>
        <w:t xml:space="preserve"> implies a</w:t>
      </w:r>
      <w:r w:rsidRPr="004375AD">
        <w:rPr>
          <w:szCs w:val="22"/>
          <w:lang w:val="en-GB"/>
        </w:rPr>
        <w:t xml:space="preserve"> change of perspective in the d</w:t>
      </w:r>
      <w:r w:rsidRPr="00EB5908">
        <w:rPr>
          <w:szCs w:val="22"/>
          <w:lang w:val="en-GB"/>
        </w:rPr>
        <w:t xml:space="preserve">esign of social protection policies mostly </w:t>
      </w:r>
      <w:r w:rsidRPr="00DC22AF">
        <w:rPr>
          <w:szCs w:val="22"/>
          <w:lang w:val="en-GB"/>
        </w:rPr>
        <w:t xml:space="preserve">focussing </w:t>
      </w:r>
      <w:r w:rsidRPr="009A7CD9">
        <w:rPr>
          <w:szCs w:val="22"/>
          <w:lang w:val="en-GB"/>
        </w:rPr>
        <w:t>on three</w:t>
      </w:r>
      <w:r w:rsidRPr="004375AD">
        <w:rPr>
          <w:szCs w:val="22"/>
          <w:lang w:val="en-GB"/>
        </w:rPr>
        <w:t xml:space="preserve"> </w:t>
      </w:r>
      <w:r w:rsidRPr="00EB5908">
        <w:rPr>
          <w:szCs w:val="22"/>
          <w:lang w:val="en-GB"/>
        </w:rPr>
        <w:t>interrelated issues:</w:t>
      </w:r>
    </w:p>
    <w:p w14:paraId="27601D5A" w14:textId="203928C2" w:rsidR="00101D89" w:rsidRPr="00680837" w:rsidRDefault="00101D89" w:rsidP="006411DF">
      <w:pPr>
        <w:pStyle w:val="ListParagraph"/>
        <w:numPr>
          <w:ilvl w:val="0"/>
          <w:numId w:val="6"/>
        </w:numPr>
        <w:ind w:left="709"/>
        <w:rPr>
          <w:szCs w:val="22"/>
          <w:lang w:val="en-GB"/>
        </w:rPr>
      </w:pPr>
      <w:r w:rsidRPr="00680837">
        <w:rPr>
          <w:b/>
          <w:szCs w:val="22"/>
          <w:lang w:val="en-GB"/>
        </w:rPr>
        <w:t>Moving away from an “incapacity to work” approach</w:t>
      </w:r>
      <w:r w:rsidRPr="00680837">
        <w:rPr>
          <w:szCs w:val="22"/>
          <w:lang w:val="en-GB"/>
        </w:rPr>
        <w:t>:</w:t>
      </w:r>
      <w:r w:rsidRPr="00680837">
        <w:rPr>
          <w:b/>
          <w:szCs w:val="22"/>
          <w:lang w:val="en-GB"/>
        </w:rPr>
        <w:t xml:space="preserve"> </w:t>
      </w:r>
      <w:r w:rsidRPr="00680837">
        <w:rPr>
          <w:szCs w:val="22"/>
          <w:lang w:val="en-GB"/>
        </w:rPr>
        <w:t>The vast majority of persons with disabilities, including those with intellectual or psychosocial disabilities, would be in a position to work in more</w:t>
      </w:r>
      <w:r>
        <w:rPr>
          <w:szCs w:val="22"/>
          <w:lang w:val="en-GB"/>
        </w:rPr>
        <w:t xml:space="preserve"> </w:t>
      </w:r>
      <w:r w:rsidRPr="00680837">
        <w:rPr>
          <w:szCs w:val="22"/>
          <w:lang w:val="en-GB"/>
        </w:rPr>
        <w:t>inclusive labour markets.</w:t>
      </w:r>
      <w:r w:rsidRPr="00680837">
        <w:rPr>
          <w:b/>
          <w:szCs w:val="22"/>
          <w:lang w:val="en-GB"/>
        </w:rPr>
        <w:t xml:space="preserve"> </w:t>
      </w:r>
      <w:r w:rsidRPr="00680837">
        <w:rPr>
          <w:szCs w:val="22"/>
          <w:lang w:val="en-GB"/>
        </w:rPr>
        <w:t xml:space="preserve">However, persons with disabilities </w:t>
      </w:r>
      <w:r>
        <w:rPr>
          <w:szCs w:val="22"/>
          <w:lang w:val="en-GB"/>
        </w:rPr>
        <w:t>often must</w:t>
      </w:r>
      <w:r w:rsidRPr="00680837">
        <w:rPr>
          <w:szCs w:val="22"/>
          <w:lang w:val="en-GB"/>
        </w:rPr>
        <w:t xml:space="preserve"> be officially certified as being “unable to work” in order to access contributory and non-contributory social protection programmes. </w:t>
      </w:r>
      <w:r w:rsidRPr="004375AD">
        <w:rPr>
          <w:szCs w:val="22"/>
          <w:lang w:val="en-GB"/>
        </w:rPr>
        <w:t>This</w:t>
      </w:r>
      <w:r w:rsidRPr="00EB5908">
        <w:rPr>
          <w:szCs w:val="22"/>
          <w:lang w:val="en-GB"/>
        </w:rPr>
        <w:t xml:space="preserve"> is in contradiction with the CRPD</w:t>
      </w:r>
      <w:r w:rsidRPr="00EB5908">
        <w:rPr>
          <w:rStyle w:val="EndnoteReference"/>
          <w:szCs w:val="22"/>
          <w:lang w:val="en-GB"/>
        </w:rPr>
        <w:endnoteReference w:id="40"/>
      </w:r>
      <w:r w:rsidRPr="00EB5908">
        <w:rPr>
          <w:szCs w:val="22"/>
          <w:lang w:val="en-GB"/>
        </w:rPr>
        <w:t xml:space="preserve"> which</w:t>
      </w:r>
      <w:r w:rsidR="00BF0080">
        <w:rPr>
          <w:szCs w:val="22"/>
          <w:lang w:val="en-GB"/>
        </w:rPr>
        <w:t>,</w:t>
      </w:r>
      <w:r w:rsidRPr="00EB5908">
        <w:rPr>
          <w:szCs w:val="22"/>
          <w:lang w:val="en-GB"/>
        </w:rPr>
        <w:t xml:space="preserve"> in its </w:t>
      </w:r>
      <w:r w:rsidRPr="00DC22AF">
        <w:rPr>
          <w:szCs w:val="22"/>
          <w:lang w:val="en-GB"/>
        </w:rPr>
        <w:t>A</w:t>
      </w:r>
      <w:r w:rsidRPr="00EB5908">
        <w:rPr>
          <w:szCs w:val="22"/>
          <w:lang w:val="en-GB"/>
        </w:rPr>
        <w:t>rticle 27</w:t>
      </w:r>
      <w:r w:rsidR="00BF0080">
        <w:rPr>
          <w:szCs w:val="22"/>
          <w:lang w:val="en-GB"/>
        </w:rPr>
        <w:t>,</w:t>
      </w:r>
      <w:r w:rsidRPr="00EB5908">
        <w:rPr>
          <w:szCs w:val="22"/>
          <w:lang w:val="en-GB"/>
        </w:rPr>
        <w:t xml:space="preserve"> </w:t>
      </w:r>
      <w:r w:rsidR="00DC22AF">
        <w:rPr>
          <w:szCs w:val="22"/>
          <w:lang w:val="en-GB"/>
        </w:rPr>
        <w:t>sets</w:t>
      </w:r>
      <w:r w:rsidR="00DC22AF" w:rsidRPr="00EB5908">
        <w:rPr>
          <w:szCs w:val="22"/>
          <w:lang w:val="en-GB"/>
        </w:rPr>
        <w:t xml:space="preserve"> </w:t>
      </w:r>
      <w:r w:rsidRPr="00EB5908">
        <w:rPr>
          <w:szCs w:val="22"/>
          <w:lang w:val="en-GB"/>
        </w:rPr>
        <w:t xml:space="preserve">out the obligations of </w:t>
      </w:r>
      <w:r w:rsidRPr="00DC22AF">
        <w:rPr>
          <w:szCs w:val="22"/>
          <w:lang w:val="en-GB"/>
        </w:rPr>
        <w:t>S</w:t>
      </w:r>
      <w:r w:rsidRPr="00EB5908">
        <w:rPr>
          <w:szCs w:val="22"/>
          <w:lang w:val="en-GB"/>
        </w:rPr>
        <w:t>tates to ensure that persons with disabilities have equal opportunities to work and employment</w:t>
      </w:r>
      <w:r w:rsidRPr="00680837">
        <w:rPr>
          <w:rStyle w:val="EndnoteReference"/>
          <w:szCs w:val="22"/>
          <w:lang w:val="en-GB"/>
        </w:rPr>
        <w:endnoteReference w:id="41"/>
      </w:r>
      <w:r w:rsidRPr="00680837">
        <w:rPr>
          <w:szCs w:val="22"/>
          <w:lang w:val="en-GB"/>
        </w:rPr>
        <w:t xml:space="preserve">. </w:t>
      </w:r>
      <w:r w:rsidR="00BF0080">
        <w:rPr>
          <w:szCs w:val="22"/>
          <w:lang w:val="en-GB"/>
        </w:rPr>
        <w:t>A</w:t>
      </w:r>
      <w:r w:rsidRPr="00680837">
        <w:rPr>
          <w:szCs w:val="22"/>
          <w:lang w:val="en-GB"/>
        </w:rPr>
        <w:t>n</w:t>
      </w:r>
      <w:r w:rsidR="00BF0080">
        <w:rPr>
          <w:szCs w:val="22"/>
          <w:lang w:val="en-GB"/>
        </w:rPr>
        <w:t xml:space="preserve"> “incapacity to work”</w:t>
      </w:r>
      <w:r w:rsidRPr="00680837">
        <w:rPr>
          <w:szCs w:val="22"/>
          <w:lang w:val="en-GB"/>
        </w:rPr>
        <w:t xml:space="preserve"> approach creates barriers and disincentives to seize or retain employment opportunities, instead of providing persons with disabilities with the support they require to engage in employment. </w:t>
      </w:r>
      <w:r>
        <w:rPr>
          <w:b/>
          <w:i/>
          <w:szCs w:val="22"/>
          <w:lang w:val="en-GB"/>
        </w:rPr>
        <w:t>A</w:t>
      </w:r>
      <w:r w:rsidRPr="00680837">
        <w:rPr>
          <w:b/>
          <w:i/>
          <w:szCs w:val="22"/>
          <w:lang w:val="en-GB"/>
        </w:rPr>
        <w:t xml:space="preserve"> new enabling approach</w:t>
      </w:r>
      <w:r>
        <w:rPr>
          <w:b/>
          <w:i/>
          <w:szCs w:val="22"/>
          <w:lang w:val="en-GB"/>
        </w:rPr>
        <w:t xml:space="preserve"> is needed</w:t>
      </w:r>
      <w:r w:rsidRPr="00680837">
        <w:rPr>
          <w:b/>
          <w:i/>
          <w:szCs w:val="22"/>
          <w:lang w:val="en-GB"/>
        </w:rPr>
        <w:t xml:space="preserve"> that recognizes the capacities of all persons with disabilities and addresses the barriers which they face in the labour market. </w:t>
      </w:r>
      <w:r w:rsidR="00E94405">
        <w:rPr>
          <w:b/>
          <w:i/>
          <w:szCs w:val="22"/>
          <w:lang w:val="en-GB"/>
        </w:rPr>
        <w:t>Such approach sh</w:t>
      </w:r>
      <w:r w:rsidR="006411DF">
        <w:rPr>
          <w:b/>
          <w:i/>
          <w:szCs w:val="22"/>
          <w:lang w:val="en-GB"/>
        </w:rPr>
        <w:t>ould promote a</w:t>
      </w:r>
      <w:r w:rsidRPr="00680837">
        <w:rPr>
          <w:b/>
          <w:i/>
          <w:szCs w:val="22"/>
          <w:lang w:val="en-GB"/>
        </w:rPr>
        <w:t>n adequate and flexible combination of income security and disability-related support</w:t>
      </w:r>
      <w:r w:rsidR="00DC22AF">
        <w:rPr>
          <w:b/>
          <w:i/>
          <w:szCs w:val="22"/>
          <w:lang w:val="en-GB"/>
        </w:rPr>
        <w:t xml:space="preserve"> </w:t>
      </w:r>
      <w:r w:rsidRPr="00680837">
        <w:rPr>
          <w:b/>
          <w:i/>
          <w:szCs w:val="22"/>
          <w:lang w:val="en-GB"/>
        </w:rPr>
        <w:t xml:space="preserve">to promote economic empowerment. </w:t>
      </w:r>
    </w:p>
    <w:p w14:paraId="47B607FF" w14:textId="1A507911" w:rsidR="00101D89" w:rsidRPr="00680837" w:rsidRDefault="00101D89" w:rsidP="00880DA7">
      <w:pPr>
        <w:pStyle w:val="ListParagraph"/>
        <w:numPr>
          <w:ilvl w:val="0"/>
          <w:numId w:val="6"/>
        </w:numPr>
        <w:rPr>
          <w:b/>
          <w:i/>
          <w:szCs w:val="22"/>
          <w:lang w:val="en-GB"/>
        </w:rPr>
      </w:pPr>
      <w:r w:rsidRPr="00680837">
        <w:rPr>
          <w:b/>
          <w:szCs w:val="22"/>
          <w:lang w:val="en-GB"/>
        </w:rPr>
        <w:t>From institutionalized care to support for living in the community</w:t>
      </w:r>
      <w:r w:rsidRPr="00680837">
        <w:rPr>
          <w:szCs w:val="22"/>
          <w:lang w:val="en-GB"/>
        </w:rPr>
        <w:t xml:space="preserve">: Many countries still concentrate their resources </w:t>
      </w:r>
      <w:r w:rsidR="00BF0080">
        <w:rPr>
          <w:szCs w:val="22"/>
          <w:lang w:val="en-GB"/>
        </w:rPr>
        <w:t>for the</w:t>
      </w:r>
      <w:r w:rsidRPr="00680837">
        <w:rPr>
          <w:szCs w:val="22"/>
          <w:lang w:val="en-GB"/>
        </w:rPr>
        <w:t xml:space="preserve"> care </w:t>
      </w:r>
      <w:r w:rsidR="00BF0080">
        <w:rPr>
          <w:szCs w:val="22"/>
          <w:lang w:val="en-GB"/>
        </w:rPr>
        <w:t>of</w:t>
      </w:r>
      <w:r w:rsidRPr="00680837">
        <w:rPr>
          <w:szCs w:val="22"/>
          <w:lang w:val="en-GB"/>
        </w:rPr>
        <w:t xml:space="preserve"> children and adults with disabilities in residential institutions. The CRPD</w:t>
      </w:r>
      <w:r w:rsidRPr="00680837">
        <w:rPr>
          <w:rStyle w:val="EndnoteReference"/>
          <w:rFonts w:cs="Times New Roman"/>
          <w:lang w:val="en-GB"/>
        </w:rPr>
        <w:endnoteReference w:id="42"/>
      </w:r>
      <w:r w:rsidRPr="00680837">
        <w:rPr>
          <w:szCs w:val="22"/>
          <w:lang w:val="en-GB"/>
        </w:rPr>
        <w:t xml:space="preserve"> clearly </w:t>
      </w:r>
      <w:r w:rsidR="00DC22AF">
        <w:rPr>
          <w:szCs w:val="22"/>
          <w:lang w:val="en-GB"/>
        </w:rPr>
        <w:t>states</w:t>
      </w:r>
      <w:r w:rsidR="00DC22AF" w:rsidRPr="00680837">
        <w:rPr>
          <w:szCs w:val="22"/>
          <w:lang w:val="en-GB"/>
        </w:rPr>
        <w:t xml:space="preserve"> </w:t>
      </w:r>
      <w:r w:rsidRPr="00680837">
        <w:rPr>
          <w:szCs w:val="22"/>
          <w:lang w:val="en-GB"/>
        </w:rPr>
        <w:t>that these segregated institutional options violate the rights of persons with disabilities.</w:t>
      </w:r>
      <w:r>
        <w:rPr>
          <w:szCs w:val="22"/>
          <w:lang w:val="en-GB"/>
        </w:rPr>
        <w:t xml:space="preserve"> </w:t>
      </w:r>
      <w:r w:rsidRPr="00680837">
        <w:rPr>
          <w:szCs w:val="22"/>
          <w:lang w:val="en-GB"/>
        </w:rPr>
        <w:t>Instead, States should provide support that allows children with disabilities to stay with their families and persons with disabilities to live independently in their community.</w:t>
      </w:r>
      <w:r>
        <w:rPr>
          <w:szCs w:val="22"/>
          <w:lang w:val="en-GB"/>
        </w:rPr>
        <w:t xml:space="preserve"> </w:t>
      </w:r>
      <w:r w:rsidRPr="00680837">
        <w:rPr>
          <w:szCs w:val="22"/>
          <w:lang w:val="en-GB"/>
        </w:rPr>
        <w:t xml:space="preserve">The key drivers behind institutionalisation are </w:t>
      </w:r>
      <w:r>
        <w:rPr>
          <w:szCs w:val="22"/>
          <w:lang w:val="en-GB"/>
        </w:rPr>
        <w:t>a</w:t>
      </w:r>
      <w:r w:rsidRPr="00680837">
        <w:rPr>
          <w:szCs w:val="22"/>
          <w:lang w:val="en-GB"/>
        </w:rPr>
        <w:t xml:space="preserve"> lack support </w:t>
      </w:r>
      <w:r>
        <w:rPr>
          <w:szCs w:val="22"/>
          <w:lang w:val="en-GB"/>
        </w:rPr>
        <w:t>for</w:t>
      </w:r>
      <w:r w:rsidRPr="00680837">
        <w:rPr>
          <w:szCs w:val="22"/>
          <w:lang w:val="en-GB"/>
        </w:rPr>
        <w:t xml:space="preserve"> individual</w:t>
      </w:r>
      <w:r>
        <w:rPr>
          <w:szCs w:val="22"/>
          <w:lang w:val="en-GB"/>
        </w:rPr>
        <w:t>s</w:t>
      </w:r>
      <w:r w:rsidRPr="00680837">
        <w:rPr>
          <w:szCs w:val="22"/>
          <w:lang w:val="en-GB"/>
        </w:rPr>
        <w:t xml:space="preserve"> and families and poverty</w:t>
      </w:r>
      <w:r w:rsidRPr="00680837">
        <w:rPr>
          <w:rStyle w:val="EndnoteReference"/>
          <w:szCs w:val="22"/>
          <w:lang w:val="en-GB"/>
        </w:rPr>
        <w:endnoteReference w:id="43"/>
      </w:r>
      <w:r w:rsidRPr="00680837">
        <w:rPr>
          <w:szCs w:val="22"/>
          <w:lang w:val="en-GB"/>
        </w:rPr>
        <w:t>.</w:t>
      </w:r>
      <w:r>
        <w:rPr>
          <w:szCs w:val="22"/>
          <w:lang w:val="en-GB"/>
        </w:rPr>
        <w:t xml:space="preserve"> </w:t>
      </w:r>
      <w:r w:rsidRPr="00680837">
        <w:rPr>
          <w:b/>
          <w:i/>
          <w:lang w:val="en-GB"/>
        </w:rPr>
        <w:t xml:space="preserve">In combination with other policies, social protection </w:t>
      </w:r>
      <w:r>
        <w:rPr>
          <w:b/>
          <w:i/>
          <w:lang w:val="en-GB"/>
        </w:rPr>
        <w:t>plays a</w:t>
      </w:r>
      <w:r w:rsidRPr="00680837">
        <w:rPr>
          <w:b/>
          <w:i/>
          <w:lang w:val="en-GB"/>
        </w:rPr>
        <w:t xml:space="preserve"> key role in preventing institutionalisation.</w:t>
      </w:r>
      <w:r>
        <w:rPr>
          <w:b/>
          <w:i/>
          <w:lang w:val="en-GB"/>
        </w:rPr>
        <w:t xml:space="preserve"> </w:t>
      </w:r>
      <w:r w:rsidRPr="00680837">
        <w:rPr>
          <w:b/>
          <w:i/>
          <w:lang w:val="en-GB"/>
        </w:rPr>
        <w:t xml:space="preserve">It can help </w:t>
      </w:r>
      <w:r>
        <w:rPr>
          <w:b/>
          <w:i/>
          <w:lang w:val="en-GB"/>
        </w:rPr>
        <w:t xml:space="preserve">to </w:t>
      </w:r>
      <w:r w:rsidRPr="00680837">
        <w:rPr>
          <w:b/>
          <w:i/>
          <w:lang w:val="en-GB"/>
        </w:rPr>
        <w:t>tackle poverty and support coverage of disability-related cost</w:t>
      </w:r>
      <w:r>
        <w:rPr>
          <w:b/>
          <w:i/>
          <w:lang w:val="en-GB"/>
        </w:rPr>
        <w:t>s</w:t>
      </w:r>
      <w:r w:rsidRPr="00680837">
        <w:rPr>
          <w:b/>
          <w:i/>
          <w:lang w:val="en-GB"/>
        </w:rPr>
        <w:t>, as well as facilitate or incentivize the development of community support services</w:t>
      </w:r>
      <w:r>
        <w:rPr>
          <w:b/>
          <w:i/>
          <w:lang w:val="en-GB"/>
        </w:rPr>
        <w:t xml:space="preserve"> which</w:t>
      </w:r>
      <w:r w:rsidRPr="00680837">
        <w:rPr>
          <w:b/>
          <w:i/>
          <w:lang w:val="en-GB"/>
        </w:rPr>
        <w:t xml:space="preserve"> </w:t>
      </w:r>
      <w:r w:rsidRPr="00680837">
        <w:rPr>
          <w:b/>
          <w:i/>
          <w:szCs w:val="22"/>
          <w:lang w:val="en-GB"/>
        </w:rPr>
        <w:t>foster</w:t>
      </w:r>
      <w:r>
        <w:rPr>
          <w:b/>
          <w:i/>
          <w:szCs w:val="22"/>
          <w:lang w:val="en-GB"/>
        </w:rPr>
        <w:t xml:space="preserve"> the</w:t>
      </w:r>
      <w:r w:rsidRPr="00680837">
        <w:rPr>
          <w:b/>
          <w:i/>
          <w:szCs w:val="22"/>
          <w:lang w:val="en-GB"/>
        </w:rPr>
        <w:t xml:space="preserve"> full and effective participation, choice and control of persons with disabilities.</w:t>
      </w:r>
    </w:p>
    <w:p w14:paraId="4E9FAC25" w14:textId="1EAEC26A" w:rsidR="00101D89" w:rsidRPr="00680837" w:rsidRDefault="00101D89" w:rsidP="001F2240">
      <w:pPr>
        <w:pStyle w:val="ListParagraph"/>
        <w:numPr>
          <w:ilvl w:val="0"/>
          <w:numId w:val="6"/>
        </w:numPr>
        <w:rPr>
          <w:b/>
          <w:i/>
          <w:szCs w:val="22"/>
          <w:lang w:val="en-GB"/>
        </w:rPr>
      </w:pPr>
      <w:r w:rsidRPr="00680837">
        <w:rPr>
          <w:b/>
          <w:i/>
          <w:szCs w:val="22"/>
          <w:lang w:val="en-GB"/>
        </w:rPr>
        <w:t>Beyond one-size-fits-all eligibility thresholds and benefit levels:</w:t>
      </w:r>
      <w:r w:rsidRPr="00680837">
        <w:rPr>
          <w:szCs w:val="22"/>
          <w:lang w:val="en-GB"/>
        </w:rPr>
        <w:t xml:space="preserve"> Persons with disabilities often face significant disability-related </w:t>
      </w:r>
      <w:r w:rsidRPr="00680837">
        <w:rPr>
          <w:rFonts w:cs="Arial"/>
          <w:szCs w:val="22"/>
          <w:lang w:val="en-GB"/>
        </w:rPr>
        <w:t>costs</w:t>
      </w:r>
      <w:r>
        <w:rPr>
          <w:rFonts w:cs="Arial"/>
          <w:szCs w:val="22"/>
          <w:lang w:val="en-GB"/>
        </w:rPr>
        <w:t xml:space="preserve"> and therefore require</w:t>
      </w:r>
      <w:r w:rsidRPr="00680837">
        <w:rPr>
          <w:rFonts w:cs="Arial"/>
          <w:szCs w:val="22"/>
          <w:lang w:val="en-GB"/>
        </w:rPr>
        <w:t xml:space="preserve"> more resources to achieve the same standard of living as person</w:t>
      </w:r>
      <w:r>
        <w:rPr>
          <w:rFonts w:cs="Arial"/>
          <w:szCs w:val="22"/>
          <w:lang w:val="en-GB"/>
        </w:rPr>
        <w:t>s without disabilities</w:t>
      </w:r>
      <w:r w:rsidRPr="00680837">
        <w:rPr>
          <w:rFonts w:cs="Arial"/>
          <w:szCs w:val="22"/>
          <w:lang w:val="en-GB"/>
        </w:rPr>
        <w:t xml:space="preserve">. However, in many countries </w:t>
      </w:r>
      <w:r w:rsidRPr="00680837">
        <w:rPr>
          <w:szCs w:val="22"/>
          <w:lang w:val="en-GB"/>
        </w:rPr>
        <w:t>eligibility</w:t>
      </w:r>
      <w:r w:rsidRPr="00680837">
        <w:rPr>
          <w:b/>
          <w:i/>
          <w:szCs w:val="22"/>
          <w:lang w:val="en-GB"/>
        </w:rPr>
        <w:t xml:space="preserve"> </w:t>
      </w:r>
      <w:r w:rsidRPr="00680837">
        <w:rPr>
          <w:rFonts w:cs="Arial"/>
          <w:szCs w:val="22"/>
          <w:lang w:val="en-GB"/>
        </w:rPr>
        <w:t>thresholds for means-tested or proxy means-tested</w:t>
      </w:r>
      <w:r>
        <w:rPr>
          <w:rFonts w:cs="Arial"/>
          <w:szCs w:val="22"/>
          <w:lang w:val="en-GB"/>
        </w:rPr>
        <w:t xml:space="preserve"> social assistance</w:t>
      </w:r>
      <w:r w:rsidRPr="00680837">
        <w:rPr>
          <w:rFonts w:cs="Arial"/>
          <w:szCs w:val="22"/>
          <w:lang w:val="en-GB"/>
        </w:rPr>
        <w:t xml:space="preserve"> programmes</w:t>
      </w:r>
      <w:r w:rsidRPr="00680837">
        <w:rPr>
          <w:rStyle w:val="EndnoteReference"/>
          <w:rFonts w:cs="Arial"/>
          <w:szCs w:val="22"/>
          <w:lang w:val="en-GB"/>
        </w:rPr>
        <w:endnoteReference w:id="44"/>
      </w:r>
      <w:r w:rsidRPr="00680837">
        <w:rPr>
          <w:rFonts w:cs="Arial"/>
          <w:szCs w:val="22"/>
          <w:lang w:val="en-GB"/>
        </w:rPr>
        <w:t xml:space="preserve"> do not</w:t>
      </w:r>
      <w:r>
        <w:rPr>
          <w:rFonts w:cs="Arial"/>
          <w:szCs w:val="22"/>
          <w:lang w:val="en-GB"/>
        </w:rPr>
        <w:t xml:space="preserve"> take</w:t>
      </w:r>
      <w:r w:rsidRPr="00680837">
        <w:rPr>
          <w:rFonts w:cs="Arial"/>
          <w:szCs w:val="22"/>
          <w:lang w:val="en-GB"/>
        </w:rPr>
        <w:t xml:space="preserve"> these costs</w:t>
      </w:r>
      <w:r>
        <w:rPr>
          <w:rFonts w:cs="Arial"/>
          <w:szCs w:val="22"/>
          <w:lang w:val="en-GB"/>
        </w:rPr>
        <w:t xml:space="preserve"> into account</w:t>
      </w:r>
      <w:r w:rsidRPr="00680837">
        <w:rPr>
          <w:rFonts w:cs="Arial"/>
          <w:szCs w:val="22"/>
          <w:lang w:val="en-GB"/>
        </w:rPr>
        <w:t xml:space="preserve">. As a result, these programmes exclude some persons with disabilities whose living standards, once disability-related costs are </w:t>
      </w:r>
      <w:r>
        <w:rPr>
          <w:rFonts w:cs="Arial"/>
          <w:szCs w:val="22"/>
          <w:lang w:val="en-GB"/>
        </w:rPr>
        <w:t>taken into account</w:t>
      </w:r>
      <w:r w:rsidRPr="00680837">
        <w:rPr>
          <w:rFonts w:cs="Arial"/>
          <w:szCs w:val="22"/>
          <w:lang w:val="en-GB"/>
        </w:rPr>
        <w:t xml:space="preserve">, are actually below the threshold. Similarly, a “one-size-fits-all” benefit </w:t>
      </w:r>
      <w:r w:rsidR="007F7FBA">
        <w:rPr>
          <w:rFonts w:cs="Arial"/>
          <w:szCs w:val="22"/>
          <w:lang w:val="en-GB"/>
        </w:rPr>
        <w:t>that</w:t>
      </w:r>
      <w:r w:rsidR="007F7FBA" w:rsidRPr="00680837">
        <w:rPr>
          <w:rFonts w:cs="Arial"/>
          <w:szCs w:val="22"/>
          <w:lang w:val="en-GB"/>
        </w:rPr>
        <w:t xml:space="preserve"> </w:t>
      </w:r>
      <w:r w:rsidRPr="00680837">
        <w:rPr>
          <w:rFonts w:cs="Arial"/>
          <w:szCs w:val="22"/>
          <w:lang w:val="en-GB"/>
        </w:rPr>
        <w:t xml:space="preserve">does not </w:t>
      </w:r>
      <w:r>
        <w:rPr>
          <w:rFonts w:cs="Arial"/>
          <w:szCs w:val="22"/>
          <w:lang w:val="en-GB"/>
        </w:rPr>
        <w:t>take into account</w:t>
      </w:r>
      <w:r w:rsidRPr="00680837">
        <w:rPr>
          <w:rFonts w:cs="Arial"/>
          <w:szCs w:val="22"/>
          <w:lang w:val="en-GB"/>
        </w:rPr>
        <w:t xml:space="preserve"> disability</w:t>
      </w:r>
      <w:r>
        <w:rPr>
          <w:rFonts w:cs="Arial"/>
          <w:szCs w:val="22"/>
          <w:lang w:val="en-GB"/>
        </w:rPr>
        <w:t>-</w:t>
      </w:r>
      <w:r w:rsidRPr="00680837">
        <w:rPr>
          <w:rFonts w:cs="Arial"/>
          <w:szCs w:val="22"/>
          <w:lang w:val="en-GB"/>
        </w:rPr>
        <w:t>related cost</w:t>
      </w:r>
      <w:r>
        <w:rPr>
          <w:rFonts w:cs="Arial"/>
          <w:szCs w:val="22"/>
          <w:lang w:val="en-GB"/>
        </w:rPr>
        <w:t>s</w:t>
      </w:r>
      <w:r w:rsidRPr="00680837">
        <w:rPr>
          <w:rFonts w:cs="Arial"/>
          <w:szCs w:val="22"/>
          <w:lang w:val="en-GB"/>
        </w:rPr>
        <w:t xml:space="preserve"> </w:t>
      </w:r>
      <w:r>
        <w:rPr>
          <w:rFonts w:cs="Arial"/>
          <w:szCs w:val="22"/>
          <w:lang w:val="en-GB"/>
        </w:rPr>
        <w:t>is not</w:t>
      </w:r>
      <w:r w:rsidRPr="00680837">
        <w:rPr>
          <w:rFonts w:cs="Arial"/>
          <w:szCs w:val="22"/>
          <w:lang w:val="en-GB"/>
        </w:rPr>
        <w:t xml:space="preserve"> sufficient to ensure that persons with disabilities </w:t>
      </w:r>
      <w:r>
        <w:rPr>
          <w:rFonts w:cs="Arial"/>
          <w:szCs w:val="22"/>
          <w:lang w:val="en-GB"/>
        </w:rPr>
        <w:t>benefit from</w:t>
      </w:r>
      <w:r w:rsidRPr="00680837">
        <w:rPr>
          <w:rFonts w:cs="Arial"/>
          <w:szCs w:val="22"/>
          <w:lang w:val="en-GB"/>
        </w:rPr>
        <w:t xml:space="preserve"> the minimum living standard, </w:t>
      </w:r>
      <w:r w:rsidR="00BF0080">
        <w:rPr>
          <w:rFonts w:cs="Arial"/>
          <w:szCs w:val="22"/>
          <w:lang w:val="en-GB"/>
        </w:rPr>
        <w:t xml:space="preserve">are able to </w:t>
      </w:r>
      <w:r w:rsidRPr="00680837">
        <w:rPr>
          <w:rFonts w:cs="Arial"/>
          <w:szCs w:val="22"/>
          <w:lang w:val="en-GB"/>
        </w:rPr>
        <w:t xml:space="preserve">cover their disability-related costs and escape poverty. </w:t>
      </w:r>
      <w:r>
        <w:rPr>
          <w:rFonts w:cs="Arial"/>
          <w:szCs w:val="22"/>
          <w:lang w:val="en-GB"/>
        </w:rPr>
        <w:t>Moreover</w:t>
      </w:r>
      <w:r w:rsidRPr="00680837">
        <w:rPr>
          <w:rFonts w:cs="Arial"/>
          <w:szCs w:val="22"/>
          <w:lang w:val="en-GB"/>
        </w:rPr>
        <w:t>,</w:t>
      </w:r>
      <w:r w:rsidR="00BF0080">
        <w:rPr>
          <w:rFonts w:cs="Arial"/>
          <w:szCs w:val="22"/>
          <w:lang w:val="en-GB"/>
        </w:rPr>
        <w:t xml:space="preserve"> the fact that</w:t>
      </w:r>
      <w:r w:rsidRPr="00680837">
        <w:rPr>
          <w:rFonts w:cs="Arial"/>
          <w:szCs w:val="22"/>
          <w:lang w:val="en-GB"/>
        </w:rPr>
        <w:t xml:space="preserve"> many persons with disabilities require support to meet disability-related costs</w:t>
      </w:r>
      <w:r>
        <w:rPr>
          <w:rFonts w:cs="Arial"/>
          <w:szCs w:val="22"/>
          <w:lang w:val="en-GB"/>
        </w:rPr>
        <w:t xml:space="preserve"> </w:t>
      </w:r>
      <w:r w:rsidRPr="00680837">
        <w:rPr>
          <w:rFonts w:cs="Arial"/>
          <w:szCs w:val="22"/>
          <w:lang w:val="en-GB"/>
        </w:rPr>
        <w:t xml:space="preserve">even </w:t>
      </w:r>
      <w:r w:rsidR="00BF0080">
        <w:rPr>
          <w:rFonts w:cs="Arial"/>
          <w:szCs w:val="22"/>
          <w:lang w:val="en-GB"/>
        </w:rPr>
        <w:t>when they have a regular income</w:t>
      </w:r>
      <w:r w:rsidRPr="00680837">
        <w:rPr>
          <w:rFonts w:cs="Arial"/>
          <w:szCs w:val="22"/>
          <w:lang w:val="en-GB"/>
        </w:rPr>
        <w:t xml:space="preserve"> can jeopardize their economic and social participation</w:t>
      </w:r>
      <w:r>
        <w:rPr>
          <w:rFonts w:cs="Arial"/>
          <w:szCs w:val="22"/>
          <w:lang w:val="en-GB"/>
        </w:rPr>
        <w:t>,</w:t>
      </w:r>
      <w:r w:rsidRPr="00680837">
        <w:rPr>
          <w:rFonts w:cs="Arial"/>
          <w:szCs w:val="22"/>
          <w:lang w:val="en-GB"/>
        </w:rPr>
        <w:t xml:space="preserve"> lead</w:t>
      </w:r>
      <w:r>
        <w:rPr>
          <w:rFonts w:cs="Arial"/>
          <w:szCs w:val="22"/>
          <w:lang w:val="en-GB"/>
        </w:rPr>
        <w:t>ing</w:t>
      </w:r>
      <w:r w:rsidRPr="00680837">
        <w:rPr>
          <w:rFonts w:cs="Arial"/>
          <w:szCs w:val="22"/>
          <w:lang w:val="en-GB"/>
        </w:rPr>
        <w:t xml:space="preserve"> to poverty. </w:t>
      </w:r>
      <w:r w:rsidRPr="00680837">
        <w:rPr>
          <w:rFonts w:cs="Arial"/>
          <w:b/>
          <w:i/>
          <w:szCs w:val="22"/>
          <w:lang w:val="en-GB"/>
        </w:rPr>
        <w:t>In order to make social protection more inclusive for persons with disabilities and</w:t>
      </w:r>
      <w:r w:rsidR="000C01F3">
        <w:rPr>
          <w:rFonts w:cs="Arial"/>
          <w:b/>
          <w:i/>
          <w:szCs w:val="22"/>
          <w:lang w:val="en-GB"/>
        </w:rPr>
        <w:t xml:space="preserve"> more</w:t>
      </w:r>
      <w:r w:rsidRPr="00680837">
        <w:rPr>
          <w:rFonts w:cs="Arial"/>
          <w:b/>
          <w:i/>
          <w:szCs w:val="22"/>
          <w:lang w:val="en-GB"/>
        </w:rPr>
        <w:t xml:space="preserve"> supportive </w:t>
      </w:r>
      <w:r>
        <w:rPr>
          <w:rFonts w:cs="Arial"/>
          <w:b/>
          <w:i/>
          <w:szCs w:val="22"/>
          <w:lang w:val="en-GB"/>
        </w:rPr>
        <w:t>of</w:t>
      </w:r>
      <w:r w:rsidRPr="00680837">
        <w:rPr>
          <w:rFonts w:cs="Arial"/>
          <w:b/>
          <w:i/>
          <w:szCs w:val="22"/>
          <w:lang w:val="en-GB"/>
        </w:rPr>
        <w:t xml:space="preserve"> their social and economic participation, eligibility thresholds should consider disability-related costs</w:t>
      </w:r>
      <w:r>
        <w:rPr>
          <w:rFonts w:cs="Arial"/>
          <w:b/>
          <w:i/>
          <w:szCs w:val="22"/>
          <w:lang w:val="en-GB"/>
        </w:rPr>
        <w:t xml:space="preserve"> and</w:t>
      </w:r>
      <w:r w:rsidRPr="00680837">
        <w:rPr>
          <w:rFonts w:cs="Arial"/>
          <w:b/>
          <w:i/>
          <w:szCs w:val="22"/>
          <w:lang w:val="en-GB"/>
        </w:rPr>
        <w:t xml:space="preserve"> benefits should adequately cover these costs through appropriate mechanisms in cash or in kind. </w:t>
      </w:r>
      <w:r>
        <w:rPr>
          <w:rFonts w:cs="Arial"/>
          <w:b/>
          <w:i/>
          <w:szCs w:val="22"/>
          <w:lang w:val="en-GB"/>
        </w:rPr>
        <w:t>Where</w:t>
      </w:r>
      <w:r w:rsidRPr="00680837">
        <w:rPr>
          <w:rFonts w:cs="Arial"/>
          <w:b/>
          <w:i/>
          <w:szCs w:val="22"/>
          <w:lang w:val="en-GB"/>
        </w:rPr>
        <w:t xml:space="preserve"> an income threshold for disability-related support</w:t>
      </w:r>
      <w:r>
        <w:rPr>
          <w:rFonts w:cs="Arial"/>
          <w:b/>
          <w:i/>
          <w:szCs w:val="22"/>
          <w:lang w:val="en-GB"/>
        </w:rPr>
        <w:t xml:space="preserve"> is needed</w:t>
      </w:r>
      <w:r w:rsidRPr="00680837">
        <w:rPr>
          <w:rFonts w:cs="Arial"/>
          <w:b/>
          <w:i/>
          <w:szCs w:val="22"/>
          <w:lang w:val="en-GB"/>
        </w:rPr>
        <w:t xml:space="preserve">, this threshold should be significantly higher than </w:t>
      </w:r>
      <w:r w:rsidR="000C01F3">
        <w:rPr>
          <w:rFonts w:cs="Arial"/>
          <w:b/>
          <w:i/>
          <w:szCs w:val="22"/>
          <w:lang w:val="en-GB"/>
        </w:rPr>
        <w:t>that</w:t>
      </w:r>
      <w:r w:rsidR="000C01F3" w:rsidRPr="00680837">
        <w:rPr>
          <w:rFonts w:cs="Arial"/>
          <w:b/>
          <w:i/>
          <w:szCs w:val="22"/>
          <w:lang w:val="en-GB"/>
        </w:rPr>
        <w:t xml:space="preserve"> </w:t>
      </w:r>
      <w:r w:rsidRPr="00680837">
        <w:rPr>
          <w:rFonts w:cs="Arial"/>
          <w:b/>
          <w:i/>
          <w:szCs w:val="22"/>
          <w:lang w:val="en-GB"/>
        </w:rPr>
        <w:t>for accessing basic income support.</w:t>
      </w:r>
      <w:r w:rsidRPr="00680837">
        <w:rPr>
          <w:szCs w:val="22"/>
          <w:highlight w:val="yellow"/>
          <w:lang w:val="en-GB"/>
        </w:rPr>
        <w:t xml:space="preserve"> </w:t>
      </w:r>
    </w:p>
    <w:p w14:paraId="10B9E813" w14:textId="116BC278" w:rsidR="00101D89" w:rsidRPr="00680837" w:rsidRDefault="00101D89" w:rsidP="00A4063F">
      <w:pPr>
        <w:pStyle w:val="Heading1"/>
        <w:numPr>
          <w:ilvl w:val="0"/>
          <w:numId w:val="31"/>
        </w:numPr>
        <w:rPr>
          <w:lang w:val="en-GB"/>
        </w:rPr>
      </w:pPr>
      <w:bookmarkStart w:id="6" w:name="_Toc504036292"/>
      <w:r w:rsidRPr="00680837">
        <w:rPr>
          <w:lang w:val="en-GB"/>
        </w:rPr>
        <w:t>Building inclusive social protection systems that foster</w:t>
      </w:r>
      <w:r>
        <w:rPr>
          <w:lang w:val="en-GB"/>
        </w:rPr>
        <w:t xml:space="preserve"> the</w:t>
      </w:r>
      <w:r w:rsidRPr="00680837">
        <w:rPr>
          <w:lang w:val="en-GB"/>
        </w:rPr>
        <w:t xml:space="preserve"> inclusion and participation of persons with disabilities</w:t>
      </w:r>
      <w:bookmarkEnd w:id="6"/>
    </w:p>
    <w:p w14:paraId="3939CDE0" w14:textId="0FA40B62" w:rsidR="00101D89" w:rsidRPr="00680837" w:rsidRDefault="00101D89" w:rsidP="00A95017">
      <w:pPr>
        <w:rPr>
          <w:b/>
          <w:i/>
          <w:szCs w:val="22"/>
          <w:lang w:val="en-GB"/>
        </w:rPr>
      </w:pPr>
      <w:r>
        <w:rPr>
          <w:szCs w:val="22"/>
          <w:lang w:val="en-GB"/>
        </w:rPr>
        <w:t>In order to</w:t>
      </w:r>
      <w:r w:rsidRPr="00680837">
        <w:rPr>
          <w:szCs w:val="22"/>
          <w:lang w:val="en-GB"/>
        </w:rPr>
        <w:t xml:space="preserve"> address the risks, inequalities and barriers faced by persons with disabilities, a comprehensive and inclusive social protection system </w:t>
      </w:r>
      <w:r w:rsidR="007F7FBA">
        <w:rPr>
          <w:szCs w:val="22"/>
          <w:lang w:val="en-GB"/>
        </w:rPr>
        <w:t>should</w:t>
      </w:r>
      <w:r w:rsidR="007F7FBA" w:rsidRPr="00680837">
        <w:rPr>
          <w:szCs w:val="22"/>
          <w:lang w:val="en-GB"/>
        </w:rPr>
        <w:t xml:space="preserve"> </w:t>
      </w:r>
      <w:r w:rsidRPr="00680837">
        <w:rPr>
          <w:szCs w:val="22"/>
          <w:lang w:val="en-GB"/>
        </w:rPr>
        <w:t>ensure that persons with disabilities have access to programmes that adequately:</w:t>
      </w:r>
    </w:p>
    <w:p w14:paraId="7A271223" w14:textId="2BD384A2" w:rsidR="00101D89" w:rsidRPr="00680837" w:rsidRDefault="00101D89" w:rsidP="008E5003">
      <w:pPr>
        <w:pStyle w:val="ListParagraph"/>
        <w:numPr>
          <w:ilvl w:val="0"/>
          <w:numId w:val="11"/>
        </w:numPr>
        <w:rPr>
          <w:szCs w:val="22"/>
          <w:lang w:val="en-GB"/>
        </w:rPr>
      </w:pPr>
      <w:r>
        <w:rPr>
          <w:szCs w:val="22"/>
          <w:lang w:val="en-GB"/>
        </w:rPr>
        <w:t>e</w:t>
      </w:r>
      <w:r w:rsidRPr="00680837">
        <w:rPr>
          <w:szCs w:val="22"/>
          <w:lang w:val="en-GB"/>
        </w:rPr>
        <w:t>nsure income security that enables access to necessary goods and services;</w:t>
      </w:r>
    </w:p>
    <w:p w14:paraId="4CC5ABDD" w14:textId="6C941164" w:rsidR="00101D89" w:rsidRPr="00680837" w:rsidRDefault="00101D89" w:rsidP="00AF407A">
      <w:pPr>
        <w:pStyle w:val="ListParagraph"/>
        <w:numPr>
          <w:ilvl w:val="0"/>
          <w:numId w:val="11"/>
        </w:numPr>
        <w:rPr>
          <w:szCs w:val="22"/>
          <w:lang w:val="en-GB"/>
        </w:rPr>
      </w:pPr>
      <w:r>
        <w:rPr>
          <w:szCs w:val="22"/>
          <w:lang w:val="en-GB"/>
        </w:rPr>
        <w:t>e</w:t>
      </w:r>
      <w:r w:rsidRPr="00680837">
        <w:rPr>
          <w:szCs w:val="22"/>
          <w:lang w:val="en-GB"/>
        </w:rPr>
        <w:t xml:space="preserve">nsure coverage of disability-related costs and facilitate access to </w:t>
      </w:r>
      <w:r w:rsidR="00BF0080">
        <w:rPr>
          <w:szCs w:val="22"/>
          <w:lang w:val="en-GB"/>
        </w:rPr>
        <w:t xml:space="preserve">the </w:t>
      </w:r>
      <w:r w:rsidRPr="00680837">
        <w:rPr>
          <w:szCs w:val="22"/>
          <w:lang w:val="en-GB"/>
        </w:rPr>
        <w:t>required support</w:t>
      </w:r>
      <w:r>
        <w:rPr>
          <w:szCs w:val="22"/>
          <w:lang w:val="en-GB"/>
        </w:rPr>
        <w:t>,</w:t>
      </w:r>
      <w:r w:rsidRPr="00680837">
        <w:rPr>
          <w:szCs w:val="22"/>
          <w:lang w:val="en-GB"/>
        </w:rPr>
        <w:t xml:space="preserve"> including services and assistive devices</w:t>
      </w:r>
      <w:r w:rsidRPr="00680837">
        <w:rPr>
          <w:rStyle w:val="EndnoteReference"/>
          <w:szCs w:val="22"/>
          <w:lang w:val="en-GB"/>
        </w:rPr>
        <w:endnoteReference w:id="45"/>
      </w:r>
      <w:r w:rsidRPr="00680837">
        <w:rPr>
          <w:szCs w:val="22"/>
          <w:lang w:val="en-GB"/>
        </w:rPr>
        <w:t>;</w:t>
      </w:r>
    </w:p>
    <w:p w14:paraId="58262CC9" w14:textId="076C21AB" w:rsidR="00101D89" w:rsidRPr="00680837" w:rsidRDefault="00101D89" w:rsidP="008E5003">
      <w:pPr>
        <w:pStyle w:val="ListParagraph"/>
        <w:numPr>
          <w:ilvl w:val="0"/>
          <w:numId w:val="11"/>
        </w:numPr>
        <w:rPr>
          <w:szCs w:val="22"/>
          <w:lang w:val="en-GB"/>
        </w:rPr>
      </w:pPr>
      <w:r>
        <w:rPr>
          <w:szCs w:val="22"/>
          <w:lang w:val="en-GB"/>
        </w:rPr>
        <w:t>e</w:t>
      </w:r>
      <w:r w:rsidRPr="00680837">
        <w:rPr>
          <w:szCs w:val="22"/>
          <w:lang w:val="en-GB"/>
        </w:rPr>
        <w:t xml:space="preserve">nsure effective access to health care, including disability-related medical care </w:t>
      </w:r>
      <w:r>
        <w:rPr>
          <w:szCs w:val="22"/>
          <w:lang w:val="en-GB"/>
        </w:rPr>
        <w:t>and</w:t>
      </w:r>
      <w:r w:rsidRPr="00680837">
        <w:rPr>
          <w:szCs w:val="22"/>
          <w:lang w:val="en-GB"/>
        </w:rPr>
        <w:t xml:space="preserve"> rehabilitation; </w:t>
      </w:r>
    </w:p>
    <w:p w14:paraId="3280CE3B" w14:textId="55D772E6" w:rsidR="00101D89" w:rsidRPr="00680837" w:rsidRDefault="00101D89" w:rsidP="00E6599B">
      <w:pPr>
        <w:pStyle w:val="ListParagraph"/>
        <w:numPr>
          <w:ilvl w:val="0"/>
          <w:numId w:val="11"/>
        </w:numPr>
        <w:rPr>
          <w:szCs w:val="22"/>
          <w:lang w:val="en-GB"/>
        </w:rPr>
      </w:pPr>
      <w:r>
        <w:rPr>
          <w:szCs w:val="22"/>
          <w:lang w:val="en-GB"/>
        </w:rPr>
        <w:t>i</w:t>
      </w:r>
      <w:r w:rsidRPr="00680837">
        <w:rPr>
          <w:szCs w:val="22"/>
          <w:lang w:val="en-GB"/>
        </w:rPr>
        <w:t>mprove access to services across the life cycle, such as child care, education,</w:t>
      </w:r>
      <w:r>
        <w:rPr>
          <w:szCs w:val="22"/>
          <w:lang w:val="en-GB"/>
        </w:rPr>
        <w:t xml:space="preserve"> vocational training,</w:t>
      </w:r>
      <w:r w:rsidRPr="00680837">
        <w:rPr>
          <w:szCs w:val="22"/>
          <w:lang w:val="en-GB"/>
        </w:rPr>
        <w:t xml:space="preserve"> support </w:t>
      </w:r>
      <w:r w:rsidR="00BF0080">
        <w:rPr>
          <w:szCs w:val="22"/>
          <w:lang w:val="en-GB"/>
        </w:rPr>
        <w:t>with</w:t>
      </w:r>
      <w:r w:rsidR="00BF0080" w:rsidRPr="00680837">
        <w:rPr>
          <w:szCs w:val="22"/>
          <w:lang w:val="en-GB"/>
        </w:rPr>
        <w:t xml:space="preserve"> </w:t>
      </w:r>
      <w:r w:rsidRPr="00680837">
        <w:rPr>
          <w:szCs w:val="22"/>
          <w:lang w:val="en-GB"/>
        </w:rPr>
        <w:t>employment and livelihood generation</w:t>
      </w:r>
      <w:r>
        <w:rPr>
          <w:szCs w:val="22"/>
          <w:lang w:val="en-GB"/>
        </w:rPr>
        <w:t>, including return to work programmes; and</w:t>
      </w:r>
    </w:p>
    <w:p w14:paraId="5FA52A0A" w14:textId="4C640D37" w:rsidR="00101D89" w:rsidRPr="00680837" w:rsidRDefault="00101D89" w:rsidP="00E6599B">
      <w:pPr>
        <w:pStyle w:val="ListParagraph"/>
        <w:numPr>
          <w:ilvl w:val="0"/>
          <w:numId w:val="11"/>
        </w:numPr>
        <w:rPr>
          <w:szCs w:val="22"/>
          <w:lang w:val="en-GB"/>
        </w:rPr>
      </w:pPr>
      <w:r>
        <w:rPr>
          <w:szCs w:val="22"/>
          <w:lang w:val="en-GB"/>
        </w:rPr>
        <w:t>t</w:t>
      </w:r>
      <w:r w:rsidRPr="00680837">
        <w:rPr>
          <w:szCs w:val="22"/>
          <w:lang w:val="en-GB"/>
        </w:rPr>
        <w:t xml:space="preserve">ake into account the diversity of this population group, both in terms of type of disability and other </w:t>
      </w:r>
      <w:r>
        <w:rPr>
          <w:szCs w:val="22"/>
          <w:lang w:val="en-GB"/>
        </w:rPr>
        <w:t>factors</w:t>
      </w:r>
      <w:r w:rsidRPr="00680837">
        <w:rPr>
          <w:szCs w:val="22"/>
          <w:lang w:val="en-GB"/>
        </w:rPr>
        <w:t xml:space="preserve"> such as age, gender and ethnicity.</w:t>
      </w:r>
    </w:p>
    <w:p w14:paraId="5A5B79A7" w14:textId="1DD148BE" w:rsidR="00101D89" w:rsidRPr="00680837" w:rsidRDefault="00101D89" w:rsidP="00054D83">
      <w:pPr>
        <w:rPr>
          <w:szCs w:val="22"/>
          <w:lang w:val="en-GB"/>
        </w:rPr>
      </w:pPr>
      <w:r w:rsidRPr="00680837">
        <w:rPr>
          <w:szCs w:val="22"/>
          <w:lang w:val="en-GB"/>
        </w:rPr>
        <w:t>As countries develop and reform their social protection systems, the</w:t>
      </w:r>
      <w:r>
        <w:rPr>
          <w:szCs w:val="22"/>
          <w:lang w:val="en-GB"/>
        </w:rPr>
        <w:t xml:space="preserve">y </w:t>
      </w:r>
      <w:r w:rsidR="007F7FBA">
        <w:rPr>
          <w:szCs w:val="22"/>
          <w:lang w:val="en-GB"/>
        </w:rPr>
        <w:t>should</w:t>
      </w:r>
      <w:r w:rsidR="007F7FBA" w:rsidRPr="00680837">
        <w:rPr>
          <w:szCs w:val="22"/>
          <w:lang w:val="en-GB"/>
        </w:rPr>
        <w:t xml:space="preserve"> </w:t>
      </w:r>
      <w:r w:rsidRPr="00680837">
        <w:rPr>
          <w:szCs w:val="22"/>
          <w:lang w:val="en-GB"/>
        </w:rPr>
        <w:t xml:space="preserve">aim to ensure that all persons with disabilities have access to the most comprehensive and inclusive </w:t>
      </w:r>
      <w:r w:rsidRPr="00E433C8">
        <w:rPr>
          <w:szCs w:val="22"/>
          <w:lang w:val="en-GB"/>
        </w:rPr>
        <w:t>protection and support.</w:t>
      </w:r>
      <w:r w:rsidRPr="00E433C8">
        <w:rPr>
          <w:szCs w:val="22"/>
          <w:highlight w:val="yellow"/>
          <w:lang w:val="en-GB"/>
        </w:rPr>
        <w:t xml:space="preserve"> </w:t>
      </w:r>
      <w:r w:rsidRPr="00E433C8">
        <w:rPr>
          <w:szCs w:val="22"/>
          <w:lang w:val="en-GB"/>
        </w:rPr>
        <w:t>This can be achieved by making all instruments available, including both contributory schemes and tax</w:t>
      </w:r>
      <w:r w:rsidRPr="00E433C8">
        <w:rPr>
          <w:szCs w:val="22"/>
          <w:lang w:val="en-GB"/>
        </w:rPr>
        <w:noBreakHyphen/>
        <w:t>financed schemes, benefits in cash and in kind, tax exemptions and nutrition programmes. Inclusive labour market policies and anti-discrimination and equality laws are also important.</w:t>
      </w:r>
    </w:p>
    <w:p w14:paraId="0B2EA8C9" w14:textId="3A051970" w:rsidR="00101D89" w:rsidRPr="00680837" w:rsidRDefault="001D67A9" w:rsidP="00054D83">
      <w:pPr>
        <w:rPr>
          <w:szCs w:val="22"/>
          <w:lang w:val="en-GB"/>
        </w:rPr>
      </w:pPr>
      <w:r>
        <w:rPr>
          <w:szCs w:val="22"/>
          <w:lang w:val="en-GB"/>
        </w:rPr>
        <w:t>In light of</w:t>
      </w:r>
      <w:r w:rsidRPr="00680837">
        <w:rPr>
          <w:szCs w:val="22"/>
          <w:lang w:val="en-GB"/>
        </w:rPr>
        <w:t xml:space="preserve"> </w:t>
      </w:r>
      <w:r w:rsidR="00101D89" w:rsidRPr="00680837">
        <w:rPr>
          <w:szCs w:val="22"/>
          <w:lang w:val="en-GB"/>
        </w:rPr>
        <w:t xml:space="preserve">the diversity of situations and needs of persons with disabilities, </w:t>
      </w:r>
      <w:r w:rsidR="00101D89" w:rsidRPr="00680837">
        <w:rPr>
          <w:b/>
          <w:i/>
          <w:szCs w:val="22"/>
          <w:lang w:val="en-GB"/>
        </w:rPr>
        <w:t xml:space="preserve">an inclusive social protection system </w:t>
      </w:r>
      <w:r w:rsidR="007F7FBA">
        <w:rPr>
          <w:b/>
          <w:i/>
          <w:szCs w:val="22"/>
          <w:lang w:val="en-GB"/>
        </w:rPr>
        <w:t xml:space="preserve">should </w:t>
      </w:r>
      <w:r w:rsidR="00101D89" w:rsidRPr="00680837">
        <w:rPr>
          <w:b/>
          <w:i/>
          <w:szCs w:val="22"/>
          <w:lang w:val="en-GB"/>
        </w:rPr>
        <w:t xml:space="preserve">combine effective access to mainstream schemes </w:t>
      </w:r>
      <w:r w:rsidR="00101D89">
        <w:rPr>
          <w:b/>
          <w:i/>
          <w:szCs w:val="22"/>
          <w:lang w:val="en-GB"/>
        </w:rPr>
        <w:t>and</w:t>
      </w:r>
      <w:r w:rsidR="00101D89" w:rsidRPr="00680837">
        <w:rPr>
          <w:b/>
          <w:i/>
          <w:szCs w:val="22"/>
          <w:lang w:val="en-GB"/>
        </w:rPr>
        <w:t xml:space="preserve"> to </w:t>
      </w:r>
      <w:r w:rsidR="00101D89">
        <w:rPr>
          <w:b/>
          <w:i/>
          <w:szCs w:val="22"/>
          <w:lang w:val="en-GB"/>
        </w:rPr>
        <w:t>the necessary</w:t>
      </w:r>
      <w:r w:rsidR="00101D89" w:rsidRPr="00680837">
        <w:rPr>
          <w:b/>
          <w:i/>
          <w:szCs w:val="22"/>
          <w:lang w:val="en-GB"/>
        </w:rPr>
        <w:t xml:space="preserve"> disability-specific schemes.</w:t>
      </w:r>
      <w:r w:rsidR="00101D89" w:rsidRPr="00680837">
        <w:rPr>
          <w:szCs w:val="22"/>
          <w:lang w:val="en-GB"/>
        </w:rPr>
        <w:t xml:space="preserve"> For some persons with disabilities, inclusive mainstream schemes may provide adequate support, while others will require disability-related support adapted to their specific needs, or a combination of both.</w:t>
      </w:r>
    </w:p>
    <w:p w14:paraId="1F870EAB" w14:textId="63130C7C" w:rsidR="00101D89" w:rsidRPr="00680837" w:rsidRDefault="00101D89" w:rsidP="00054D83">
      <w:pPr>
        <w:rPr>
          <w:i/>
          <w:szCs w:val="22"/>
          <w:lang w:val="en-GB"/>
        </w:rPr>
      </w:pPr>
      <w:r w:rsidRPr="00680837">
        <w:rPr>
          <w:b/>
          <w:i/>
          <w:szCs w:val="22"/>
          <w:lang w:val="en-GB"/>
        </w:rPr>
        <w:t xml:space="preserve">Such a twin-track </w:t>
      </w:r>
      <w:r w:rsidRPr="00680837">
        <w:rPr>
          <w:b/>
          <w:szCs w:val="22"/>
          <w:lang w:val="en-GB"/>
        </w:rPr>
        <w:t>approach</w:t>
      </w:r>
      <w:r w:rsidRPr="00680837">
        <w:rPr>
          <w:szCs w:val="22"/>
          <w:lang w:val="en-GB"/>
        </w:rPr>
        <w:t xml:space="preserve"> </w:t>
      </w:r>
      <w:r>
        <w:rPr>
          <w:szCs w:val="22"/>
          <w:lang w:val="en-GB"/>
        </w:rPr>
        <w:t>implies</w:t>
      </w:r>
      <w:r w:rsidRPr="00680837">
        <w:rPr>
          <w:szCs w:val="22"/>
          <w:lang w:val="en-GB"/>
        </w:rPr>
        <w:t xml:space="preserve"> that:</w:t>
      </w:r>
    </w:p>
    <w:p w14:paraId="673C955B" w14:textId="19BA17ED" w:rsidR="00101D89" w:rsidRPr="00680837" w:rsidRDefault="00101D89" w:rsidP="000A7011">
      <w:pPr>
        <w:pStyle w:val="ListParagraph"/>
        <w:numPr>
          <w:ilvl w:val="0"/>
          <w:numId w:val="25"/>
        </w:numPr>
        <w:rPr>
          <w:szCs w:val="22"/>
          <w:lang w:val="en-GB"/>
        </w:rPr>
      </w:pPr>
      <w:r>
        <w:rPr>
          <w:szCs w:val="22"/>
          <w:lang w:val="en-GB"/>
        </w:rPr>
        <w:t>a</w:t>
      </w:r>
      <w:r w:rsidRPr="00680837">
        <w:rPr>
          <w:szCs w:val="22"/>
          <w:lang w:val="en-GB"/>
        </w:rPr>
        <w:t>ll social protection programmes should be designed, implemented and monitored in a way that ensures the inclusion of persons with disabilities, with particular attention to removing barriers and avoiding adverse effects</w:t>
      </w:r>
      <w:r w:rsidRPr="00680837">
        <w:rPr>
          <w:rStyle w:val="EndnoteReference"/>
          <w:szCs w:val="22"/>
          <w:lang w:val="en-GB"/>
        </w:rPr>
        <w:endnoteReference w:id="46"/>
      </w:r>
      <w:r w:rsidRPr="00680837">
        <w:rPr>
          <w:szCs w:val="22"/>
          <w:lang w:val="en-GB"/>
        </w:rPr>
        <w:t>; and</w:t>
      </w:r>
    </w:p>
    <w:p w14:paraId="4B63B582" w14:textId="37678DAD" w:rsidR="00101D89" w:rsidRPr="00680837" w:rsidRDefault="00101D89" w:rsidP="004241AC">
      <w:pPr>
        <w:pStyle w:val="ListParagraph"/>
        <w:numPr>
          <w:ilvl w:val="0"/>
          <w:numId w:val="25"/>
        </w:numPr>
        <w:rPr>
          <w:szCs w:val="22"/>
          <w:lang w:val="en-GB"/>
        </w:rPr>
      </w:pPr>
      <w:r w:rsidRPr="00680837">
        <w:rPr>
          <w:szCs w:val="22"/>
          <w:lang w:val="en-GB"/>
        </w:rPr>
        <w:t xml:space="preserve">adequate disability-specific programmes </w:t>
      </w:r>
      <w:r>
        <w:rPr>
          <w:szCs w:val="22"/>
          <w:lang w:val="en-GB"/>
        </w:rPr>
        <w:t>should be developed to</w:t>
      </w:r>
      <w:r w:rsidRPr="00680837">
        <w:rPr>
          <w:szCs w:val="22"/>
          <w:lang w:val="en-GB"/>
        </w:rPr>
        <w:t xml:space="preserve"> provide the support and benefits required by persons with disabilities that are not met through mainstream programme</w:t>
      </w:r>
      <w:r>
        <w:rPr>
          <w:szCs w:val="22"/>
          <w:lang w:val="en-GB"/>
        </w:rPr>
        <w:t>s</w:t>
      </w:r>
      <w:r w:rsidRPr="00680837">
        <w:rPr>
          <w:szCs w:val="22"/>
          <w:lang w:val="en-GB"/>
        </w:rPr>
        <w:t>.</w:t>
      </w:r>
    </w:p>
    <w:p w14:paraId="7629C3BD" w14:textId="3B552A03" w:rsidR="00101D89" w:rsidRPr="00680837" w:rsidRDefault="00101D89" w:rsidP="00047A7A">
      <w:pPr>
        <w:rPr>
          <w:szCs w:val="22"/>
          <w:lang w:val="en-GB"/>
        </w:rPr>
      </w:pPr>
      <w:r w:rsidRPr="00680837">
        <w:rPr>
          <w:szCs w:val="22"/>
          <w:lang w:val="en-GB"/>
        </w:rPr>
        <w:t xml:space="preserve">The following considerations are key for ensuring access and strengthening the effectiveness of these programmes. </w:t>
      </w:r>
      <w:r w:rsidRPr="00E433C8">
        <w:rPr>
          <w:szCs w:val="22"/>
          <w:lang w:val="en-GB"/>
        </w:rPr>
        <w:t>The table in the appendix</w:t>
      </w:r>
      <w:r>
        <w:rPr>
          <w:szCs w:val="22"/>
          <w:lang w:val="en-GB"/>
        </w:rPr>
        <w:t xml:space="preserve"> to this </w:t>
      </w:r>
      <w:r w:rsidR="007F7FBA">
        <w:rPr>
          <w:szCs w:val="22"/>
          <w:lang w:val="en-GB"/>
        </w:rPr>
        <w:t>statement</w:t>
      </w:r>
      <w:r w:rsidRPr="00680837">
        <w:rPr>
          <w:szCs w:val="22"/>
          <w:lang w:val="en-GB"/>
        </w:rPr>
        <w:t xml:space="preserve"> </w:t>
      </w:r>
      <w:r>
        <w:rPr>
          <w:szCs w:val="22"/>
          <w:lang w:val="en-GB"/>
        </w:rPr>
        <w:t>contains</w:t>
      </w:r>
      <w:r w:rsidRPr="00680837">
        <w:rPr>
          <w:szCs w:val="22"/>
          <w:lang w:val="en-GB"/>
        </w:rPr>
        <w:t xml:space="preserve"> some concrete examples of how social protection systems </w:t>
      </w:r>
      <w:r w:rsidR="007F7FBA" w:rsidRPr="00680837">
        <w:rPr>
          <w:szCs w:val="22"/>
          <w:lang w:val="en-GB"/>
        </w:rPr>
        <w:t>c</w:t>
      </w:r>
      <w:r w:rsidR="007F7FBA">
        <w:rPr>
          <w:szCs w:val="22"/>
          <w:lang w:val="en-GB"/>
        </w:rPr>
        <w:t>ould</w:t>
      </w:r>
      <w:r w:rsidR="007F7FBA" w:rsidRPr="00680837">
        <w:rPr>
          <w:szCs w:val="22"/>
          <w:lang w:val="en-GB"/>
        </w:rPr>
        <w:t xml:space="preserve"> </w:t>
      </w:r>
      <w:r w:rsidRPr="00680837">
        <w:rPr>
          <w:szCs w:val="22"/>
          <w:lang w:val="en-GB"/>
        </w:rPr>
        <w:t>be rendered more disability-inclusive.</w:t>
      </w:r>
    </w:p>
    <w:p w14:paraId="530CDCE6" w14:textId="0F023E55" w:rsidR="00101D89" w:rsidRPr="00680837" w:rsidRDefault="00101D89" w:rsidP="00E6599B">
      <w:pPr>
        <w:pStyle w:val="Heading2"/>
        <w:numPr>
          <w:ilvl w:val="1"/>
          <w:numId w:val="31"/>
        </w:numPr>
        <w:rPr>
          <w:lang w:val="en-GB"/>
        </w:rPr>
      </w:pPr>
      <w:bookmarkStart w:id="7" w:name="_Toc504036293"/>
      <w:r w:rsidRPr="00680837">
        <w:rPr>
          <w:lang w:val="en-GB"/>
        </w:rPr>
        <w:t>Non-discrimination and accessibility</w:t>
      </w:r>
      <w:bookmarkEnd w:id="7"/>
      <w:r w:rsidRPr="00680837">
        <w:rPr>
          <w:lang w:val="en-GB"/>
        </w:rPr>
        <w:t xml:space="preserve"> </w:t>
      </w:r>
    </w:p>
    <w:p w14:paraId="227F9341" w14:textId="6C6CD0B3" w:rsidR="00101D89" w:rsidRPr="00680837" w:rsidRDefault="00101D89">
      <w:pPr>
        <w:rPr>
          <w:lang w:val="en-GB"/>
        </w:rPr>
      </w:pPr>
      <w:r w:rsidRPr="00680837">
        <w:rPr>
          <w:lang w:val="en-GB"/>
        </w:rPr>
        <w:t>While most social protection schemes do not purposefully exclude persons with disabilities, their design and delivery mechanisms may inadvertently prevent or limit their access to the relevant benefits, unless disability inclusion is considered in their design and implementation.</w:t>
      </w:r>
    </w:p>
    <w:p w14:paraId="16906EF5" w14:textId="5E0A44BA" w:rsidR="00101D89" w:rsidRPr="00680837" w:rsidRDefault="00101D89" w:rsidP="000A7011">
      <w:pPr>
        <w:pStyle w:val="ListParagraph"/>
        <w:numPr>
          <w:ilvl w:val="0"/>
          <w:numId w:val="30"/>
        </w:numPr>
        <w:rPr>
          <w:szCs w:val="22"/>
          <w:lang w:val="en-GB"/>
        </w:rPr>
      </w:pPr>
      <w:r w:rsidRPr="00680837">
        <w:rPr>
          <w:b/>
          <w:szCs w:val="22"/>
          <w:lang w:val="en-GB"/>
        </w:rPr>
        <w:t>Non-discrimination on the ground of disability, including the obligation to provide reasonable accommodation</w:t>
      </w:r>
      <w:r w:rsidRPr="00680837">
        <w:rPr>
          <w:rStyle w:val="EndnoteReference"/>
          <w:b/>
          <w:szCs w:val="22"/>
          <w:lang w:val="en-GB"/>
        </w:rPr>
        <w:endnoteReference w:id="47"/>
      </w:r>
      <w:r>
        <w:rPr>
          <w:szCs w:val="22"/>
          <w:lang w:val="en-GB"/>
        </w:rPr>
        <w:t xml:space="preserve"> and</w:t>
      </w:r>
      <w:r w:rsidRPr="00680837">
        <w:rPr>
          <w:szCs w:val="22"/>
          <w:lang w:val="en-GB"/>
        </w:rPr>
        <w:t xml:space="preserve"> </w:t>
      </w:r>
      <w:r>
        <w:rPr>
          <w:szCs w:val="22"/>
          <w:lang w:val="en-GB"/>
        </w:rPr>
        <w:t>respond</w:t>
      </w:r>
      <w:r w:rsidRPr="00680837">
        <w:rPr>
          <w:szCs w:val="22"/>
          <w:lang w:val="en-GB"/>
        </w:rPr>
        <w:t xml:space="preserve"> to disability-specific requirements should be </w:t>
      </w:r>
      <w:r w:rsidRPr="00DC0802">
        <w:rPr>
          <w:szCs w:val="22"/>
          <w:lang w:val="en-GB"/>
        </w:rPr>
        <w:t>embedded</w:t>
      </w:r>
      <w:r w:rsidRPr="00680837">
        <w:rPr>
          <w:szCs w:val="22"/>
          <w:lang w:val="en-GB"/>
        </w:rPr>
        <w:t xml:space="preserve"> in social protection legislation and be effectively enforced. </w:t>
      </w:r>
    </w:p>
    <w:p w14:paraId="35ED3907" w14:textId="48FBD1A5" w:rsidR="00101D89" w:rsidRPr="00680837" w:rsidRDefault="00101D89" w:rsidP="000A7011">
      <w:pPr>
        <w:pStyle w:val="ListParagraph"/>
        <w:numPr>
          <w:ilvl w:val="0"/>
          <w:numId w:val="30"/>
        </w:numPr>
        <w:rPr>
          <w:szCs w:val="22"/>
          <w:lang w:val="en-GB"/>
        </w:rPr>
      </w:pPr>
      <w:r w:rsidRPr="00680837">
        <w:rPr>
          <w:b/>
          <w:i/>
          <w:szCs w:val="22"/>
          <w:lang w:val="en-GB"/>
        </w:rPr>
        <w:t>Accessibility of information and communication</w:t>
      </w:r>
      <w:r w:rsidRPr="00680837">
        <w:rPr>
          <w:szCs w:val="22"/>
          <w:lang w:val="en-GB"/>
        </w:rPr>
        <w:t>: information about existing schemes and support should be made available in accessible formats</w:t>
      </w:r>
      <w:r w:rsidRPr="00680837">
        <w:rPr>
          <w:rStyle w:val="EndnoteReference"/>
          <w:szCs w:val="22"/>
          <w:lang w:val="en-GB"/>
        </w:rPr>
        <w:endnoteReference w:id="48"/>
      </w:r>
      <w:r w:rsidRPr="00680837">
        <w:rPr>
          <w:szCs w:val="22"/>
          <w:lang w:val="en-GB"/>
        </w:rPr>
        <w:t xml:space="preserve"> such as </w:t>
      </w:r>
      <w:r>
        <w:rPr>
          <w:szCs w:val="22"/>
          <w:lang w:val="en-GB"/>
        </w:rPr>
        <w:t>B</w:t>
      </w:r>
      <w:r w:rsidRPr="00680837">
        <w:rPr>
          <w:szCs w:val="22"/>
          <w:lang w:val="en-GB"/>
        </w:rPr>
        <w:t>raille</w:t>
      </w:r>
      <w:r>
        <w:rPr>
          <w:szCs w:val="22"/>
          <w:lang w:val="en-GB"/>
        </w:rPr>
        <w:t>,</w:t>
      </w:r>
      <w:r w:rsidRPr="00680837">
        <w:rPr>
          <w:szCs w:val="22"/>
          <w:lang w:val="en-GB"/>
        </w:rPr>
        <w:t xml:space="preserve"> easy</w:t>
      </w:r>
      <w:r>
        <w:rPr>
          <w:szCs w:val="22"/>
          <w:lang w:val="en-GB"/>
        </w:rPr>
        <w:t>-</w:t>
      </w:r>
      <w:r w:rsidRPr="00680837">
        <w:rPr>
          <w:szCs w:val="22"/>
          <w:lang w:val="en-GB"/>
        </w:rPr>
        <w:t>to</w:t>
      </w:r>
      <w:r>
        <w:rPr>
          <w:szCs w:val="22"/>
          <w:lang w:val="en-GB"/>
        </w:rPr>
        <w:t>-</w:t>
      </w:r>
      <w:r w:rsidRPr="00680837">
        <w:rPr>
          <w:szCs w:val="22"/>
          <w:lang w:val="en-GB"/>
        </w:rPr>
        <w:t>read</w:t>
      </w:r>
      <w:r w:rsidRPr="00680837">
        <w:rPr>
          <w:rStyle w:val="EndnoteReference"/>
          <w:szCs w:val="22"/>
          <w:lang w:val="en-GB"/>
        </w:rPr>
        <w:endnoteReference w:id="49"/>
      </w:r>
      <w:r w:rsidRPr="00680837">
        <w:rPr>
          <w:szCs w:val="22"/>
          <w:lang w:val="en-GB"/>
        </w:rPr>
        <w:t xml:space="preserve"> and sign language.</w:t>
      </w:r>
      <w:r>
        <w:rPr>
          <w:szCs w:val="22"/>
          <w:lang w:val="en-GB"/>
        </w:rPr>
        <w:t xml:space="preserve"> </w:t>
      </w:r>
      <w:r w:rsidRPr="00680837">
        <w:rPr>
          <w:szCs w:val="22"/>
          <w:lang w:val="en-GB"/>
        </w:rPr>
        <w:t xml:space="preserve">This would ensure that all persons with disabilities are able to </w:t>
      </w:r>
      <w:r>
        <w:rPr>
          <w:szCs w:val="22"/>
          <w:lang w:val="en-GB"/>
        </w:rPr>
        <w:t>access the necessary</w:t>
      </w:r>
      <w:r w:rsidRPr="00680837">
        <w:rPr>
          <w:szCs w:val="22"/>
          <w:lang w:val="en-GB"/>
        </w:rPr>
        <w:t xml:space="preserve"> information, seek support and interact with social protection systems </w:t>
      </w:r>
      <w:r>
        <w:rPr>
          <w:szCs w:val="22"/>
          <w:lang w:val="en-GB"/>
        </w:rPr>
        <w:t>without assistance</w:t>
      </w:r>
      <w:r w:rsidRPr="00680837">
        <w:rPr>
          <w:szCs w:val="22"/>
          <w:lang w:val="en-GB"/>
        </w:rPr>
        <w:t>. The increasing use of technology in social protection system</w:t>
      </w:r>
      <w:r>
        <w:rPr>
          <w:szCs w:val="22"/>
          <w:lang w:val="en-GB"/>
        </w:rPr>
        <w:t>s</w:t>
      </w:r>
      <w:r w:rsidRPr="00680837">
        <w:rPr>
          <w:szCs w:val="22"/>
          <w:lang w:val="en-GB"/>
        </w:rPr>
        <w:t xml:space="preserve"> </w:t>
      </w:r>
      <w:r>
        <w:rPr>
          <w:szCs w:val="22"/>
          <w:lang w:val="en-GB"/>
        </w:rPr>
        <w:t>may present</w:t>
      </w:r>
      <w:r w:rsidRPr="00680837">
        <w:rPr>
          <w:szCs w:val="22"/>
          <w:lang w:val="en-GB"/>
        </w:rPr>
        <w:t xml:space="preserve"> an opportunity if accessibility is taken into account.</w:t>
      </w:r>
    </w:p>
    <w:p w14:paraId="047DC5CF" w14:textId="6196854B" w:rsidR="00101D89" w:rsidRPr="00680837" w:rsidRDefault="00101D89" w:rsidP="000A7011">
      <w:pPr>
        <w:pStyle w:val="ListParagraph"/>
        <w:numPr>
          <w:ilvl w:val="0"/>
          <w:numId w:val="30"/>
        </w:numPr>
        <w:rPr>
          <w:szCs w:val="22"/>
          <w:lang w:val="en-GB"/>
        </w:rPr>
      </w:pPr>
      <w:r w:rsidRPr="00680837">
        <w:rPr>
          <w:b/>
          <w:i/>
          <w:szCs w:val="22"/>
          <w:lang w:val="en-GB"/>
        </w:rPr>
        <w:t>Physical accessibility</w:t>
      </w:r>
      <w:r w:rsidRPr="00680837">
        <w:rPr>
          <w:szCs w:val="22"/>
          <w:lang w:val="en-GB"/>
        </w:rPr>
        <w:t>: accessibility of relevant facilities should be ensured, including transport. Where needed, reasonable accommodation must be provided.</w:t>
      </w:r>
    </w:p>
    <w:p w14:paraId="2E98BD47" w14:textId="4AFB6FA8" w:rsidR="00101D89" w:rsidRPr="008B4510" w:rsidRDefault="00101D89" w:rsidP="00D42CB0">
      <w:pPr>
        <w:pStyle w:val="ListParagraph"/>
        <w:numPr>
          <w:ilvl w:val="0"/>
          <w:numId w:val="30"/>
        </w:numPr>
        <w:rPr>
          <w:szCs w:val="22"/>
          <w:lang w:val="en-GB"/>
        </w:rPr>
      </w:pPr>
      <w:r w:rsidRPr="00680837">
        <w:rPr>
          <w:b/>
          <w:i/>
          <w:szCs w:val="22"/>
          <w:lang w:val="en-GB"/>
        </w:rPr>
        <w:t>Conditionalities</w:t>
      </w:r>
      <w:r w:rsidRPr="00680837">
        <w:rPr>
          <w:i/>
          <w:szCs w:val="22"/>
          <w:lang w:val="en-GB"/>
        </w:rPr>
        <w:t>:</w:t>
      </w:r>
      <w:r w:rsidRPr="00680837">
        <w:rPr>
          <w:szCs w:val="22"/>
          <w:lang w:val="en-GB"/>
        </w:rPr>
        <w:t xml:space="preserve"> there should be no barriers in the environment that prevent persons with disabilities from fulfilling conditionalities associated </w:t>
      </w:r>
      <w:r w:rsidR="001D67A9">
        <w:rPr>
          <w:szCs w:val="22"/>
          <w:lang w:val="en-GB"/>
        </w:rPr>
        <w:t>with</w:t>
      </w:r>
      <w:r w:rsidR="001D67A9" w:rsidRPr="00680837">
        <w:rPr>
          <w:szCs w:val="22"/>
          <w:lang w:val="en-GB"/>
        </w:rPr>
        <w:t xml:space="preserve"> </w:t>
      </w:r>
      <w:r w:rsidRPr="00680837">
        <w:rPr>
          <w:szCs w:val="22"/>
          <w:lang w:val="en-GB"/>
        </w:rPr>
        <w:t>benefits. If the health or education system is not disability-inclusive, families may face difficulties in complying with health- or education-related conditionalities. Gender equality should also be carefully considered. Programmes should ensure that people with disabilities and their families are in a position to fulfil those conditions, including through the provision of reasonable accommodations, as to facilitate effective access to health and education.</w:t>
      </w:r>
      <w:r>
        <w:rPr>
          <w:szCs w:val="22"/>
          <w:lang w:val="en-GB"/>
        </w:rPr>
        <w:t xml:space="preserve"> In any case, </w:t>
      </w:r>
      <w:r w:rsidRPr="008B4510">
        <w:rPr>
          <w:shd w:val="pct15" w:color="auto" w:fill="FFFFFF"/>
          <w:lang w:val="en-AU"/>
        </w:rPr>
        <w:t>persons with disabilities should not be excluded from conditional programs if the supply side is not yet of a sufficient standard to allow them to meet the required conditions</w:t>
      </w:r>
      <w:r w:rsidRPr="008B4510">
        <w:rPr>
          <w:rStyle w:val="EndnoteReference"/>
          <w:shd w:val="pct15" w:color="auto" w:fill="FFFFFF"/>
          <w:lang w:val="en-AU"/>
        </w:rPr>
        <w:endnoteReference w:id="50"/>
      </w:r>
      <w:r w:rsidRPr="008B4510">
        <w:rPr>
          <w:shd w:val="pct15" w:color="auto" w:fill="FFFFFF"/>
          <w:lang w:val="en-AU"/>
        </w:rPr>
        <w:t>.</w:t>
      </w:r>
      <w:r w:rsidRPr="008B4510">
        <w:rPr>
          <w:b/>
          <w:shd w:val="pct15" w:color="auto" w:fill="FFFFFF"/>
          <w:lang w:val="en-AU"/>
        </w:rPr>
        <w:t xml:space="preserve"> </w:t>
      </w:r>
    </w:p>
    <w:p w14:paraId="4D4EE8BC" w14:textId="40949209" w:rsidR="00101D89" w:rsidRPr="00680837" w:rsidRDefault="00101D89" w:rsidP="00CE3076">
      <w:pPr>
        <w:pStyle w:val="ListParagraph"/>
        <w:numPr>
          <w:ilvl w:val="0"/>
          <w:numId w:val="30"/>
        </w:numPr>
        <w:rPr>
          <w:szCs w:val="22"/>
          <w:lang w:val="en-GB"/>
        </w:rPr>
      </w:pPr>
      <w:r w:rsidRPr="00680837">
        <w:rPr>
          <w:b/>
          <w:i/>
          <w:szCs w:val="22"/>
          <w:lang w:val="en-GB"/>
        </w:rPr>
        <w:t>Legal capacity</w:t>
      </w:r>
      <w:r w:rsidRPr="00680837">
        <w:rPr>
          <w:i/>
          <w:szCs w:val="22"/>
          <w:lang w:val="en-GB"/>
        </w:rPr>
        <w:t>:</w:t>
      </w:r>
      <w:r w:rsidRPr="00680837">
        <w:rPr>
          <w:szCs w:val="22"/>
          <w:lang w:val="en-GB"/>
        </w:rPr>
        <w:t xml:space="preserve"> in contradiction to the CRPD, most countries have legal provisions that prevent some persons with disabilities from exercising full legal capacity,</w:t>
      </w:r>
      <w:r>
        <w:rPr>
          <w:szCs w:val="22"/>
          <w:lang w:val="en-GB"/>
        </w:rPr>
        <w:t xml:space="preserve"> for example</w:t>
      </w:r>
      <w:r w:rsidRPr="00680837">
        <w:rPr>
          <w:szCs w:val="22"/>
          <w:lang w:val="en-GB"/>
        </w:rPr>
        <w:t xml:space="preserve"> preventing them from signing contracts</w:t>
      </w:r>
      <w:r>
        <w:rPr>
          <w:szCs w:val="22"/>
          <w:lang w:val="en-GB"/>
        </w:rPr>
        <w:t xml:space="preserve"> and</w:t>
      </w:r>
      <w:r w:rsidRPr="00680837">
        <w:rPr>
          <w:szCs w:val="22"/>
          <w:lang w:val="en-GB"/>
        </w:rPr>
        <w:t xml:space="preserve"> opening and managing bank accounts. </w:t>
      </w:r>
      <w:r w:rsidRPr="004375AD">
        <w:rPr>
          <w:szCs w:val="22"/>
          <w:lang w:val="en-GB"/>
        </w:rPr>
        <w:t xml:space="preserve">This may </w:t>
      </w:r>
      <w:r w:rsidRPr="00F616A1">
        <w:rPr>
          <w:szCs w:val="22"/>
          <w:lang w:val="en-GB"/>
        </w:rPr>
        <w:t>prevent</w:t>
      </w:r>
      <w:r w:rsidRPr="00680837">
        <w:rPr>
          <w:szCs w:val="22"/>
          <w:lang w:val="en-GB"/>
        </w:rPr>
        <w:t xml:space="preserve"> persons with disabilities from receiving benefits and support or from exercising full control of the given benefit and support. The design of social protection programmes should be sensitive to th</w:t>
      </w:r>
      <w:r>
        <w:rPr>
          <w:szCs w:val="22"/>
          <w:lang w:val="en-GB"/>
        </w:rPr>
        <w:t>e</w:t>
      </w:r>
      <w:r w:rsidRPr="00680837">
        <w:rPr>
          <w:szCs w:val="22"/>
          <w:lang w:val="en-GB"/>
        </w:rPr>
        <w:t xml:space="preserve">se issues and </w:t>
      </w:r>
      <w:r>
        <w:rPr>
          <w:szCs w:val="22"/>
          <w:lang w:val="en-GB"/>
        </w:rPr>
        <w:t>provide for</w:t>
      </w:r>
      <w:r w:rsidRPr="00680837">
        <w:rPr>
          <w:szCs w:val="22"/>
          <w:lang w:val="en-GB"/>
        </w:rPr>
        <w:t xml:space="preserve"> adequate accommodations.</w:t>
      </w:r>
    </w:p>
    <w:p w14:paraId="01F412FD" w14:textId="0E09BF80" w:rsidR="00101D89" w:rsidRPr="00680837" w:rsidRDefault="008B4510" w:rsidP="00CE3076">
      <w:pPr>
        <w:rPr>
          <w:szCs w:val="22"/>
          <w:lang w:val="en-GB"/>
        </w:rPr>
      </w:pPr>
      <w:r>
        <w:rPr>
          <w:szCs w:val="22"/>
          <w:lang w:val="en-GB"/>
        </w:rPr>
        <w:t>In light of the above, it is</w:t>
      </w:r>
      <w:r w:rsidR="00101D89" w:rsidRPr="00680837">
        <w:rPr>
          <w:szCs w:val="22"/>
          <w:lang w:val="en-GB"/>
        </w:rPr>
        <w:t xml:space="preserve"> essential to assess design, regulation and delivery of social protection programmes to ensure that they do not inadvertently exclude some persons with disabilities.</w:t>
      </w:r>
    </w:p>
    <w:p w14:paraId="3BB1D907" w14:textId="32A063FB" w:rsidR="00101D89" w:rsidRPr="00680837" w:rsidRDefault="00101D89" w:rsidP="00A4063F">
      <w:pPr>
        <w:pStyle w:val="Heading2"/>
        <w:numPr>
          <w:ilvl w:val="1"/>
          <w:numId w:val="31"/>
        </w:numPr>
        <w:rPr>
          <w:lang w:val="en-GB"/>
        </w:rPr>
      </w:pPr>
      <w:bookmarkStart w:id="8" w:name="_Toc504036294"/>
      <w:r w:rsidRPr="00680837">
        <w:rPr>
          <w:lang w:val="en-GB"/>
        </w:rPr>
        <w:t>Respect for dignity</w:t>
      </w:r>
      <w:r>
        <w:rPr>
          <w:lang w:val="en-GB"/>
        </w:rPr>
        <w:t>,</w:t>
      </w:r>
      <w:r w:rsidRPr="00680837">
        <w:rPr>
          <w:lang w:val="en-GB"/>
        </w:rPr>
        <w:t xml:space="preserve"> personal autonomy, choice</w:t>
      </w:r>
      <w:r>
        <w:rPr>
          <w:lang w:val="en-GB"/>
        </w:rPr>
        <w:t>,</w:t>
      </w:r>
      <w:r w:rsidRPr="00680837">
        <w:rPr>
          <w:lang w:val="en-GB"/>
        </w:rPr>
        <w:t xml:space="preserve"> control over one’s life and privacy</w:t>
      </w:r>
      <w:bookmarkEnd w:id="8"/>
    </w:p>
    <w:p w14:paraId="1C85D6E7" w14:textId="6617422B" w:rsidR="00101D89" w:rsidRPr="00680837" w:rsidRDefault="00101D89" w:rsidP="00810438">
      <w:pPr>
        <w:rPr>
          <w:szCs w:val="22"/>
          <w:lang w:val="en-GB"/>
        </w:rPr>
      </w:pPr>
      <w:r w:rsidRPr="00680837">
        <w:rPr>
          <w:szCs w:val="22"/>
          <w:lang w:val="en-GB"/>
        </w:rPr>
        <w:t>Social protection benefits, whether mainstream or disability-specific, should always be provided to persons with disabilities in a way that allows for their choice and control over the benefit.</w:t>
      </w:r>
    </w:p>
    <w:p w14:paraId="13CB1941" w14:textId="1792DF3C" w:rsidR="00101D89" w:rsidRPr="00680837" w:rsidRDefault="00101D89" w:rsidP="003347FE">
      <w:pPr>
        <w:rPr>
          <w:szCs w:val="22"/>
          <w:lang w:val="en-GB"/>
        </w:rPr>
      </w:pPr>
      <w:r w:rsidRPr="00680837">
        <w:rPr>
          <w:szCs w:val="22"/>
          <w:lang w:val="en-GB"/>
        </w:rPr>
        <w:t xml:space="preserve">For instance, benefits aimed at supporting persons with disabilities should be </w:t>
      </w:r>
      <w:r w:rsidRPr="00680837">
        <w:rPr>
          <w:lang w:val="en-GB"/>
        </w:rPr>
        <w:t>individual and directly received by the person with disabilities</w:t>
      </w:r>
      <w:r>
        <w:rPr>
          <w:lang w:val="en-GB"/>
        </w:rPr>
        <w:t>,</w:t>
      </w:r>
      <w:r w:rsidRPr="00680837">
        <w:rPr>
          <w:lang w:val="en-GB"/>
        </w:rPr>
        <w:t xml:space="preserve"> </w:t>
      </w:r>
      <w:r w:rsidRPr="00680837">
        <w:rPr>
          <w:szCs w:val="22"/>
          <w:lang w:val="en-GB"/>
        </w:rPr>
        <w:t xml:space="preserve">whether they are male or female, or are head of the household or not (except in the case of children). Payments to families rather than to the individual may contribute to the disempowerment of that individual. </w:t>
      </w:r>
    </w:p>
    <w:p w14:paraId="5DA4935E" w14:textId="71948603" w:rsidR="00101D89" w:rsidRPr="00680837" w:rsidRDefault="00101D89" w:rsidP="00C0429C">
      <w:pPr>
        <w:pStyle w:val="CommentText"/>
        <w:rPr>
          <w:szCs w:val="22"/>
          <w:lang w:val="en-GB"/>
        </w:rPr>
      </w:pPr>
      <w:r w:rsidRPr="00680837">
        <w:rPr>
          <w:szCs w:val="22"/>
          <w:lang w:val="en-GB"/>
        </w:rPr>
        <w:t>The receipt of social protection benefits should not imply acceptance of unwanted interventions or particular residential arrangements that would restrict choice and control of persons with disabilities.</w:t>
      </w:r>
    </w:p>
    <w:p w14:paraId="6C342E8A" w14:textId="50CC6AAB" w:rsidR="00101D89" w:rsidRPr="00680837" w:rsidRDefault="00101D89" w:rsidP="00C0429C">
      <w:pPr>
        <w:pStyle w:val="CommentText"/>
        <w:rPr>
          <w:szCs w:val="22"/>
          <w:lang w:val="en-GB"/>
        </w:rPr>
      </w:pPr>
      <w:r>
        <w:rPr>
          <w:szCs w:val="22"/>
          <w:lang w:val="en-GB"/>
        </w:rPr>
        <w:t>Furthermore</w:t>
      </w:r>
      <w:r w:rsidRPr="00680837">
        <w:rPr>
          <w:szCs w:val="22"/>
          <w:lang w:val="en-GB"/>
        </w:rPr>
        <w:t xml:space="preserve">, in accordance with </w:t>
      </w:r>
      <w:r>
        <w:rPr>
          <w:szCs w:val="22"/>
          <w:lang w:val="en-GB"/>
        </w:rPr>
        <w:t>A</w:t>
      </w:r>
      <w:r w:rsidRPr="00680837">
        <w:rPr>
          <w:szCs w:val="22"/>
          <w:lang w:val="en-GB"/>
        </w:rPr>
        <w:t>rticle</w:t>
      </w:r>
      <w:r>
        <w:rPr>
          <w:szCs w:val="22"/>
          <w:lang w:val="en-GB"/>
        </w:rPr>
        <w:t>s</w:t>
      </w:r>
      <w:r w:rsidRPr="00680837">
        <w:rPr>
          <w:szCs w:val="22"/>
          <w:lang w:val="en-GB"/>
        </w:rPr>
        <w:t xml:space="preserve"> 22 (</w:t>
      </w:r>
      <w:r>
        <w:rPr>
          <w:szCs w:val="22"/>
          <w:lang w:val="en-GB"/>
        </w:rPr>
        <w:t xml:space="preserve">respect for </w:t>
      </w:r>
      <w:r w:rsidRPr="00680837">
        <w:rPr>
          <w:szCs w:val="22"/>
          <w:lang w:val="en-GB"/>
        </w:rPr>
        <w:t>privacy) and 31 (</w:t>
      </w:r>
      <w:r>
        <w:rPr>
          <w:szCs w:val="22"/>
          <w:lang w:val="en-GB"/>
        </w:rPr>
        <w:t xml:space="preserve">statistics and </w:t>
      </w:r>
      <w:r w:rsidRPr="00680837">
        <w:rPr>
          <w:szCs w:val="22"/>
          <w:lang w:val="en-GB"/>
        </w:rPr>
        <w:t xml:space="preserve">data collection) of the CRPD, </w:t>
      </w:r>
      <w:r>
        <w:rPr>
          <w:szCs w:val="22"/>
          <w:lang w:val="en-GB"/>
        </w:rPr>
        <w:t>and</w:t>
      </w:r>
      <w:r w:rsidRPr="00680837">
        <w:rPr>
          <w:szCs w:val="22"/>
          <w:lang w:val="en-GB"/>
        </w:rPr>
        <w:t xml:space="preserve"> para</w:t>
      </w:r>
      <w:r>
        <w:rPr>
          <w:szCs w:val="22"/>
          <w:lang w:val="en-GB"/>
        </w:rPr>
        <w:t>graph</w:t>
      </w:r>
      <w:r w:rsidRPr="00680837">
        <w:rPr>
          <w:szCs w:val="22"/>
          <w:lang w:val="en-GB"/>
        </w:rPr>
        <w:t xml:space="preserve"> 23 of Recommendation No. 202, data collec</w:t>
      </w:r>
      <w:r>
        <w:rPr>
          <w:szCs w:val="22"/>
          <w:lang w:val="en-GB"/>
        </w:rPr>
        <w:t>tion for the</w:t>
      </w:r>
      <w:r w:rsidRPr="00680837">
        <w:rPr>
          <w:szCs w:val="22"/>
          <w:lang w:val="en-GB"/>
        </w:rPr>
        <w:t xml:space="preserve"> determin</w:t>
      </w:r>
      <w:r>
        <w:rPr>
          <w:szCs w:val="22"/>
          <w:lang w:val="en-GB"/>
        </w:rPr>
        <w:t>ation of</w:t>
      </w:r>
      <w:r w:rsidRPr="00680837">
        <w:rPr>
          <w:szCs w:val="22"/>
          <w:lang w:val="en-GB"/>
        </w:rPr>
        <w:t xml:space="preserve"> eligibility</w:t>
      </w:r>
      <w:r>
        <w:rPr>
          <w:szCs w:val="22"/>
          <w:lang w:val="en-GB"/>
        </w:rPr>
        <w:t xml:space="preserve"> for</w:t>
      </w:r>
      <w:r w:rsidRPr="00680837">
        <w:rPr>
          <w:szCs w:val="22"/>
          <w:lang w:val="en-GB"/>
        </w:rPr>
        <w:t xml:space="preserve"> and delivery of benefits should always respect standards of confidentiality and privacy. Some gatekeeping and eligibility mechanisms may, for instance, oblige individuals to disclose publicly their disability status </w:t>
      </w:r>
      <w:r w:rsidR="008B4510">
        <w:rPr>
          <w:szCs w:val="22"/>
          <w:lang w:val="en-GB"/>
        </w:rPr>
        <w:t xml:space="preserve">in order </w:t>
      </w:r>
      <w:r w:rsidRPr="00680837">
        <w:rPr>
          <w:szCs w:val="22"/>
          <w:lang w:val="en-GB"/>
        </w:rPr>
        <w:t xml:space="preserve">to obtain support, </w:t>
      </w:r>
      <w:r>
        <w:rPr>
          <w:szCs w:val="22"/>
          <w:lang w:val="en-GB"/>
        </w:rPr>
        <w:t>which</w:t>
      </w:r>
      <w:r w:rsidRPr="00680837">
        <w:rPr>
          <w:szCs w:val="22"/>
          <w:lang w:val="en-GB"/>
        </w:rPr>
        <w:t xml:space="preserve"> may result in discrimination in the community. </w:t>
      </w:r>
    </w:p>
    <w:p w14:paraId="5FE147FF" w14:textId="71483EC7" w:rsidR="00101D89" w:rsidRPr="00680837" w:rsidRDefault="00101D89" w:rsidP="00A4063F">
      <w:pPr>
        <w:pStyle w:val="Heading2"/>
        <w:numPr>
          <w:ilvl w:val="1"/>
          <w:numId w:val="31"/>
        </w:numPr>
        <w:rPr>
          <w:lang w:val="en-GB"/>
        </w:rPr>
      </w:pPr>
      <w:bookmarkStart w:id="9" w:name="_Toc504036295"/>
      <w:r w:rsidRPr="00680837">
        <w:rPr>
          <w:lang w:val="en-GB"/>
        </w:rPr>
        <w:t>Full and effective participation and inclusion</w:t>
      </w:r>
      <w:bookmarkEnd w:id="9"/>
      <w:r w:rsidRPr="00680837">
        <w:rPr>
          <w:lang w:val="en-GB"/>
        </w:rPr>
        <w:t xml:space="preserve"> </w:t>
      </w:r>
    </w:p>
    <w:p w14:paraId="75C832C6" w14:textId="49A3AE07" w:rsidR="00101D89" w:rsidRPr="00680837" w:rsidRDefault="00101D89" w:rsidP="00F1621B">
      <w:pPr>
        <w:rPr>
          <w:szCs w:val="22"/>
          <w:lang w:val="en-GB"/>
        </w:rPr>
      </w:pPr>
      <w:r w:rsidRPr="00680837">
        <w:rPr>
          <w:szCs w:val="22"/>
          <w:lang w:val="en-GB"/>
        </w:rPr>
        <w:t>Social protection programmes, whether mainstream or disability–specific, should always contribute to full and effective participation and inclusion. This calls for preventing</w:t>
      </w:r>
      <w:r w:rsidR="008B4510">
        <w:rPr>
          <w:szCs w:val="22"/>
          <w:lang w:val="en-GB"/>
        </w:rPr>
        <w:t xml:space="preserve"> the</w:t>
      </w:r>
      <w:r w:rsidRPr="00680837">
        <w:rPr>
          <w:szCs w:val="22"/>
          <w:lang w:val="en-GB"/>
        </w:rPr>
        <w:t xml:space="preserve"> institutionalization of persons with disabilities and ensuring adequate support and access to services in the community. In the case of children with disabilities, support needs to be given to the family, and the separation of the child from the family must be prevented. </w:t>
      </w:r>
    </w:p>
    <w:p w14:paraId="7115ECFE" w14:textId="5271ADA1" w:rsidR="00101D89" w:rsidRPr="00680837" w:rsidRDefault="00101D89" w:rsidP="005B6F88">
      <w:pPr>
        <w:rPr>
          <w:szCs w:val="22"/>
          <w:lang w:val="en-GB"/>
        </w:rPr>
      </w:pPr>
      <w:r w:rsidRPr="00680837">
        <w:rPr>
          <w:szCs w:val="22"/>
          <w:lang w:val="en-GB"/>
        </w:rPr>
        <w:t>Full and effective participation and inclusion also implies moving away from an incapacity to work approach</w:t>
      </w:r>
      <w:r>
        <w:rPr>
          <w:szCs w:val="22"/>
          <w:lang w:val="en-GB"/>
        </w:rPr>
        <w:t xml:space="preserve"> in order</w:t>
      </w:r>
      <w:r w:rsidRPr="00680837">
        <w:rPr>
          <w:szCs w:val="22"/>
          <w:lang w:val="en-GB"/>
        </w:rPr>
        <w:t xml:space="preserve"> to focus on barriers and support requirements as a basis for eligibility a</w:t>
      </w:r>
      <w:r w:rsidR="003600B2">
        <w:rPr>
          <w:szCs w:val="22"/>
          <w:lang w:val="en-GB"/>
        </w:rPr>
        <w:t xml:space="preserve">s well as </w:t>
      </w:r>
      <w:r w:rsidRPr="00680837">
        <w:rPr>
          <w:szCs w:val="22"/>
          <w:lang w:val="en-GB"/>
        </w:rPr>
        <w:t xml:space="preserve">unbundling income support and disability-related support. </w:t>
      </w:r>
      <w:r>
        <w:rPr>
          <w:szCs w:val="22"/>
          <w:lang w:val="en-GB"/>
        </w:rPr>
        <w:t>Following this approach</w:t>
      </w:r>
      <w:r w:rsidRPr="00680837">
        <w:rPr>
          <w:szCs w:val="22"/>
          <w:lang w:val="en-GB"/>
        </w:rPr>
        <w:t>, when a person with disability starts engaging in paid employment, he</w:t>
      </w:r>
      <w:r>
        <w:rPr>
          <w:szCs w:val="22"/>
          <w:lang w:val="en-GB"/>
        </w:rPr>
        <w:t>/</w:t>
      </w:r>
      <w:r w:rsidRPr="00680837">
        <w:rPr>
          <w:szCs w:val="22"/>
          <w:lang w:val="en-GB"/>
        </w:rPr>
        <w:t>she may no</w:t>
      </w:r>
      <w:r>
        <w:rPr>
          <w:szCs w:val="22"/>
          <w:lang w:val="en-GB"/>
        </w:rPr>
        <w:t xml:space="preserve"> longer</w:t>
      </w:r>
      <w:r w:rsidRPr="00680837">
        <w:rPr>
          <w:szCs w:val="22"/>
          <w:lang w:val="en-GB"/>
        </w:rPr>
        <w:t xml:space="preserve"> require income support </w:t>
      </w:r>
      <w:r>
        <w:rPr>
          <w:szCs w:val="22"/>
          <w:lang w:val="en-GB"/>
        </w:rPr>
        <w:t>but</w:t>
      </w:r>
      <w:r w:rsidRPr="00680837">
        <w:rPr>
          <w:szCs w:val="22"/>
          <w:lang w:val="en-GB"/>
        </w:rPr>
        <w:t xml:space="preserve"> would continue to receive the </w:t>
      </w:r>
      <w:r>
        <w:rPr>
          <w:szCs w:val="22"/>
          <w:lang w:val="en-GB"/>
        </w:rPr>
        <w:t xml:space="preserve">necessary </w:t>
      </w:r>
      <w:r w:rsidRPr="00680837">
        <w:rPr>
          <w:szCs w:val="22"/>
          <w:lang w:val="en-GB"/>
        </w:rPr>
        <w:t>benefits</w:t>
      </w:r>
      <w:r>
        <w:rPr>
          <w:szCs w:val="22"/>
          <w:lang w:val="en-GB"/>
        </w:rPr>
        <w:t>,</w:t>
      </w:r>
      <w:r w:rsidRPr="00680837">
        <w:rPr>
          <w:szCs w:val="22"/>
          <w:lang w:val="en-GB"/>
        </w:rPr>
        <w:t xml:space="preserve"> in cash and in</w:t>
      </w:r>
      <w:r>
        <w:rPr>
          <w:szCs w:val="22"/>
          <w:lang w:val="en-GB"/>
        </w:rPr>
        <w:t xml:space="preserve"> </w:t>
      </w:r>
      <w:r w:rsidRPr="00680837">
        <w:rPr>
          <w:szCs w:val="22"/>
          <w:lang w:val="en-GB"/>
        </w:rPr>
        <w:t>kind</w:t>
      </w:r>
      <w:r>
        <w:rPr>
          <w:szCs w:val="22"/>
          <w:lang w:val="en-GB"/>
        </w:rPr>
        <w:t>,</w:t>
      </w:r>
      <w:r w:rsidRPr="00680837">
        <w:rPr>
          <w:szCs w:val="22"/>
          <w:lang w:val="en-GB"/>
        </w:rPr>
        <w:t xml:space="preserve"> to cover disability-related costs, including those associated with participation in </w:t>
      </w:r>
      <w:r w:rsidRPr="001F50C3">
        <w:rPr>
          <w:szCs w:val="22"/>
          <w:lang w:val="en-GB"/>
        </w:rPr>
        <w:t xml:space="preserve">paid employment. Such an approach promotes economic participation and reduces poverty risks. This approach would </w:t>
      </w:r>
      <w:r w:rsidR="003600B2">
        <w:rPr>
          <w:szCs w:val="22"/>
          <w:lang w:val="en-GB"/>
        </w:rPr>
        <w:t xml:space="preserve">also </w:t>
      </w:r>
      <w:r w:rsidRPr="001F50C3">
        <w:rPr>
          <w:szCs w:val="22"/>
          <w:lang w:val="en-GB"/>
        </w:rPr>
        <w:t xml:space="preserve">require greater flexibility in allowing for re-entry into income support programmes. </w:t>
      </w:r>
      <w:r w:rsidR="008B4510">
        <w:rPr>
          <w:szCs w:val="22"/>
          <w:lang w:val="en-GB"/>
        </w:rPr>
        <w:t>In this way</w:t>
      </w:r>
      <w:r w:rsidRPr="001F50C3">
        <w:rPr>
          <w:szCs w:val="22"/>
          <w:lang w:val="en-GB"/>
        </w:rPr>
        <w:t xml:space="preserve">, disincentives for persons with disabilities to seize economic opportunities </w:t>
      </w:r>
      <w:r w:rsidRPr="00521BE5">
        <w:rPr>
          <w:szCs w:val="22"/>
          <w:lang w:val="en-GB"/>
        </w:rPr>
        <w:t xml:space="preserve">for fear of </w:t>
      </w:r>
      <w:r w:rsidRPr="00B94232">
        <w:rPr>
          <w:szCs w:val="22"/>
          <w:lang w:val="en-GB"/>
        </w:rPr>
        <w:t>los</w:t>
      </w:r>
      <w:r w:rsidRPr="001F50C3">
        <w:rPr>
          <w:szCs w:val="22"/>
          <w:lang w:val="en-GB"/>
        </w:rPr>
        <w:t>ing essential income</w:t>
      </w:r>
      <w:r w:rsidR="001F50C3" w:rsidRPr="001F50C3">
        <w:rPr>
          <w:szCs w:val="22"/>
          <w:lang w:val="en-GB"/>
        </w:rPr>
        <w:t xml:space="preserve"> would be reduced</w:t>
      </w:r>
      <w:r w:rsidRPr="001F50C3">
        <w:rPr>
          <w:szCs w:val="22"/>
          <w:lang w:val="en-GB"/>
        </w:rPr>
        <w:t>.</w:t>
      </w:r>
      <w:r w:rsidRPr="00680837">
        <w:rPr>
          <w:szCs w:val="22"/>
          <w:lang w:val="en-GB"/>
        </w:rPr>
        <w:t xml:space="preserve"> </w:t>
      </w:r>
    </w:p>
    <w:p w14:paraId="7058DFBC" w14:textId="6A667313" w:rsidR="00101D89" w:rsidRPr="00680837" w:rsidRDefault="00101D89" w:rsidP="00A4063F">
      <w:pPr>
        <w:pStyle w:val="Heading2"/>
        <w:numPr>
          <w:ilvl w:val="1"/>
          <w:numId w:val="31"/>
        </w:numPr>
        <w:rPr>
          <w:lang w:val="en-GB"/>
        </w:rPr>
      </w:pPr>
      <w:bookmarkStart w:id="10" w:name="_Toc504036296"/>
      <w:r w:rsidRPr="00680837">
        <w:rPr>
          <w:lang w:val="en-GB"/>
        </w:rPr>
        <w:t>Consultation and involvement of persons with disabilities</w:t>
      </w:r>
      <w:bookmarkEnd w:id="10"/>
      <w:r w:rsidRPr="00680837">
        <w:rPr>
          <w:lang w:val="en-GB"/>
        </w:rPr>
        <w:t xml:space="preserve"> </w:t>
      </w:r>
    </w:p>
    <w:p w14:paraId="45C36C8A" w14:textId="4DA1F651" w:rsidR="00101D89" w:rsidRPr="00680837" w:rsidRDefault="00101D89" w:rsidP="005B6F88">
      <w:pPr>
        <w:rPr>
          <w:szCs w:val="22"/>
          <w:lang w:val="en-GB"/>
        </w:rPr>
      </w:pPr>
      <w:r w:rsidRPr="00680837">
        <w:rPr>
          <w:szCs w:val="22"/>
          <w:lang w:val="en-GB"/>
        </w:rPr>
        <w:t xml:space="preserve">Consultation with persons with disabilities through their representative organizations is an obligation for States </w:t>
      </w:r>
      <w:r>
        <w:rPr>
          <w:szCs w:val="22"/>
          <w:lang w:val="en-GB"/>
        </w:rPr>
        <w:t>P</w:t>
      </w:r>
      <w:r w:rsidRPr="00680837">
        <w:rPr>
          <w:szCs w:val="22"/>
          <w:lang w:val="en-GB"/>
        </w:rPr>
        <w:t>arties to the Convention (Art</w:t>
      </w:r>
      <w:r>
        <w:rPr>
          <w:szCs w:val="22"/>
          <w:lang w:val="en-GB"/>
        </w:rPr>
        <w:t>icle</w:t>
      </w:r>
      <w:r w:rsidRPr="00680837">
        <w:rPr>
          <w:szCs w:val="22"/>
          <w:lang w:val="en-GB"/>
        </w:rPr>
        <w:t xml:space="preserve"> 4.3) </w:t>
      </w:r>
      <w:r>
        <w:rPr>
          <w:szCs w:val="22"/>
          <w:lang w:val="en-GB"/>
        </w:rPr>
        <w:t>in order</w:t>
      </w:r>
      <w:r w:rsidRPr="00680837">
        <w:rPr>
          <w:szCs w:val="22"/>
          <w:lang w:val="en-GB"/>
        </w:rPr>
        <w:t xml:space="preserve"> to ensure that </w:t>
      </w:r>
      <w:r w:rsidR="00BE1E0C">
        <w:rPr>
          <w:szCs w:val="22"/>
          <w:lang w:val="en-GB"/>
        </w:rPr>
        <w:t>the views of persons with disabilities are</w:t>
      </w:r>
      <w:r w:rsidRPr="00680837">
        <w:rPr>
          <w:szCs w:val="22"/>
          <w:lang w:val="en-GB"/>
        </w:rPr>
        <w:t xml:space="preserve"> taken into account in </w:t>
      </w:r>
      <w:r w:rsidR="00BE1E0C">
        <w:rPr>
          <w:szCs w:val="22"/>
          <w:lang w:val="en-GB"/>
        </w:rPr>
        <w:t xml:space="preserve">the </w:t>
      </w:r>
      <w:r w:rsidRPr="00680837">
        <w:rPr>
          <w:szCs w:val="22"/>
          <w:lang w:val="en-GB"/>
        </w:rPr>
        <w:t>policies that impact them.</w:t>
      </w:r>
      <w:r>
        <w:rPr>
          <w:szCs w:val="22"/>
          <w:lang w:val="en-GB"/>
        </w:rPr>
        <w:t xml:space="preserve"> </w:t>
      </w:r>
      <w:r w:rsidRPr="006371A7">
        <w:rPr>
          <w:szCs w:val="22"/>
          <w:lang w:val="en-GB"/>
        </w:rPr>
        <w:t>This consultation contributes to more effectively designed programmes</w:t>
      </w:r>
      <w:r w:rsidR="00BE1E0C">
        <w:rPr>
          <w:szCs w:val="22"/>
          <w:lang w:val="en-GB"/>
        </w:rPr>
        <w:t xml:space="preserve"> and schemes</w:t>
      </w:r>
      <w:r w:rsidRPr="006371A7">
        <w:rPr>
          <w:szCs w:val="22"/>
          <w:lang w:val="en-GB"/>
        </w:rPr>
        <w:t xml:space="preserve"> with stronger ownership, greater awareness and better governance.</w:t>
      </w:r>
    </w:p>
    <w:p w14:paraId="2E7E3394" w14:textId="7C009153" w:rsidR="00101D89" w:rsidRPr="00680837" w:rsidRDefault="00101D89" w:rsidP="005A1BB4">
      <w:pPr>
        <w:rPr>
          <w:szCs w:val="22"/>
          <w:lang w:val="en-GB"/>
        </w:rPr>
      </w:pPr>
      <w:r w:rsidRPr="00680837">
        <w:rPr>
          <w:szCs w:val="22"/>
          <w:lang w:val="en-GB"/>
        </w:rPr>
        <w:t xml:space="preserve">While consultation with Disabled </w:t>
      </w:r>
      <w:r>
        <w:rPr>
          <w:szCs w:val="22"/>
          <w:lang w:val="en-GB"/>
        </w:rPr>
        <w:t>Persons’</w:t>
      </w:r>
      <w:r w:rsidRPr="00680837">
        <w:rPr>
          <w:szCs w:val="22"/>
          <w:lang w:val="en-GB"/>
        </w:rPr>
        <w:t xml:space="preserve"> Organizations (DPOs) is likely to take place in relation </w:t>
      </w:r>
      <w:r>
        <w:rPr>
          <w:szCs w:val="22"/>
          <w:lang w:val="en-GB"/>
        </w:rPr>
        <w:t xml:space="preserve">to </w:t>
      </w:r>
      <w:r w:rsidRPr="00680837">
        <w:rPr>
          <w:szCs w:val="22"/>
          <w:lang w:val="en-GB"/>
        </w:rPr>
        <w:t xml:space="preserve">disability-specific schemes, it is less likely </w:t>
      </w:r>
      <w:r>
        <w:rPr>
          <w:szCs w:val="22"/>
          <w:lang w:val="en-GB"/>
        </w:rPr>
        <w:t>to occur</w:t>
      </w:r>
      <w:r w:rsidRPr="00680837">
        <w:rPr>
          <w:szCs w:val="22"/>
          <w:lang w:val="en-GB"/>
        </w:rPr>
        <w:t xml:space="preserve"> in the context of mainstream social protection scheme</w:t>
      </w:r>
      <w:r>
        <w:rPr>
          <w:szCs w:val="22"/>
          <w:lang w:val="en-GB"/>
        </w:rPr>
        <w:t>s</w:t>
      </w:r>
      <w:r w:rsidRPr="00680837">
        <w:rPr>
          <w:szCs w:val="22"/>
          <w:lang w:val="en-GB"/>
        </w:rPr>
        <w:t xml:space="preserve">. Consultation with DPOs should </w:t>
      </w:r>
      <w:r>
        <w:rPr>
          <w:szCs w:val="22"/>
          <w:lang w:val="en-GB"/>
        </w:rPr>
        <w:t>take place</w:t>
      </w:r>
      <w:r w:rsidRPr="00680837">
        <w:rPr>
          <w:szCs w:val="22"/>
          <w:lang w:val="en-GB"/>
        </w:rPr>
        <w:t xml:space="preserve"> in both cases, particularly in the formulation of national social protection strategies which set out the main policy </w:t>
      </w:r>
      <w:r w:rsidRPr="00D84876">
        <w:rPr>
          <w:szCs w:val="22"/>
          <w:lang w:val="en-GB"/>
        </w:rPr>
        <w:t>directions</w:t>
      </w:r>
      <w:r w:rsidRPr="00680837">
        <w:rPr>
          <w:szCs w:val="22"/>
          <w:lang w:val="en-GB"/>
        </w:rPr>
        <w:t xml:space="preserve"> for the social protection system and define the strategies and priorities that guide the development of schemes and programmes</w:t>
      </w:r>
      <w:r w:rsidRPr="00680837">
        <w:rPr>
          <w:rStyle w:val="EndnoteReference"/>
          <w:szCs w:val="22"/>
          <w:lang w:val="en-GB"/>
        </w:rPr>
        <w:endnoteReference w:id="51"/>
      </w:r>
      <w:r w:rsidRPr="00680837">
        <w:rPr>
          <w:szCs w:val="22"/>
          <w:lang w:val="en-GB"/>
        </w:rPr>
        <w:t>.</w:t>
      </w:r>
    </w:p>
    <w:p w14:paraId="2F4F1CAF" w14:textId="4A935C66" w:rsidR="00101D89" w:rsidRPr="00680837" w:rsidRDefault="00101D89" w:rsidP="005A1BB4">
      <w:pPr>
        <w:rPr>
          <w:szCs w:val="22"/>
          <w:lang w:val="en-GB"/>
        </w:rPr>
      </w:pPr>
      <w:r w:rsidRPr="00680837">
        <w:rPr>
          <w:szCs w:val="22"/>
          <w:lang w:val="en-GB"/>
        </w:rPr>
        <w:t xml:space="preserve">Particular attention should be </w:t>
      </w:r>
      <w:r>
        <w:rPr>
          <w:szCs w:val="22"/>
          <w:lang w:val="en-GB"/>
        </w:rPr>
        <w:t>dedicated</w:t>
      </w:r>
      <w:r w:rsidRPr="00680837">
        <w:rPr>
          <w:szCs w:val="22"/>
          <w:lang w:val="en-GB"/>
        </w:rPr>
        <w:t xml:space="preserve"> to ensur</w:t>
      </w:r>
      <w:r>
        <w:rPr>
          <w:szCs w:val="22"/>
          <w:lang w:val="en-GB"/>
        </w:rPr>
        <w:t>ing</w:t>
      </w:r>
      <w:r w:rsidRPr="00680837">
        <w:rPr>
          <w:szCs w:val="22"/>
          <w:lang w:val="en-GB"/>
        </w:rPr>
        <w:t xml:space="preserve"> that women with disabilities and disability </w:t>
      </w:r>
      <w:r w:rsidRPr="00D84876">
        <w:rPr>
          <w:szCs w:val="22"/>
          <w:lang w:val="en-GB"/>
        </w:rPr>
        <w:t>constituencies</w:t>
      </w:r>
      <w:r w:rsidRPr="00680837">
        <w:rPr>
          <w:szCs w:val="22"/>
          <w:lang w:val="en-GB"/>
        </w:rPr>
        <w:t xml:space="preserve"> who </w:t>
      </w:r>
      <w:r>
        <w:rPr>
          <w:szCs w:val="22"/>
          <w:lang w:val="en-GB"/>
        </w:rPr>
        <w:t>may</w:t>
      </w:r>
      <w:r w:rsidRPr="00680837">
        <w:rPr>
          <w:szCs w:val="22"/>
          <w:lang w:val="en-GB"/>
        </w:rPr>
        <w:t xml:space="preserve"> </w:t>
      </w:r>
      <w:r w:rsidR="008B4510">
        <w:rPr>
          <w:szCs w:val="22"/>
          <w:lang w:val="en-GB"/>
        </w:rPr>
        <w:t>experience a</w:t>
      </w:r>
      <w:r w:rsidRPr="00680837">
        <w:rPr>
          <w:szCs w:val="22"/>
          <w:lang w:val="en-GB"/>
        </w:rPr>
        <w:t xml:space="preserve"> </w:t>
      </w:r>
      <w:r w:rsidRPr="00680837">
        <w:rPr>
          <w:lang w:val="en-GB"/>
        </w:rPr>
        <w:t>heightened risk of exclusion</w:t>
      </w:r>
      <w:r w:rsidRPr="00680837">
        <w:rPr>
          <w:szCs w:val="22"/>
          <w:lang w:val="en-GB"/>
        </w:rPr>
        <w:t xml:space="preserve"> (</w:t>
      </w:r>
      <w:r>
        <w:rPr>
          <w:szCs w:val="22"/>
          <w:lang w:val="en-GB"/>
        </w:rPr>
        <w:t xml:space="preserve">e.g. </w:t>
      </w:r>
      <w:r w:rsidRPr="00680837">
        <w:rPr>
          <w:szCs w:val="22"/>
          <w:lang w:val="en-GB"/>
        </w:rPr>
        <w:t>persons with psychosocial disabilities or intellectual disabilities, persons with deaf</w:t>
      </w:r>
      <w:r>
        <w:rPr>
          <w:szCs w:val="22"/>
          <w:lang w:val="en-GB"/>
        </w:rPr>
        <w:t>-</w:t>
      </w:r>
      <w:r w:rsidRPr="00680837">
        <w:rPr>
          <w:szCs w:val="22"/>
          <w:lang w:val="en-GB"/>
        </w:rPr>
        <w:t>blindness</w:t>
      </w:r>
      <w:r>
        <w:rPr>
          <w:szCs w:val="22"/>
          <w:lang w:val="en-GB"/>
        </w:rPr>
        <w:t xml:space="preserve"> and</w:t>
      </w:r>
      <w:r w:rsidRPr="00680837">
        <w:rPr>
          <w:szCs w:val="22"/>
          <w:lang w:val="en-GB"/>
        </w:rPr>
        <w:t xml:space="preserve"> persons with disabilities from rural or remote areas) are meaningfully involved. </w:t>
      </w:r>
    </w:p>
    <w:p w14:paraId="59C4D76F" w14:textId="72491466" w:rsidR="00101D89" w:rsidRPr="00680837" w:rsidRDefault="00101D89" w:rsidP="00A4063F">
      <w:pPr>
        <w:pStyle w:val="Heading2"/>
        <w:numPr>
          <w:ilvl w:val="1"/>
          <w:numId w:val="31"/>
        </w:numPr>
        <w:rPr>
          <w:lang w:val="en-GB"/>
        </w:rPr>
      </w:pPr>
      <w:bookmarkStart w:id="11" w:name="_Toc504036297"/>
      <w:r w:rsidRPr="00680837">
        <w:rPr>
          <w:lang w:val="en-GB"/>
        </w:rPr>
        <w:t>Attitudes and awareness</w:t>
      </w:r>
      <w:bookmarkEnd w:id="11"/>
    </w:p>
    <w:p w14:paraId="45BBAAA1" w14:textId="3B9270F7" w:rsidR="00101D89" w:rsidRPr="00680837" w:rsidRDefault="00101D89" w:rsidP="001512CA">
      <w:pPr>
        <w:rPr>
          <w:szCs w:val="22"/>
          <w:lang w:val="en-GB"/>
        </w:rPr>
      </w:pPr>
      <w:r w:rsidRPr="00680837">
        <w:rPr>
          <w:szCs w:val="22"/>
          <w:lang w:val="en-GB"/>
        </w:rPr>
        <w:t xml:space="preserve">Negative attitudes towards persons with disabilities and </w:t>
      </w:r>
      <w:r>
        <w:rPr>
          <w:szCs w:val="22"/>
          <w:lang w:val="en-GB"/>
        </w:rPr>
        <w:t>a</w:t>
      </w:r>
      <w:r w:rsidRPr="00680837">
        <w:rPr>
          <w:szCs w:val="22"/>
          <w:lang w:val="en-GB"/>
        </w:rPr>
        <w:t xml:space="preserve"> lack of awareness of rights, laws, regulations and programmes can also create barriers to social protection.</w:t>
      </w:r>
      <w:r>
        <w:rPr>
          <w:szCs w:val="22"/>
          <w:lang w:val="en-GB"/>
        </w:rPr>
        <w:t xml:space="preserve"> All staff involved in the administration and delivery of social protection programmes </w:t>
      </w:r>
      <w:r w:rsidRPr="00680837">
        <w:rPr>
          <w:szCs w:val="22"/>
          <w:lang w:val="en-GB"/>
        </w:rPr>
        <w:t>should be fully versed in the rights of persons with disabilities and the provisions in their programmes guaranteeing inclusion.</w:t>
      </w:r>
      <w:r>
        <w:rPr>
          <w:szCs w:val="22"/>
          <w:lang w:val="en-GB"/>
        </w:rPr>
        <w:t xml:space="preserve"> </w:t>
      </w:r>
      <w:r w:rsidRPr="00680837">
        <w:rPr>
          <w:szCs w:val="22"/>
          <w:lang w:val="en-GB"/>
        </w:rPr>
        <w:t>They should also receive disability awareness training to combat stigma and stereotypes (including gender and ethnic stereotypes), as well as training in the provision of reasonable accommodations. Systems should be established to build staff capacity in this area and to monitor their compliance.</w:t>
      </w:r>
    </w:p>
    <w:p w14:paraId="4EDD4387" w14:textId="1DEA7AAD" w:rsidR="00101D89" w:rsidRPr="00680837" w:rsidRDefault="00101D89" w:rsidP="006F1911">
      <w:pPr>
        <w:rPr>
          <w:szCs w:val="22"/>
          <w:lang w:val="en-GB"/>
        </w:rPr>
      </w:pPr>
      <w:r w:rsidRPr="00680837">
        <w:rPr>
          <w:szCs w:val="22"/>
          <w:lang w:val="en-GB"/>
        </w:rPr>
        <w:t>Outreach and awareness raising efforts for persons with disabilities are critical. Persons with disabilities are often not aware of existing programmes or how to access them, especially mainstream programmes. They may also believe that some programmes</w:t>
      </w:r>
      <w:r>
        <w:rPr>
          <w:szCs w:val="22"/>
          <w:lang w:val="en-GB"/>
        </w:rPr>
        <w:t>,</w:t>
      </w:r>
      <w:r w:rsidRPr="00680837">
        <w:rPr>
          <w:szCs w:val="22"/>
          <w:lang w:val="en-GB"/>
        </w:rPr>
        <w:t xml:space="preserve"> for example, public employment programmes</w:t>
      </w:r>
      <w:r>
        <w:rPr>
          <w:szCs w:val="22"/>
          <w:lang w:val="en-GB"/>
        </w:rPr>
        <w:t>,</w:t>
      </w:r>
      <w:r w:rsidRPr="00680837">
        <w:rPr>
          <w:szCs w:val="22"/>
          <w:lang w:val="en-GB"/>
        </w:rPr>
        <w:t xml:space="preserve"> are not accessible </w:t>
      </w:r>
      <w:r>
        <w:rPr>
          <w:szCs w:val="22"/>
          <w:lang w:val="en-GB"/>
        </w:rPr>
        <w:t>to</w:t>
      </w:r>
      <w:r w:rsidRPr="00680837">
        <w:rPr>
          <w:szCs w:val="22"/>
          <w:lang w:val="en-GB"/>
        </w:rPr>
        <w:t xml:space="preserve"> them. It is therefore important that outreach efforts explicitly encourage the participation of persons with all types of disabilities</w:t>
      </w:r>
      <w:r>
        <w:rPr>
          <w:szCs w:val="22"/>
          <w:lang w:val="en-GB"/>
        </w:rPr>
        <w:t>,</w:t>
      </w:r>
      <w:r w:rsidRPr="00680837">
        <w:rPr>
          <w:szCs w:val="22"/>
          <w:lang w:val="en-GB"/>
        </w:rPr>
        <w:t xml:space="preserve"> includ</w:t>
      </w:r>
      <w:r>
        <w:rPr>
          <w:szCs w:val="22"/>
          <w:lang w:val="en-GB"/>
        </w:rPr>
        <w:t>ing</w:t>
      </w:r>
      <w:r w:rsidRPr="00680837">
        <w:rPr>
          <w:szCs w:val="22"/>
          <w:lang w:val="en-GB"/>
        </w:rPr>
        <w:t xml:space="preserve"> those more likely to face discrimination on multiple grounds, </w:t>
      </w:r>
      <w:r>
        <w:rPr>
          <w:szCs w:val="22"/>
          <w:lang w:val="en-GB"/>
        </w:rPr>
        <w:t>owing</w:t>
      </w:r>
      <w:r w:rsidRPr="00680837">
        <w:rPr>
          <w:szCs w:val="22"/>
          <w:lang w:val="en-GB"/>
        </w:rPr>
        <w:t xml:space="preserve"> to other characteristics such as gender, age, ethnicity, sexual orientation and region of residence.</w:t>
      </w:r>
    </w:p>
    <w:p w14:paraId="20AC622D" w14:textId="7DB4EBF3" w:rsidR="00101D89" w:rsidRPr="00680837" w:rsidRDefault="00101D89" w:rsidP="00A4063F">
      <w:pPr>
        <w:pStyle w:val="Heading2"/>
        <w:numPr>
          <w:ilvl w:val="1"/>
          <w:numId w:val="31"/>
        </w:numPr>
        <w:rPr>
          <w:lang w:val="en-GB"/>
        </w:rPr>
      </w:pPr>
      <w:bookmarkStart w:id="12" w:name="_Toc504036298"/>
      <w:r w:rsidRPr="00680837">
        <w:rPr>
          <w:lang w:val="en-GB"/>
        </w:rPr>
        <w:t>Adequacy of benefits and support</w:t>
      </w:r>
      <w:bookmarkEnd w:id="12"/>
    </w:p>
    <w:p w14:paraId="370E9944" w14:textId="365D809C" w:rsidR="00101D89" w:rsidRPr="00680837" w:rsidRDefault="00101D89" w:rsidP="00047A7A">
      <w:pPr>
        <w:rPr>
          <w:szCs w:val="22"/>
          <w:lang w:val="en-GB"/>
        </w:rPr>
      </w:pPr>
      <w:r>
        <w:rPr>
          <w:szCs w:val="22"/>
          <w:lang w:val="en-GB"/>
        </w:rPr>
        <w:t>D</w:t>
      </w:r>
      <w:r w:rsidRPr="00680837">
        <w:rPr>
          <w:szCs w:val="22"/>
          <w:lang w:val="en-GB"/>
        </w:rPr>
        <w:t>isability-related benefits</w:t>
      </w:r>
      <w:r>
        <w:rPr>
          <w:szCs w:val="22"/>
          <w:lang w:val="en-GB"/>
        </w:rPr>
        <w:t xml:space="preserve"> often</w:t>
      </w:r>
      <w:r w:rsidRPr="00680837">
        <w:rPr>
          <w:szCs w:val="22"/>
          <w:lang w:val="en-GB"/>
        </w:rPr>
        <w:t xml:space="preserve"> do not provide an adequate level of support to persons with disabilities.</w:t>
      </w:r>
    </w:p>
    <w:p w14:paraId="6563D290" w14:textId="0F68F993" w:rsidR="00101D89" w:rsidRPr="00336524" w:rsidRDefault="00101D89" w:rsidP="002A27DF">
      <w:pPr>
        <w:rPr>
          <w:szCs w:val="22"/>
          <w:lang w:val="en-GB"/>
        </w:rPr>
      </w:pPr>
      <w:r w:rsidRPr="00336524">
        <w:rPr>
          <w:szCs w:val="22"/>
          <w:lang w:val="en-GB"/>
        </w:rPr>
        <w:t xml:space="preserve">Benefits should be </w:t>
      </w:r>
      <w:r w:rsidR="00BE1E0C" w:rsidRPr="00336524">
        <w:rPr>
          <w:szCs w:val="22"/>
          <w:lang w:val="en-GB"/>
        </w:rPr>
        <w:t>calculated</w:t>
      </w:r>
      <w:r w:rsidRPr="00336524">
        <w:rPr>
          <w:szCs w:val="22"/>
          <w:lang w:val="en-GB"/>
        </w:rPr>
        <w:t xml:space="preserve"> in a way that truly enables persons with disabilities to afford both ordinary and disability-related goods and services necessary to escape poverty and participate equally in society. Taking into account the progressive development of social protection systems, benefits should be </w:t>
      </w:r>
      <w:r w:rsidR="00BE1E0C" w:rsidRPr="00336524">
        <w:rPr>
          <w:szCs w:val="22"/>
          <w:lang w:val="en-GB"/>
        </w:rPr>
        <w:t>calculated</w:t>
      </w:r>
      <w:r w:rsidRPr="00336524">
        <w:rPr>
          <w:szCs w:val="22"/>
          <w:lang w:val="en-GB"/>
        </w:rPr>
        <w:t xml:space="preserve"> on the basis of the specific requirements of persons with disabilities in all their diversity and not </w:t>
      </w:r>
      <w:r w:rsidR="00BE1E0C" w:rsidRPr="00336524">
        <w:rPr>
          <w:szCs w:val="22"/>
          <w:lang w:val="en-GB"/>
        </w:rPr>
        <w:t>using</w:t>
      </w:r>
      <w:r w:rsidRPr="00336524">
        <w:rPr>
          <w:szCs w:val="22"/>
          <w:lang w:val="en-GB"/>
        </w:rPr>
        <w:t xml:space="preserve"> a one-size-fits-all approach. </w:t>
      </w:r>
    </w:p>
    <w:p w14:paraId="6F6967E4" w14:textId="48A7537D" w:rsidR="00101D89" w:rsidRPr="00680837" w:rsidRDefault="00101D89" w:rsidP="002A27DF">
      <w:pPr>
        <w:rPr>
          <w:szCs w:val="22"/>
          <w:lang w:val="en-GB"/>
        </w:rPr>
      </w:pPr>
      <w:r w:rsidRPr="00336524">
        <w:rPr>
          <w:szCs w:val="22"/>
          <w:lang w:val="en-GB"/>
        </w:rPr>
        <w:t>Concerns about the adequacy of benefits and support are particularly relevant in the context of a crisis. Cash transfers and other social protection benefits and services can enable vulnerable households, including households with a member with disabilities, to access food</w:t>
      </w:r>
      <w:r w:rsidR="00BE1E0C" w:rsidRPr="00336524">
        <w:rPr>
          <w:szCs w:val="22"/>
          <w:lang w:val="en-GB"/>
        </w:rPr>
        <w:t>,</w:t>
      </w:r>
      <w:r w:rsidRPr="00336524">
        <w:rPr>
          <w:szCs w:val="22"/>
          <w:lang w:val="en-GB"/>
        </w:rPr>
        <w:t xml:space="preserve"> non-food and medical items such as assistive devices (e.g. to replace lost glasses, hearing devices and wheelchairs) and services</w:t>
      </w:r>
      <w:r w:rsidRPr="00D84876">
        <w:rPr>
          <w:szCs w:val="22"/>
          <w:lang w:val="en-GB"/>
        </w:rPr>
        <w:t xml:space="preserve"> such as rehabilitation</w:t>
      </w:r>
      <w:r w:rsidRPr="00680837">
        <w:rPr>
          <w:szCs w:val="22"/>
          <w:lang w:val="en-GB"/>
        </w:rPr>
        <w:t>.</w:t>
      </w:r>
    </w:p>
    <w:p w14:paraId="3C435CC8" w14:textId="00A57C4D" w:rsidR="00101D89" w:rsidRPr="00680837" w:rsidRDefault="00101D89" w:rsidP="00A4063F">
      <w:pPr>
        <w:pStyle w:val="Heading2"/>
        <w:numPr>
          <w:ilvl w:val="1"/>
          <w:numId w:val="31"/>
        </w:numPr>
        <w:rPr>
          <w:lang w:val="en-GB"/>
        </w:rPr>
      </w:pPr>
      <w:bookmarkStart w:id="13" w:name="_Toc504036299"/>
      <w:r w:rsidRPr="00680837">
        <w:rPr>
          <w:lang w:val="en-GB"/>
        </w:rPr>
        <w:t>Eligibility criteria and disability assessments</w:t>
      </w:r>
      <w:bookmarkEnd w:id="13"/>
    </w:p>
    <w:p w14:paraId="17B88474" w14:textId="4AF40D2C" w:rsidR="00101D89" w:rsidRPr="00680837" w:rsidRDefault="00101D89" w:rsidP="006F1911">
      <w:pPr>
        <w:rPr>
          <w:szCs w:val="22"/>
          <w:lang w:val="en-GB"/>
        </w:rPr>
      </w:pPr>
      <w:r>
        <w:rPr>
          <w:szCs w:val="22"/>
          <w:lang w:val="en-GB"/>
        </w:rPr>
        <w:t>D</w:t>
      </w:r>
      <w:r w:rsidRPr="00680837">
        <w:rPr>
          <w:szCs w:val="22"/>
          <w:lang w:val="en-GB"/>
        </w:rPr>
        <w:t>etermination</w:t>
      </w:r>
      <w:r>
        <w:rPr>
          <w:szCs w:val="22"/>
          <w:lang w:val="en-GB"/>
        </w:rPr>
        <w:t xml:space="preserve"> of eligibility</w:t>
      </w:r>
      <w:r w:rsidRPr="00680837">
        <w:rPr>
          <w:szCs w:val="22"/>
          <w:lang w:val="en-GB"/>
        </w:rPr>
        <w:t xml:space="preserve"> raises complex questions for any social protection programme, but even more so when </w:t>
      </w:r>
      <w:r>
        <w:rPr>
          <w:szCs w:val="22"/>
          <w:lang w:val="en-GB"/>
        </w:rPr>
        <w:t>the process</w:t>
      </w:r>
      <w:r w:rsidRPr="00680837">
        <w:rPr>
          <w:szCs w:val="22"/>
          <w:lang w:val="en-GB"/>
        </w:rPr>
        <w:t xml:space="preserve"> </w:t>
      </w:r>
      <w:r>
        <w:rPr>
          <w:szCs w:val="22"/>
          <w:lang w:val="en-GB"/>
        </w:rPr>
        <w:t>necessarily involves</w:t>
      </w:r>
      <w:r w:rsidRPr="00680837">
        <w:rPr>
          <w:szCs w:val="22"/>
          <w:lang w:val="en-GB"/>
        </w:rPr>
        <w:t xml:space="preserve"> disability assessment and determination. Disability determination can add significant exclusion and inclusion errors to those </w:t>
      </w:r>
      <w:r w:rsidR="001F50C3">
        <w:rPr>
          <w:szCs w:val="22"/>
          <w:lang w:val="en-GB"/>
        </w:rPr>
        <w:t>which can arise</w:t>
      </w:r>
      <w:r w:rsidR="001F50C3" w:rsidRPr="00680837">
        <w:rPr>
          <w:szCs w:val="22"/>
          <w:lang w:val="en-GB"/>
        </w:rPr>
        <w:t xml:space="preserve"> </w:t>
      </w:r>
      <w:r w:rsidRPr="00680837">
        <w:rPr>
          <w:szCs w:val="22"/>
          <w:lang w:val="en-GB"/>
        </w:rPr>
        <w:t>in poverty targeting mechanisms</w:t>
      </w:r>
      <w:r w:rsidRPr="00680837">
        <w:rPr>
          <w:rStyle w:val="EndnoteReference"/>
          <w:szCs w:val="22"/>
          <w:lang w:val="en-GB"/>
        </w:rPr>
        <w:endnoteReference w:id="52"/>
      </w:r>
      <w:r w:rsidRPr="00680837">
        <w:rPr>
          <w:szCs w:val="22"/>
          <w:lang w:val="en-GB"/>
        </w:rPr>
        <w:t xml:space="preserve">. </w:t>
      </w:r>
    </w:p>
    <w:p w14:paraId="1D2E6AE4" w14:textId="0B0CA80C" w:rsidR="00101D89" w:rsidRPr="00680837" w:rsidRDefault="00101D89" w:rsidP="00942395">
      <w:pPr>
        <w:widowControl w:val="0"/>
        <w:autoSpaceDE w:val="0"/>
        <w:autoSpaceDN w:val="0"/>
        <w:adjustRightInd w:val="0"/>
        <w:spacing w:before="0" w:after="0"/>
        <w:rPr>
          <w:szCs w:val="22"/>
          <w:lang w:val="en-GB"/>
        </w:rPr>
      </w:pPr>
      <w:r>
        <w:rPr>
          <w:szCs w:val="22"/>
          <w:lang w:val="en-GB"/>
        </w:rPr>
        <w:t>In order to comply with the CRPD</w:t>
      </w:r>
      <w:r w:rsidRPr="00680837">
        <w:rPr>
          <w:szCs w:val="22"/>
          <w:lang w:val="en-GB"/>
        </w:rPr>
        <w:t>, disability assessments should not only consider impairment and activity limitations, but also</w:t>
      </w:r>
      <w:r w:rsidR="00BE1E0C">
        <w:rPr>
          <w:szCs w:val="22"/>
          <w:lang w:val="en-GB"/>
        </w:rPr>
        <w:t xml:space="preserve"> the</w:t>
      </w:r>
      <w:r w:rsidRPr="00680837">
        <w:rPr>
          <w:szCs w:val="22"/>
          <w:lang w:val="en-GB"/>
        </w:rPr>
        <w:t xml:space="preserve"> </w:t>
      </w:r>
      <w:r>
        <w:rPr>
          <w:szCs w:val="22"/>
          <w:lang w:val="en-GB"/>
        </w:rPr>
        <w:t xml:space="preserve">attitudinal and environmental </w:t>
      </w:r>
      <w:r w:rsidRPr="00680837">
        <w:rPr>
          <w:szCs w:val="22"/>
          <w:lang w:val="en-GB"/>
        </w:rPr>
        <w:t xml:space="preserve">barriers </w:t>
      </w:r>
      <w:r>
        <w:rPr>
          <w:szCs w:val="22"/>
          <w:lang w:val="en-GB"/>
        </w:rPr>
        <w:t>faced by</w:t>
      </w:r>
      <w:r w:rsidRPr="00680837">
        <w:rPr>
          <w:szCs w:val="22"/>
          <w:lang w:val="en-GB"/>
        </w:rPr>
        <w:t xml:space="preserve"> persons </w:t>
      </w:r>
      <w:r>
        <w:rPr>
          <w:szCs w:val="22"/>
          <w:lang w:val="en-GB"/>
        </w:rPr>
        <w:t>with disabilities</w:t>
      </w:r>
      <w:r w:rsidRPr="00680837">
        <w:rPr>
          <w:szCs w:val="22"/>
          <w:lang w:val="en-GB"/>
        </w:rPr>
        <w:t>, as well as their support requirements.</w:t>
      </w:r>
      <w:r w:rsidR="00BE1E0C">
        <w:rPr>
          <w:szCs w:val="22"/>
          <w:lang w:val="en-GB"/>
        </w:rPr>
        <w:t xml:space="preserve"> The collection of t</w:t>
      </w:r>
      <w:r w:rsidRPr="00680837">
        <w:rPr>
          <w:szCs w:val="22"/>
          <w:lang w:val="en-GB"/>
        </w:rPr>
        <w:t>hese data require</w:t>
      </w:r>
      <w:r w:rsidR="00BE1E0C">
        <w:rPr>
          <w:szCs w:val="22"/>
          <w:lang w:val="en-GB"/>
        </w:rPr>
        <w:t>s</w:t>
      </w:r>
      <w:r w:rsidRPr="00680837">
        <w:rPr>
          <w:szCs w:val="22"/>
          <w:lang w:val="en-GB"/>
        </w:rPr>
        <w:t xml:space="preserve"> the development of an adequate information management system.</w:t>
      </w:r>
      <w:r>
        <w:rPr>
          <w:szCs w:val="22"/>
          <w:lang w:val="en-GB"/>
        </w:rPr>
        <w:t xml:space="preserve"> </w:t>
      </w:r>
      <w:r w:rsidRPr="00680837">
        <w:rPr>
          <w:szCs w:val="22"/>
          <w:lang w:val="en-GB"/>
        </w:rPr>
        <w:t xml:space="preserve">Such a system would provide timely and critical information to support policy makers and </w:t>
      </w:r>
      <w:r>
        <w:rPr>
          <w:szCs w:val="22"/>
          <w:lang w:val="en-GB"/>
        </w:rPr>
        <w:t>DPOs</w:t>
      </w:r>
      <w:r w:rsidRPr="00680837">
        <w:rPr>
          <w:szCs w:val="22"/>
          <w:lang w:val="en-GB"/>
        </w:rPr>
        <w:t xml:space="preserve"> to develop relevant policies, </w:t>
      </w:r>
      <w:r>
        <w:rPr>
          <w:szCs w:val="22"/>
          <w:lang w:val="en-GB"/>
        </w:rPr>
        <w:t xml:space="preserve">determine </w:t>
      </w:r>
      <w:r w:rsidRPr="00680837">
        <w:rPr>
          <w:szCs w:val="22"/>
          <w:lang w:val="en-GB"/>
        </w:rPr>
        <w:t>adequate benefits and prioritize resource allocation.</w:t>
      </w:r>
    </w:p>
    <w:p w14:paraId="528F509C" w14:textId="7A0D820B" w:rsidR="00101D89" w:rsidRPr="00680837" w:rsidRDefault="00101D89" w:rsidP="00A61661">
      <w:pPr>
        <w:rPr>
          <w:szCs w:val="22"/>
          <w:lang w:val="en-GB"/>
        </w:rPr>
      </w:pPr>
      <w:r w:rsidRPr="00680837">
        <w:rPr>
          <w:szCs w:val="22"/>
          <w:lang w:val="en-GB"/>
        </w:rPr>
        <w:t xml:space="preserve">With regard to other eligibility criteria, eligibility thresholds for means-tested programmes may not </w:t>
      </w:r>
      <w:r>
        <w:rPr>
          <w:szCs w:val="22"/>
          <w:lang w:val="en-GB"/>
        </w:rPr>
        <w:t xml:space="preserve">take into </w:t>
      </w:r>
      <w:r w:rsidRPr="00680837">
        <w:rPr>
          <w:szCs w:val="22"/>
          <w:lang w:val="en-GB"/>
        </w:rPr>
        <w:t xml:space="preserve">account disability-related costs. </w:t>
      </w:r>
      <w:r>
        <w:rPr>
          <w:szCs w:val="22"/>
          <w:lang w:val="en-GB"/>
        </w:rPr>
        <w:t>Consequently</w:t>
      </w:r>
      <w:r w:rsidRPr="00680837">
        <w:rPr>
          <w:szCs w:val="22"/>
          <w:lang w:val="en-GB"/>
        </w:rPr>
        <w:t xml:space="preserve">, these thresholds may exclude some people whose living standards are actually below the </w:t>
      </w:r>
      <w:r>
        <w:rPr>
          <w:szCs w:val="22"/>
          <w:lang w:val="en-GB"/>
        </w:rPr>
        <w:t>national</w:t>
      </w:r>
      <w:r w:rsidRPr="00680837">
        <w:rPr>
          <w:szCs w:val="22"/>
          <w:lang w:val="en-GB"/>
        </w:rPr>
        <w:t xml:space="preserve"> agreed minimum. Particular attention should be </w:t>
      </w:r>
      <w:r>
        <w:rPr>
          <w:szCs w:val="22"/>
          <w:lang w:val="en-GB"/>
        </w:rPr>
        <w:t>dedicated</w:t>
      </w:r>
      <w:r w:rsidRPr="00680837">
        <w:rPr>
          <w:szCs w:val="22"/>
          <w:lang w:val="en-GB"/>
        </w:rPr>
        <w:t xml:space="preserve"> to prevent</w:t>
      </w:r>
      <w:r>
        <w:rPr>
          <w:szCs w:val="22"/>
          <w:lang w:val="en-GB"/>
        </w:rPr>
        <w:t>ing</w:t>
      </w:r>
      <w:r w:rsidRPr="00680837">
        <w:rPr>
          <w:szCs w:val="22"/>
          <w:lang w:val="en-GB"/>
        </w:rPr>
        <w:t xml:space="preserve"> the exclusion of women with disabilities.</w:t>
      </w:r>
    </w:p>
    <w:p w14:paraId="7F4B483B" w14:textId="3F6C9059" w:rsidR="00101D89" w:rsidRPr="00680837" w:rsidRDefault="00101D89" w:rsidP="00A4063F">
      <w:pPr>
        <w:pStyle w:val="Heading2"/>
        <w:numPr>
          <w:ilvl w:val="1"/>
          <w:numId w:val="31"/>
        </w:numPr>
        <w:rPr>
          <w:lang w:val="en-GB"/>
        </w:rPr>
      </w:pPr>
      <w:bookmarkStart w:id="14" w:name="_Toc504036300"/>
      <w:r w:rsidRPr="00680837">
        <w:rPr>
          <w:lang w:val="en-GB"/>
        </w:rPr>
        <w:t>Monitoring and evaluation</w:t>
      </w:r>
      <w:bookmarkEnd w:id="14"/>
    </w:p>
    <w:p w14:paraId="3EE66671" w14:textId="5023204B" w:rsidR="00A61661" w:rsidRPr="00680837" w:rsidRDefault="00101D89" w:rsidP="001512CA">
      <w:pPr>
        <w:rPr>
          <w:szCs w:val="22"/>
          <w:lang w:val="en-GB"/>
        </w:rPr>
      </w:pPr>
      <w:r w:rsidRPr="00D84BB0">
        <w:rPr>
          <w:szCs w:val="22"/>
          <w:lang w:val="en-GB"/>
        </w:rPr>
        <w:t>It is critical to ensure that administrative data is disaggregated</w:t>
      </w:r>
      <w:r w:rsidRPr="00D84BB0">
        <w:rPr>
          <w:rStyle w:val="EndnoteReference"/>
          <w:szCs w:val="22"/>
          <w:lang w:val="en-GB"/>
        </w:rPr>
        <w:endnoteReference w:id="53"/>
      </w:r>
      <w:r w:rsidRPr="00D84BB0">
        <w:rPr>
          <w:szCs w:val="22"/>
          <w:lang w:val="en-GB"/>
        </w:rPr>
        <w:t xml:space="preserve"> in an appropriate way, by type of disability and intersectional factors (such as gender), across the social protection system in order to improve the design of policies and to identify good practices.</w:t>
      </w:r>
      <w:r w:rsidRPr="00680837">
        <w:rPr>
          <w:szCs w:val="22"/>
          <w:lang w:val="en-GB"/>
        </w:rPr>
        <w:t xml:space="preserve"> Similarly, ensuring </w:t>
      </w:r>
      <w:r>
        <w:rPr>
          <w:szCs w:val="22"/>
          <w:lang w:val="en-GB"/>
        </w:rPr>
        <w:t>the</w:t>
      </w:r>
      <w:r w:rsidRPr="00680837">
        <w:rPr>
          <w:szCs w:val="22"/>
          <w:lang w:val="en-GB"/>
        </w:rPr>
        <w:t xml:space="preserve"> disaggregation</w:t>
      </w:r>
      <w:r>
        <w:rPr>
          <w:szCs w:val="22"/>
          <w:lang w:val="en-GB"/>
        </w:rPr>
        <w:t xml:space="preserve"> of disability data</w:t>
      </w:r>
      <w:r w:rsidRPr="00680837">
        <w:rPr>
          <w:szCs w:val="22"/>
          <w:lang w:val="en-GB"/>
        </w:rPr>
        <w:t xml:space="preserve"> </w:t>
      </w:r>
      <w:r>
        <w:rPr>
          <w:szCs w:val="22"/>
          <w:lang w:val="en-GB"/>
        </w:rPr>
        <w:t>from</w:t>
      </w:r>
      <w:r w:rsidRPr="00680837">
        <w:rPr>
          <w:szCs w:val="22"/>
          <w:lang w:val="en-GB"/>
        </w:rPr>
        <w:t xml:space="preserve"> population censuses and surveys (such as household income and expenditure surveys, labour force surveys, and demographic and health surveys) </w:t>
      </w:r>
      <w:r w:rsidRPr="004375AD">
        <w:rPr>
          <w:szCs w:val="22"/>
          <w:lang w:val="en-GB"/>
        </w:rPr>
        <w:t xml:space="preserve">would </w:t>
      </w:r>
      <w:r>
        <w:rPr>
          <w:szCs w:val="22"/>
          <w:lang w:val="en-GB"/>
        </w:rPr>
        <w:t>facilitate</w:t>
      </w:r>
      <w:r w:rsidRPr="004375AD">
        <w:rPr>
          <w:szCs w:val="22"/>
          <w:lang w:val="en-GB"/>
        </w:rPr>
        <w:t xml:space="preserve"> the determination of</w:t>
      </w:r>
      <w:r w:rsidRPr="00680837">
        <w:rPr>
          <w:szCs w:val="22"/>
          <w:lang w:val="en-GB"/>
        </w:rPr>
        <w:t xml:space="preserve"> the number of persons with disabilities covered by various social protection schemes and the impact on their lives. To that end, the use of the Washington Group </w:t>
      </w:r>
      <w:r>
        <w:rPr>
          <w:szCs w:val="22"/>
          <w:lang w:val="en-GB"/>
        </w:rPr>
        <w:t>S</w:t>
      </w:r>
      <w:r w:rsidRPr="00680837">
        <w:rPr>
          <w:szCs w:val="22"/>
          <w:lang w:val="en-GB"/>
        </w:rPr>
        <w:t xml:space="preserve">hort </w:t>
      </w:r>
      <w:r>
        <w:rPr>
          <w:szCs w:val="22"/>
          <w:lang w:val="en-GB"/>
        </w:rPr>
        <w:t>S</w:t>
      </w:r>
      <w:r w:rsidRPr="00680837">
        <w:rPr>
          <w:szCs w:val="22"/>
          <w:lang w:val="en-GB"/>
        </w:rPr>
        <w:t xml:space="preserve">et of </w:t>
      </w:r>
      <w:r>
        <w:rPr>
          <w:szCs w:val="22"/>
          <w:lang w:val="en-GB"/>
        </w:rPr>
        <w:t>Q</w:t>
      </w:r>
      <w:r w:rsidRPr="00680837">
        <w:rPr>
          <w:szCs w:val="22"/>
          <w:lang w:val="en-GB"/>
        </w:rPr>
        <w:t>uestions</w:t>
      </w:r>
      <w:r>
        <w:rPr>
          <w:szCs w:val="22"/>
          <w:lang w:val="en-GB"/>
        </w:rPr>
        <w:t xml:space="preserve"> on Disability</w:t>
      </w:r>
      <w:r w:rsidRPr="00680837">
        <w:rPr>
          <w:szCs w:val="22"/>
          <w:lang w:val="en-GB"/>
        </w:rPr>
        <w:t xml:space="preserve"> is recommended</w:t>
      </w:r>
      <w:r w:rsidRPr="00680837">
        <w:rPr>
          <w:rStyle w:val="EndnoteReference"/>
          <w:szCs w:val="22"/>
          <w:lang w:val="en-GB"/>
        </w:rPr>
        <w:endnoteReference w:id="54"/>
      </w:r>
      <w:r w:rsidRPr="00680837">
        <w:rPr>
          <w:szCs w:val="22"/>
          <w:lang w:val="en-GB"/>
        </w:rPr>
        <w:t xml:space="preserve">. For children with disabilities, the recommended tool is the UNICEF-WG </w:t>
      </w:r>
      <w:r>
        <w:rPr>
          <w:szCs w:val="22"/>
          <w:lang w:val="en-GB"/>
        </w:rPr>
        <w:t>S</w:t>
      </w:r>
      <w:r w:rsidRPr="00680837">
        <w:rPr>
          <w:szCs w:val="22"/>
          <w:lang w:val="en-GB"/>
        </w:rPr>
        <w:t xml:space="preserve">urvey </w:t>
      </w:r>
      <w:r>
        <w:rPr>
          <w:szCs w:val="22"/>
          <w:lang w:val="en-GB"/>
        </w:rPr>
        <w:t>M</w:t>
      </w:r>
      <w:r w:rsidRPr="00680837">
        <w:rPr>
          <w:szCs w:val="22"/>
          <w:lang w:val="en-GB"/>
        </w:rPr>
        <w:t xml:space="preserve">odule on </w:t>
      </w:r>
      <w:r>
        <w:rPr>
          <w:szCs w:val="22"/>
          <w:lang w:val="en-GB"/>
        </w:rPr>
        <w:t>C</w:t>
      </w:r>
      <w:r w:rsidRPr="00680837">
        <w:rPr>
          <w:szCs w:val="22"/>
          <w:lang w:val="en-GB"/>
        </w:rPr>
        <w:t xml:space="preserve">hild </w:t>
      </w:r>
      <w:r>
        <w:rPr>
          <w:szCs w:val="22"/>
          <w:lang w:val="en-GB"/>
        </w:rPr>
        <w:t>F</w:t>
      </w:r>
      <w:r w:rsidRPr="00680837">
        <w:rPr>
          <w:szCs w:val="22"/>
          <w:lang w:val="en-GB"/>
        </w:rPr>
        <w:t>unctioning</w:t>
      </w:r>
      <w:r>
        <w:rPr>
          <w:szCs w:val="22"/>
          <w:lang w:val="en-GB"/>
        </w:rPr>
        <w:t xml:space="preserve"> and Disability</w:t>
      </w:r>
      <w:r w:rsidRPr="00680837">
        <w:rPr>
          <w:rStyle w:val="EndnoteReference"/>
          <w:szCs w:val="22"/>
          <w:lang w:val="en-GB"/>
        </w:rPr>
        <w:endnoteReference w:id="55"/>
      </w:r>
      <w:r w:rsidRPr="00680837">
        <w:rPr>
          <w:szCs w:val="22"/>
          <w:lang w:val="en-GB"/>
        </w:rPr>
        <w:t>.</w:t>
      </w:r>
    </w:p>
    <w:p w14:paraId="2CFC5FE9" w14:textId="3164CDA7" w:rsidR="00FF1C06" w:rsidRDefault="00061B9D" w:rsidP="004D336F">
      <w:pPr>
        <w:rPr>
          <w:szCs w:val="22"/>
          <w:lang w:val="en-GB"/>
        </w:rPr>
      </w:pPr>
      <w:r w:rsidRPr="00680837">
        <w:rPr>
          <w:szCs w:val="22"/>
          <w:lang w:val="en-GB"/>
        </w:rPr>
        <w:t>These</w:t>
      </w:r>
      <w:r w:rsidR="00EC500E" w:rsidRPr="00680837">
        <w:rPr>
          <w:szCs w:val="22"/>
          <w:lang w:val="en-GB"/>
        </w:rPr>
        <w:t xml:space="preserve"> data collection</w:t>
      </w:r>
      <w:r w:rsidR="00D84BB0">
        <w:rPr>
          <w:szCs w:val="22"/>
          <w:lang w:val="en-GB"/>
        </w:rPr>
        <w:t xml:space="preserve"> efforts</w:t>
      </w:r>
      <w:r w:rsidR="00EC500E" w:rsidRPr="00680837">
        <w:rPr>
          <w:szCs w:val="22"/>
          <w:lang w:val="en-GB"/>
        </w:rPr>
        <w:t xml:space="preserve"> would also directly contribute to the </w:t>
      </w:r>
      <w:r w:rsidR="00C169EB" w:rsidRPr="00680837">
        <w:rPr>
          <w:szCs w:val="22"/>
          <w:lang w:val="en-GB"/>
        </w:rPr>
        <w:t>effective</w:t>
      </w:r>
      <w:r w:rsidRPr="00680837">
        <w:rPr>
          <w:szCs w:val="22"/>
          <w:lang w:val="en-GB"/>
        </w:rPr>
        <w:t xml:space="preserve"> monitoring of the C</w:t>
      </w:r>
      <w:r w:rsidR="00EC500E" w:rsidRPr="00680837">
        <w:rPr>
          <w:szCs w:val="22"/>
          <w:lang w:val="en-GB"/>
        </w:rPr>
        <w:t>RPD and the SDGs.</w:t>
      </w:r>
    </w:p>
    <w:p w14:paraId="02B3EF98" w14:textId="77777777" w:rsidR="00FF1C06" w:rsidRDefault="00FF1C06">
      <w:pPr>
        <w:spacing w:before="0" w:after="0"/>
        <w:jc w:val="left"/>
        <w:rPr>
          <w:szCs w:val="22"/>
          <w:lang w:val="en-GB"/>
        </w:rPr>
      </w:pPr>
      <w:r>
        <w:rPr>
          <w:szCs w:val="22"/>
          <w:lang w:val="en-GB"/>
        </w:rPr>
        <w:br w:type="page"/>
      </w:r>
    </w:p>
    <w:tbl>
      <w:tblPr>
        <w:tblStyle w:val="TableGrid"/>
        <w:tblW w:w="0" w:type="auto"/>
        <w:tblLook w:val="04A0" w:firstRow="1" w:lastRow="0" w:firstColumn="1" w:lastColumn="0" w:noHBand="0" w:noVBand="1"/>
      </w:tblPr>
      <w:tblGrid>
        <w:gridCol w:w="9010"/>
      </w:tblGrid>
      <w:tr w:rsidR="00895463" w:rsidRPr="00680837" w14:paraId="5591436B" w14:textId="77777777" w:rsidTr="00AB7B1C">
        <w:tc>
          <w:tcPr>
            <w:tcW w:w="9010" w:type="dxa"/>
          </w:tcPr>
          <w:p w14:paraId="1B501E36" w14:textId="710452E4" w:rsidR="00895463" w:rsidRPr="00680837" w:rsidRDefault="00895463" w:rsidP="00895463">
            <w:pPr>
              <w:spacing w:before="240" w:after="240"/>
              <w:jc w:val="center"/>
              <w:rPr>
                <w:b/>
                <w:sz w:val="24"/>
                <w:szCs w:val="22"/>
                <w:lang w:val="en-GB"/>
              </w:rPr>
            </w:pPr>
            <w:r w:rsidRPr="00680837">
              <w:rPr>
                <w:b/>
                <w:sz w:val="24"/>
                <w:szCs w:val="22"/>
                <w:lang w:val="en-GB"/>
              </w:rPr>
              <w:t>Key questions for inclusive social protection systems for persons with disabilit</w:t>
            </w:r>
            <w:r w:rsidR="00F754E0" w:rsidRPr="00680837">
              <w:rPr>
                <w:b/>
                <w:sz w:val="24"/>
                <w:szCs w:val="22"/>
                <w:lang w:val="en-GB"/>
              </w:rPr>
              <w:t>ies</w:t>
            </w:r>
          </w:p>
          <w:p w14:paraId="6BA3AE9E" w14:textId="77F8C7A2" w:rsidR="00895463" w:rsidRPr="00680837" w:rsidRDefault="00895463" w:rsidP="00895463">
            <w:pPr>
              <w:rPr>
                <w:szCs w:val="22"/>
                <w:lang w:val="en-GB"/>
              </w:rPr>
            </w:pPr>
            <w:r w:rsidRPr="00680837">
              <w:rPr>
                <w:szCs w:val="22"/>
                <w:lang w:val="en-GB"/>
              </w:rPr>
              <w:t xml:space="preserve">The following questions, </w:t>
            </w:r>
            <w:r w:rsidR="004B6295">
              <w:rPr>
                <w:szCs w:val="22"/>
                <w:lang w:val="en-GB"/>
              </w:rPr>
              <w:t>which are based on</w:t>
            </w:r>
            <w:r w:rsidR="004B6295" w:rsidRPr="00680837">
              <w:rPr>
                <w:szCs w:val="22"/>
                <w:lang w:val="en-GB"/>
              </w:rPr>
              <w:t xml:space="preserve"> </w:t>
            </w:r>
            <w:r w:rsidRPr="00680837">
              <w:rPr>
                <w:szCs w:val="22"/>
                <w:lang w:val="en-GB"/>
              </w:rPr>
              <w:t xml:space="preserve">the principles </w:t>
            </w:r>
            <w:r w:rsidR="004B6295">
              <w:rPr>
                <w:szCs w:val="22"/>
                <w:lang w:val="en-GB"/>
              </w:rPr>
              <w:t>of</w:t>
            </w:r>
            <w:r w:rsidRPr="00680837">
              <w:rPr>
                <w:szCs w:val="22"/>
                <w:lang w:val="en-GB"/>
              </w:rPr>
              <w:t xml:space="preserve"> the CRPD, can be used to assess the extent to which a social protection programme</w:t>
            </w:r>
            <w:r w:rsidR="00652404" w:rsidRPr="00680837">
              <w:rPr>
                <w:szCs w:val="22"/>
                <w:lang w:val="en-GB"/>
              </w:rPr>
              <w:t>, and the system as a whole,</w:t>
            </w:r>
            <w:r w:rsidRPr="00680837">
              <w:rPr>
                <w:szCs w:val="22"/>
                <w:lang w:val="en-GB"/>
              </w:rPr>
              <w:t xml:space="preserve"> is inclusive:</w:t>
            </w:r>
          </w:p>
          <w:p w14:paraId="2742E2F1" w14:textId="4C08F092" w:rsidR="00652404" w:rsidRPr="00680837" w:rsidRDefault="00652404" w:rsidP="00895463">
            <w:pPr>
              <w:rPr>
                <w:szCs w:val="22"/>
                <w:lang w:val="en-GB"/>
              </w:rPr>
            </w:pPr>
            <w:r w:rsidRPr="00680837">
              <w:rPr>
                <w:szCs w:val="22"/>
                <w:lang w:val="en-GB"/>
              </w:rPr>
              <w:t>Programme level</w:t>
            </w:r>
          </w:p>
          <w:p w14:paraId="016EDBAA" w14:textId="63055CA2"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 xml:space="preserve">Do the programme objectives, design and delivery promote </w:t>
            </w:r>
            <w:r w:rsidR="00CB269B">
              <w:rPr>
                <w:szCs w:val="22"/>
                <w:lang w:val="en-GB"/>
              </w:rPr>
              <w:t xml:space="preserve">the </w:t>
            </w:r>
            <w:r w:rsidRPr="00680837">
              <w:rPr>
                <w:szCs w:val="22"/>
                <w:lang w:val="en-GB"/>
              </w:rPr>
              <w:t>inclusion and participation of persons with disabilities or do they, perhaps inadvertently, contribute to their segregation and/or isolation?</w:t>
            </w:r>
          </w:p>
          <w:p w14:paraId="14EDAA67" w14:textId="71538689"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 xml:space="preserve">Is the programme designed, </w:t>
            </w:r>
            <w:r w:rsidR="00CB269B">
              <w:rPr>
                <w:szCs w:val="22"/>
                <w:lang w:val="en-GB"/>
              </w:rPr>
              <w:t>publicized</w:t>
            </w:r>
            <w:r w:rsidR="00CB269B" w:rsidRPr="00680837">
              <w:rPr>
                <w:szCs w:val="22"/>
                <w:lang w:val="en-GB"/>
              </w:rPr>
              <w:t xml:space="preserve"> </w:t>
            </w:r>
            <w:r w:rsidRPr="00680837">
              <w:rPr>
                <w:szCs w:val="22"/>
                <w:lang w:val="en-GB"/>
              </w:rPr>
              <w:t>and delivered in a way that promotes the dignity, rights and potential of persons with disabilities, with full respect to their diversity?</w:t>
            </w:r>
            <w:r w:rsidR="004575D3" w:rsidRPr="00680837">
              <w:rPr>
                <w:szCs w:val="22"/>
                <w:lang w:val="en-GB"/>
              </w:rPr>
              <w:t xml:space="preserve"> </w:t>
            </w:r>
          </w:p>
          <w:p w14:paraId="7CAEFA3F" w14:textId="49700D5D"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Is the programme designed and delivered in way that fosters</w:t>
            </w:r>
            <w:r w:rsidR="004B6295">
              <w:rPr>
                <w:szCs w:val="22"/>
                <w:lang w:val="en-GB"/>
              </w:rPr>
              <w:t xml:space="preserve"> the</w:t>
            </w:r>
            <w:r w:rsidRPr="00680837">
              <w:rPr>
                <w:szCs w:val="22"/>
                <w:lang w:val="en-GB"/>
              </w:rPr>
              <w:t xml:space="preserve"> choice, control and autonomy of persons with disabilities</w:t>
            </w:r>
            <w:r w:rsidR="004575D3" w:rsidRPr="00680837">
              <w:rPr>
                <w:szCs w:val="22"/>
                <w:lang w:val="en-GB"/>
              </w:rPr>
              <w:t xml:space="preserve">, and sub-categories within this group which </w:t>
            </w:r>
            <w:r w:rsidR="004B6295">
              <w:rPr>
                <w:szCs w:val="22"/>
                <w:lang w:val="en-GB"/>
              </w:rPr>
              <w:t>face</w:t>
            </w:r>
            <w:r w:rsidR="004575D3" w:rsidRPr="00680837">
              <w:rPr>
                <w:szCs w:val="22"/>
                <w:lang w:val="en-GB"/>
              </w:rPr>
              <w:t xml:space="preserve"> multiple barriers (e.g. </w:t>
            </w:r>
            <w:r w:rsidR="003C0993" w:rsidRPr="00680837">
              <w:rPr>
                <w:szCs w:val="22"/>
                <w:lang w:val="en-GB"/>
              </w:rPr>
              <w:t>women</w:t>
            </w:r>
            <w:r w:rsidR="00BE73E2" w:rsidRPr="00680837">
              <w:rPr>
                <w:szCs w:val="22"/>
                <w:lang w:val="en-GB"/>
              </w:rPr>
              <w:t>,</w:t>
            </w:r>
            <w:r w:rsidR="004575D3" w:rsidRPr="00680837">
              <w:rPr>
                <w:szCs w:val="22"/>
                <w:lang w:val="en-GB"/>
              </w:rPr>
              <w:t xml:space="preserve"> ethnic</w:t>
            </w:r>
            <w:r w:rsidR="00BE73E2" w:rsidRPr="00680837">
              <w:rPr>
                <w:szCs w:val="22"/>
                <w:lang w:val="en-GB"/>
              </w:rPr>
              <w:t xml:space="preserve"> minorit</w:t>
            </w:r>
            <w:r w:rsidR="00FB0CF8" w:rsidRPr="00680837">
              <w:rPr>
                <w:szCs w:val="22"/>
                <w:lang w:val="en-GB"/>
              </w:rPr>
              <w:t>ies</w:t>
            </w:r>
            <w:r w:rsidR="00CB269B">
              <w:rPr>
                <w:szCs w:val="22"/>
                <w:lang w:val="en-GB"/>
              </w:rPr>
              <w:t xml:space="preserve"> and</w:t>
            </w:r>
            <w:r w:rsidR="00BE73E2" w:rsidRPr="00680837">
              <w:rPr>
                <w:szCs w:val="22"/>
                <w:lang w:val="en-GB"/>
              </w:rPr>
              <w:t xml:space="preserve"> indigenous people</w:t>
            </w:r>
            <w:r w:rsidR="004575D3" w:rsidRPr="00680837">
              <w:rPr>
                <w:szCs w:val="22"/>
                <w:lang w:val="en-GB"/>
              </w:rPr>
              <w:t>)</w:t>
            </w:r>
            <w:r w:rsidRPr="00680837">
              <w:rPr>
                <w:szCs w:val="22"/>
                <w:lang w:val="en-GB"/>
              </w:rPr>
              <w:t>?</w:t>
            </w:r>
          </w:p>
          <w:p w14:paraId="5FC33D81" w14:textId="6B4DF0D9" w:rsidR="00895463" w:rsidRPr="00680837" w:rsidRDefault="009F0B8E" w:rsidP="00336524">
            <w:pPr>
              <w:pStyle w:val="ListParagraph"/>
              <w:numPr>
                <w:ilvl w:val="1"/>
                <w:numId w:val="30"/>
              </w:numPr>
              <w:spacing w:before="60" w:after="60"/>
              <w:ind w:left="454" w:hanging="284"/>
              <w:rPr>
                <w:szCs w:val="22"/>
                <w:lang w:val="en-GB"/>
              </w:rPr>
            </w:pPr>
            <w:r w:rsidRPr="00680837">
              <w:rPr>
                <w:szCs w:val="22"/>
                <w:lang w:val="en-GB"/>
              </w:rPr>
              <w:t xml:space="preserve">Are </w:t>
            </w:r>
            <w:r w:rsidR="00895463" w:rsidRPr="00680837">
              <w:rPr>
                <w:szCs w:val="22"/>
                <w:lang w:val="en-GB"/>
              </w:rPr>
              <w:t>Disabled Persons</w:t>
            </w:r>
            <w:r w:rsidR="00AB0EC9">
              <w:rPr>
                <w:szCs w:val="22"/>
                <w:lang w:val="en-GB"/>
              </w:rPr>
              <w:t>’</w:t>
            </w:r>
            <w:r w:rsidR="00895463" w:rsidRPr="00680837">
              <w:rPr>
                <w:szCs w:val="22"/>
                <w:lang w:val="en-GB"/>
              </w:rPr>
              <w:t xml:space="preserve"> Organizations</w:t>
            </w:r>
            <w:r w:rsidR="00AB0EC9">
              <w:rPr>
                <w:szCs w:val="22"/>
                <w:lang w:val="en-GB"/>
              </w:rPr>
              <w:t xml:space="preserve"> (DPOs)</w:t>
            </w:r>
            <w:r w:rsidRPr="00680837">
              <w:rPr>
                <w:szCs w:val="22"/>
                <w:lang w:val="en-GB"/>
              </w:rPr>
              <w:t xml:space="preserve"> included</w:t>
            </w:r>
            <w:r w:rsidR="00895463" w:rsidRPr="00680837">
              <w:rPr>
                <w:szCs w:val="22"/>
                <w:lang w:val="en-GB"/>
              </w:rPr>
              <w:t xml:space="preserve"> in the design and implementation of the programme?</w:t>
            </w:r>
          </w:p>
          <w:p w14:paraId="601B74C6" w14:textId="6C7AAB38"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 xml:space="preserve">Is the information on the programme (including eligibility conditions, admission procedures, </w:t>
            </w:r>
            <w:r w:rsidR="00D84D56" w:rsidRPr="00680837">
              <w:rPr>
                <w:szCs w:val="22"/>
                <w:lang w:val="en-GB"/>
              </w:rPr>
              <w:t>and complaint</w:t>
            </w:r>
            <w:r w:rsidRPr="00680837">
              <w:rPr>
                <w:szCs w:val="22"/>
                <w:lang w:val="en-GB"/>
              </w:rPr>
              <w:t xml:space="preserve"> and appeal procedures) accessible to all persons with disabilities?</w:t>
            </w:r>
          </w:p>
          <w:p w14:paraId="579C92D5" w14:textId="77777777"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Are there physical barriers that limit the access of some persons with disabilities to the programme?</w:t>
            </w:r>
          </w:p>
          <w:p w14:paraId="4977D318" w14:textId="2CB9EADE"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Is the programme staff prepared to welcome and support beneficiaries with disabilities?</w:t>
            </w:r>
          </w:p>
          <w:p w14:paraId="0AC246F5" w14:textId="33218627" w:rsidR="00895463" w:rsidRPr="00680837" w:rsidRDefault="004375AD" w:rsidP="00336524">
            <w:pPr>
              <w:pStyle w:val="ListParagraph"/>
              <w:numPr>
                <w:ilvl w:val="1"/>
                <w:numId w:val="30"/>
              </w:numPr>
              <w:spacing w:before="60" w:after="60"/>
              <w:ind w:left="454" w:hanging="284"/>
              <w:rPr>
                <w:szCs w:val="22"/>
                <w:lang w:val="en-GB"/>
              </w:rPr>
            </w:pPr>
            <w:r w:rsidRPr="004375AD">
              <w:rPr>
                <w:szCs w:val="22"/>
                <w:lang w:val="en-GB"/>
              </w:rPr>
              <w:t>Does the</w:t>
            </w:r>
            <w:r w:rsidR="00CB269B">
              <w:rPr>
                <w:szCs w:val="22"/>
                <w:lang w:val="en-GB"/>
              </w:rPr>
              <w:t xml:space="preserve"> programme contain requirements or </w:t>
            </w:r>
            <w:r w:rsidRPr="004375AD">
              <w:rPr>
                <w:szCs w:val="22"/>
                <w:lang w:val="en-GB"/>
              </w:rPr>
              <w:t>condition</w:t>
            </w:r>
            <w:r w:rsidR="00CB269B">
              <w:rPr>
                <w:szCs w:val="22"/>
                <w:lang w:val="en-GB"/>
              </w:rPr>
              <w:t>s</w:t>
            </w:r>
            <w:r w:rsidRPr="004375AD">
              <w:rPr>
                <w:szCs w:val="22"/>
                <w:lang w:val="en-GB"/>
              </w:rPr>
              <w:t xml:space="preserve"> for which compliance will be more difficult </w:t>
            </w:r>
            <w:r w:rsidR="00895463" w:rsidRPr="004375AD">
              <w:rPr>
                <w:szCs w:val="22"/>
                <w:lang w:val="en-GB"/>
              </w:rPr>
              <w:t>for persons with disabilities</w:t>
            </w:r>
            <w:r w:rsidR="004575D3" w:rsidRPr="00680837">
              <w:rPr>
                <w:szCs w:val="22"/>
                <w:lang w:val="en-GB"/>
              </w:rPr>
              <w:t>, or categories of persons with disabilities (</w:t>
            </w:r>
            <w:r w:rsidR="00CB269B">
              <w:rPr>
                <w:szCs w:val="22"/>
                <w:lang w:val="en-GB"/>
              </w:rPr>
              <w:t>e.g.</w:t>
            </w:r>
            <w:r w:rsidR="004575D3" w:rsidRPr="00680837">
              <w:rPr>
                <w:szCs w:val="22"/>
                <w:lang w:val="en-GB"/>
              </w:rPr>
              <w:t xml:space="preserve"> women</w:t>
            </w:r>
            <w:r w:rsidR="00EA5EE4" w:rsidRPr="00680837">
              <w:rPr>
                <w:szCs w:val="22"/>
                <w:lang w:val="en-GB"/>
              </w:rPr>
              <w:t>,</w:t>
            </w:r>
            <w:r w:rsidR="004575D3" w:rsidRPr="00680837">
              <w:rPr>
                <w:szCs w:val="22"/>
                <w:lang w:val="en-GB"/>
              </w:rPr>
              <w:t xml:space="preserve"> ethnic </w:t>
            </w:r>
            <w:r w:rsidR="00EA5EE4" w:rsidRPr="00680837">
              <w:rPr>
                <w:szCs w:val="22"/>
                <w:lang w:val="en-GB"/>
              </w:rPr>
              <w:t xml:space="preserve">minorities </w:t>
            </w:r>
            <w:r w:rsidR="00D84BB0" w:rsidRPr="00680837">
              <w:rPr>
                <w:szCs w:val="22"/>
                <w:lang w:val="en-GB"/>
              </w:rPr>
              <w:t>and indigenous</w:t>
            </w:r>
            <w:r w:rsidR="00EA5EE4" w:rsidRPr="00680837">
              <w:rPr>
                <w:szCs w:val="22"/>
                <w:lang w:val="en-GB"/>
              </w:rPr>
              <w:t xml:space="preserve"> peoples</w:t>
            </w:r>
            <w:r w:rsidR="004575D3" w:rsidRPr="00680837">
              <w:rPr>
                <w:szCs w:val="22"/>
                <w:lang w:val="en-GB"/>
              </w:rPr>
              <w:t>)</w:t>
            </w:r>
            <w:r w:rsidR="00FE073B">
              <w:rPr>
                <w:szCs w:val="22"/>
                <w:lang w:val="en-GB"/>
              </w:rPr>
              <w:t>,</w:t>
            </w:r>
            <w:r w:rsidR="00895463" w:rsidRPr="00680837">
              <w:rPr>
                <w:szCs w:val="22"/>
                <w:lang w:val="en-GB"/>
              </w:rPr>
              <w:t xml:space="preserve"> due to existing barriers in the environment?</w:t>
            </w:r>
          </w:p>
          <w:p w14:paraId="3EBB1952" w14:textId="31743203" w:rsidR="00895463" w:rsidRPr="00680837" w:rsidRDefault="004B6295" w:rsidP="00336524">
            <w:pPr>
              <w:pStyle w:val="ListParagraph"/>
              <w:numPr>
                <w:ilvl w:val="1"/>
                <w:numId w:val="30"/>
              </w:numPr>
              <w:spacing w:before="60" w:after="60"/>
              <w:ind w:left="454" w:hanging="284"/>
              <w:rPr>
                <w:szCs w:val="22"/>
                <w:lang w:val="en-GB"/>
              </w:rPr>
            </w:pPr>
            <w:r>
              <w:rPr>
                <w:szCs w:val="22"/>
                <w:lang w:val="en-GB"/>
              </w:rPr>
              <w:t>With regard to</w:t>
            </w:r>
            <w:r w:rsidR="00895463" w:rsidRPr="00680837">
              <w:rPr>
                <w:szCs w:val="22"/>
                <w:lang w:val="en-GB"/>
              </w:rPr>
              <w:t xml:space="preserve"> child benefits, are the</w:t>
            </w:r>
            <w:r>
              <w:rPr>
                <w:szCs w:val="22"/>
                <w:lang w:val="en-GB"/>
              </w:rPr>
              <w:t>se</w:t>
            </w:r>
            <w:r w:rsidR="00895463" w:rsidRPr="00680837">
              <w:rPr>
                <w:szCs w:val="22"/>
                <w:lang w:val="en-GB"/>
              </w:rPr>
              <w:t xml:space="preserve"> benefits designed to ensure that the child remains with her/his family?</w:t>
            </w:r>
          </w:p>
          <w:p w14:paraId="54B41D67" w14:textId="18E2874A" w:rsidR="00895463"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Does the monitoring framework for the scheme/programme allow for disaggregation by disability</w:t>
            </w:r>
            <w:r w:rsidR="00537088" w:rsidRPr="00680837">
              <w:rPr>
                <w:szCs w:val="22"/>
                <w:lang w:val="en-GB"/>
              </w:rPr>
              <w:t xml:space="preserve"> </w:t>
            </w:r>
            <w:r w:rsidRPr="00680837">
              <w:rPr>
                <w:szCs w:val="22"/>
                <w:lang w:val="en-GB"/>
              </w:rPr>
              <w:t xml:space="preserve">and </w:t>
            </w:r>
            <w:r w:rsidR="00C75C7C">
              <w:rPr>
                <w:szCs w:val="22"/>
                <w:lang w:val="en-GB"/>
              </w:rPr>
              <w:t>assessment of</w:t>
            </w:r>
            <w:r w:rsidR="00C75C7C" w:rsidRPr="00680837">
              <w:rPr>
                <w:szCs w:val="22"/>
                <w:lang w:val="en-GB"/>
              </w:rPr>
              <w:t xml:space="preserve"> </w:t>
            </w:r>
            <w:r w:rsidRPr="00680837">
              <w:rPr>
                <w:szCs w:val="22"/>
                <w:lang w:val="en-GB"/>
              </w:rPr>
              <w:t xml:space="preserve">the extent to which the programme promotes </w:t>
            </w:r>
            <w:r w:rsidR="00CB269B">
              <w:rPr>
                <w:szCs w:val="22"/>
                <w:lang w:val="en-GB"/>
              </w:rPr>
              <w:t xml:space="preserve">the </w:t>
            </w:r>
            <w:r w:rsidRPr="00680837">
              <w:rPr>
                <w:szCs w:val="22"/>
                <w:lang w:val="en-GB"/>
              </w:rPr>
              <w:t>participation and inclusion of persons with disabilities</w:t>
            </w:r>
            <w:r w:rsidR="004575D3" w:rsidRPr="00680837">
              <w:rPr>
                <w:szCs w:val="22"/>
                <w:lang w:val="en-GB"/>
              </w:rPr>
              <w:t xml:space="preserve"> and sub-groups within this category</w:t>
            </w:r>
            <w:r w:rsidRPr="00680837">
              <w:rPr>
                <w:szCs w:val="22"/>
                <w:lang w:val="en-GB"/>
              </w:rPr>
              <w:t>?</w:t>
            </w:r>
            <w:r w:rsidR="00537088" w:rsidRPr="00680837">
              <w:rPr>
                <w:szCs w:val="22"/>
                <w:lang w:val="en-GB"/>
              </w:rPr>
              <w:t xml:space="preserve"> This may require</w:t>
            </w:r>
            <w:r w:rsidR="00CB269B">
              <w:rPr>
                <w:szCs w:val="22"/>
                <w:lang w:val="en-GB"/>
              </w:rPr>
              <w:t xml:space="preserve"> the</w:t>
            </w:r>
            <w:r w:rsidR="00537088" w:rsidRPr="00680837">
              <w:rPr>
                <w:szCs w:val="22"/>
                <w:lang w:val="en-GB"/>
              </w:rPr>
              <w:t xml:space="preserve"> data </w:t>
            </w:r>
            <w:r w:rsidR="00FE073B">
              <w:rPr>
                <w:szCs w:val="22"/>
                <w:lang w:val="en-GB"/>
              </w:rPr>
              <w:t>collection</w:t>
            </w:r>
            <w:r w:rsidR="00537088" w:rsidRPr="00680837">
              <w:rPr>
                <w:szCs w:val="22"/>
                <w:lang w:val="en-GB"/>
              </w:rPr>
              <w:t xml:space="preserve"> of additional factors such as gender</w:t>
            </w:r>
            <w:r w:rsidR="00414ACC" w:rsidRPr="00680837">
              <w:rPr>
                <w:szCs w:val="22"/>
                <w:lang w:val="en-GB"/>
              </w:rPr>
              <w:t>, economic status</w:t>
            </w:r>
            <w:r w:rsidR="00762677" w:rsidRPr="00680837">
              <w:rPr>
                <w:szCs w:val="22"/>
                <w:lang w:val="en-GB"/>
              </w:rPr>
              <w:t xml:space="preserve"> </w:t>
            </w:r>
            <w:r w:rsidR="00537088" w:rsidRPr="00680837">
              <w:rPr>
                <w:szCs w:val="22"/>
                <w:lang w:val="en-GB"/>
              </w:rPr>
              <w:t>and location (e.g. urban/rural) of the individual.</w:t>
            </w:r>
          </w:p>
          <w:p w14:paraId="35128EF2" w14:textId="4A721BD7" w:rsidR="004E421F" w:rsidRPr="00680837" w:rsidRDefault="00895463" w:rsidP="00336524">
            <w:pPr>
              <w:pStyle w:val="ListParagraph"/>
              <w:numPr>
                <w:ilvl w:val="1"/>
                <w:numId w:val="30"/>
              </w:numPr>
              <w:spacing w:before="60" w:after="60"/>
              <w:ind w:left="454" w:hanging="284"/>
              <w:rPr>
                <w:szCs w:val="22"/>
                <w:lang w:val="en-GB"/>
              </w:rPr>
            </w:pPr>
            <w:r w:rsidRPr="00680837">
              <w:rPr>
                <w:szCs w:val="22"/>
                <w:lang w:val="en-GB"/>
              </w:rPr>
              <w:t xml:space="preserve">Are </w:t>
            </w:r>
            <w:r w:rsidR="00AB0EC9">
              <w:rPr>
                <w:szCs w:val="22"/>
                <w:lang w:val="en-GB"/>
              </w:rPr>
              <w:t>DPOs</w:t>
            </w:r>
            <w:r w:rsidRPr="00680837">
              <w:rPr>
                <w:szCs w:val="22"/>
                <w:lang w:val="en-GB"/>
              </w:rPr>
              <w:t xml:space="preserve"> </w:t>
            </w:r>
            <w:r w:rsidR="00FE073B">
              <w:rPr>
                <w:szCs w:val="22"/>
                <w:lang w:val="en-GB"/>
              </w:rPr>
              <w:t>included</w:t>
            </w:r>
            <w:r w:rsidR="00FE073B" w:rsidRPr="00680837">
              <w:rPr>
                <w:szCs w:val="22"/>
                <w:lang w:val="en-GB"/>
              </w:rPr>
              <w:t xml:space="preserve"> </w:t>
            </w:r>
            <w:r w:rsidR="00FE073B">
              <w:rPr>
                <w:szCs w:val="22"/>
                <w:lang w:val="en-GB"/>
              </w:rPr>
              <w:t>in</w:t>
            </w:r>
            <w:r w:rsidRPr="00680837">
              <w:rPr>
                <w:szCs w:val="22"/>
                <w:lang w:val="en-GB"/>
              </w:rPr>
              <w:t xml:space="preserve"> the monitoring of the programme?</w:t>
            </w:r>
          </w:p>
          <w:p w14:paraId="0E01F3A6" w14:textId="6C7F979A" w:rsidR="00652404" w:rsidRPr="00680837" w:rsidRDefault="00652404" w:rsidP="00D75FDD">
            <w:pPr>
              <w:rPr>
                <w:szCs w:val="22"/>
                <w:lang w:val="en-GB"/>
              </w:rPr>
            </w:pPr>
            <w:r w:rsidRPr="00680837">
              <w:rPr>
                <w:szCs w:val="22"/>
                <w:lang w:val="en-GB"/>
              </w:rPr>
              <w:t>System level</w:t>
            </w:r>
          </w:p>
          <w:p w14:paraId="75E7E016" w14:textId="3D3B5D9B" w:rsidR="00652404" w:rsidRPr="00680837" w:rsidRDefault="00136373" w:rsidP="00336524">
            <w:pPr>
              <w:pStyle w:val="ListParagraph"/>
              <w:numPr>
                <w:ilvl w:val="1"/>
                <w:numId w:val="30"/>
              </w:numPr>
              <w:spacing w:before="60" w:after="60"/>
              <w:ind w:left="454" w:hanging="284"/>
              <w:rPr>
                <w:szCs w:val="22"/>
                <w:lang w:val="en-GB"/>
              </w:rPr>
            </w:pPr>
            <w:r w:rsidRPr="00680837">
              <w:rPr>
                <w:szCs w:val="22"/>
                <w:lang w:val="en-GB"/>
              </w:rPr>
              <w:t xml:space="preserve">Do </w:t>
            </w:r>
            <w:r w:rsidR="00652404" w:rsidRPr="00680837">
              <w:rPr>
                <w:szCs w:val="22"/>
                <w:lang w:val="en-GB"/>
              </w:rPr>
              <w:t xml:space="preserve">national dialogue processes </w:t>
            </w:r>
            <w:r w:rsidR="00C75C7C">
              <w:rPr>
                <w:szCs w:val="22"/>
                <w:lang w:val="en-GB"/>
              </w:rPr>
              <w:t xml:space="preserve">for </w:t>
            </w:r>
            <w:r w:rsidR="00652404" w:rsidRPr="00680837">
              <w:rPr>
                <w:szCs w:val="22"/>
                <w:lang w:val="en-GB"/>
              </w:rPr>
              <w:t>formulating or revising national social protection strategies</w:t>
            </w:r>
            <w:r w:rsidRPr="00680837">
              <w:rPr>
                <w:szCs w:val="22"/>
                <w:lang w:val="en-GB"/>
              </w:rPr>
              <w:t xml:space="preserve"> </w:t>
            </w:r>
            <w:r w:rsidR="00204A62" w:rsidRPr="00680837">
              <w:rPr>
                <w:szCs w:val="22"/>
                <w:lang w:val="en-GB"/>
              </w:rPr>
              <w:t xml:space="preserve">foresee </w:t>
            </w:r>
            <w:r w:rsidRPr="00680837">
              <w:rPr>
                <w:szCs w:val="22"/>
                <w:lang w:val="en-GB"/>
              </w:rPr>
              <w:t xml:space="preserve">consultations with </w:t>
            </w:r>
            <w:r w:rsidR="00AB0EC9">
              <w:rPr>
                <w:szCs w:val="22"/>
                <w:lang w:val="en-GB"/>
              </w:rPr>
              <w:t>DPOs</w:t>
            </w:r>
            <w:r w:rsidR="00950423" w:rsidRPr="00680837">
              <w:rPr>
                <w:szCs w:val="22"/>
                <w:lang w:val="en-GB"/>
              </w:rPr>
              <w:t>, including</w:t>
            </w:r>
            <w:r w:rsidR="00C75C7C">
              <w:rPr>
                <w:szCs w:val="22"/>
                <w:lang w:val="en-GB"/>
              </w:rPr>
              <w:t xml:space="preserve"> those of</w:t>
            </w:r>
            <w:r w:rsidR="00950423" w:rsidRPr="00680837">
              <w:rPr>
                <w:szCs w:val="22"/>
                <w:lang w:val="en-GB"/>
              </w:rPr>
              <w:t xml:space="preserve"> women with disabilities</w:t>
            </w:r>
            <w:r w:rsidR="00652404" w:rsidRPr="00680837">
              <w:rPr>
                <w:szCs w:val="22"/>
                <w:lang w:val="en-GB"/>
              </w:rPr>
              <w:t>?</w:t>
            </w:r>
          </w:p>
          <w:p w14:paraId="33D318CD" w14:textId="060414C1" w:rsidR="00652404" w:rsidRPr="00680837" w:rsidRDefault="00136373" w:rsidP="00336524">
            <w:pPr>
              <w:pStyle w:val="ListParagraph"/>
              <w:numPr>
                <w:ilvl w:val="1"/>
                <w:numId w:val="30"/>
              </w:numPr>
              <w:spacing w:before="60" w:after="60"/>
              <w:ind w:left="454" w:hanging="284"/>
              <w:rPr>
                <w:szCs w:val="22"/>
                <w:lang w:val="en-GB"/>
              </w:rPr>
            </w:pPr>
            <w:r w:rsidRPr="00680837">
              <w:rPr>
                <w:szCs w:val="22"/>
                <w:lang w:val="en-GB"/>
              </w:rPr>
              <w:t xml:space="preserve">Do national monitoring processes of social protection systems include </w:t>
            </w:r>
            <w:r w:rsidR="00AB0EC9">
              <w:rPr>
                <w:szCs w:val="22"/>
                <w:lang w:val="en-GB"/>
              </w:rPr>
              <w:t>DPOs</w:t>
            </w:r>
            <w:r w:rsidRPr="00680837">
              <w:rPr>
                <w:szCs w:val="22"/>
                <w:lang w:val="en-GB"/>
              </w:rPr>
              <w:t>?</w:t>
            </w:r>
          </w:p>
          <w:p w14:paraId="777B71CA" w14:textId="1203458A" w:rsidR="00B908D3" w:rsidRPr="00680837" w:rsidRDefault="00B908D3" w:rsidP="00336524">
            <w:pPr>
              <w:pStyle w:val="ListParagraph"/>
              <w:numPr>
                <w:ilvl w:val="1"/>
                <w:numId w:val="30"/>
              </w:numPr>
              <w:spacing w:before="60" w:after="60"/>
              <w:ind w:left="454" w:hanging="284"/>
              <w:rPr>
                <w:szCs w:val="22"/>
                <w:lang w:val="en-GB"/>
              </w:rPr>
            </w:pPr>
            <w:r w:rsidRPr="00680837">
              <w:rPr>
                <w:szCs w:val="22"/>
                <w:lang w:val="en-GB"/>
              </w:rPr>
              <w:t xml:space="preserve">Does the legal framework governing </w:t>
            </w:r>
            <w:r w:rsidR="001135D6" w:rsidRPr="00680837">
              <w:rPr>
                <w:szCs w:val="22"/>
                <w:lang w:val="en-GB"/>
              </w:rPr>
              <w:t xml:space="preserve">the </w:t>
            </w:r>
            <w:r w:rsidRPr="00680837">
              <w:rPr>
                <w:szCs w:val="22"/>
                <w:lang w:val="en-GB"/>
              </w:rPr>
              <w:t xml:space="preserve">social protection </w:t>
            </w:r>
            <w:r w:rsidR="001135D6" w:rsidRPr="00680837">
              <w:rPr>
                <w:szCs w:val="22"/>
                <w:lang w:val="en-GB"/>
              </w:rPr>
              <w:t xml:space="preserve">system </w:t>
            </w:r>
            <w:r w:rsidRPr="00680837">
              <w:rPr>
                <w:szCs w:val="22"/>
                <w:lang w:val="en-GB"/>
              </w:rPr>
              <w:t>include non</w:t>
            </w:r>
            <w:r w:rsidR="00CB269B">
              <w:rPr>
                <w:szCs w:val="22"/>
                <w:lang w:val="en-GB"/>
              </w:rPr>
              <w:noBreakHyphen/>
            </w:r>
            <w:r w:rsidRPr="00680837">
              <w:rPr>
                <w:szCs w:val="22"/>
                <w:lang w:val="en-GB"/>
              </w:rPr>
              <w:t>discrimination on the ground</w:t>
            </w:r>
            <w:r w:rsidR="00CB269B">
              <w:rPr>
                <w:szCs w:val="22"/>
                <w:lang w:val="en-GB"/>
              </w:rPr>
              <w:t>s</w:t>
            </w:r>
            <w:r w:rsidRPr="00680837">
              <w:rPr>
                <w:szCs w:val="22"/>
                <w:lang w:val="en-GB"/>
              </w:rPr>
              <w:t xml:space="preserve"> of disability, including</w:t>
            </w:r>
            <w:r w:rsidR="00CB269B">
              <w:rPr>
                <w:szCs w:val="22"/>
                <w:lang w:val="en-GB"/>
              </w:rPr>
              <w:t xml:space="preserve"> an obligation</w:t>
            </w:r>
            <w:r w:rsidRPr="00680837">
              <w:rPr>
                <w:szCs w:val="22"/>
                <w:lang w:val="en-GB"/>
              </w:rPr>
              <w:t xml:space="preserve"> to provide </w:t>
            </w:r>
            <w:r w:rsidR="00BE1E0C">
              <w:rPr>
                <w:szCs w:val="22"/>
                <w:lang w:val="en-GB"/>
              </w:rPr>
              <w:t xml:space="preserve">for </w:t>
            </w:r>
            <w:r w:rsidRPr="00680837">
              <w:rPr>
                <w:szCs w:val="22"/>
                <w:lang w:val="en-GB"/>
              </w:rPr>
              <w:t>reasonable accommodation</w:t>
            </w:r>
            <w:r w:rsidR="00BE1E0C">
              <w:rPr>
                <w:szCs w:val="22"/>
                <w:lang w:val="en-GB"/>
              </w:rPr>
              <w:t>s</w:t>
            </w:r>
            <w:r w:rsidRPr="00680837">
              <w:rPr>
                <w:szCs w:val="22"/>
                <w:lang w:val="en-GB"/>
              </w:rPr>
              <w:t xml:space="preserve"> </w:t>
            </w:r>
            <w:r w:rsidR="00CB269B">
              <w:rPr>
                <w:szCs w:val="22"/>
                <w:lang w:val="en-GB"/>
              </w:rPr>
              <w:t>and respond</w:t>
            </w:r>
            <w:r w:rsidRPr="00680837">
              <w:rPr>
                <w:szCs w:val="22"/>
                <w:lang w:val="en-GB"/>
              </w:rPr>
              <w:t xml:space="preserve"> to disability related requirements?</w:t>
            </w:r>
          </w:p>
          <w:p w14:paraId="55C95A60" w14:textId="69166879" w:rsidR="00B908D3" w:rsidRPr="00680837" w:rsidRDefault="00B908D3" w:rsidP="00336524">
            <w:pPr>
              <w:pStyle w:val="ListParagraph"/>
              <w:numPr>
                <w:ilvl w:val="1"/>
                <w:numId w:val="30"/>
              </w:numPr>
              <w:spacing w:before="60" w:after="60"/>
              <w:ind w:left="454" w:hanging="284"/>
              <w:rPr>
                <w:szCs w:val="22"/>
                <w:lang w:val="en-GB"/>
              </w:rPr>
            </w:pPr>
            <w:r w:rsidRPr="00680837">
              <w:rPr>
                <w:szCs w:val="22"/>
                <w:lang w:val="en-GB"/>
              </w:rPr>
              <w:t xml:space="preserve">Do the resources allocated to </w:t>
            </w:r>
            <w:r w:rsidR="00734D2E" w:rsidRPr="00680837">
              <w:rPr>
                <w:szCs w:val="22"/>
                <w:lang w:val="en-GB"/>
              </w:rPr>
              <w:t>the</w:t>
            </w:r>
            <w:r w:rsidRPr="00680837">
              <w:rPr>
                <w:szCs w:val="22"/>
                <w:lang w:val="en-GB"/>
              </w:rPr>
              <w:t xml:space="preserve"> social protection </w:t>
            </w:r>
            <w:r w:rsidR="008560B2" w:rsidRPr="00680837">
              <w:rPr>
                <w:szCs w:val="22"/>
                <w:lang w:val="en-GB"/>
              </w:rPr>
              <w:t>system</w:t>
            </w:r>
            <w:r w:rsidRPr="00680837">
              <w:rPr>
                <w:szCs w:val="22"/>
                <w:lang w:val="en-GB"/>
              </w:rPr>
              <w:t xml:space="preserve"> allow for adequate coverage of all persons with disabilities</w:t>
            </w:r>
            <w:r w:rsidR="00734D2E" w:rsidRPr="00680837">
              <w:rPr>
                <w:szCs w:val="22"/>
                <w:lang w:val="en-GB"/>
              </w:rPr>
              <w:t xml:space="preserve"> through a combination of schemes and programmes providing support</w:t>
            </w:r>
            <w:r w:rsidR="00BE1E0C">
              <w:rPr>
                <w:szCs w:val="22"/>
                <w:lang w:val="en-GB"/>
              </w:rPr>
              <w:t xml:space="preserve"> in cash and in kind</w:t>
            </w:r>
            <w:r w:rsidRPr="00680837">
              <w:rPr>
                <w:szCs w:val="22"/>
                <w:lang w:val="en-GB"/>
              </w:rPr>
              <w:t>?</w:t>
            </w:r>
          </w:p>
          <w:p w14:paraId="006FA172" w14:textId="1BB2E0B9" w:rsidR="00762677" w:rsidRPr="00680837" w:rsidRDefault="00B908D3" w:rsidP="00336524">
            <w:pPr>
              <w:pStyle w:val="ListParagraph"/>
              <w:numPr>
                <w:ilvl w:val="1"/>
                <w:numId w:val="30"/>
              </w:numPr>
              <w:spacing w:before="60" w:after="60"/>
              <w:ind w:left="454" w:hanging="284"/>
              <w:rPr>
                <w:szCs w:val="22"/>
                <w:lang w:val="en-GB"/>
              </w:rPr>
            </w:pPr>
            <w:r w:rsidRPr="00680837">
              <w:rPr>
                <w:szCs w:val="22"/>
                <w:lang w:val="en-GB"/>
              </w:rPr>
              <w:t xml:space="preserve">Do the </w:t>
            </w:r>
            <w:r w:rsidR="00623038" w:rsidRPr="00680837">
              <w:rPr>
                <w:szCs w:val="22"/>
                <w:lang w:val="en-GB"/>
              </w:rPr>
              <w:t xml:space="preserve">monitoring mechanisms of the social protection </w:t>
            </w:r>
            <w:r w:rsidRPr="00680837">
              <w:rPr>
                <w:szCs w:val="22"/>
                <w:lang w:val="en-GB"/>
              </w:rPr>
              <w:t xml:space="preserve">system </w:t>
            </w:r>
            <w:r w:rsidR="00623038" w:rsidRPr="00680837">
              <w:rPr>
                <w:szCs w:val="22"/>
                <w:lang w:val="en-GB"/>
              </w:rPr>
              <w:t xml:space="preserve">allow for the </w:t>
            </w:r>
            <w:r w:rsidRPr="00680837">
              <w:rPr>
                <w:szCs w:val="22"/>
                <w:lang w:val="en-GB"/>
              </w:rPr>
              <w:t>consolidat</w:t>
            </w:r>
            <w:r w:rsidR="00623038" w:rsidRPr="00680837">
              <w:rPr>
                <w:szCs w:val="22"/>
                <w:lang w:val="en-GB"/>
              </w:rPr>
              <w:t>ion of</w:t>
            </w:r>
            <w:r w:rsidRPr="00680837">
              <w:rPr>
                <w:szCs w:val="22"/>
                <w:lang w:val="en-GB"/>
              </w:rPr>
              <w:t xml:space="preserve"> disability</w:t>
            </w:r>
            <w:r w:rsidR="00C75C7C">
              <w:rPr>
                <w:szCs w:val="22"/>
                <w:lang w:val="en-GB"/>
              </w:rPr>
              <w:t>-</w:t>
            </w:r>
            <w:r w:rsidRPr="00680837">
              <w:rPr>
                <w:szCs w:val="22"/>
                <w:lang w:val="en-GB"/>
              </w:rPr>
              <w:t>related data from different program</w:t>
            </w:r>
            <w:r w:rsidR="00734D2E" w:rsidRPr="00680837">
              <w:rPr>
                <w:szCs w:val="22"/>
                <w:lang w:val="en-GB"/>
              </w:rPr>
              <w:t>me</w:t>
            </w:r>
            <w:r w:rsidRPr="00680837">
              <w:rPr>
                <w:szCs w:val="22"/>
                <w:lang w:val="en-GB"/>
              </w:rPr>
              <w:t>s and schemes</w:t>
            </w:r>
            <w:r w:rsidR="00623038" w:rsidRPr="00680837">
              <w:rPr>
                <w:szCs w:val="22"/>
                <w:lang w:val="en-GB"/>
              </w:rPr>
              <w:t xml:space="preserve">, </w:t>
            </w:r>
            <w:r w:rsidR="00C75C7C">
              <w:rPr>
                <w:szCs w:val="22"/>
                <w:lang w:val="en-GB"/>
              </w:rPr>
              <w:t>in order</w:t>
            </w:r>
            <w:r w:rsidR="00C75C7C" w:rsidRPr="00680837">
              <w:rPr>
                <w:szCs w:val="22"/>
                <w:lang w:val="en-GB"/>
              </w:rPr>
              <w:t xml:space="preserve"> </w:t>
            </w:r>
            <w:r w:rsidR="00623038" w:rsidRPr="00680837">
              <w:rPr>
                <w:szCs w:val="22"/>
                <w:lang w:val="en-GB"/>
              </w:rPr>
              <w:t xml:space="preserve">to evaluate the </w:t>
            </w:r>
            <w:r w:rsidRPr="00680837">
              <w:rPr>
                <w:szCs w:val="22"/>
                <w:lang w:val="en-GB"/>
              </w:rPr>
              <w:t>relevance and effectiveness of the support provided to persons with disabilities?</w:t>
            </w:r>
          </w:p>
        </w:tc>
      </w:tr>
    </w:tbl>
    <w:p w14:paraId="69FD14F0" w14:textId="77777777" w:rsidR="000346A1" w:rsidRDefault="000346A1">
      <w:pPr>
        <w:spacing w:before="0" w:after="0"/>
        <w:jc w:val="left"/>
        <w:rPr>
          <w:lang w:val="en-GB"/>
        </w:rPr>
      </w:pPr>
      <w:bookmarkStart w:id="15" w:name="_Toc504036301"/>
      <w:r>
        <w:rPr>
          <w:lang w:val="en-GB"/>
        </w:rPr>
        <w:br w:type="page"/>
      </w:r>
    </w:p>
    <w:p w14:paraId="1BC4A12C" w14:textId="77777777" w:rsidR="000346A1" w:rsidRDefault="000346A1" w:rsidP="000346A1">
      <w:pPr>
        <w:rPr>
          <w:lang w:val="en-GB"/>
        </w:rPr>
      </w:pPr>
    </w:p>
    <w:p w14:paraId="03DD193E" w14:textId="3F6BF878" w:rsidR="002D732A" w:rsidRPr="00CE3985" w:rsidRDefault="00764670" w:rsidP="00895463">
      <w:pPr>
        <w:pStyle w:val="Heading1"/>
        <w:rPr>
          <w:lang w:val="en-GB"/>
        </w:rPr>
      </w:pPr>
      <w:r w:rsidRPr="00CE3985">
        <w:rPr>
          <w:lang w:val="en-GB"/>
        </w:rPr>
        <w:t>Bibliography</w:t>
      </w:r>
      <w:bookmarkEnd w:id="15"/>
    </w:p>
    <w:p w14:paraId="1064ADCC" w14:textId="3B70651B" w:rsidR="00E1535A" w:rsidRDefault="00E1535A" w:rsidP="008A2C80">
      <w:pPr>
        <w:ind w:left="567" w:right="-52" w:hanging="567"/>
        <w:jc w:val="left"/>
        <w:rPr>
          <w:lang w:val="en-GB"/>
        </w:rPr>
      </w:pPr>
      <w:r w:rsidRPr="00E1535A">
        <w:rPr>
          <w:lang w:val="en-GB"/>
        </w:rPr>
        <w:t>Better Care Network</w:t>
      </w:r>
      <w:r>
        <w:rPr>
          <w:lang w:val="en-GB"/>
        </w:rPr>
        <w:t>. 2017.</w:t>
      </w:r>
      <w:r w:rsidR="008E4053">
        <w:rPr>
          <w:lang w:val="en-GB"/>
        </w:rPr>
        <w:t xml:space="preserve"> </w:t>
      </w:r>
      <w:hyperlink r:id="rId19" w:history="1">
        <w:r w:rsidR="008E4053" w:rsidRPr="00AF6EF6">
          <w:rPr>
            <w:rStyle w:val="Hyperlink"/>
            <w:i/>
            <w:lang w:val="en-GB"/>
          </w:rPr>
          <w:t>Poverty Remains a Europe-wide Cause for Children’s Institutionalisation</w:t>
        </w:r>
      </w:hyperlink>
      <w:r w:rsidR="008E4053">
        <w:rPr>
          <w:lang w:val="en-GB"/>
        </w:rPr>
        <w:t xml:space="preserve">. Available at: </w:t>
      </w:r>
      <w:hyperlink r:id="rId20" w:history="1">
        <w:r w:rsidR="008E4053" w:rsidRPr="00C2761E">
          <w:rPr>
            <w:rStyle w:val="Hyperlink"/>
            <w:lang w:val="en-GB"/>
          </w:rPr>
          <w:t>http://www.bettercarenetwork.org/library/principles-of-good-care-practices/transforming-institutional-care/poverty-remains-a-europe-wide-cause-for-children’s-institutionalisation</w:t>
        </w:r>
      </w:hyperlink>
      <w:r w:rsidR="008E4053">
        <w:rPr>
          <w:lang w:val="en-GB"/>
        </w:rPr>
        <w:t xml:space="preserve">. [23 January 2018] </w:t>
      </w:r>
    </w:p>
    <w:p w14:paraId="5471A999" w14:textId="77777777" w:rsidR="008A2C80" w:rsidRPr="00680837" w:rsidRDefault="008A2C80" w:rsidP="008A2C80">
      <w:pPr>
        <w:ind w:left="567" w:right="-52" w:hanging="567"/>
        <w:jc w:val="left"/>
        <w:rPr>
          <w:lang w:val="en-GB"/>
        </w:rPr>
      </w:pPr>
      <w:r w:rsidRPr="00680837">
        <w:rPr>
          <w:lang w:val="en-GB"/>
        </w:rPr>
        <w:t xml:space="preserve">Braithwaite, J. and Mont, D. 2009. </w:t>
      </w:r>
      <w:hyperlink r:id="rId21" w:history="1">
        <w:r w:rsidRPr="00BC1BDC">
          <w:rPr>
            <w:rStyle w:val="Hyperlink"/>
            <w:i/>
            <w:lang w:val="en-GB"/>
          </w:rPr>
          <w:t>Disability and poverty: a survey of World Bank poverty assessments and implications</w:t>
        </w:r>
      </w:hyperlink>
      <w:r w:rsidRPr="002371FB">
        <w:rPr>
          <w:lang w:val="en-GB"/>
        </w:rPr>
        <w:t xml:space="preserve">. </w:t>
      </w:r>
      <w:r w:rsidRPr="00BC1BDC">
        <w:rPr>
          <w:lang w:val="en-GB"/>
        </w:rPr>
        <w:t>ALTER: European Journal of Disability Research</w:t>
      </w:r>
      <w:r w:rsidRPr="00680837">
        <w:rPr>
          <w:lang w:val="en-GB"/>
        </w:rPr>
        <w:t xml:space="preserve">, volume 3: 219-232. Available at: </w:t>
      </w:r>
      <w:hyperlink r:id="rId22" w:history="1">
        <w:r w:rsidRPr="00680837">
          <w:rPr>
            <w:rStyle w:val="Hyperlink"/>
            <w:lang w:val="en-GB"/>
          </w:rPr>
          <w:t>http://dx.doi.org/10.1016/j.alter.2008.10.002</w:t>
        </w:r>
      </w:hyperlink>
      <w:r w:rsidRPr="00680837">
        <w:rPr>
          <w:lang w:val="en-GB"/>
        </w:rPr>
        <w:t>. [24 February 2017]</w:t>
      </w:r>
    </w:p>
    <w:p w14:paraId="278445E6" w14:textId="1520AE0F" w:rsidR="008A2C80" w:rsidRDefault="008A2C80" w:rsidP="008A2C80">
      <w:pPr>
        <w:ind w:left="567" w:right="-52" w:hanging="567"/>
        <w:jc w:val="left"/>
        <w:rPr>
          <w:lang w:val="en-GB"/>
        </w:rPr>
      </w:pPr>
      <w:r w:rsidRPr="00680837">
        <w:rPr>
          <w:lang w:val="en-GB"/>
        </w:rPr>
        <w:t xml:space="preserve">Buckup, </w:t>
      </w:r>
      <w:r w:rsidRPr="00E74E9F">
        <w:rPr>
          <w:lang w:val="en-GB"/>
        </w:rPr>
        <w:t>S. 2009.</w:t>
      </w:r>
      <w:r w:rsidRPr="00BC1BDC">
        <w:rPr>
          <w:lang w:val="en-GB"/>
        </w:rPr>
        <w:t xml:space="preserve"> </w:t>
      </w:r>
      <w:hyperlink r:id="rId23" w:history="1">
        <w:r w:rsidRPr="00BC1BDC">
          <w:rPr>
            <w:rStyle w:val="Hyperlink"/>
            <w:i/>
            <w:lang w:val="en-GB"/>
          </w:rPr>
          <w:t>The price of exclusion: The economic consequences of excluding people with disabilities from the world of work</w:t>
        </w:r>
      </w:hyperlink>
      <w:r w:rsidR="00ED2A53">
        <w:rPr>
          <w:rStyle w:val="Hyperlink"/>
          <w:i/>
          <w:lang w:val="en-GB"/>
        </w:rPr>
        <w:t>,</w:t>
      </w:r>
      <w:r w:rsidRPr="00680837">
        <w:rPr>
          <w:lang w:val="en-GB"/>
        </w:rPr>
        <w:t xml:space="preserve"> (Geneva, ILO).  Available at: </w:t>
      </w:r>
      <w:hyperlink r:id="rId24" w:history="1">
        <w:r w:rsidRPr="00680837">
          <w:rPr>
            <w:rStyle w:val="Hyperlink"/>
            <w:lang w:val="en-GB"/>
          </w:rPr>
          <w:t>http://www.ilo.ch/wcmsp5/groups/public/---ed_emp/---ifp_skills/documents/publication/wcms_119305.pdf</w:t>
        </w:r>
      </w:hyperlink>
      <w:r w:rsidRPr="00680837">
        <w:rPr>
          <w:lang w:val="en-GB"/>
        </w:rPr>
        <w:t>. [24 February 2017]</w:t>
      </w:r>
    </w:p>
    <w:p w14:paraId="77924259" w14:textId="2D1FC7E9" w:rsidR="002C467F" w:rsidRDefault="002C467F" w:rsidP="002C467F">
      <w:pPr>
        <w:ind w:left="567" w:right="-52" w:hanging="567"/>
        <w:jc w:val="left"/>
        <w:rPr>
          <w:lang w:val="en-GB"/>
        </w:rPr>
      </w:pPr>
      <w:r w:rsidRPr="002C467F">
        <w:rPr>
          <w:lang w:val="en-GB"/>
        </w:rPr>
        <w:t>Committee on Economic, Social and Cultural Rights</w:t>
      </w:r>
      <w:r w:rsidRPr="002C467F">
        <w:t xml:space="preserve"> </w:t>
      </w:r>
      <w:r>
        <w:t>(</w:t>
      </w:r>
      <w:r w:rsidRPr="002C467F">
        <w:rPr>
          <w:lang w:val="en-GB"/>
        </w:rPr>
        <w:t>CESCR</w:t>
      </w:r>
      <w:r>
        <w:rPr>
          <w:lang w:val="en-GB"/>
        </w:rPr>
        <w:t xml:space="preserve">). 1990. </w:t>
      </w:r>
      <w:r w:rsidRPr="002C467F">
        <w:rPr>
          <w:i/>
          <w:lang w:val="en-GB"/>
        </w:rPr>
        <w:t xml:space="preserve">General </w:t>
      </w:r>
      <w:r>
        <w:rPr>
          <w:i/>
          <w:lang w:val="en-GB"/>
        </w:rPr>
        <w:t>c</w:t>
      </w:r>
      <w:r w:rsidRPr="002C467F">
        <w:rPr>
          <w:i/>
          <w:lang w:val="en-GB"/>
        </w:rPr>
        <w:t xml:space="preserve">omment </w:t>
      </w:r>
      <w:r>
        <w:rPr>
          <w:i/>
          <w:lang w:val="en-GB"/>
        </w:rPr>
        <w:t>n</w:t>
      </w:r>
      <w:r w:rsidRPr="002C467F">
        <w:rPr>
          <w:i/>
          <w:lang w:val="en-GB"/>
        </w:rPr>
        <w:t xml:space="preserve">o. 3: The </w:t>
      </w:r>
      <w:r>
        <w:rPr>
          <w:i/>
          <w:lang w:val="en-GB"/>
        </w:rPr>
        <w:t>n</w:t>
      </w:r>
      <w:r w:rsidRPr="002C467F">
        <w:rPr>
          <w:i/>
          <w:lang w:val="en-GB"/>
        </w:rPr>
        <w:t xml:space="preserve">ature of </w:t>
      </w:r>
      <w:r>
        <w:rPr>
          <w:i/>
          <w:lang w:val="en-GB"/>
        </w:rPr>
        <w:t>s</w:t>
      </w:r>
      <w:r w:rsidRPr="002C467F">
        <w:rPr>
          <w:i/>
          <w:lang w:val="en-GB"/>
        </w:rPr>
        <w:t xml:space="preserve">tates </w:t>
      </w:r>
      <w:r>
        <w:rPr>
          <w:i/>
          <w:lang w:val="en-GB"/>
        </w:rPr>
        <w:t>p</w:t>
      </w:r>
      <w:r w:rsidRPr="002C467F">
        <w:rPr>
          <w:i/>
          <w:lang w:val="en-GB"/>
        </w:rPr>
        <w:t xml:space="preserve">arties’ </w:t>
      </w:r>
      <w:r>
        <w:rPr>
          <w:i/>
          <w:lang w:val="en-GB"/>
        </w:rPr>
        <w:t>o</w:t>
      </w:r>
      <w:r w:rsidRPr="002C467F">
        <w:rPr>
          <w:i/>
          <w:lang w:val="en-GB"/>
        </w:rPr>
        <w:t>bligations</w:t>
      </w:r>
      <w:r w:rsidRPr="00AF6EF6">
        <w:rPr>
          <w:lang w:val="en-GB"/>
        </w:rPr>
        <w:t xml:space="preserve"> (Geneva)</w:t>
      </w:r>
      <w:r>
        <w:rPr>
          <w:lang w:val="en-GB"/>
        </w:rPr>
        <w:t>.</w:t>
      </w:r>
      <w:r w:rsidR="00336524">
        <w:rPr>
          <w:lang w:val="en-GB"/>
        </w:rPr>
        <w:t xml:space="preserve"> Available at: </w:t>
      </w:r>
      <w:hyperlink r:id="rId25" w:history="1">
        <w:r w:rsidR="00336524" w:rsidRPr="005D285A">
          <w:rPr>
            <w:rStyle w:val="Hyperlink"/>
            <w:lang w:val="en-GB"/>
          </w:rPr>
          <w:t>http://tbinternet.ohchr.org/_layouts/treatybodyexternal/Download.aspx?symbolno=INT%2fCESCR%2fGEC%2f4758&amp;Lang=en</w:t>
        </w:r>
      </w:hyperlink>
      <w:r w:rsidR="00336524">
        <w:rPr>
          <w:lang w:val="en-GB"/>
        </w:rPr>
        <w:t xml:space="preserve"> </w:t>
      </w:r>
      <w:r w:rsidR="00336524" w:rsidRPr="00680837">
        <w:rPr>
          <w:lang w:val="en-GB"/>
        </w:rPr>
        <w:t xml:space="preserve">[24 </w:t>
      </w:r>
      <w:r w:rsidR="00336524">
        <w:rPr>
          <w:lang w:val="en-GB"/>
        </w:rPr>
        <w:t>January</w:t>
      </w:r>
      <w:r w:rsidR="00336524" w:rsidRPr="00680837">
        <w:rPr>
          <w:lang w:val="en-GB"/>
        </w:rPr>
        <w:t xml:space="preserve"> 201</w:t>
      </w:r>
      <w:r w:rsidR="00336524">
        <w:rPr>
          <w:lang w:val="en-GB"/>
        </w:rPr>
        <w:t>8</w:t>
      </w:r>
      <w:r w:rsidR="00336524" w:rsidRPr="00680837">
        <w:rPr>
          <w:lang w:val="en-GB"/>
        </w:rPr>
        <w:t>]</w:t>
      </w:r>
      <w:r w:rsidR="00336524">
        <w:rPr>
          <w:lang w:val="en-GB"/>
        </w:rPr>
        <w:t>.</w:t>
      </w:r>
    </w:p>
    <w:p w14:paraId="41085601" w14:textId="44302CE3" w:rsidR="002C467F" w:rsidRDefault="002C467F" w:rsidP="002C467F">
      <w:pPr>
        <w:ind w:left="567" w:right="-52" w:hanging="567"/>
        <w:jc w:val="left"/>
        <w:rPr>
          <w:lang w:val="en-GB"/>
        </w:rPr>
      </w:pPr>
      <w:r w:rsidRPr="00680837">
        <w:rPr>
          <w:lang w:val="en-GB"/>
        </w:rPr>
        <w:t>—.</w:t>
      </w:r>
      <w:r>
        <w:rPr>
          <w:lang w:val="en-GB"/>
        </w:rPr>
        <w:t xml:space="preserve"> 1994. </w:t>
      </w:r>
      <w:r w:rsidRPr="001D2F41">
        <w:rPr>
          <w:i/>
          <w:lang w:val="en-GB"/>
        </w:rPr>
        <w:t xml:space="preserve">General </w:t>
      </w:r>
      <w:r>
        <w:rPr>
          <w:i/>
          <w:lang w:val="en-GB"/>
        </w:rPr>
        <w:t>c</w:t>
      </w:r>
      <w:r w:rsidRPr="001D2F41">
        <w:rPr>
          <w:i/>
          <w:lang w:val="en-GB"/>
        </w:rPr>
        <w:t xml:space="preserve">omment </w:t>
      </w:r>
      <w:r>
        <w:rPr>
          <w:i/>
          <w:lang w:val="en-GB"/>
        </w:rPr>
        <w:t>n</w:t>
      </w:r>
      <w:r w:rsidRPr="001D2F41">
        <w:rPr>
          <w:i/>
          <w:lang w:val="en-GB"/>
        </w:rPr>
        <w:t xml:space="preserve">o. 5: Persons with </w:t>
      </w:r>
      <w:r>
        <w:rPr>
          <w:i/>
          <w:lang w:val="en-GB"/>
        </w:rPr>
        <w:t>d</w:t>
      </w:r>
      <w:r w:rsidRPr="001D2F41">
        <w:rPr>
          <w:i/>
          <w:lang w:val="en-GB"/>
        </w:rPr>
        <w:t>isabilities</w:t>
      </w:r>
      <w:r>
        <w:rPr>
          <w:lang w:val="en-GB"/>
        </w:rPr>
        <w:t xml:space="preserve"> (Geneva).</w:t>
      </w:r>
      <w:r w:rsidR="00336524">
        <w:rPr>
          <w:lang w:val="en-GB"/>
        </w:rPr>
        <w:t xml:space="preserve"> Available at: </w:t>
      </w:r>
      <w:hyperlink r:id="rId26" w:history="1">
        <w:r w:rsidR="00336524" w:rsidRPr="005D285A">
          <w:rPr>
            <w:rStyle w:val="Hyperlink"/>
            <w:lang w:val="en-GB"/>
          </w:rPr>
          <w:t>http://tbinternet.ohchr.org/_layouts/treatybodyexternal/Download.aspx?symbolno=INT%2fCESCR%2fGEC%2f4760&amp;Lang=en</w:t>
        </w:r>
      </w:hyperlink>
      <w:r w:rsidR="00336524">
        <w:rPr>
          <w:lang w:val="en-GB"/>
        </w:rPr>
        <w:t xml:space="preserve"> </w:t>
      </w:r>
      <w:r w:rsidR="00336524" w:rsidRPr="00680837">
        <w:rPr>
          <w:lang w:val="en-GB"/>
        </w:rPr>
        <w:t xml:space="preserve">[24 </w:t>
      </w:r>
      <w:r w:rsidR="00336524">
        <w:rPr>
          <w:lang w:val="en-GB"/>
        </w:rPr>
        <w:t>January</w:t>
      </w:r>
      <w:r w:rsidR="00336524" w:rsidRPr="00680837">
        <w:rPr>
          <w:lang w:val="en-GB"/>
        </w:rPr>
        <w:t xml:space="preserve"> 201</w:t>
      </w:r>
      <w:r w:rsidR="00336524">
        <w:rPr>
          <w:lang w:val="en-GB"/>
        </w:rPr>
        <w:t>8</w:t>
      </w:r>
      <w:r w:rsidR="00336524" w:rsidRPr="00680837">
        <w:rPr>
          <w:lang w:val="en-GB"/>
        </w:rPr>
        <w:t>]</w:t>
      </w:r>
      <w:r w:rsidR="00336524">
        <w:rPr>
          <w:lang w:val="en-GB"/>
        </w:rPr>
        <w:t>.</w:t>
      </w:r>
    </w:p>
    <w:p w14:paraId="153AEEC2" w14:textId="56E24582" w:rsidR="002C467F" w:rsidRPr="00680837" w:rsidRDefault="002C467F" w:rsidP="008A2C80">
      <w:pPr>
        <w:ind w:left="567" w:right="-52" w:hanging="567"/>
        <w:jc w:val="left"/>
        <w:rPr>
          <w:lang w:val="en-GB"/>
        </w:rPr>
      </w:pPr>
      <w:r w:rsidRPr="00680837">
        <w:rPr>
          <w:lang w:val="en-GB"/>
        </w:rPr>
        <w:t>—.</w:t>
      </w:r>
      <w:r>
        <w:rPr>
          <w:lang w:val="en-GB"/>
        </w:rPr>
        <w:t xml:space="preserve"> 2008. </w:t>
      </w:r>
      <w:r w:rsidRPr="00AF6EF6">
        <w:rPr>
          <w:i/>
          <w:lang w:val="en-GB"/>
        </w:rPr>
        <w:t xml:space="preserve">General </w:t>
      </w:r>
      <w:r>
        <w:rPr>
          <w:i/>
          <w:lang w:val="en-GB"/>
        </w:rPr>
        <w:t>c</w:t>
      </w:r>
      <w:r w:rsidRPr="00AF6EF6">
        <w:rPr>
          <w:i/>
          <w:lang w:val="en-GB"/>
        </w:rPr>
        <w:t xml:space="preserve">omment </w:t>
      </w:r>
      <w:r>
        <w:rPr>
          <w:i/>
          <w:lang w:val="en-GB"/>
        </w:rPr>
        <w:t>n</w:t>
      </w:r>
      <w:r w:rsidRPr="00AF6EF6">
        <w:rPr>
          <w:i/>
          <w:lang w:val="en-GB"/>
        </w:rPr>
        <w:t xml:space="preserve">o. 19: The </w:t>
      </w:r>
      <w:r>
        <w:rPr>
          <w:i/>
          <w:lang w:val="en-GB"/>
        </w:rPr>
        <w:t>r</w:t>
      </w:r>
      <w:r w:rsidRPr="00AF6EF6">
        <w:rPr>
          <w:i/>
          <w:lang w:val="en-GB"/>
        </w:rPr>
        <w:t xml:space="preserve">ight to </w:t>
      </w:r>
      <w:r>
        <w:rPr>
          <w:i/>
          <w:lang w:val="en-GB"/>
        </w:rPr>
        <w:t>s</w:t>
      </w:r>
      <w:r w:rsidRPr="00AF6EF6">
        <w:rPr>
          <w:i/>
          <w:lang w:val="en-GB"/>
        </w:rPr>
        <w:t xml:space="preserve">ocial </w:t>
      </w:r>
      <w:r>
        <w:rPr>
          <w:i/>
          <w:lang w:val="en-GB"/>
        </w:rPr>
        <w:t>s</w:t>
      </w:r>
      <w:r w:rsidRPr="00AF6EF6">
        <w:rPr>
          <w:i/>
          <w:lang w:val="en-GB"/>
        </w:rPr>
        <w:t>ecurity</w:t>
      </w:r>
      <w:r w:rsidRPr="002C467F">
        <w:rPr>
          <w:lang w:val="en-GB"/>
        </w:rPr>
        <w:t xml:space="preserve"> (Geneva</w:t>
      </w:r>
      <w:r>
        <w:rPr>
          <w:lang w:val="en-GB"/>
        </w:rPr>
        <w:t>).</w:t>
      </w:r>
      <w:r w:rsidR="00336524">
        <w:rPr>
          <w:lang w:val="en-GB"/>
        </w:rPr>
        <w:t xml:space="preserve"> Available at: </w:t>
      </w:r>
      <w:hyperlink r:id="rId27" w:history="1">
        <w:r w:rsidR="00336524" w:rsidRPr="005D285A">
          <w:rPr>
            <w:rStyle w:val="Hyperlink"/>
            <w:lang w:val="en-GB"/>
          </w:rPr>
          <w:t>http://www.unhcr.org/</w:t>
        </w:r>
        <w:r w:rsidR="00336524" w:rsidRPr="005D285A">
          <w:rPr>
            <w:rStyle w:val="Hyperlink"/>
            <w:lang w:val="en-GB"/>
          </w:rPr>
          <w:t>r</w:t>
        </w:r>
        <w:r w:rsidR="00336524" w:rsidRPr="005D285A">
          <w:rPr>
            <w:rStyle w:val="Hyperlink"/>
            <w:lang w:val="en-GB"/>
          </w:rPr>
          <w:t>efworld/type,GENERAL,,,47b17b5b39c,0.html</w:t>
        </w:r>
      </w:hyperlink>
      <w:r w:rsidR="00336524">
        <w:rPr>
          <w:lang w:val="en-GB"/>
        </w:rPr>
        <w:t xml:space="preserve"> </w:t>
      </w:r>
      <w:r w:rsidR="00336524" w:rsidRPr="00680837">
        <w:rPr>
          <w:lang w:val="en-GB"/>
        </w:rPr>
        <w:t xml:space="preserve">[24 </w:t>
      </w:r>
      <w:r w:rsidR="00336524">
        <w:rPr>
          <w:lang w:val="en-GB"/>
        </w:rPr>
        <w:t>January</w:t>
      </w:r>
      <w:r w:rsidR="00336524" w:rsidRPr="00680837">
        <w:rPr>
          <w:lang w:val="en-GB"/>
        </w:rPr>
        <w:t xml:space="preserve"> 201</w:t>
      </w:r>
      <w:r w:rsidR="00336524">
        <w:rPr>
          <w:lang w:val="en-GB"/>
        </w:rPr>
        <w:t>8</w:t>
      </w:r>
      <w:r w:rsidR="00336524" w:rsidRPr="00680837">
        <w:rPr>
          <w:lang w:val="en-GB"/>
        </w:rPr>
        <w:t>]</w:t>
      </w:r>
      <w:r w:rsidR="00336524">
        <w:rPr>
          <w:lang w:val="en-GB"/>
        </w:rPr>
        <w:t xml:space="preserve">. </w:t>
      </w:r>
    </w:p>
    <w:p w14:paraId="187A50F0" w14:textId="1A8D8C23" w:rsidR="008A2C80" w:rsidRPr="00A5557E" w:rsidRDefault="008A2C80" w:rsidP="00AF6EF6">
      <w:pPr>
        <w:ind w:left="567" w:right="-52" w:hanging="567"/>
        <w:jc w:val="left"/>
        <w:rPr>
          <w:lang w:val="en-GB"/>
        </w:rPr>
      </w:pPr>
      <w:r w:rsidRPr="00680837">
        <w:rPr>
          <w:lang w:val="en-GB"/>
        </w:rPr>
        <w:t>Committee on the Rights of Persons with Disabilities</w:t>
      </w:r>
      <w:r w:rsidR="00E1535A">
        <w:rPr>
          <w:lang w:val="en-GB"/>
        </w:rPr>
        <w:t xml:space="preserve"> (CRPD)</w:t>
      </w:r>
      <w:r>
        <w:rPr>
          <w:lang w:val="en-GB"/>
        </w:rPr>
        <w:t>.</w:t>
      </w:r>
      <w:r w:rsidRPr="00680837">
        <w:rPr>
          <w:lang w:val="en-GB"/>
        </w:rPr>
        <w:t xml:space="preserve"> </w:t>
      </w:r>
      <w:r w:rsidRPr="00BC1BDC">
        <w:rPr>
          <w:lang w:val="en-GB"/>
        </w:rPr>
        <w:t>Concluding Recommendations to States Parties</w:t>
      </w:r>
      <w:r w:rsidRPr="00680837">
        <w:rPr>
          <w:lang w:val="en-GB"/>
        </w:rPr>
        <w:t xml:space="preserve">: </w:t>
      </w:r>
      <w:hyperlink w:anchor="_Argentina_(CRPD/C/ARG/CO/1)_52" w:history="1">
        <w:r w:rsidRPr="00BC1BDC">
          <w:rPr>
            <w:rStyle w:val="Hyperlink"/>
            <w:rFonts w:cs="Calibri"/>
            <w:kern w:val="28"/>
            <w:szCs w:val="22"/>
            <w:lang w:val="en-GB"/>
          </w:rPr>
          <w:t>Argentina</w:t>
        </w:r>
      </w:hyperlink>
      <w:r w:rsidRPr="00C76672">
        <w:rPr>
          <w:rFonts w:cs="Calibri"/>
          <w:kern w:val="28"/>
          <w:szCs w:val="22"/>
          <w:lang w:val="en-GB"/>
        </w:rPr>
        <w:t xml:space="preserve"> (Adopted in September 2012)</w:t>
      </w:r>
      <w:r w:rsidRPr="00C76672">
        <w:rPr>
          <w:rFonts w:cs="Calibri"/>
          <w:szCs w:val="22"/>
          <w:lang w:val="en-GB"/>
        </w:rPr>
        <w:t xml:space="preserve">, </w:t>
      </w:r>
      <w:hyperlink w:anchor="BOL28" w:history="1">
        <w:r w:rsidRPr="00BC1BDC">
          <w:rPr>
            <w:rStyle w:val="Hyperlink"/>
            <w:lang w:val="en-GB"/>
          </w:rPr>
          <w:t>Bolivia</w:t>
        </w:r>
      </w:hyperlink>
      <w:r w:rsidRPr="003B5134">
        <w:t xml:space="preserve"> </w:t>
      </w:r>
      <w:r>
        <w:rPr>
          <w:lang w:val="en-GB"/>
        </w:rPr>
        <w:t>(Adopted in September 2016)</w:t>
      </w:r>
      <w:r w:rsidRPr="00680837">
        <w:rPr>
          <w:lang w:val="en-GB"/>
        </w:rPr>
        <w:t xml:space="preserve">, </w:t>
      </w:r>
      <w:hyperlink w:anchor="_Brazil_(CRPD/C/BRA/CO/1)_5" w:history="1">
        <w:r w:rsidRPr="00BC1BDC">
          <w:rPr>
            <w:rStyle w:val="Hyperlink"/>
            <w:lang w:val="en-GB"/>
          </w:rPr>
          <w:t>Brazil</w:t>
        </w:r>
      </w:hyperlink>
      <w:r>
        <w:rPr>
          <w:lang w:val="en-GB"/>
        </w:rPr>
        <w:t xml:space="preserve"> </w:t>
      </w:r>
      <w:r>
        <w:rPr>
          <w:rFonts w:eastAsia="Times New Roman"/>
          <w:szCs w:val="22"/>
          <w:lang w:val="en-GB" w:eastAsia="en-GB"/>
        </w:rPr>
        <w:t>(Adopted in September 2015)</w:t>
      </w:r>
      <w:r w:rsidRPr="00680837">
        <w:rPr>
          <w:lang w:val="en-GB"/>
        </w:rPr>
        <w:t xml:space="preserve">, </w:t>
      </w:r>
      <w:hyperlink w:anchor="CHL28" w:history="1">
        <w:r w:rsidRPr="00BC1BDC">
          <w:rPr>
            <w:rStyle w:val="Hyperlink"/>
            <w:lang w:val="en-GB"/>
          </w:rPr>
          <w:t>Chile</w:t>
        </w:r>
      </w:hyperlink>
      <w:r>
        <w:rPr>
          <w:lang w:val="en-GB"/>
        </w:rPr>
        <w:t xml:space="preserve"> </w:t>
      </w:r>
      <w:r>
        <w:rPr>
          <w:rFonts w:eastAsia="Times New Roman"/>
          <w:szCs w:val="22"/>
          <w:lang w:val="en-GB" w:eastAsia="en-GB"/>
        </w:rPr>
        <w:t>(Adopted in April 2016)</w:t>
      </w:r>
      <w:r w:rsidRPr="00680837">
        <w:rPr>
          <w:lang w:val="en-GB"/>
        </w:rPr>
        <w:t xml:space="preserve">, </w:t>
      </w:r>
      <w:hyperlink w:anchor="_China_(CRPD/C/CHN/CO/1)_24" w:history="1">
        <w:r w:rsidRPr="00BC1BDC">
          <w:rPr>
            <w:rStyle w:val="Hyperlink"/>
            <w:rFonts w:cs="Calibri"/>
            <w:szCs w:val="22"/>
            <w:lang w:val="en-GB"/>
          </w:rPr>
          <w:t>China</w:t>
        </w:r>
      </w:hyperlink>
      <w:r w:rsidRPr="002371FB">
        <w:rPr>
          <w:rStyle w:val="Hyperlink"/>
          <w:rFonts w:cs="Calibri"/>
          <w:color w:val="auto"/>
          <w:szCs w:val="22"/>
          <w:u w:val="none"/>
          <w:lang w:val="en-GB"/>
        </w:rPr>
        <w:t xml:space="preserve">, </w:t>
      </w:r>
      <w:hyperlink w:anchor="COL28" w:history="1">
        <w:r w:rsidRPr="00BC1BDC">
          <w:rPr>
            <w:rStyle w:val="Hyperlink"/>
            <w:lang w:val="en-GB"/>
          </w:rPr>
          <w:t>Colombia</w:t>
        </w:r>
      </w:hyperlink>
      <w:r w:rsidRPr="003B5134">
        <w:rPr>
          <w:rFonts w:eastAsia="Times New Roman"/>
          <w:szCs w:val="22"/>
          <w:lang w:val="en-GB" w:eastAsia="en-GB"/>
        </w:rPr>
        <w:t xml:space="preserve"> </w:t>
      </w:r>
      <w:r>
        <w:rPr>
          <w:rFonts w:eastAsia="Times New Roman"/>
          <w:szCs w:val="22"/>
          <w:lang w:val="en-GB" w:eastAsia="en-GB"/>
        </w:rPr>
        <w:t>(Adopted in September 2016)</w:t>
      </w:r>
      <w:r>
        <w:rPr>
          <w:lang w:val="en-GB"/>
        </w:rPr>
        <w:t xml:space="preserve">, </w:t>
      </w:r>
      <w:hyperlink w:anchor="_Costa_Rica_(CRPD/C/CRI/CO/1)_19" w:history="1">
        <w:r w:rsidRPr="00BC1BDC">
          <w:rPr>
            <w:rStyle w:val="Hyperlink"/>
            <w:szCs w:val="22"/>
            <w:lang w:val="en-GB"/>
          </w:rPr>
          <w:t>Costa Rica</w:t>
        </w:r>
      </w:hyperlink>
      <w:r w:rsidRPr="00C76672">
        <w:rPr>
          <w:szCs w:val="22"/>
          <w:lang w:val="en-GB"/>
        </w:rPr>
        <w:t xml:space="preserve"> </w:t>
      </w:r>
      <w:r>
        <w:rPr>
          <w:szCs w:val="22"/>
        </w:rPr>
        <w:t>(Adopted in April 2014)</w:t>
      </w:r>
      <w:r w:rsidRPr="00C76672">
        <w:rPr>
          <w:szCs w:val="22"/>
          <w:lang w:val="en-GB"/>
        </w:rPr>
        <w:t xml:space="preserve">, </w:t>
      </w:r>
      <w:hyperlink w:anchor="HRV28" w:history="1">
        <w:r w:rsidRPr="00BC1BDC">
          <w:rPr>
            <w:rStyle w:val="Hyperlink"/>
            <w:szCs w:val="22"/>
            <w:lang w:val="en-GB"/>
          </w:rPr>
          <w:t>Croatia</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CZE28" w:history="1">
        <w:r w:rsidRPr="00BC1BDC">
          <w:rPr>
            <w:rStyle w:val="Hyperlink"/>
            <w:szCs w:val="22"/>
            <w:lang w:val="en-GB"/>
          </w:rPr>
          <w:t>Czech Republic</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DOM28" w:history="1">
        <w:r w:rsidRPr="00BC1BDC">
          <w:rPr>
            <w:rStyle w:val="Hyperlink"/>
            <w:szCs w:val="22"/>
            <w:lang w:val="en-GB"/>
          </w:rPr>
          <w:t>Dominican Republic</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_Ecuador_(CRPD/C/ECU/CO/1)_15" w:history="1">
        <w:r w:rsidRPr="00BC1BDC">
          <w:rPr>
            <w:rStyle w:val="Hyperlink"/>
            <w:szCs w:val="22"/>
            <w:lang w:val="en-GB"/>
          </w:rPr>
          <w:t>Ecuador</w:t>
        </w:r>
      </w:hyperlink>
      <w:r w:rsidRPr="00A5557E">
        <w:rPr>
          <w:szCs w:val="22"/>
          <w:lang w:val="en-GB"/>
        </w:rPr>
        <w:t xml:space="preserve"> (Adopted in October 2014), </w:t>
      </w:r>
      <w:r w:rsidRPr="002371FB">
        <w:rPr>
          <w:rStyle w:val="Hyperlink"/>
          <w:rFonts w:cs="Calibri"/>
          <w:color w:val="auto"/>
          <w:szCs w:val="22"/>
          <w:u w:val="none"/>
          <w:lang w:val="en-GB"/>
        </w:rPr>
        <w:t xml:space="preserve">Ecuador, </w:t>
      </w:r>
      <w:hyperlink w:anchor="_El_Salvador_(CRPD/C/SLV/CO/1)_19" w:history="1">
        <w:r w:rsidRPr="00BC1BDC">
          <w:rPr>
            <w:rStyle w:val="Hyperlink"/>
            <w:szCs w:val="22"/>
            <w:lang w:val="en-GB"/>
          </w:rPr>
          <w:t>El Salvador</w:t>
        </w:r>
      </w:hyperlink>
      <w:r w:rsidRPr="00C76672">
        <w:rPr>
          <w:szCs w:val="22"/>
          <w:lang w:val="en-GB"/>
        </w:rPr>
        <w:t xml:space="preserve"> (Adopted in September 2013), </w:t>
      </w:r>
      <w:hyperlink w:anchor="ETH28" w:history="1">
        <w:r w:rsidRPr="00BC1BDC">
          <w:rPr>
            <w:rStyle w:val="Hyperlink"/>
            <w:lang w:val="en-GB"/>
          </w:rPr>
          <w:t>Ethiopia</w:t>
        </w:r>
      </w:hyperlink>
      <w:r w:rsidRPr="003B5134">
        <w:rPr>
          <w:rFonts w:eastAsia="Times New Roman"/>
          <w:szCs w:val="22"/>
          <w:lang w:val="en-GB" w:eastAsia="en-GB"/>
        </w:rPr>
        <w:t xml:space="preserve"> </w:t>
      </w:r>
      <w:r>
        <w:rPr>
          <w:rFonts w:eastAsia="Times New Roman"/>
          <w:szCs w:val="22"/>
          <w:lang w:val="en-GB" w:eastAsia="en-GB"/>
        </w:rPr>
        <w:t>(Adopted in September 2016)</w:t>
      </w:r>
      <w:r w:rsidRPr="00680837">
        <w:rPr>
          <w:lang w:val="en-GB"/>
        </w:rPr>
        <w:t>,</w:t>
      </w:r>
      <w:r>
        <w:rPr>
          <w:lang w:val="en-GB"/>
        </w:rPr>
        <w:t xml:space="preserve"> </w:t>
      </w:r>
      <w:hyperlink w:anchor="_European_Union_(CRPD/C/EU/CO/1)_6" w:history="1">
        <w:r w:rsidRPr="00BC1BDC">
          <w:rPr>
            <w:rStyle w:val="Hyperlink"/>
            <w:lang w:val="en-GB"/>
          </w:rPr>
          <w:t>European Union</w:t>
        </w:r>
      </w:hyperlink>
      <w:r>
        <w:rPr>
          <w:lang w:val="en-GB"/>
        </w:rPr>
        <w:t xml:space="preserve"> </w:t>
      </w:r>
      <w:r>
        <w:rPr>
          <w:rFonts w:eastAsia="Times New Roman"/>
          <w:szCs w:val="22"/>
          <w:lang w:val="en-GB" w:eastAsia="en-GB"/>
        </w:rPr>
        <w:t>(Adopted in September 2015)</w:t>
      </w:r>
      <w:r w:rsidRPr="00680837">
        <w:rPr>
          <w:lang w:val="en-GB"/>
        </w:rPr>
        <w:t xml:space="preserve">, </w:t>
      </w:r>
      <w:hyperlink w:anchor="_Gabon_(CRPD/C/GAB/CO/1)_6" w:history="1">
        <w:r w:rsidRPr="00BC1BDC">
          <w:rPr>
            <w:rStyle w:val="Hyperlink"/>
            <w:lang w:val="en-GB"/>
          </w:rPr>
          <w:t>Gabon</w:t>
        </w:r>
      </w:hyperlink>
      <w:r>
        <w:rPr>
          <w:lang w:val="en-GB"/>
        </w:rPr>
        <w:t xml:space="preserve"> </w:t>
      </w:r>
      <w:r>
        <w:rPr>
          <w:rFonts w:eastAsia="Times New Roman"/>
          <w:szCs w:val="22"/>
          <w:lang w:val="en-GB" w:eastAsia="en-GB"/>
        </w:rPr>
        <w:t>(Adopted in September 2015)</w:t>
      </w:r>
      <w:r w:rsidRPr="00680837">
        <w:rPr>
          <w:lang w:val="en-GB"/>
        </w:rPr>
        <w:t xml:space="preserve">, </w:t>
      </w:r>
      <w:hyperlink w:anchor="DEU28" w:history="1">
        <w:r w:rsidRPr="00BC1BDC">
          <w:rPr>
            <w:rStyle w:val="Hyperlink"/>
            <w:szCs w:val="22"/>
            <w:lang w:val="en-GB"/>
          </w:rPr>
          <w:t>Germany</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GTM28" w:history="1">
        <w:r w:rsidRPr="00BC1BDC">
          <w:rPr>
            <w:rStyle w:val="Hyperlink"/>
            <w:lang w:val="en-GB"/>
          </w:rPr>
          <w:t>Guatemala</w:t>
        </w:r>
      </w:hyperlink>
      <w:r>
        <w:rPr>
          <w:lang w:val="en-GB"/>
        </w:rPr>
        <w:t xml:space="preserve"> (Adopted in September 2016)</w:t>
      </w:r>
      <w:r w:rsidRPr="00680837">
        <w:rPr>
          <w:lang w:val="en-GB"/>
        </w:rPr>
        <w:t xml:space="preserve">, </w:t>
      </w:r>
      <w:hyperlink w:anchor="ITA28" w:history="1">
        <w:r w:rsidRPr="00BC1BDC">
          <w:rPr>
            <w:rStyle w:val="Hyperlink"/>
            <w:lang w:val="en-GB"/>
          </w:rPr>
          <w:t>Italy</w:t>
        </w:r>
      </w:hyperlink>
      <w:r w:rsidRPr="003B5134">
        <w:rPr>
          <w:rFonts w:eastAsia="Times New Roman"/>
          <w:szCs w:val="22"/>
          <w:lang w:val="en-GB" w:eastAsia="en-GB"/>
        </w:rPr>
        <w:t xml:space="preserve"> </w:t>
      </w:r>
      <w:r>
        <w:rPr>
          <w:rFonts w:eastAsia="Times New Roman"/>
          <w:szCs w:val="22"/>
          <w:lang w:val="en-GB" w:eastAsia="en-GB"/>
        </w:rPr>
        <w:t>(Adopted in September 2016)</w:t>
      </w:r>
      <w:r>
        <w:rPr>
          <w:lang w:val="en-GB"/>
        </w:rPr>
        <w:t xml:space="preserve">, </w:t>
      </w:r>
      <w:hyperlink w:anchor="_Kenya_(CRPD/C/KEN/CO/1)_7" w:history="1">
        <w:r w:rsidRPr="00BC1BDC">
          <w:rPr>
            <w:rStyle w:val="Hyperlink"/>
            <w:lang w:val="en-GB"/>
          </w:rPr>
          <w:t>Kenya</w:t>
        </w:r>
      </w:hyperlink>
      <w:r>
        <w:rPr>
          <w:lang w:val="en-GB"/>
        </w:rPr>
        <w:t xml:space="preserve"> </w:t>
      </w:r>
      <w:r>
        <w:rPr>
          <w:rFonts w:eastAsia="Times New Roman"/>
          <w:szCs w:val="22"/>
          <w:lang w:val="en-GB" w:eastAsia="en-GB"/>
        </w:rPr>
        <w:t>(Adopted in September 2015)</w:t>
      </w:r>
      <w:r w:rsidRPr="00680837">
        <w:rPr>
          <w:lang w:val="en-GB"/>
        </w:rPr>
        <w:t xml:space="preserve">, </w:t>
      </w:r>
      <w:hyperlink w:anchor="LTU28" w:history="1">
        <w:r w:rsidRPr="00BC1BDC">
          <w:rPr>
            <w:rStyle w:val="Hyperlink"/>
            <w:lang w:val="en-GB"/>
          </w:rPr>
          <w:t>Lithuania</w:t>
        </w:r>
      </w:hyperlink>
      <w:r>
        <w:rPr>
          <w:lang w:val="en-GB"/>
        </w:rPr>
        <w:t xml:space="preserve"> </w:t>
      </w:r>
      <w:r>
        <w:rPr>
          <w:rFonts w:eastAsia="Times New Roman"/>
          <w:szCs w:val="22"/>
          <w:lang w:val="en-GB" w:eastAsia="en-GB"/>
        </w:rPr>
        <w:t>(Adopted in April 2016)</w:t>
      </w:r>
      <w:r w:rsidRPr="00680837">
        <w:rPr>
          <w:lang w:val="en-GB"/>
        </w:rPr>
        <w:t xml:space="preserve">, </w:t>
      </w:r>
      <w:hyperlink w:anchor="_Mexico_(CRPD/C/MEX/CO/1)_19" w:history="1">
        <w:r w:rsidRPr="00BC1BDC">
          <w:rPr>
            <w:rStyle w:val="Hyperlink"/>
            <w:szCs w:val="22"/>
            <w:lang w:val="en-GB"/>
          </w:rPr>
          <w:t>Mexico</w:t>
        </w:r>
      </w:hyperlink>
      <w:r w:rsidRPr="00A5557E">
        <w:rPr>
          <w:szCs w:val="22"/>
          <w:lang w:val="en-GB"/>
        </w:rPr>
        <w:t xml:space="preserve"> (Adopted in October 2014), </w:t>
      </w:r>
      <w:r w:rsidRPr="002371FB">
        <w:rPr>
          <w:rStyle w:val="Hyperlink"/>
          <w:rFonts w:cs="Calibri"/>
          <w:color w:val="auto"/>
          <w:szCs w:val="22"/>
          <w:u w:val="none"/>
          <w:lang w:val="en-GB"/>
        </w:rPr>
        <w:t xml:space="preserve">Mexico, </w:t>
      </w:r>
      <w:hyperlink w:anchor="MNG28" w:history="1">
        <w:r w:rsidRPr="00BC1BDC">
          <w:rPr>
            <w:rStyle w:val="Hyperlink"/>
            <w:szCs w:val="22"/>
            <w:lang w:val="en-GB"/>
          </w:rPr>
          <w:t>Mongolia</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_El_Salvador_(CRPD/C/SLV/CO/1)_19" w:history="1">
        <w:r w:rsidRPr="00BC1BDC">
          <w:rPr>
            <w:rStyle w:val="Hyperlink"/>
            <w:szCs w:val="22"/>
            <w:lang w:val="en-GB"/>
          </w:rPr>
          <w:t>New Zealand</w:t>
        </w:r>
      </w:hyperlink>
      <w:r w:rsidRPr="00C76672">
        <w:rPr>
          <w:szCs w:val="22"/>
          <w:lang w:val="en-GB"/>
        </w:rPr>
        <w:t xml:space="preserve"> (Adopted in October 2014), </w:t>
      </w:r>
      <w:r w:rsidRPr="002371FB">
        <w:rPr>
          <w:rStyle w:val="Hyperlink"/>
          <w:rFonts w:cs="Calibri"/>
          <w:color w:val="auto"/>
          <w:szCs w:val="22"/>
          <w:u w:val="none"/>
          <w:lang w:val="en-GB"/>
        </w:rPr>
        <w:t xml:space="preserve">New Zealand, </w:t>
      </w:r>
      <w:hyperlink w:anchor="_Paraguay_(CRPD/C/PRY/CO/1)_22" w:history="1">
        <w:r w:rsidRPr="00BC1BDC">
          <w:rPr>
            <w:rStyle w:val="Hyperlink"/>
            <w:rFonts w:cs="Calibri"/>
            <w:kern w:val="28"/>
            <w:szCs w:val="22"/>
            <w:lang w:val="en-GB"/>
          </w:rPr>
          <w:t>Paraguay</w:t>
        </w:r>
      </w:hyperlink>
      <w:r w:rsidRPr="00C76672">
        <w:rPr>
          <w:rFonts w:cs="Calibri"/>
          <w:kern w:val="28"/>
          <w:szCs w:val="22"/>
          <w:lang w:val="en-GB"/>
        </w:rPr>
        <w:t xml:space="preserve"> (Adopted in April 2013)</w:t>
      </w:r>
      <w:r w:rsidRPr="00C76672">
        <w:rPr>
          <w:rStyle w:val="TitleChar"/>
          <w:rFonts w:ascii="Calibri" w:eastAsia="Cambria" w:hAnsi="Calibri" w:cs="Calibri"/>
          <w:b w:val="0"/>
          <w:szCs w:val="22"/>
          <w:lang w:val="en-GB"/>
        </w:rPr>
        <w:t>,</w:t>
      </w:r>
      <w:r w:rsidRPr="00C76672">
        <w:rPr>
          <w:rStyle w:val="TitleChar"/>
          <w:rFonts w:ascii="Calibri" w:eastAsia="Cambria" w:hAnsi="Calibri" w:cs="Calibri"/>
          <w:szCs w:val="22"/>
          <w:lang w:val="en-GB"/>
        </w:rPr>
        <w:t xml:space="preserve"> </w:t>
      </w:r>
      <w:hyperlink w:anchor="PRT28" w:history="1">
        <w:r w:rsidRPr="00BC1BDC">
          <w:rPr>
            <w:rStyle w:val="Hyperlink"/>
            <w:lang w:val="en-GB"/>
          </w:rPr>
          <w:t>Portugal</w:t>
        </w:r>
      </w:hyperlink>
      <w:r>
        <w:rPr>
          <w:lang w:val="en-GB"/>
        </w:rPr>
        <w:t xml:space="preserve"> </w:t>
      </w:r>
      <w:r>
        <w:rPr>
          <w:rFonts w:eastAsia="Times New Roman"/>
          <w:szCs w:val="22"/>
          <w:lang w:val="en-GB" w:eastAsia="en-GB"/>
        </w:rPr>
        <w:t>(Adopted in April 2016)</w:t>
      </w:r>
      <w:r w:rsidRPr="00680837">
        <w:rPr>
          <w:lang w:val="en-GB"/>
        </w:rPr>
        <w:t xml:space="preserve">, </w:t>
      </w:r>
      <w:hyperlink w:anchor="_Republic_of_Korea_18" w:history="1">
        <w:r w:rsidRPr="00BC1BDC">
          <w:rPr>
            <w:rStyle w:val="Hyperlink"/>
            <w:szCs w:val="22"/>
            <w:lang w:val="en-GB"/>
          </w:rPr>
          <w:t>Republic of Korea</w:t>
        </w:r>
      </w:hyperlink>
      <w:r w:rsidRPr="00C76672">
        <w:rPr>
          <w:szCs w:val="22"/>
          <w:lang w:val="en-GB"/>
        </w:rPr>
        <w:t xml:space="preserve"> </w:t>
      </w:r>
      <w:r>
        <w:rPr>
          <w:szCs w:val="22"/>
        </w:rPr>
        <w:t>(Adopted in October 2014)</w:t>
      </w:r>
      <w:r w:rsidRPr="00C76672">
        <w:rPr>
          <w:szCs w:val="22"/>
          <w:lang w:val="en-GB"/>
        </w:rPr>
        <w:t xml:space="preserve">, </w:t>
      </w:r>
      <w:r w:rsidRPr="002371FB">
        <w:rPr>
          <w:rStyle w:val="Hyperlink"/>
          <w:rFonts w:cs="Calibri"/>
          <w:color w:val="auto"/>
          <w:szCs w:val="22"/>
          <w:u w:val="none"/>
          <w:lang w:val="en-GB"/>
        </w:rPr>
        <w:t>Republic of Korea</w:t>
      </w:r>
      <w:r>
        <w:rPr>
          <w:rStyle w:val="Hyperlink"/>
          <w:rFonts w:cs="Calibri"/>
          <w:color w:val="auto"/>
          <w:szCs w:val="22"/>
          <w:u w:val="none"/>
          <w:lang w:val="en-GB"/>
        </w:rPr>
        <w:t xml:space="preserve">, </w:t>
      </w:r>
      <w:hyperlink w:anchor="SRB28" w:history="1">
        <w:r w:rsidRPr="00BC1BDC">
          <w:rPr>
            <w:rStyle w:val="Hyperlink"/>
            <w:lang w:val="en-GB"/>
          </w:rPr>
          <w:t>Serbia</w:t>
        </w:r>
      </w:hyperlink>
      <w:r>
        <w:rPr>
          <w:lang w:val="en-GB"/>
        </w:rPr>
        <w:t xml:space="preserve"> </w:t>
      </w:r>
      <w:r>
        <w:rPr>
          <w:rFonts w:eastAsia="Times New Roman"/>
          <w:szCs w:val="22"/>
          <w:lang w:val="en-GB" w:eastAsia="en-GB"/>
        </w:rPr>
        <w:t>(Adopted in April 2016)</w:t>
      </w:r>
      <w:r w:rsidRPr="00680837">
        <w:rPr>
          <w:lang w:val="en-GB"/>
        </w:rPr>
        <w:t xml:space="preserve">, </w:t>
      </w:r>
      <w:hyperlink w:anchor="SVK28" w:history="1">
        <w:r w:rsidRPr="00BC1BDC">
          <w:rPr>
            <w:rStyle w:val="Hyperlink"/>
            <w:lang w:val="en-GB"/>
          </w:rPr>
          <w:t>Slovakia</w:t>
        </w:r>
      </w:hyperlink>
      <w:r>
        <w:rPr>
          <w:lang w:val="en-GB"/>
        </w:rPr>
        <w:t xml:space="preserve"> </w:t>
      </w:r>
      <w:r>
        <w:rPr>
          <w:rFonts w:eastAsia="Times New Roman"/>
          <w:szCs w:val="22"/>
          <w:lang w:val="en-GB" w:eastAsia="en-GB"/>
        </w:rPr>
        <w:t>(Adopted in April 2016)</w:t>
      </w:r>
      <w:r>
        <w:rPr>
          <w:lang w:val="en-GB"/>
        </w:rPr>
        <w:t xml:space="preserve">, </w:t>
      </w:r>
      <w:hyperlink w:anchor="THA28" w:history="1">
        <w:r w:rsidRPr="00BC1BDC">
          <w:rPr>
            <w:rStyle w:val="Hyperlink"/>
            <w:lang w:val="en-GB"/>
          </w:rPr>
          <w:t>Thailand</w:t>
        </w:r>
      </w:hyperlink>
      <w:r>
        <w:rPr>
          <w:lang w:val="en-GB"/>
        </w:rPr>
        <w:t xml:space="preserve"> </w:t>
      </w:r>
      <w:r>
        <w:rPr>
          <w:rFonts w:eastAsia="Times New Roman"/>
          <w:szCs w:val="22"/>
          <w:lang w:val="en-GB" w:eastAsia="en-GB"/>
        </w:rPr>
        <w:t>(Adopted in April 2016)</w:t>
      </w:r>
      <w:r w:rsidRPr="00680837">
        <w:rPr>
          <w:lang w:val="en-GB"/>
        </w:rPr>
        <w:t xml:space="preserve">, </w:t>
      </w:r>
      <w:hyperlink w:anchor="TKM28" w:history="1">
        <w:r w:rsidRPr="00BC1BDC">
          <w:rPr>
            <w:rStyle w:val="Hyperlink"/>
            <w:szCs w:val="22"/>
            <w:lang w:val="en-GB"/>
          </w:rPr>
          <w:t>Turkmenistan</w:t>
        </w:r>
      </w:hyperlink>
      <w:r w:rsidRPr="00C76672">
        <w:rPr>
          <w:szCs w:val="22"/>
          <w:lang w:val="en-GB"/>
        </w:rPr>
        <w:t xml:space="preserve"> </w:t>
      </w:r>
      <w:r>
        <w:rPr>
          <w:rFonts w:eastAsia="Times New Roman"/>
          <w:bCs/>
          <w:szCs w:val="22"/>
          <w:lang w:val="en-GB" w:eastAsia="en-GB"/>
        </w:rPr>
        <w:t>(Adopted in April 2015)</w:t>
      </w:r>
      <w:r w:rsidRPr="00C76672">
        <w:rPr>
          <w:szCs w:val="22"/>
          <w:lang w:val="en-GB"/>
        </w:rPr>
        <w:t xml:space="preserve">, </w:t>
      </w:r>
      <w:hyperlink w:anchor="UGA28" w:history="1">
        <w:r w:rsidRPr="00BC1BDC">
          <w:rPr>
            <w:rStyle w:val="Hyperlink"/>
            <w:lang w:val="en-GB"/>
          </w:rPr>
          <w:t>Uganda</w:t>
        </w:r>
      </w:hyperlink>
      <w:r>
        <w:rPr>
          <w:lang w:val="en-GB"/>
        </w:rPr>
        <w:t xml:space="preserve"> </w:t>
      </w:r>
      <w:r>
        <w:rPr>
          <w:rFonts w:eastAsia="Times New Roman"/>
          <w:szCs w:val="22"/>
          <w:lang w:val="en-GB" w:eastAsia="en-GB"/>
        </w:rPr>
        <w:t>(Adopted in April 2016)</w:t>
      </w:r>
      <w:r w:rsidRPr="00680837">
        <w:rPr>
          <w:lang w:val="en-GB"/>
        </w:rPr>
        <w:t xml:space="preserve">, </w:t>
      </w:r>
      <w:hyperlink w:anchor="_Ukraine_(CRPD/C/UKR/CO/1)_5" w:history="1">
        <w:r w:rsidRPr="00BC1BDC">
          <w:rPr>
            <w:rStyle w:val="Hyperlink"/>
            <w:lang w:val="en-GB"/>
          </w:rPr>
          <w:t>Ukraine</w:t>
        </w:r>
      </w:hyperlink>
      <w:r>
        <w:rPr>
          <w:lang w:val="en-GB"/>
        </w:rPr>
        <w:t xml:space="preserve"> </w:t>
      </w:r>
      <w:r>
        <w:rPr>
          <w:rFonts w:eastAsia="Times New Roman"/>
          <w:szCs w:val="22"/>
          <w:lang w:val="en-GB" w:eastAsia="en-GB"/>
        </w:rPr>
        <w:t>(Adopted in September 2015)</w:t>
      </w:r>
      <w:r>
        <w:rPr>
          <w:lang w:val="en-GB"/>
        </w:rPr>
        <w:t xml:space="preserve">, </w:t>
      </w:r>
      <w:hyperlink w:anchor="ARE28" w:history="1">
        <w:r w:rsidRPr="00BC1BDC">
          <w:rPr>
            <w:rStyle w:val="Hyperlink"/>
            <w:lang w:val="en-GB"/>
          </w:rPr>
          <w:t>United Arab Emirates</w:t>
        </w:r>
      </w:hyperlink>
      <w:r>
        <w:rPr>
          <w:lang w:val="en-GB"/>
        </w:rPr>
        <w:t xml:space="preserve"> (</w:t>
      </w:r>
      <w:r>
        <w:rPr>
          <w:rFonts w:eastAsia="Times New Roman"/>
          <w:szCs w:val="22"/>
          <w:lang w:val="en-GB" w:eastAsia="en-GB"/>
        </w:rPr>
        <w:t>Adopted in September 2016)</w:t>
      </w:r>
      <w:r w:rsidRPr="00680837">
        <w:rPr>
          <w:lang w:val="en-GB"/>
        </w:rPr>
        <w:t xml:space="preserve">, </w:t>
      </w:r>
      <w:hyperlink w:anchor="URY28" w:history="1">
        <w:r w:rsidRPr="00BC1BDC">
          <w:rPr>
            <w:rStyle w:val="Hyperlink"/>
            <w:lang w:val="en-GB"/>
          </w:rPr>
          <w:t>Uruguay</w:t>
        </w:r>
      </w:hyperlink>
      <w:r>
        <w:rPr>
          <w:lang w:val="en-GB"/>
        </w:rPr>
        <w:t xml:space="preserve"> </w:t>
      </w:r>
      <w:r>
        <w:rPr>
          <w:rFonts w:eastAsia="Times New Roman"/>
          <w:szCs w:val="22"/>
          <w:lang w:val="en-GB" w:eastAsia="en-GB"/>
        </w:rPr>
        <w:t>(Adopted in September 2016)</w:t>
      </w:r>
      <w:r>
        <w:rPr>
          <w:lang w:val="en-GB"/>
        </w:rPr>
        <w:t>.</w:t>
      </w:r>
      <w:r w:rsidRPr="00680837">
        <w:rPr>
          <w:lang w:val="en-GB"/>
        </w:rPr>
        <w:t xml:space="preserve"> </w:t>
      </w:r>
    </w:p>
    <w:p w14:paraId="423A1054" w14:textId="5D3DA2F5" w:rsidR="008A2C80" w:rsidRPr="00680837" w:rsidRDefault="008A2C80" w:rsidP="008A2C80">
      <w:pPr>
        <w:ind w:left="567" w:right="-52" w:hanging="567"/>
        <w:jc w:val="left"/>
        <w:rPr>
          <w:lang w:val="en-GB"/>
        </w:rPr>
      </w:pPr>
      <w:r w:rsidRPr="00680837">
        <w:rPr>
          <w:lang w:val="en-GB"/>
        </w:rPr>
        <w:t xml:space="preserve">Cullinan, J.; Gannon, B. and Lyons, S. 2011. </w:t>
      </w:r>
      <w:hyperlink r:id="rId28" w:history="1">
        <w:r w:rsidRPr="00BC1BDC">
          <w:rPr>
            <w:rStyle w:val="Hyperlink"/>
            <w:i/>
            <w:lang w:val="en-GB"/>
          </w:rPr>
          <w:t>Estimating the extra cost of living for people with disabilities</w:t>
        </w:r>
      </w:hyperlink>
      <w:r w:rsidRPr="00680837">
        <w:rPr>
          <w:lang w:val="en-GB"/>
        </w:rPr>
        <w:t xml:space="preserve">. </w:t>
      </w:r>
      <w:r w:rsidRPr="00BC1BDC">
        <w:rPr>
          <w:lang w:val="en-GB"/>
        </w:rPr>
        <w:t>Health Economics</w:t>
      </w:r>
      <w:r w:rsidR="00756A89">
        <w:rPr>
          <w:lang w:val="en-GB"/>
        </w:rPr>
        <w:t>,</w:t>
      </w:r>
      <w:r w:rsidRPr="00680837">
        <w:rPr>
          <w:lang w:val="en-GB"/>
        </w:rPr>
        <w:t xml:space="preserve"> 20.5: 582-599. Available at: </w:t>
      </w:r>
      <w:hyperlink r:id="rId29" w:history="1">
        <w:r w:rsidRPr="00680837">
          <w:rPr>
            <w:rStyle w:val="Hyperlink"/>
            <w:lang w:val="en-GB"/>
          </w:rPr>
          <w:t>https://dx.doi.org/10.1002/hec.1619</w:t>
        </w:r>
      </w:hyperlink>
      <w:r w:rsidRPr="00680837">
        <w:rPr>
          <w:lang w:val="en-GB"/>
        </w:rPr>
        <w:t>. [24 February 2017]</w:t>
      </w:r>
    </w:p>
    <w:p w14:paraId="48914141" w14:textId="63AC1F67" w:rsidR="008A2C80" w:rsidRPr="00680837" w:rsidRDefault="008A2C80" w:rsidP="008A2C80">
      <w:pPr>
        <w:ind w:left="567" w:right="-52" w:hanging="567"/>
        <w:jc w:val="left"/>
        <w:rPr>
          <w:lang w:val="en-GB"/>
        </w:rPr>
      </w:pPr>
      <w:r w:rsidRPr="00680837">
        <w:rPr>
          <w:lang w:val="en-GB"/>
        </w:rPr>
        <w:t xml:space="preserve">Cullinan, J.; Gannon, B. and O’Shea, E. 2013. </w:t>
      </w:r>
      <w:hyperlink r:id="rId30" w:history="1">
        <w:r w:rsidRPr="00BC1BDC">
          <w:rPr>
            <w:rStyle w:val="Hyperlink"/>
            <w:i/>
            <w:lang w:val="en-GB"/>
          </w:rPr>
          <w:t>The welfare implications of disability for older people in Ireland</w:t>
        </w:r>
      </w:hyperlink>
      <w:r w:rsidRPr="00680837">
        <w:rPr>
          <w:lang w:val="en-GB"/>
        </w:rPr>
        <w:t xml:space="preserve">. </w:t>
      </w:r>
      <w:r w:rsidRPr="00BC1BDC">
        <w:rPr>
          <w:lang w:val="en-GB"/>
        </w:rPr>
        <w:t>The European Journal of Health Economics</w:t>
      </w:r>
      <w:r w:rsidR="00756A89">
        <w:rPr>
          <w:lang w:val="en-GB"/>
        </w:rPr>
        <w:t>,</w:t>
      </w:r>
      <w:r w:rsidRPr="00680837">
        <w:rPr>
          <w:lang w:val="en-GB"/>
        </w:rPr>
        <w:t xml:space="preserve"> 14.2: 171-183. Available at: </w:t>
      </w:r>
      <w:hyperlink r:id="rId31" w:history="1">
        <w:r w:rsidRPr="00680837">
          <w:rPr>
            <w:rStyle w:val="Hyperlink"/>
            <w:lang w:val="en-GB"/>
          </w:rPr>
          <w:t>https://dx.doi.org/10.1007/s10198-011-0357-4</w:t>
        </w:r>
      </w:hyperlink>
      <w:r w:rsidRPr="00680837">
        <w:rPr>
          <w:lang w:val="en-GB"/>
        </w:rPr>
        <w:t>. [24 February 2017]</w:t>
      </w:r>
    </w:p>
    <w:p w14:paraId="0781332F" w14:textId="7AB4C1A5" w:rsidR="008A2C80" w:rsidRPr="00680837" w:rsidRDefault="008A2C80" w:rsidP="008A2C80">
      <w:pPr>
        <w:ind w:left="567" w:hanging="567"/>
        <w:rPr>
          <w:color w:val="000000" w:themeColor="text1"/>
          <w:lang w:val="en-GB"/>
        </w:rPr>
      </w:pPr>
      <w:r w:rsidRPr="00680837">
        <w:rPr>
          <w:color w:val="000000" w:themeColor="text1"/>
          <w:lang w:val="en-GB"/>
        </w:rPr>
        <w:t>Eurochild</w:t>
      </w:r>
      <w:r w:rsidR="00756A89">
        <w:rPr>
          <w:color w:val="000000" w:themeColor="text1"/>
          <w:lang w:val="en-GB"/>
        </w:rPr>
        <w:t>.</w:t>
      </w:r>
      <w:r w:rsidRPr="00BC1BDC">
        <w:rPr>
          <w:color w:val="000000" w:themeColor="text1"/>
          <w:lang w:val="en-GB"/>
        </w:rPr>
        <w:t xml:space="preserve"> 2014</w:t>
      </w:r>
      <w:r w:rsidR="00756A89">
        <w:rPr>
          <w:color w:val="000000" w:themeColor="text1"/>
          <w:lang w:val="en-GB"/>
        </w:rPr>
        <w:t>.</w:t>
      </w:r>
      <w:r w:rsidRPr="00BC1BDC">
        <w:rPr>
          <w:color w:val="000000" w:themeColor="text1"/>
          <w:lang w:val="en-GB"/>
        </w:rPr>
        <w:t xml:space="preserve"> </w:t>
      </w:r>
      <w:hyperlink r:id="rId32" w:history="1">
        <w:r w:rsidRPr="00BC1BDC">
          <w:rPr>
            <w:rStyle w:val="Hyperlink"/>
            <w:lang w:val="en-GB"/>
          </w:rPr>
          <w:t>Deinstitutionalisation and quality alternative care for children in Europe</w:t>
        </w:r>
      </w:hyperlink>
      <w:r w:rsidR="00756A89">
        <w:rPr>
          <w:color w:val="000000" w:themeColor="text1"/>
          <w:lang w:val="en-GB"/>
        </w:rPr>
        <w:t>.</w:t>
      </w:r>
      <w:r w:rsidRPr="00680837">
        <w:rPr>
          <w:color w:val="000000" w:themeColor="text1"/>
          <w:lang w:val="en-GB"/>
        </w:rPr>
        <w:t xml:space="preserve"> </w:t>
      </w:r>
      <w:r w:rsidR="00756A89">
        <w:rPr>
          <w:color w:val="000000" w:themeColor="text1"/>
          <w:lang w:val="en-GB"/>
        </w:rPr>
        <w:t xml:space="preserve">Available at: </w:t>
      </w:r>
      <w:hyperlink r:id="rId33" w:history="1">
        <w:r w:rsidR="00756A89" w:rsidRPr="00AF6EF6">
          <w:rPr>
            <w:rStyle w:val="Hyperlink"/>
          </w:rPr>
          <w:t>http://www.eurochild.org/fileadmin/public/05_Library/Thematic_priorities/06_Children_in_Alternative_Care/Eurochild/DI_Lessons_Learned_web_use.pdf</w:t>
        </w:r>
      </w:hyperlink>
      <w:r w:rsidR="00051CBB">
        <w:rPr>
          <w:rStyle w:val="Hyperlink"/>
        </w:rPr>
        <w:t>.</w:t>
      </w:r>
      <w:r w:rsidRPr="00680837">
        <w:rPr>
          <w:color w:val="000000" w:themeColor="text1"/>
          <w:lang w:val="en-GB"/>
        </w:rPr>
        <w:t xml:space="preserve"> [24 May 2017]</w:t>
      </w:r>
    </w:p>
    <w:p w14:paraId="02953A04" w14:textId="77777777" w:rsidR="008A2C80" w:rsidRPr="00680837" w:rsidRDefault="008A2C80" w:rsidP="008A2C80">
      <w:pPr>
        <w:ind w:left="567" w:right="-52" w:hanging="567"/>
        <w:jc w:val="left"/>
        <w:rPr>
          <w:lang w:val="en-GB"/>
        </w:rPr>
      </w:pPr>
      <w:r w:rsidRPr="00680837">
        <w:rPr>
          <w:lang w:val="en-GB"/>
        </w:rPr>
        <w:t xml:space="preserve">European Union Agency for Fundamental Rights. </w:t>
      </w:r>
      <w:r w:rsidRPr="00F740BE">
        <w:rPr>
          <w:lang w:val="en-GB"/>
        </w:rPr>
        <w:t>2014</w:t>
      </w:r>
      <w:r w:rsidRPr="00BC1BDC">
        <w:rPr>
          <w:lang w:val="en-GB"/>
        </w:rPr>
        <w:t xml:space="preserve">. </w:t>
      </w:r>
      <w:hyperlink r:id="rId34" w:history="1">
        <w:r w:rsidRPr="00BC1BDC">
          <w:rPr>
            <w:rStyle w:val="Hyperlink"/>
            <w:i/>
            <w:lang w:val="en-GB"/>
          </w:rPr>
          <w:t>Violence against women: an EU-wide survey</w:t>
        </w:r>
      </w:hyperlink>
      <w:r w:rsidRPr="002371FB">
        <w:rPr>
          <w:lang w:val="en-GB"/>
        </w:rPr>
        <w:t>.</w:t>
      </w:r>
      <w:r w:rsidRPr="00680837">
        <w:rPr>
          <w:lang w:val="en-GB"/>
        </w:rPr>
        <w:t xml:space="preserve"> </w:t>
      </w:r>
      <w:r w:rsidRPr="002371FB">
        <w:rPr>
          <w:lang w:val="en-GB"/>
        </w:rPr>
        <w:t>Available a</w:t>
      </w:r>
      <w:r w:rsidRPr="00395830">
        <w:rPr>
          <w:lang w:val="en-GB"/>
        </w:rPr>
        <w:t>t</w:t>
      </w:r>
      <w:r w:rsidRPr="002371FB">
        <w:rPr>
          <w:lang w:val="en-GB"/>
        </w:rPr>
        <w:t xml:space="preserve">: </w:t>
      </w:r>
      <w:r w:rsidRPr="00BC1BDC">
        <w:rPr>
          <w:rStyle w:val="Hyperlink"/>
          <w:lang w:val="en-GB"/>
        </w:rPr>
        <w:t>http://unesdoc.unesco.org/images/0023/002348/234809E.pdf</w:t>
      </w:r>
      <w:r w:rsidRPr="002371FB">
        <w:rPr>
          <w:lang w:val="en-GB"/>
        </w:rPr>
        <w:t xml:space="preserve">. </w:t>
      </w:r>
      <w:r w:rsidRPr="00680837">
        <w:rPr>
          <w:lang w:val="en-GB"/>
        </w:rPr>
        <w:t>[24 February 2017]</w:t>
      </w:r>
    </w:p>
    <w:p w14:paraId="31DF57D0" w14:textId="77777777" w:rsidR="008A2C80" w:rsidRPr="00680837" w:rsidRDefault="008A2C80" w:rsidP="008A2C80">
      <w:pPr>
        <w:ind w:left="567" w:right="-52" w:hanging="567"/>
        <w:jc w:val="left"/>
        <w:rPr>
          <w:lang w:val="en-GB"/>
        </w:rPr>
      </w:pPr>
      <w:r w:rsidRPr="00680837">
        <w:rPr>
          <w:lang w:val="en-GB"/>
        </w:rPr>
        <w:t xml:space="preserve">Groce, N.; Kembhavi, G.; Wirz, S.; Lang, R.; Trani, J.F.; and Kett, M. 2011. </w:t>
      </w:r>
      <w:hyperlink r:id="rId35" w:history="1">
        <w:r w:rsidRPr="00BC1BDC">
          <w:rPr>
            <w:rStyle w:val="Hyperlink"/>
            <w:i/>
            <w:lang w:val="en-GB"/>
          </w:rPr>
          <w:t>Poverty and disability — a critical review of the literature in low and middle-income countries</w:t>
        </w:r>
      </w:hyperlink>
      <w:r w:rsidRPr="00680837">
        <w:rPr>
          <w:lang w:val="en-GB"/>
        </w:rPr>
        <w:t xml:space="preserve">. Leonard Cheshire Disability and Inclusive Development Centre working paper series no. 16. Available at: </w:t>
      </w:r>
      <w:hyperlink r:id="rId36" w:history="1">
        <w:r w:rsidRPr="00680837">
          <w:rPr>
            <w:rStyle w:val="Hyperlink"/>
            <w:lang w:val="en-GB"/>
          </w:rPr>
          <w:t>http://www.ucl.ac.uk/leonard-cheshire-research/research/publications/documents/working-papers/wp-16.pdf</w:t>
        </w:r>
      </w:hyperlink>
      <w:r w:rsidRPr="00680837">
        <w:rPr>
          <w:lang w:val="en-GB"/>
        </w:rPr>
        <w:t>. [24 February 2017]</w:t>
      </w:r>
    </w:p>
    <w:p w14:paraId="60388E6B" w14:textId="77777777" w:rsidR="008A2C80" w:rsidRPr="00680837" w:rsidRDefault="008A2C80" w:rsidP="008A2C80">
      <w:pPr>
        <w:ind w:left="567" w:right="-52" w:hanging="567"/>
        <w:jc w:val="left"/>
        <w:rPr>
          <w:lang w:val="en-GB"/>
        </w:rPr>
      </w:pPr>
      <w:r w:rsidRPr="00680837">
        <w:rPr>
          <w:lang w:val="en-GB"/>
        </w:rPr>
        <w:t xml:space="preserve">Hanass-Hancock, J. and Deghaye, N. 2015. </w:t>
      </w:r>
      <w:hyperlink r:id="rId37" w:history="1">
        <w:r w:rsidRPr="00BC1BDC">
          <w:rPr>
            <w:rStyle w:val="Hyperlink"/>
            <w:i/>
            <w:lang w:val="en-GB"/>
          </w:rPr>
          <w:t>Elements of the financial and economic costs of disability to households in South Africa</w:t>
        </w:r>
      </w:hyperlink>
      <w:r w:rsidRPr="00680837">
        <w:rPr>
          <w:lang w:val="en-GB"/>
        </w:rPr>
        <w:t>. Technical Report of the Department of Social Development, South Africa.</w:t>
      </w:r>
    </w:p>
    <w:p w14:paraId="74BC9721" w14:textId="77777777" w:rsidR="008A2C80" w:rsidRPr="00680837" w:rsidRDefault="008A2C80" w:rsidP="008A2C80">
      <w:pPr>
        <w:ind w:left="567" w:right="-52" w:hanging="567"/>
        <w:jc w:val="left"/>
        <w:rPr>
          <w:lang w:val="en-GB"/>
        </w:rPr>
      </w:pPr>
      <w:r w:rsidRPr="00680837">
        <w:rPr>
          <w:lang w:val="en-GB"/>
        </w:rPr>
        <w:t xml:space="preserve">Handicap International. 2015. </w:t>
      </w:r>
      <w:hyperlink r:id="rId38" w:history="1">
        <w:r w:rsidRPr="00BC1BDC">
          <w:rPr>
            <w:rStyle w:val="Hyperlink"/>
            <w:lang w:val="en-GB"/>
          </w:rPr>
          <w:t>Disability in humanitarian context: Views from affected people and field organisations</w:t>
        </w:r>
      </w:hyperlink>
      <w:r w:rsidRPr="00680837">
        <w:rPr>
          <w:lang w:val="en-GB"/>
        </w:rPr>
        <w:t xml:space="preserve">. Available at: </w:t>
      </w:r>
      <w:hyperlink r:id="rId39" w:history="1">
        <w:r w:rsidRPr="00680837">
          <w:rPr>
            <w:rStyle w:val="Hyperlink"/>
            <w:lang w:val="en-GB"/>
          </w:rPr>
          <w:t>http://www.handicap-international.org/fileadmin/2015Disabilityinhumanitariancontext.pdf</w:t>
        </w:r>
      </w:hyperlink>
      <w:r w:rsidRPr="00680837">
        <w:rPr>
          <w:lang w:val="en-GB"/>
        </w:rPr>
        <w:t>. [5 April 2017]</w:t>
      </w:r>
    </w:p>
    <w:p w14:paraId="01FEBB49" w14:textId="5EE3326C" w:rsidR="008A2C80" w:rsidRPr="00680837" w:rsidRDefault="008A2C80" w:rsidP="008A2C80">
      <w:pPr>
        <w:ind w:left="567" w:right="-52" w:hanging="567"/>
        <w:jc w:val="left"/>
        <w:rPr>
          <w:rStyle w:val="HTMLCite"/>
          <w:i w:val="0"/>
          <w:lang w:val="en-GB"/>
        </w:rPr>
      </w:pPr>
      <w:r w:rsidRPr="00680837">
        <w:rPr>
          <w:lang w:val="en-GB"/>
        </w:rPr>
        <w:t xml:space="preserve">Handicap International and HelpAge International. 2014. </w:t>
      </w:r>
      <w:hyperlink r:id="rId40" w:history="1">
        <w:r w:rsidRPr="00BC1BDC">
          <w:rPr>
            <w:rStyle w:val="Hyperlink"/>
            <w:i/>
            <w:lang w:val="en-GB"/>
          </w:rPr>
          <w:t>Hidden victims of the Syrian crisis: disabled, injured and older people</w:t>
        </w:r>
      </w:hyperlink>
      <w:r w:rsidRPr="00680837">
        <w:rPr>
          <w:lang w:val="en-GB"/>
        </w:rPr>
        <w:t xml:space="preserve">. Available at: </w:t>
      </w:r>
      <w:hyperlink r:id="rId41" w:history="1">
        <w:r w:rsidR="008E4053" w:rsidRPr="008E4053">
          <w:rPr>
            <w:rStyle w:val="Hyperlink"/>
            <w:lang w:val="en-GB"/>
          </w:rPr>
          <w:t>http://data.unhcr.org/syrianrefugees/download.php?id=5812</w:t>
        </w:r>
      </w:hyperlink>
      <w:r w:rsidRPr="00680837">
        <w:rPr>
          <w:rStyle w:val="HTMLCite"/>
          <w:i w:val="0"/>
          <w:lang w:val="en-GB"/>
        </w:rPr>
        <w:t>. [</w:t>
      </w:r>
      <w:r w:rsidR="008E4053">
        <w:rPr>
          <w:rStyle w:val="HTMLCite"/>
          <w:i w:val="0"/>
          <w:lang w:val="en-GB"/>
        </w:rPr>
        <w:t>23 January</w:t>
      </w:r>
      <w:r w:rsidRPr="00680837">
        <w:rPr>
          <w:rStyle w:val="HTMLCite"/>
          <w:i w:val="0"/>
          <w:lang w:val="en-GB"/>
        </w:rPr>
        <w:t xml:space="preserve"> </w:t>
      </w:r>
      <w:r w:rsidR="008E4053" w:rsidRPr="00680837">
        <w:rPr>
          <w:rStyle w:val="HTMLCite"/>
          <w:i w:val="0"/>
          <w:lang w:val="en-GB"/>
        </w:rPr>
        <w:t>201</w:t>
      </w:r>
      <w:r w:rsidR="008E4053">
        <w:rPr>
          <w:rStyle w:val="HTMLCite"/>
          <w:i w:val="0"/>
          <w:lang w:val="en-GB"/>
        </w:rPr>
        <w:t>8</w:t>
      </w:r>
      <w:r w:rsidRPr="00680837">
        <w:rPr>
          <w:rStyle w:val="HTMLCite"/>
          <w:i w:val="0"/>
          <w:lang w:val="en-GB"/>
        </w:rPr>
        <w:t>]</w:t>
      </w:r>
    </w:p>
    <w:p w14:paraId="2463A162" w14:textId="2DB36CE9" w:rsidR="008A2C80" w:rsidRDefault="008A2C80" w:rsidP="008A2C80">
      <w:pPr>
        <w:ind w:left="567" w:right="-52" w:hanging="567"/>
        <w:jc w:val="left"/>
        <w:rPr>
          <w:lang w:val="en-GB"/>
        </w:rPr>
      </w:pPr>
      <w:r w:rsidRPr="00680837">
        <w:rPr>
          <w:lang w:val="en-GB"/>
        </w:rPr>
        <w:t xml:space="preserve">Hughes, K.; Bellis, M.A.; Jones, L.; Wood, S.; Bates, G.; Eckley, L; McCoy, E.; Mikton, C.; Shakespeare, T.; and Officer, A. 2012. </w:t>
      </w:r>
      <w:hyperlink r:id="rId42" w:history="1">
        <w:r w:rsidRPr="00BC1BDC">
          <w:rPr>
            <w:rStyle w:val="Hyperlink"/>
            <w:i/>
            <w:lang w:val="en-GB"/>
          </w:rPr>
          <w:t>Prevalence and risk of violence against adults with disabilities: a systematic review and meta-analysis of observational studies</w:t>
        </w:r>
      </w:hyperlink>
      <w:r w:rsidR="005007C7">
        <w:rPr>
          <w:lang w:val="en-GB"/>
        </w:rPr>
        <w:t>.</w:t>
      </w:r>
      <w:r w:rsidR="00FC625B">
        <w:rPr>
          <w:lang w:val="en-GB"/>
        </w:rPr>
        <w:t xml:space="preserve"> </w:t>
      </w:r>
      <w:r w:rsidR="006C31B4" w:rsidRPr="00AF6EF6">
        <w:rPr>
          <w:lang w:val="en-GB"/>
        </w:rPr>
        <w:t>The Lancet</w:t>
      </w:r>
      <w:r w:rsidRPr="00680837">
        <w:rPr>
          <w:lang w:val="en-GB"/>
        </w:rPr>
        <w:t xml:space="preserve">, Vol. 379, No. 9826, pp.1621–1629. Available at: </w:t>
      </w:r>
      <w:hyperlink r:id="rId43" w:history="1">
        <w:r w:rsidRPr="00680837">
          <w:rPr>
            <w:rStyle w:val="Hyperlink"/>
            <w:lang w:val="en-GB"/>
          </w:rPr>
          <w:t>http://dx.doi.org/10.1016/S0140-6736(11)61851-5</w:t>
        </w:r>
      </w:hyperlink>
      <w:r w:rsidRPr="00680837">
        <w:rPr>
          <w:lang w:val="en-GB"/>
        </w:rPr>
        <w:t>. [24 February 2017]</w:t>
      </w:r>
    </w:p>
    <w:p w14:paraId="050CD4A1" w14:textId="7A340002" w:rsidR="00E307E2" w:rsidRDefault="00E307E2" w:rsidP="008A2C80">
      <w:pPr>
        <w:ind w:left="567" w:right="-52" w:hanging="567"/>
        <w:jc w:val="left"/>
        <w:rPr>
          <w:lang w:val="en-GB"/>
        </w:rPr>
      </w:pPr>
      <w:r w:rsidRPr="00E307E2">
        <w:rPr>
          <w:lang w:val="en-GB"/>
        </w:rPr>
        <w:t>Inter Agency Social Protection Assessments</w:t>
      </w:r>
      <w:r w:rsidR="00AF24C3">
        <w:rPr>
          <w:lang w:val="en-GB"/>
        </w:rPr>
        <w:t xml:space="preserve"> (ISPA)</w:t>
      </w:r>
      <w:r>
        <w:rPr>
          <w:lang w:val="en-GB"/>
        </w:rPr>
        <w:t>.</w:t>
      </w:r>
      <w:r w:rsidR="00AD3DEF">
        <w:rPr>
          <w:lang w:val="en-GB"/>
        </w:rPr>
        <w:t xml:space="preserve"> 2016.</w:t>
      </w:r>
      <w:r>
        <w:rPr>
          <w:lang w:val="en-GB"/>
        </w:rPr>
        <w:t xml:space="preserve"> </w:t>
      </w:r>
      <w:r w:rsidR="00AD2F7E">
        <w:rPr>
          <w:i/>
          <w:lang w:val="en-GB"/>
        </w:rPr>
        <w:t>Core diagnostic instrument (CODI)</w:t>
      </w:r>
      <w:r w:rsidR="00AF24C3">
        <w:rPr>
          <w:lang w:val="en-GB"/>
        </w:rPr>
        <w:t xml:space="preserve">. </w:t>
      </w:r>
      <w:r>
        <w:rPr>
          <w:lang w:val="en-GB"/>
        </w:rPr>
        <w:t xml:space="preserve">Available at: </w:t>
      </w:r>
      <w:r w:rsidR="00AD2F7E" w:rsidRPr="00AD2F7E">
        <w:rPr>
          <w:lang w:val="en-GB"/>
        </w:rPr>
        <w:t>http://ispatools.org/wp-content/uploads/2016/02/CODIWhatMatters.pdf</w:t>
      </w:r>
      <w:r>
        <w:rPr>
          <w:lang w:val="en-GB"/>
        </w:rPr>
        <w:t>. [23 January 2018]</w:t>
      </w:r>
    </w:p>
    <w:p w14:paraId="6E77304F" w14:textId="13234957" w:rsidR="008E4053" w:rsidRDefault="008E4053" w:rsidP="008A2C80">
      <w:pPr>
        <w:ind w:left="567" w:right="-52" w:hanging="567"/>
        <w:jc w:val="left"/>
        <w:rPr>
          <w:lang w:val="en-GB"/>
        </w:rPr>
      </w:pPr>
      <w:r w:rsidRPr="008E4053">
        <w:rPr>
          <w:lang w:val="en-GB"/>
        </w:rPr>
        <w:t>International Disability and Development Consortium</w:t>
      </w:r>
      <w:r>
        <w:rPr>
          <w:lang w:val="en-GB"/>
        </w:rPr>
        <w:t xml:space="preserve">. 2008. </w:t>
      </w:r>
      <w:hyperlink r:id="rId44" w:history="1">
        <w:r w:rsidRPr="00AF6EF6">
          <w:rPr>
            <w:rStyle w:val="Hyperlink"/>
            <w:i/>
            <w:lang w:val="en-GB"/>
          </w:rPr>
          <w:t>Inclusive education in emergencies – Access to quality educational activities for children with disabilities in conflict and emergency situations</w:t>
        </w:r>
      </w:hyperlink>
      <w:r>
        <w:rPr>
          <w:lang w:val="en-GB"/>
        </w:rPr>
        <w:t xml:space="preserve">. Available at: </w:t>
      </w:r>
      <w:hyperlink r:id="rId45" w:history="1">
        <w:r>
          <w:rPr>
            <w:rStyle w:val="Hyperlink"/>
          </w:rPr>
          <w:t>https://iddcconsortium.net/sites/default/files/resources-tools/files/inclusive_education_in_emergencies_august_18th_2008.pdf</w:t>
        </w:r>
      </w:hyperlink>
      <w:r>
        <w:t>.</w:t>
      </w:r>
      <w:r w:rsidR="000D525A">
        <w:t xml:space="preserve"> [23 January 2018]</w:t>
      </w:r>
    </w:p>
    <w:p w14:paraId="1D32F97C" w14:textId="575C9082" w:rsidR="008A2C80" w:rsidRPr="00680837" w:rsidRDefault="008A2C80" w:rsidP="008A2C80">
      <w:pPr>
        <w:ind w:left="567" w:right="-52" w:hanging="567"/>
        <w:jc w:val="left"/>
        <w:rPr>
          <w:lang w:val="en-GB"/>
        </w:rPr>
      </w:pPr>
      <w:r w:rsidRPr="00680837">
        <w:rPr>
          <w:lang w:val="en-GB"/>
        </w:rPr>
        <w:t xml:space="preserve">International Labour Organization (ILO). 2014. </w:t>
      </w:r>
      <w:hyperlink r:id="rId46" w:history="1">
        <w:r w:rsidRPr="00BC1BDC">
          <w:rPr>
            <w:rStyle w:val="Hyperlink"/>
            <w:i/>
            <w:lang w:val="en-GB"/>
          </w:rPr>
          <w:t>World social protection report 2014/15: Building economic recovery, inclusive development and social justice</w:t>
        </w:r>
      </w:hyperlink>
      <w:r w:rsidR="00ED2A53">
        <w:rPr>
          <w:rStyle w:val="Hyperlink"/>
          <w:i/>
          <w:lang w:val="en-GB"/>
        </w:rPr>
        <w:t>,</w:t>
      </w:r>
      <w:r w:rsidRPr="00680837">
        <w:rPr>
          <w:lang w:val="en-GB"/>
        </w:rPr>
        <w:t xml:space="preserve"> (Geneva). Available at: </w:t>
      </w:r>
      <w:hyperlink r:id="rId47" w:history="1">
        <w:r w:rsidRPr="00680837">
          <w:rPr>
            <w:rStyle w:val="Hyperlink"/>
            <w:lang w:val="en-GB"/>
          </w:rPr>
          <w:t>http://www.ilo.ch/wcmsp5/groups/public/---dgreports/---dcomm/documents/publication/wcms_245201.pdf</w:t>
        </w:r>
      </w:hyperlink>
      <w:r w:rsidRPr="00680837">
        <w:rPr>
          <w:lang w:val="en-GB"/>
        </w:rPr>
        <w:t>. [24 February 2017]</w:t>
      </w:r>
    </w:p>
    <w:p w14:paraId="4799BC19" w14:textId="514136DC" w:rsidR="008A2C80" w:rsidRPr="00680837" w:rsidRDefault="008A2C80" w:rsidP="008A2C80">
      <w:pPr>
        <w:ind w:left="567" w:right="-52" w:hanging="567"/>
        <w:jc w:val="left"/>
        <w:rPr>
          <w:lang w:val="en-GB"/>
        </w:rPr>
      </w:pPr>
      <w:r w:rsidRPr="00680837">
        <w:rPr>
          <w:lang w:val="en-GB"/>
        </w:rPr>
        <w:t xml:space="preserve">—. 2016. </w:t>
      </w:r>
      <w:hyperlink r:id="rId48" w:history="1">
        <w:r w:rsidRPr="00BC1BDC">
          <w:rPr>
            <w:rStyle w:val="Hyperlink"/>
            <w:i/>
            <w:lang w:val="en-GB"/>
          </w:rPr>
          <w:t>Social protection assessment-based national dialogue: a global guide</w:t>
        </w:r>
      </w:hyperlink>
      <w:r w:rsidRPr="00680837">
        <w:rPr>
          <w:lang w:val="en-GB"/>
        </w:rPr>
        <w:t xml:space="preserve"> (Geneva). Available at: </w:t>
      </w:r>
      <w:hyperlink r:id="rId49" w:history="1">
        <w:r w:rsidRPr="00680837">
          <w:rPr>
            <w:rStyle w:val="Hyperlink"/>
            <w:lang w:val="en-GB"/>
          </w:rPr>
          <w:t>http://www.socialsecurityextension.org/gimi/gess/RessourcePDF.action?ressource.ressourceId=53462</w:t>
        </w:r>
      </w:hyperlink>
      <w:r w:rsidRPr="00680837">
        <w:rPr>
          <w:lang w:val="en-GB"/>
        </w:rPr>
        <w:t>. [24 February 2017]</w:t>
      </w:r>
    </w:p>
    <w:p w14:paraId="6FD1F1CE" w14:textId="3AD36E23" w:rsidR="008A2C80" w:rsidRPr="00680837" w:rsidRDefault="008A2C80" w:rsidP="008A2C80">
      <w:pPr>
        <w:ind w:left="567" w:right="-52" w:hanging="567"/>
        <w:jc w:val="left"/>
        <w:rPr>
          <w:lang w:val="en-GB"/>
        </w:rPr>
      </w:pPr>
      <w:r w:rsidRPr="00680837">
        <w:rPr>
          <w:lang w:val="en-GB"/>
        </w:rPr>
        <w:t>—. 2017</w:t>
      </w:r>
      <w:r w:rsidR="00AD3DEF">
        <w:rPr>
          <w:lang w:val="en-GB"/>
        </w:rPr>
        <w:t>a</w:t>
      </w:r>
      <w:r w:rsidRPr="00680837">
        <w:rPr>
          <w:lang w:val="en-GB"/>
        </w:rPr>
        <w:t xml:space="preserve">. </w:t>
      </w:r>
      <w:hyperlink r:id="rId50" w:history="1">
        <w:r w:rsidRPr="003B5B01">
          <w:rPr>
            <w:rStyle w:val="Hyperlink"/>
            <w:i/>
            <w:lang w:val="en-GB"/>
          </w:rPr>
          <w:t>Building social protection systems: International standards and human rights instruments</w:t>
        </w:r>
      </w:hyperlink>
      <w:r w:rsidR="00ED2A53">
        <w:rPr>
          <w:rStyle w:val="Hyperlink"/>
          <w:i/>
          <w:lang w:val="en-GB"/>
        </w:rPr>
        <w:t>,</w:t>
      </w:r>
      <w:r w:rsidRPr="00680837">
        <w:rPr>
          <w:lang w:val="en-GB"/>
        </w:rPr>
        <w:t xml:space="preserve"> (Geneva).</w:t>
      </w:r>
      <w:r w:rsidR="003B5B01">
        <w:rPr>
          <w:lang w:val="en-GB"/>
        </w:rPr>
        <w:t xml:space="preserve"> Available at: </w:t>
      </w:r>
      <w:hyperlink r:id="rId51" w:history="1">
        <w:r w:rsidR="003B5B01" w:rsidRPr="00C2761E">
          <w:rPr>
            <w:rStyle w:val="Hyperlink"/>
            <w:lang w:val="en-GB"/>
          </w:rPr>
          <w:t>http://www.social-protection.org/gimi/gess/RessourcePDF.action?ressource.ressourceId=54434</w:t>
        </w:r>
      </w:hyperlink>
      <w:r w:rsidR="003B5B01">
        <w:rPr>
          <w:lang w:val="en-GB"/>
        </w:rPr>
        <w:t xml:space="preserve"> </w:t>
      </w:r>
      <w:r w:rsidR="003B5B01" w:rsidRPr="003B5B01">
        <w:rPr>
          <w:lang w:val="en-GB"/>
        </w:rPr>
        <w:t>[23 January 2018]</w:t>
      </w:r>
    </w:p>
    <w:p w14:paraId="64366D29" w14:textId="37F13CAC" w:rsidR="008A2C80" w:rsidRPr="00680837" w:rsidRDefault="008A2C80" w:rsidP="008A2C80">
      <w:pPr>
        <w:ind w:left="567" w:right="-52" w:hanging="567"/>
        <w:jc w:val="left"/>
        <w:rPr>
          <w:lang w:val="en-GB"/>
        </w:rPr>
      </w:pPr>
      <w:r w:rsidRPr="00680837">
        <w:rPr>
          <w:lang w:val="en-GB"/>
        </w:rPr>
        <w:t xml:space="preserve">—. </w:t>
      </w:r>
      <w:r w:rsidR="004F222F">
        <w:rPr>
          <w:lang w:val="en-GB"/>
        </w:rPr>
        <w:t>2017</w:t>
      </w:r>
      <w:r w:rsidR="00AD3DEF">
        <w:rPr>
          <w:lang w:val="en-GB"/>
        </w:rPr>
        <w:t>b</w:t>
      </w:r>
      <w:r w:rsidRPr="00680837">
        <w:rPr>
          <w:lang w:val="en-GB"/>
        </w:rPr>
        <w:t xml:space="preserve">. </w:t>
      </w:r>
      <w:hyperlink r:id="rId52" w:history="1">
        <w:r w:rsidRPr="003B5B01">
          <w:rPr>
            <w:rStyle w:val="Hyperlink"/>
            <w:i/>
            <w:lang w:val="en-GB"/>
          </w:rPr>
          <w:t>World Social Protection Report 2017-19: Universal social protection to achieve the Sustainable Development Goals</w:t>
        </w:r>
      </w:hyperlink>
      <w:r w:rsidR="00ED2A53">
        <w:rPr>
          <w:rStyle w:val="Hyperlink"/>
          <w:i/>
          <w:lang w:val="en-GB"/>
        </w:rPr>
        <w:t>,</w:t>
      </w:r>
      <w:r w:rsidRPr="00680837">
        <w:rPr>
          <w:i/>
          <w:lang w:val="en-GB"/>
        </w:rPr>
        <w:t xml:space="preserve"> </w:t>
      </w:r>
      <w:r w:rsidRPr="00680837">
        <w:rPr>
          <w:lang w:val="en-GB"/>
        </w:rPr>
        <w:t>(Geneva).</w:t>
      </w:r>
      <w:r w:rsidR="003B5B01">
        <w:rPr>
          <w:lang w:val="en-GB"/>
        </w:rPr>
        <w:t xml:space="preserve"> Available at: </w:t>
      </w:r>
      <w:r w:rsidR="003B5B01" w:rsidRPr="003B5B01">
        <w:t xml:space="preserve"> </w:t>
      </w:r>
      <w:hyperlink r:id="rId53" w:history="1">
        <w:r w:rsidR="003B5B01" w:rsidRPr="00C2761E">
          <w:rPr>
            <w:rStyle w:val="Hyperlink"/>
            <w:lang w:val="en-GB"/>
          </w:rPr>
          <w:t>http://www.ilo.org/wcmsp5/groups/public/---dgreports/---dcomm/---publ/documents/publication/wcms_604882.pdf</w:t>
        </w:r>
      </w:hyperlink>
      <w:r w:rsidR="003B5B01">
        <w:rPr>
          <w:lang w:val="en-GB"/>
        </w:rPr>
        <w:t xml:space="preserve">. </w:t>
      </w:r>
      <w:r w:rsidR="003B5B01" w:rsidRPr="003B5B01">
        <w:rPr>
          <w:lang w:val="en-GB"/>
        </w:rPr>
        <w:t>[23 January 2018]</w:t>
      </w:r>
    </w:p>
    <w:p w14:paraId="1706AB84" w14:textId="13048408" w:rsidR="008A2C80" w:rsidRPr="00680837" w:rsidRDefault="008A2C80" w:rsidP="008A2C80">
      <w:pPr>
        <w:ind w:left="567" w:right="-52" w:hanging="567"/>
        <w:jc w:val="left"/>
        <w:rPr>
          <w:lang w:val="en-GB"/>
        </w:rPr>
      </w:pPr>
      <w:r w:rsidRPr="00680837">
        <w:rPr>
          <w:lang w:val="en-GB"/>
        </w:rPr>
        <w:t xml:space="preserve">Jones, L.; Bellis, M.A.;Wood, S.; Hughes, K.; McCoy, E.; Eckley, L.; Bates, G.; Mikton, C.; Shakespeare, T.; and Officer, A. 2012. </w:t>
      </w:r>
      <w:hyperlink r:id="rId54" w:history="1">
        <w:r w:rsidRPr="00BC1BDC">
          <w:rPr>
            <w:rStyle w:val="Hyperlink"/>
            <w:i/>
            <w:lang w:val="en-GB"/>
          </w:rPr>
          <w:t>Prevalence and risk of violence against children with disabilities: a systematic review and metaanalysis of observational studies</w:t>
        </w:r>
      </w:hyperlink>
      <w:r w:rsidR="003B5B01">
        <w:rPr>
          <w:rStyle w:val="Hyperlink"/>
          <w:i/>
          <w:lang w:val="en-GB"/>
        </w:rPr>
        <w:t>,</w:t>
      </w:r>
      <w:r w:rsidRPr="00680837">
        <w:rPr>
          <w:lang w:val="en-GB"/>
        </w:rPr>
        <w:t xml:space="preserve"> </w:t>
      </w:r>
      <w:r w:rsidR="005007C7">
        <w:rPr>
          <w:lang w:val="en-GB"/>
        </w:rPr>
        <w:t xml:space="preserve">The </w:t>
      </w:r>
      <w:r w:rsidRPr="00BC1BDC">
        <w:rPr>
          <w:lang w:val="en-GB"/>
        </w:rPr>
        <w:t>Lancet</w:t>
      </w:r>
      <w:r w:rsidRPr="00680837">
        <w:rPr>
          <w:lang w:val="en-GB"/>
        </w:rPr>
        <w:t>,</w:t>
      </w:r>
      <w:r w:rsidR="005007C7">
        <w:rPr>
          <w:lang w:val="en-GB"/>
        </w:rPr>
        <w:t xml:space="preserve"> Vol.380,</w:t>
      </w:r>
      <w:r w:rsidRPr="00680837">
        <w:rPr>
          <w:lang w:val="en-GB"/>
        </w:rPr>
        <w:t xml:space="preserve"> </w:t>
      </w:r>
      <w:r w:rsidR="005007C7">
        <w:rPr>
          <w:lang w:val="en-GB"/>
        </w:rPr>
        <w:t xml:space="preserve">No. </w:t>
      </w:r>
      <w:r w:rsidRPr="00680837">
        <w:rPr>
          <w:lang w:val="en-GB"/>
        </w:rPr>
        <w:t>9845</w:t>
      </w:r>
      <w:r w:rsidR="005007C7">
        <w:rPr>
          <w:lang w:val="en-GB"/>
        </w:rPr>
        <w:t>, pp.</w:t>
      </w:r>
      <w:r w:rsidRPr="00680837">
        <w:rPr>
          <w:lang w:val="en-GB"/>
        </w:rPr>
        <w:t>899</w:t>
      </w:r>
      <w:r w:rsidR="005007C7" w:rsidRPr="00680837">
        <w:rPr>
          <w:lang w:val="en-GB"/>
        </w:rPr>
        <w:t>–</w:t>
      </w:r>
      <w:r w:rsidRPr="00680837">
        <w:rPr>
          <w:lang w:val="en-GB"/>
        </w:rPr>
        <w:t xml:space="preserve">907. Available at: </w:t>
      </w:r>
      <w:hyperlink r:id="rId55" w:history="1">
        <w:r w:rsidRPr="00680837">
          <w:rPr>
            <w:rStyle w:val="Hyperlink"/>
            <w:lang w:val="en-GB"/>
          </w:rPr>
          <w:t>http://dx.doi.org/10.1016/S0140-6736(12)60692-8</w:t>
        </w:r>
      </w:hyperlink>
      <w:r w:rsidRPr="00680837">
        <w:rPr>
          <w:lang w:val="en-GB"/>
        </w:rPr>
        <w:t>. [24 February 2017]</w:t>
      </w:r>
    </w:p>
    <w:p w14:paraId="75EEB6D3" w14:textId="77777777" w:rsidR="008A2C80" w:rsidRPr="00680837" w:rsidRDefault="008A2C80" w:rsidP="008A2C80">
      <w:pPr>
        <w:ind w:left="567" w:right="-52" w:hanging="567"/>
        <w:jc w:val="left"/>
        <w:rPr>
          <w:lang w:val="en-GB"/>
        </w:rPr>
      </w:pPr>
      <w:r w:rsidRPr="00680837">
        <w:rPr>
          <w:lang w:val="en-GB"/>
        </w:rPr>
        <w:t xml:space="preserve">Loyalka, P.; Liu, L.; Chen, G. and Zheng, X. 2014. </w:t>
      </w:r>
      <w:hyperlink r:id="rId56" w:history="1">
        <w:r w:rsidRPr="00BC1BDC">
          <w:rPr>
            <w:rStyle w:val="Hyperlink"/>
            <w:i/>
            <w:lang w:val="en-GB"/>
          </w:rPr>
          <w:t>The Cost of Disability in China</w:t>
        </w:r>
      </w:hyperlink>
      <w:r w:rsidRPr="00680837">
        <w:rPr>
          <w:lang w:val="en-GB"/>
        </w:rPr>
        <w:t xml:space="preserve">. </w:t>
      </w:r>
      <w:r w:rsidRPr="00BC1BDC">
        <w:rPr>
          <w:lang w:val="en-GB"/>
        </w:rPr>
        <w:t>Demography</w:t>
      </w:r>
      <w:r w:rsidRPr="00680837">
        <w:rPr>
          <w:lang w:val="en-GB"/>
        </w:rPr>
        <w:t xml:space="preserve"> 51.1: 97-118. Available at: </w:t>
      </w:r>
      <w:hyperlink r:id="rId57" w:history="1">
        <w:r w:rsidRPr="00680837">
          <w:rPr>
            <w:rStyle w:val="Hyperlink"/>
            <w:lang w:val="en-GB"/>
          </w:rPr>
          <w:t>https://dx.doi.org/10.1007/s13524-013-0272-7</w:t>
        </w:r>
      </w:hyperlink>
      <w:r w:rsidRPr="00680837">
        <w:rPr>
          <w:lang w:val="en-GB"/>
        </w:rPr>
        <w:t>. [24 February 2017]</w:t>
      </w:r>
    </w:p>
    <w:p w14:paraId="61E8AE9E" w14:textId="0EC47D03" w:rsidR="008A2C80" w:rsidRDefault="008A2C80" w:rsidP="008A2C80">
      <w:pPr>
        <w:ind w:left="567" w:right="-52" w:hanging="567"/>
        <w:jc w:val="left"/>
      </w:pPr>
      <w:r>
        <w:t>Mitra,</w:t>
      </w:r>
      <w:r w:rsidR="00756A89">
        <w:t xml:space="preserve"> S.</w:t>
      </w:r>
      <w:r>
        <w:t xml:space="preserve"> 2005 </w:t>
      </w:r>
      <w:hyperlink r:id="rId58" w:history="1">
        <w:r w:rsidRPr="00AF6EF6">
          <w:rPr>
            <w:rStyle w:val="Hyperlink"/>
            <w:i/>
          </w:rPr>
          <w:t xml:space="preserve">Disability and </w:t>
        </w:r>
        <w:r w:rsidR="005007C7" w:rsidRPr="00AF6EF6">
          <w:rPr>
            <w:rStyle w:val="Hyperlink"/>
            <w:i/>
          </w:rPr>
          <w:t>s</w:t>
        </w:r>
        <w:r w:rsidRPr="00AF6EF6">
          <w:rPr>
            <w:rStyle w:val="Hyperlink"/>
            <w:i/>
          </w:rPr>
          <w:t xml:space="preserve">ocial </w:t>
        </w:r>
        <w:r w:rsidR="005007C7" w:rsidRPr="00AF6EF6">
          <w:rPr>
            <w:rStyle w:val="Hyperlink"/>
            <w:i/>
          </w:rPr>
          <w:t>s</w:t>
        </w:r>
        <w:r w:rsidRPr="00AF6EF6">
          <w:rPr>
            <w:rStyle w:val="Hyperlink"/>
            <w:i/>
          </w:rPr>
          <w:t xml:space="preserve">afety </w:t>
        </w:r>
        <w:r w:rsidR="005007C7" w:rsidRPr="00AF6EF6">
          <w:rPr>
            <w:rStyle w:val="Hyperlink"/>
            <w:i/>
          </w:rPr>
          <w:t>n</w:t>
        </w:r>
        <w:r w:rsidRPr="00AF6EF6">
          <w:rPr>
            <w:rStyle w:val="Hyperlink"/>
            <w:i/>
          </w:rPr>
          <w:t xml:space="preserve">ets in </w:t>
        </w:r>
        <w:r w:rsidR="005007C7" w:rsidRPr="00AF6EF6">
          <w:rPr>
            <w:rStyle w:val="Hyperlink"/>
            <w:i/>
          </w:rPr>
          <w:t>d</w:t>
        </w:r>
        <w:r w:rsidRPr="00AF6EF6">
          <w:rPr>
            <w:rStyle w:val="Hyperlink"/>
            <w:i/>
          </w:rPr>
          <w:t xml:space="preserve">eveloping </w:t>
        </w:r>
        <w:r w:rsidR="005007C7" w:rsidRPr="00AF6EF6">
          <w:rPr>
            <w:rStyle w:val="Hyperlink"/>
            <w:i/>
          </w:rPr>
          <w:t>c</w:t>
        </w:r>
        <w:r w:rsidRPr="00AF6EF6">
          <w:rPr>
            <w:rStyle w:val="Hyperlink"/>
            <w:i/>
          </w:rPr>
          <w:t>ountries</w:t>
        </w:r>
      </w:hyperlink>
      <w:r w:rsidR="005007C7">
        <w:t xml:space="preserve">. </w:t>
      </w:r>
      <w:r w:rsidR="005007C7" w:rsidRPr="005007C7">
        <w:t>Social Protection Discussion Paper Series</w:t>
      </w:r>
      <w:r w:rsidR="005007C7">
        <w:t xml:space="preserve">, 509. Available at: </w:t>
      </w:r>
      <w:hyperlink r:id="rId59" w:history="1">
        <w:r w:rsidR="003B5B01" w:rsidRPr="00C2761E">
          <w:rPr>
            <w:rStyle w:val="Hyperlink"/>
          </w:rPr>
          <w:t>http://documents.worldbank.org/curated/en/443641468140637787/Disability-and-social-safety-nets-in-developing-countries</w:t>
        </w:r>
      </w:hyperlink>
      <w:r w:rsidR="005007C7">
        <w:t>.</w:t>
      </w:r>
      <w:r w:rsidR="003B5B01">
        <w:t xml:space="preserve"> </w:t>
      </w:r>
      <w:r w:rsidR="003B5B01">
        <w:rPr>
          <w:lang w:val="en-GB"/>
        </w:rPr>
        <w:t>[23 January 2018]</w:t>
      </w:r>
    </w:p>
    <w:p w14:paraId="5F23CC77" w14:textId="22FC8D3F" w:rsidR="008A2C80" w:rsidRPr="00680837" w:rsidRDefault="00756A89" w:rsidP="008A2C80">
      <w:pPr>
        <w:ind w:left="567" w:right="-52" w:hanging="567"/>
        <w:jc w:val="left"/>
        <w:rPr>
          <w:lang w:val="en-GB"/>
        </w:rPr>
      </w:pPr>
      <w:r w:rsidRPr="00680837">
        <w:rPr>
          <w:lang w:val="en-GB"/>
        </w:rPr>
        <w:t xml:space="preserve">—. </w:t>
      </w:r>
      <w:r w:rsidR="008A2C80" w:rsidRPr="00680837">
        <w:rPr>
          <w:lang w:val="en-GB"/>
        </w:rPr>
        <w:t xml:space="preserve">2010. </w:t>
      </w:r>
      <w:hyperlink r:id="rId60" w:history="1">
        <w:r w:rsidR="008A2C80" w:rsidRPr="005007C7">
          <w:rPr>
            <w:rStyle w:val="Hyperlink"/>
            <w:i/>
            <w:lang w:val="en-GB"/>
          </w:rPr>
          <w:t>Disability cash transfers in the context of poverty and unemployment: The case of South Africa</w:t>
        </w:r>
      </w:hyperlink>
      <w:r w:rsidR="008A2C80" w:rsidRPr="002371FB">
        <w:rPr>
          <w:lang w:val="en-GB"/>
        </w:rPr>
        <w:t>.</w:t>
      </w:r>
      <w:r w:rsidR="008A2C80" w:rsidRPr="00680837">
        <w:rPr>
          <w:lang w:val="en-GB"/>
        </w:rPr>
        <w:t xml:space="preserve"> </w:t>
      </w:r>
      <w:r w:rsidR="008A2C80" w:rsidRPr="00BC1BDC">
        <w:rPr>
          <w:lang w:val="en-GB"/>
        </w:rPr>
        <w:t>World Development</w:t>
      </w:r>
      <w:r w:rsidR="008A2C80" w:rsidRPr="00680837">
        <w:rPr>
          <w:lang w:val="en-GB"/>
        </w:rPr>
        <w:t xml:space="preserve">, 38, 1692–1709. Available at: </w:t>
      </w:r>
      <w:hyperlink r:id="rId61" w:history="1">
        <w:r w:rsidR="008A2C80" w:rsidRPr="00680837">
          <w:rPr>
            <w:rStyle w:val="Hyperlink"/>
            <w:lang w:val="en-GB"/>
          </w:rPr>
          <w:t>http://dx.doi.org/10.1016/j.worlddev.2010.06.014</w:t>
        </w:r>
      </w:hyperlink>
      <w:r w:rsidR="008A2C80" w:rsidRPr="00680837">
        <w:rPr>
          <w:lang w:val="en-GB"/>
        </w:rPr>
        <w:t>. [24 February 2017]</w:t>
      </w:r>
    </w:p>
    <w:p w14:paraId="7B67E73D" w14:textId="4DC3635B" w:rsidR="008A2C80" w:rsidRPr="00680837" w:rsidRDefault="008A2C80" w:rsidP="008A2C80">
      <w:pPr>
        <w:ind w:left="567" w:right="-52" w:hanging="567"/>
        <w:jc w:val="left"/>
        <w:rPr>
          <w:lang w:val="en-GB"/>
        </w:rPr>
      </w:pPr>
      <w:r w:rsidRPr="00680837">
        <w:rPr>
          <w:lang w:val="en-GB"/>
        </w:rPr>
        <w:t xml:space="preserve">Mitra, S.; Posarac, A.; and Vick, B. 2011. </w:t>
      </w:r>
      <w:hyperlink r:id="rId62" w:history="1">
        <w:r w:rsidRPr="00BC1BDC">
          <w:rPr>
            <w:rStyle w:val="Hyperlink"/>
            <w:i/>
            <w:lang w:val="en-GB"/>
          </w:rPr>
          <w:t>Disability and poverty in developing countries: a snapshot from the world health survey</w:t>
        </w:r>
      </w:hyperlink>
      <w:r w:rsidR="00ED2A53">
        <w:rPr>
          <w:rStyle w:val="Hyperlink"/>
          <w:i/>
          <w:lang w:val="en-GB"/>
        </w:rPr>
        <w:t>,</w:t>
      </w:r>
      <w:r w:rsidRPr="00680837">
        <w:rPr>
          <w:lang w:val="en-GB"/>
        </w:rPr>
        <w:t xml:space="preserve"> (Washington D.C., World Bank). Social Protection Discussion Paper no. SP 1109. Available at: </w:t>
      </w:r>
      <w:hyperlink r:id="rId63" w:history="1">
        <w:r w:rsidRPr="00680837">
          <w:rPr>
            <w:rStyle w:val="Hyperlink"/>
            <w:lang w:val="en-GB"/>
          </w:rPr>
          <w:t>http://documents.worldbank.org/curated/en/501871468326189306/pdf/625640NWP0110900PUBLIC00BOX361487B.pdf</w:t>
        </w:r>
      </w:hyperlink>
      <w:r w:rsidRPr="00680837">
        <w:rPr>
          <w:lang w:val="en-GB"/>
        </w:rPr>
        <w:t>. [24 February 2017]</w:t>
      </w:r>
    </w:p>
    <w:p w14:paraId="5C1F1295" w14:textId="77777777" w:rsidR="008A2C80" w:rsidRPr="00680837" w:rsidRDefault="008A2C80" w:rsidP="008A2C80">
      <w:pPr>
        <w:ind w:left="567" w:right="-52" w:hanging="567"/>
        <w:jc w:val="left"/>
        <w:rPr>
          <w:lang w:val="en-GB"/>
        </w:rPr>
      </w:pPr>
      <w:r w:rsidRPr="00680837">
        <w:rPr>
          <w:lang w:val="en-GB"/>
        </w:rPr>
        <w:t xml:space="preserve">Mont, D. and Cuong, N.V. 2011. </w:t>
      </w:r>
      <w:hyperlink r:id="rId64" w:history="1">
        <w:r w:rsidRPr="00BC1BDC">
          <w:rPr>
            <w:rStyle w:val="Hyperlink"/>
            <w:i/>
            <w:lang w:val="en-GB"/>
          </w:rPr>
          <w:t>Disability and poverty in Vietnam</w:t>
        </w:r>
      </w:hyperlink>
      <w:r w:rsidRPr="002371FB">
        <w:rPr>
          <w:lang w:val="en-GB"/>
        </w:rPr>
        <w:t xml:space="preserve">. </w:t>
      </w:r>
      <w:r w:rsidRPr="00BC1BDC">
        <w:rPr>
          <w:lang w:val="en-GB"/>
        </w:rPr>
        <w:t>World Bank Economic Review</w:t>
      </w:r>
      <w:r w:rsidRPr="00680837">
        <w:rPr>
          <w:lang w:val="en-GB"/>
        </w:rPr>
        <w:t xml:space="preserve">, volume 25, issue 2. Available at: </w:t>
      </w:r>
      <w:hyperlink r:id="rId65" w:history="1">
        <w:r w:rsidRPr="00680837">
          <w:rPr>
            <w:rStyle w:val="Hyperlink"/>
            <w:lang w:val="en-GB"/>
          </w:rPr>
          <w:t>http://elibrary.worldbank.org/doi/pdf/10.1093/wber/lhr019</w:t>
        </w:r>
      </w:hyperlink>
      <w:r w:rsidRPr="00680837">
        <w:rPr>
          <w:lang w:val="en-GB"/>
        </w:rPr>
        <w:t>. [24 February 2017]</w:t>
      </w:r>
    </w:p>
    <w:p w14:paraId="2F18CF0C" w14:textId="77777777" w:rsidR="008A2C80" w:rsidRPr="00680837" w:rsidRDefault="008A2C80" w:rsidP="008A2C80">
      <w:pPr>
        <w:ind w:left="567" w:right="-52" w:hanging="567"/>
        <w:jc w:val="left"/>
        <w:rPr>
          <w:lang w:val="en-GB"/>
        </w:rPr>
      </w:pPr>
      <w:r w:rsidRPr="00680837">
        <w:rPr>
          <w:lang w:val="en-GB"/>
        </w:rPr>
        <w:t xml:space="preserve">O’Reilly, A. </w:t>
      </w:r>
      <w:r w:rsidRPr="004D69F9">
        <w:rPr>
          <w:lang w:val="en-GB"/>
        </w:rPr>
        <w:t>2003</w:t>
      </w:r>
      <w:r w:rsidRPr="00BC1BDC">
        <w:rPr>
          <w:lang w:val="en-GB"/>
        </w:rPr>
        <w:t xml:space="preserve">. </w:t>
      </w:r>
      <w:hyperlink r:id="rId66" w:history="1">
        <w:r w:rsidRPr="00BC1BDC">
          <w:rPr>
            <w:rStyle w:val="Hyperlink"/>
            <w:i/>
            <w:lang w:val="en-GB"/>
          </w:rPr>
          <w:t>The right to decent work of persons with disabilities</w:t>
        </w:r>
      </w:hyperlink>
      <w:r w:rsidRPr="00680837">
        <w:rPr>
          <w:lang w:val="en-GB"/>
        </w:rPr>
        <w:t xml:space="preserve"> (Geneva, ILO). Available at: </w:t>
      </w:r>
      <w:hyperlink r:id="rId67" w:history="1">
        <w:r w:rsidRPr="00680837">
          <w:rPr>
            <w:rStyle w:val="Hyperlink"/>
            <w:lang w:val="en-GB"/>
          </w:rPr>
          <w:t>http://ilo.org/wcmsp5/groups/public/---dgreports/---dcomm/---publ/documents/publication/wcms_091349.pdf</w:t>
        </w:r>
      </w:hyperlink>
      <w:r w:rsidRPr="00680837">
        <w:rPr>
          <w:lang w:val="en-GB"/>
        </w:rPr>
        <w:t>. [24 February 2017]</w:t>
      </w:r>
    </w:p>
    <w:p w14:paraId="65CBCEEE" w14:textId="77777777" w:rsidR="008A2C80" w:rsidRPr="00680837" w:rsidRDefault="008A2C80" w:rsidP="008A2C80">
      <w:pPr>
        <w:ind w:left="567" w:right="-52" w:hanging="567"/>
        <w:jc w:val="left"/>
        <w:rPr>
          <w:lang w:val="en-GB"/>
        </w:rPr>
      </w:pPr>
      <w:r w:rsidRPr="00680837">
        <w:rPr>
          <w:lang w:val="en-GB"/>
        </w:rPr>
        <w:t xml:space="preserve">Palmer, M.G. and Nguyen, T.M.T. 2012. </w:t>
      </w:r>
      <w:r w:rsidRPr="00BC1BDC">
        <w:rPr>
          <w:i/>
          <w:lang w:val="en-GB"/>
        </w:rPr>
        <w:t>Mainstreaming health insurance for people with disabilities</w:t>
      </w:r>
      <w:r w:rsidRPr="002371FB">
        <w:rPr>
          <w:lang w:val="en-GB"/>
        </w:rPr>
        <w:t>.</w:t>
      </w:r>
      <w:r w:rsidRPr="00680837">
        <w:rPr>
          <w:lang w:val="en-GB"/>
        </w:rPr>
        <w:t xml:space="preserve"> </w:t>
      </w:r>
      <w:r w:rsidRPr="00BC1BDC">
        <w:rPr>
          <w:lang w:val="en-GB"/>
        </w:rPr>
        <w:t>Journal of Asian Economics</w:t>
      </w:r>
      <w:r w:rsidRPr="00680837">
        <w:rPr>
          <w:lang w:val="en-GB"/>
        </w:rPr>
        <w:t xml:space="preserve">, 23, 600–613. Available at: </w:t>
      </w:r>
      <w:hyperlink r:id="rId68" w:history="1">
        <w:r w:rsidRPr="00680837">
          <w:rPr>
            <w:rStyle w:val="Hyperlink"/>
            <w:lang w:val="en-GB"/>
          </w:rPr>
          <w:t>http://dx.doi.org/10.1016/j.asieco.2012.06.003</w:t>
        </w:r>
      </w:hyperlink>
      <w:r w:rsidRPr="00680837">
        <w:rPr>
          <w:lang w:val="en-GB"/>
        </w:rPr>
        <w:t>. [24 February 2017]</w:t>
      </w:r>
    </w:p>
    <w:p w14:paraId="56CE7CEA" w14:textId="09BD94AA" w:rsidR="008A2C80" w:rsidRPr="00680837" w:rsidRDefault="008A2C80" w:rsidP="008A2C80">
      <w:pPr>
        <w:ind w:left="567" w:right="-52" w:hanging="567"/>
        <w:jc w:val="left"/>
        <w:rPr>
          <w:lang w:val="en-GB"/>
        </w:rPr>
      </w:pPr>
      <w:r w:rsidRPr="00680837">
        <w:rPr>
          <w:lang w:val="en-GB"/>
        </w:rPr>
        <w:t xml:space="preserve">Saunders, P. 2007. </w:t>
      </w:r>
      <w:hyperlink r:id="rId69" w:history="1">
        <w:r w:rsidRPr="00BC1BDC">
          <w:rPr>
            <w:rStyle w:val="Hyperlink"/>
            <w:i/>
            <w:lang w:val="en-GB"/>
          </w:rPr>
          <w:t>The costs of disability and the incidence of poverty</w:t>
        </w:r>
      </w:hyperlink>
      <w:r w:rsidRPr="002371FB">
        <w:rPr>
          <w:lang w:val="en-GB"/>
        </w:rPr>
        <w:t>.</w:t>
      </w:r>
      <w:r w:rsidRPr="00680837">
        <w:rPr>
          <w:lang w:val="en-GB"/>
        </w:rPr>
        <w:t xml:space="preserve"> </w:t>
      </w:r>
      <w:r w:rsidRPr="00BC1BDC">
        <w:rPr>
          <w:lang w:val="en-GB"/>
        </w:rPr>
        <w:t>Australian Journal of Social Issues</w:t>
      </w:r>
      <w:r w:rsidRPr="00680837">
        <w:rPr>
          <w:lang w:val="en-GB"/>
        </w:rPr>
        <w:t>, volume 42, issue 4.</w:t>
      </w:r>
      <w:r w:rsidR="00051CBB">
        <w:rPr>
          <w:lang w:val="en-GB"/>
        </w:rPr>
        <w:t xml:space="preserve"> Available at:</w:t>
      </w:r>
      <w:r w:rsidRPr="00680837">
        <w:rPr>
          <w:lang w:val="en-GB"/>
        </w:rPr>
        <w:t xml:space="preserve"> </w:t>
      </w:r>
      <w:hyperlink r:id="rId70" w:history="1">
        <w:r w:rsidRPr="00680837">
          <w:rPr>
            <w:rStyle w:val="Hyperlink"/>
            <w:lang w:val="en-GB"/>
          </w:rPr>
          <w:t>http://dx.doi.org/10.1002/j.1839-4655.2007.tb00072.x</w:t>
        </w:r>
      </w:hyperlink>
      <w:r w:rsidRPr="00680837">
        <w:rPr>
          <w:lang w:val="en-GB"/>
        </w:rPr>
        <w:t>. [24 February 2017]</w:t>
      </w:r>
    </w:p>
    <w:p w14:paraId="407D5308" w14:textId="65F7536C" w:rsidR="00FC625B" w:rsidRDefault="00756A89" w:rsidP="008A2C80">
      <w:pPr>
        <w:ind w:left="567" w:right="-52" w:hanging="567"/>
        <w:jc w:val="left"/>
        <w:rPr>
          <w:lang w:val="en-GB"/>
        </w:rPr>
      </w:pPr>
      <w:r w:rsidRPr="00756A89">
        <w:rPr>
          <w:lang w:val="en-GB"/>
        </w:rPr>
        <w:t xml:space="preserve">United Nations Children's Fund </w:t>
      </w:r>
      <w:r>
        <w:rPr>
          <w:lang w:val="en-GB"/>
        </w:rPr>
        <w:t>(</w:t>
      </w:r>
      <w:r w:rsidR="008A2C80" w:rsidRPr="00680837">
        <w:rPr>
          <w:lang w:val="en-GB"/>
        </w:rPr>
        <w:t>UNICEF</w:t>
      </w:r>
      <w:r>
        <w:rPr>
          <w:lang w:val="en-GB"/>
        </w:rPr>
        <w:t>)</w:t>
      </w:r>
      <w:r w:rsidR="008A2C80" w:rsidRPr="00680837">
        <w:rPr>
          <w:lang w:val="en-GB"/>
        </w:rPr>
        <w:t>. 2007.</w:t>
      </w:r>
      <w:r w:rsidR="008A2C80" w:rsidRPr="00BC1BDC">
        <w:rPr>
          <w:lang w:val="en-GB"/>
        </w:rPr>
        <w:t xml:space="preserve"> </w:t>
      </w:r>
      <w:hyperlink r:id="rId71" w:history="1">
        <w:r w:rsidR="008A2C80" w:rsidRPr="005007C7">
          <w:rPr>
            <w:rStyle w:val="Hyperlink"/>
            <w:lang w:val="en-GB"/>
          </w:rPr>
          <w:t>Promoting the rights of children with disabilities</w:t>
        </w:r>
      </w:hyperlink>
      <w:r w:rsidR="008A2C80" w:rsidRPr="00680837">
        <w:rPr>
          <w:lang w:val="en-GB"/>
        </w:rPr>
        <w:t>.  Innocenti Digest No. 13</w:t>
      </w:r>
      <w:r w:rsidR="003C05F8">
        <w:rPr>
          <w:lang w:val="en-GB"/>
        </w:rPr>
        <w:t xml:space="preserve"> (Florence)</w:t>
      </w:r>
      <w:r w:rsidR="008A2C80" w:rsidRPr="00680837">
        <w:rPr>
          <w:lang w:val="en-GB"/>
        </w:rPr>
        <w:t>.</w:t>
      </w:r>
      <w:r w:rsidR="00FC625B">
        <w:rPr>
          <w:lang w:val="en-GB"/>
        </w:rPr>
        <w:t xml:space="preserve"> Available at: </w:t>
      </w:r>
      <w:hyperlink r:id="rId72" w:history="1">
        <w:r w:rsidR="00FC625B" w:rsidRPr="00C2761E">
          <w:rPr>
            <w:rStyle w:val="Hyperlink"/>
            <w:lang w:val="en-GB"/>
          </w:rPr>
          <w:t>https://www.unicef-irc.org/publications/474</w:t>
        </w:r>
      </w:hyperlink>
      <w:r w:rsidR="00FC625B">
        <w:rPr>
          <w:lang w:val="en-GB"/>
        </w:rPr>
        <w:t>. [23 January 2018]</w:t>
      </w:r>
    </w:p>
    <w:p w14:paraId="58DBFF55" w14:textId="0AF41222" w:rsidR="008E4053" w:rsidRDefault="00FC625B" w:rsidP="008A2C80">
      <w:pPr>
        <w:ind w:left="567" w:right="-52" w:hanging="567"/>
        <w:jc w:val="left"/>
        <w:rPr>
          <w:lang w:val="en-GB"/>
        </w:rPr>
      </w:pPr>
      <w:r w:rsidRPr="00680837">
        <w:rPr>
          <w:lang w:val="en-GB"/>
        </w:rPr>
        <w:t>—</w:t>
      </w:r>
      <w:r>
        <w:rPr>
          <w:lang w:val="en-GB"/>
        </w:rPr>
        <w:t>.</w:t>
      </w:r>
      <w:r w:rsidR="008A2C80" w:rsidRPr="00BC1BDC">
        <w:rPr>
          <w:lang w:val="en-GB"/>
        </w:rPr>
        <w:t xml:space="preserve"> </w:t>
      </w:r>
      <w:r w:rsidR="008A2C80" w:rsidRPr="006643AB">
        <w:rPr>
          <w:lang w:val="en-GB"/>
        </w:rPr>
        <w:t>2012.</w:t>
      </w:r>
      <w:r w:rsidR="008A2C80" w:rsidRPr="00BC1BDC">
        <w:rPr>
          <w:lang w:val="en-GB"/>
        </w:rPr>
        <w:t xml:space="preserve"> </w:t>
      </w:r>
      <w:r w:rsidR="008A2C80" w:rsidRPr="00AF6EF6">
        <w:rPr>
          <w:i/>
          <w:lang w:val="en-GB"/>
        </w:rPr>
        <w:t>Children under the age of three in formal care in Eastern Europe and Central Asia</w:t>
      </w:r>
      <w:r w:rsidR="003C05F8">
        <w:rPr>
          <w:i/>
          <w:lang w:val="en-GB"/>
        </w:rPr>
        <w:t xml:space="preserve"> </w:t>
      </w:r>
      <w:r w:rsidR="003C05F8">
        <w:rPr>
          <w:lang w:val="en-GB"/>
        </w:rPr>
        <w:t>(New York)</w:t>
      </w:r>
      <w:r w:rsidR="008A2C80" w:rsidRPr="00680837">
        <w:rPr>
          <w:lang w:val="en-GB"/>
        </w:rPr>
        <w:t>.</w:t>
      </w:r>
    </w:p>
    <w:p w14:paraId="4A9B11E5" w14:textId="5C484D25" w:rsidR="008A2C80" w:rsidRDefault="008E4053" w:rsidP="008A2C80">
      <w:pPr>
        <w:ind w:left="567" w:right="-52" w:hanging="567"/>
        <w:jc w:val="left"/>
        <w:rPr>
          <w:lang w:val="en-GB"/>
        </w:rPr>
      </w:pPr>
      <w:r w:rsidRPr="00680837">
        <w:rPr>
          <w:lang w:val="en-GB"/>
        </w:rPr>
        <w:t>—</w:t>
      </w:r>
      <w:r>
        <w:rPr>
          <w:lang w:val="en-GB"/>
        </w:rPr>
        <w:t>.</w:t>
      </w:r>
      <w:r w:rsidRPr="00BC1BDC">
        <w:rPr>
          <w:lang w:val="en-GB"/>
        </w:rPr>
        <w:t xml:space="preserve"> </w:t>
      </w:r>
      <w:r>
        <w:rPr>
          <w:lang w:val="en-GB"/>
        </w:rPr>
        <w:t xml:space="preserve">2013. </w:t>
      </w:r>
      <w:hyperlink r:id="rId73" w:history="1">
        <w:r w:rsidRPr="00AF6EF6">
          <w:rPr>
            <w:rStyle w:val="Hyperlink"/>
            <w:i/>
          </w:rPr>
          <w:t>State of the World’s Children: Children with Disabilities</w:t>
        </w:r>
      </w:hyperlink>
      <w:r>
        <w:rPr>
          <w:lang w:val="en-GB"/>
        </w:rPr>
        <w:t xml:space="preserve"> (New York). Available at: </w:t>
      </w:r>
      <w:hyperlink r:id="rId74" w:history="1">
        <w:r w:rsidRPr="00C2761E">
          <w:rPr>
            <w:rStyle w:val="Hyperlink"/>
            <w:lang w:val="en-GB"/>
          </w:rPr>
          <w:t>https://www.unicef.org/sowc2013/</w:t>
        </w:r>
      </w:hyperlink>
      <w:r>
        <w:rPr>
          <w:lang w:val="en-GB"/>
        </w:rPr>
        <w:t>. [23 January 2018]</w:t>
      </w:r>
    </w:p>
    <w:p w14:paraId="4911811A" w14:textId="4783282C" w:rsidR="00575DE8" w:rsidRDefault="008A2C80" w:rsidP="00C6471C">
      <w:pPr>
        <w:ind w:left="567" w:right="-52" w:hanging="567"/>
        <w:jc w:val="left"/>
        <w:rPr>
          <w:rFonts w:eastAsia="Times New Roman"/>
          <w:sz w:val="24"/>
          <w:lang w:val="en-GB" w:eastAsia="zh-CN"/>
        </w:rPr>
      </w:pPr>
      <w:r w:rsidRPr="00DC678F">
        <w:rPr>
          <w:lang w:val="en-GB"/>
        </w:rPr>
        <w:t>United Nations Economic and Social Commission for Western Asia (ESCWA)</w:t>
      </w:r>
      <w:r>
        <w:rPr>
          <w:lang w:val="en-GB"/>
        </w:rPr>
        <w:t xml:space="preserve">. 2017. </w:t>
      </w:r>
      <w:r w:rsidRPr="00281C81">
        <w:rPr>
          <w:i/>
          <w:lang w:val="en-GB"/>
        </w:rPr>
        <w:t>Strengthening Social Protection of Persons with Disabilities in the Framework of the 2030 Agenda</w:t>
      </w:r>
      <w:r>
        <w:rPr>
          <w:lang w:val="en-GB"/>
        </w:rPr>
        <w:t>.</w:t>
      </w:r>
      <w:r w:rsidR="00575DE8">
        <w:rPr>
          <w:lang w:val="en-GB"/>
        </w:rPr>
        <w:t xml:space="preserve"> </w:t>
      </w:r>
      <w:r w:rsidR="00C6471C">
        <w:rPr>
          <w:lang w:val="en-GB"/>
        </w:rPr>
        <w:t xml:space="preserve">Available at: </w:t>
      </w:r>
      <w:hyperlink r:id="rId75" w:tgtFrame="_blank" w:history="1">
        <w:r w:rsidR="00575DE8" w:rsidRPr="00575DE8">
          <w:rPr>
            <w:rStyle w:val="Hyperlink"/>
            <w:rFonts w:ascii="Calibri" w:eastAsia="Times New Roman" w:hAnsi="Calibri"/>
            <w:color w:val="2E74B5" w:themeColor="accent1" w:themeShade="BF"/>
          </w:rPr>
          <w:t>h</w:t>
        </w:r>
        <w:r w:rsidR="00575DE8" w:rsidRPr="00575DE8">
          <w:rPr>
            <w:rStyle w:val="Hyperlink"/>
            <w:color w:val="2E74B5" w:themeColor="accent1" w:themeShade="BF"/>
          </w:rPr>
          <w:t>ttps://www.unescwa.org/sites/www.unescwa.org/files/page_attachments/strengthening-social-protection-persons-with-disabilities-advance-copy-en.pdf</w:t>
        </w:r>
      </w:hyperlink>
      <w:r w:rsidR="00C6471C">
        <w:rPr>
          <w:rStyle w:val="Hyperlink"/>
          <w:color w:val="2E74B5" w:themeColor="accent1" w:themeShade="BF"/>
        </w:rPr>
        <w:t>.</w:t>
      </w:r>
      <w:bookmarkStart w:id="16" w:name="_GoBack"/>
      <w:bookmarkEnd w:id="16"/>
      <w:r w:rsidR="00070DF4">
        <w:rPr>
          <w:rFonts w:eastAsia="Times New Roman"/>
          <w:color w:val="2E74B5" w:themeColor="accent1" w:themeShade="BF"/>
        </w:rPr>
        <w:t xml:space="preserve"> </w:t>
      </w:r>
      <w:r w:rsidR="00C6471C">
        <w:rPr>
          <w:rFonts w:eastAsia="Times New Roman"/>
          <w:color w:val="000000" w:themeColor="text1"/>
        </w:rPr>
        <w:t>[</w:t>
      </w:r>
      <w:r w:rsidR="00070DF4" w:rsidRPr="00070DF4">
        <w:rPr>
          <w:rFonts w:eastAsia="Times New Roman"/>
          <w:color w:val="000000" w:themeColor="text1"/>
        </w:rPr>
        <w:t>23 January 2018</w:t>
      </w:r>
      <w:r w:rsidR="00C6471C">
        <w:rPr>
          <w:rFonts w:eastAsia="Times New Roman"/>
          <w:color w:val="000000" w:themeColor="text1"/>
        </w:rPr>
        <w:t>]</w:t>
      </w:r>
    </w:p>
    <w:p w14:paraId="1C4824F5" w14:textId="3FED0B21" w:rsidR="008A2C80" w:rsidRPr="00575DE8" w:rsidRDefault="008A2C80" w:rsidP="008A2C80">
      <w:pPr>
        <w:ind w:left="567" w:right="-52" w:hanging="567"/>
        <w:jc w:val="left"/>
      </w:pPr>
    </w:p>
    <w:p w14:paraId="7F7FFAC3" w14:textId="690DF803" w:rsidR="000E6DD2" w:rsidRDefault="000E6DD2" w:rsidP="000E6DD2">
      <w:pPr>
        <w:ind w:left="567" w:right="-52" w:hanging="567"/>
        <w:jc w:val="left"/>
        <w:rPr>
          <w:lang w:val="en-GB"/>
        </w:rPr>
      </w:pPr>
      <w:r w:rsidRPr="000E6DD2">
        <w:rPr>
          <w:lang w:val="en-GB"/>
        </w:rPr>
        <w:t>United Nations Educational, Scientific and Cultural Organization</w:t>
      </w:r>
      <w:r>
        <w:rPr>
          <w:lang w:val="en-GB"/>
        </w:rPr>
        <w:t xml:space="preserve"> (UNESCO). 2010. </w:t>
      </w:r>
      <w:hyperlink r:id="rId76" w:history="1">
        <w:r w:rsidRPr="00AF6EF6">
          <w:rPr>
            <w:rStyle w:val="Hyperlink"/>
            <w:i/>
          </w:rPr>
          <w:t>Education for all global monitoring report: Reaching the marginalized</w:t>
        </w:r>
      </w:hyperlink>
      <w:r>
        <w:rPr>
          <w:lang w:val="en-GB"/>
        </w:rPr>
        <w:t xml:space="preserve"> (Paris). Available at: </w:t>
      </w:r>
      <w:hyperlink r:id="rId77" w:history="1">
        <w:r w:rsidRPr="00C2761E">
          <w:rPr>
            <w:rStyle w:val="Hyperlink"/>
            <w:lang w:val="en-GB"/>
          </w:rPr>
          <w:t>http://unesdoc.unesco.org/images/0018/001866/186606E.pdf</w:t>
        </w:r>
      </w:hyperlink>
      <w:r>
        <w:rPr>
          <w:lang w:val="en-GB"/>
        </w:rPr>
        <w:t>.</w:t>
      </w:r>
    </w:p>
    <w:p w14:paraId="3BF0E4C8" w14:textId="77777777" w:rsidR="008A2C80" w:rsidRPr="00680837" w:rsidRDefault="008A2C80" w:rsidP="008A2C80">
      <w:pPr>
        <w:ind w:left="567" w:right="-52" w:hanging="567"/>
        <w:jc w:val="left"/>
        <w:rPr>
          <w:lang w:val="en-GB"/>
        </w:rPr>
      </w:pPr>
      <w:r w:rsidRPr="00680837">
        <w:rPr>
          <w:lang w:val="en-GB"/>
        </w:rPr>
        <w:t xml:space="preserve">United Nations Entity for Gender Equality and the Empowerment of Women (UN WOMEN). </w:t>
      </w:r>
      <w:hyperlink r:id="rId78" w:history="1">
        <w:r w:rsidRPr="00BC1BDC">
          <w:rPr>
            <w:rStyle w:val="Hyperlink"/>
            <w:i/>
            <w:lang w:val="en-GB"/>
          </w:rPr>
          <w:t>Facts and figures: Ending violence against women</w:t>
        </w:r>
      </w:hyperlink>
      <w:r w:rsidRPr="00E74E9F">
        <w:rPr>
          <w:lang w:val="en-GB"/>
        </w:rPr>
        <w:t>.</w:t>
      </w:r>
      <w:r w:rsidRPr="00680837">
        <w:rPr>
          <w:lang w:val="en-GB"/>
        </w:rPr>
        <w:t xml:space="preserve"> Available at: </w:t>
      </w:r>
      <w:hyperlink r:id="rId79" w:history="1">
        <w:r w:rsidRPr="00680837">
          <w:rPr>
            <w:rStyle w:val="Hyperlink"/>
            <w:lang w:val="en-GB"/>
          </w:rPr>
          <w:t>http://www.unwomen.org/en/what-we-do/ending-violence-against-women/facts-and-figures</w:t>
        </w:r>
      </w:hyperlink>
      <w:r w:rsidRPr="00680837">
        <w:rPr>
          <w:lang w:val="en-GB"/>
        </w:rPr>
        <w:t>. [24 February 2017]</w:t>
      </w:r>
    </w:p>
    <w:p w14:paraId="2385AF0A" w14:textId="55A021C8" w:rsidR="008A2C80" w:rsidRPr="00680837" w:rsidRDefault="008A2C80" w:rsidP="008A2C80">
      <w:pPr>
        <w:ind w:left="567" w:right="-52" w:hanging="567"/>
        <w:jc w:val="left"/>
        <w:rPr>
          <w:lang w:val="en-GB"/>
        </w:rPr>
      </w:pPr>
      <w:r w:rsidRPr="00680837">
        <w:rPr>
          <w:lang w:val="en-GB"/>
        </w:rPr>
        <w:t xml:space="preserve">United Nations (UN). 2015. </w:t>
      </w:r>
      <w:hyperlink r:id="rId80" w:history="1">
        <w:r w:rsidRPr="00BC1BDC">
          <w:rPr>
            <w:rStyle w:val="Hyperlink"/>
            <w:i/>
            <w:lang w:val="en-GB"/>
          </w:rPr>
          <w:t>Report of the Special Rapporteur on the rights of persons with disabilities ( A/70/297)</w:t>
        </w:r>
      </w:hyperlink>
      <w:r w:rsidR="00ED2A53">
        <w:rPr>
          <w:rStyle w:val="Hyperlink"/>
          <w:i/>
          <w:lang w:val="en-GB"/>
        </w:rPr>
        <w:t>,</w:t>
      </w:r>
      <w:r w:rsidRPr="00680837">
        <w:rPr>
          <w:lang w:val="en-GB"/>
        </w:rPr>
        <w:t xml:space="preserve"> (New York). Available at: </w:t>
      </w:r>
      <w:hyperlink r:id="rId81" w:history="1">
        <w:r w:rsidRPr="00680837">
          <w:rPr>
            <w:rStyle w:val="Hyperlink"/>
            <w:lang w:val="en-GB"/>
          </w:rPr>
          <w:t>http://www.un.org/en/ga/search/view_doc.asp?symbol=A/70/297</w:t>
        </w:r>
      </w:hyperlink>
      <w:r w:rsidRPr="00680837">
        <w:rPr>
          <w:lang w:val="en-GB"/>
        </w:rPr>
        <w:t>. [24 February 2017]</w:t>
      </w:r>
    </w:p>
    <w:p w14:paraId="5A98D910" w14:textId="466B26AB" w:rsidR="008A2C80" w:rsidRPr="00E30D0F" w:rsidRDefault="008A2C80" w:rsidP="008A2C80">
      <w:pPr>
        <w:ind w:left="567" w:right="-52" w:hanging="567"/>
        <w:jc w:val="left"/>
        <w:rPr>
          <w:lang w:val="de-CH"/>
        </w:rPr>
      </w:pPr>
      <w:r w:rsidRPr="00680837">
        <w:rPr>
          <w:lang w:val="en-GB"/>
        </w:rPr>
        <w:t xml:space="preserve">Washington Group on Disability Statistics. </w:t>
      </w:r>
      <w:r>
        <w:rPr>
          <w:lang w:val="en-GB"/>
        </w:rPr>
        <w:t xml:space="preserve">2017. </w:t>
      </w:r>
      <w:r w:rsidRPr="00680837">
        <w:rPr>
          <w:lang w:val="en-GB"/>
        </w:rPr>
        <w:t xml:space="preserve">Available at: </w:t>
      </w:r>
      <w:hyperlink r:id="rId82" w:history="1">
        <w:r w:rsidRPr="00680837">
          <w:rPr>
            <w:rStyle w:val="Hyperlink"/>
            <w:lang w:val="en-GB"/>
          </w:rPr>
          <w:t>http://www.washingtongroup-disability.com</w:t>
        </w:r>
      </w:hyperlink>
      <w:r w:rsidRPr="00680837">
        <w:rPr>
          <w:lang w:val="en-GB"/>
        </w:rPr>
        <w:t xml:space="preserve">. </w:t>
      </w:r>
      <w:r w:rsidRPr="00E30D0F">
        <w:rPr>
          <w:lang w:val="de-CH"/>
        </w:rPr>
        <w:t>[24 February 2017]</w:t>
      </w:r>
    </w:p>
    <w:p w14:paraId="34CC3120" w14:textId="4D1BFE69" w:rsidR="008A2C80" w:rsidRDefault="008A2C80" w:rsidP="008A2C80">
      <w:pPr>
        <w:ind w:left="567" w:right="-52" w:hanging="567"/>
        <w:jc w:val="left"/>
        <w:rPr>
          <w:lang w:val="en-GB"/>
        </w:rPr>
      </w:pPr>
      <w:r w:rsidRPr="00E30D0F">
        <w:rPr>
          <w:lang w:val="de-CH"/>
        </w:rPr>
        <w:t xml:space="preserve">Walsham, M and Blanchet, K. 2015. </w:t>
      </w:r>
      <w:hyperlink r:id="rId83" w:history="1">
        <w:r w:rsidRPr="00E30D0F">
          <w:rPr>
            <w:rStyle w:val="Hyperlink"/>
            <w:lang w:val="de-CH"/>
          </w:rPr>
          <w:t>Inclusive social protection checklist</w:t>
        </w:r>
      </w:hyperlink>
      <w:r w:rsidR="00F9355D" w:rsidRPr="00E30D0F">
        <w:rPr>
          <w:lang w:val="de-CH"/>
        </w:rPr>
        <w:t>,</w:t>
      </w:r>
      <w:r w:rsidRPr="00E30D0F">
        <w:rPr>
          <w:lang w:val="de-CH"/>
        </w:rPr>
        <w:t xml:space="preserve"> </w:t>
      </w:r>
      <w:r w:rsidR="00F9355D" w:rsidRPr="00E30D0F">
        <w:rPr>
          <w:lang w:val="de-CH"/>
        </w:rPr>
        <w:t xml:space="preserve">(Bonn, </w:t>
      </w:r>
      <w:r w:rsidRPr="00E30D0F">
        <w:rPr>
          <w:lang w:val="de-CH"/>
        </w:rPr>
        <w:t>Deutsche Gesellschaft für</w:t>
      </w:r>
      <w:r w:rsidR="003C05F8" w:rsidRPr="00E30D0F">
        <w:rPr>
          <w:lang w:val="de-CH"/>
        </w:rPr>
        <w:t xml:space="preserve"> </w:t>
      </w:r>
      <w:r w:rsidRPr="00E30D0F">
        <w:rPr>
          <w:lang w:val="de-CH"/>
        </w:rPr>
        <w:t>Internationale Zusammenarbeit (GIZ) GmbH</w:t>
      </w:r>
      <w:r w:rsidR="00F9355D" w:rsidRPr="00E30D0F">
        <w:rPr>
          <w:lang w:val="de-CH"/>
        </w:rPr>
        <w:t>)</w:t>
      </w:r>
      <w:r w:rsidRPr="00E30D0F">
        <w:rPr>
          <w:lang w:val="de-CH"/>
        </w:rPr>
        <w:t xml:space="preserve">. </w:t>
      </w:r>
      <w:r w:rsidRPr="00AF6EF6">
        <w:rPr>
          <w:lang w:val="en-GB"/>
        </w:rPr>
        <w:t xml:space="preserve">Available at: </w:t>
      </w:r>
      <w:hyperlink r:id="rId84" w:history="1">
        <w:r w:rsidRPr="00AF6EF6">
          <w:rPr>
            <w:color w:val="2E74B5" w:themeColor="accent1" w:themeShade="BF"/>
            <w:u w:val="single"/>
            <w:lang w:val="en-GB"/>
          </w:rPr>
          <w:t>https://www.giz.de/expertise/downloads/giz-en2015-inclusive-social-protection-checklist-bf.pdf</w:t>
        </w:r>
      </w:hyperlink>
      <w:r w:rsidRPr="00AF6EF6">
        <w:rPr>
          <w:lang w:val="en-GB"/>
        </w:rPr>
        <w:t xml:space="preserve">. </w:t>
      </w:r>
      <w:r w:rsidRPr="00680837">
        <w:rPr>
          <w:lang w:val="en-GB"/>
        </w:rPr>
        <w:t>[27 February 2017]</w:t>
      </w:r>
    </w:p>
    <w:p w14:paraId="18856B33" w14:textId="55C8E666" w:rsidR="008A2C80" w:rsidRPr="00680837" w:rsidRDefault="008A2C80" w:rsidP="008A2C80">
      <w:pPr>
        <w:ind w:left="567" w:right="-52" w:hanging="567"/>
        <w:jc w:val="left"/>
        <w:rPr>
          <w:lang w:val="en-GB"/>
        </w:rPr>
      </w:pPr>
      <w:r w:rsidRPr="00680837">
        <w:rPr>
          <w:lang w:val="en-GB"/>
        </w:rPr>
        <w:t xml:space="preserve">World Health Organization (WHO) and World Bank. 2011. </w:t>
      </w:r>
      <w:hyperlink r:id="rId85" w:history="1">
        <w:r w:rsidRPr="00BC1BDC">
          <w:rPr>
            <w:rStyle w:val="Hyperlink"/>
            <w:i/>
            <w:lang w:val="en-GB"/>
          </w:rPr>
          <w:t>World report on disability</w:t>
        </w:r>
      </w:hyperlink>
      <w:r w:rsidR="00ED2A53" w:rsidRPr="00ED2A53">
        <w:rPr>
          <w:rStyle w:val="Hyperlink"/>
          <w:i/>
          <w:lang w:val="en-GB"/>
        </w:rPr>
        <w:t>,</w:t>
      </w:r>
      <w:r w:rsidRPr="00680837">
        <w:rPr>
          <w:lang w:val="en-GB"/>
        </w:rPr>
        <w:t xml:space="preserve"> (Geneva). Available at: </w:t>
      </w:r>
      <w:hyperlink r:id="rId86" w:history="1">
        <w:r w:rsidRPr="00680837">
          <w:rPr>
            <w:rStyle w:val="Hyperlink"/>
            <w:lang w:val="en-GB"/>
          </w:rPr>
          <w:t>http://whqlibdoc.who.int/publications/2011/9789240685215_eng.pdf?ua=1</w:t>
        </w:r>
      </w:hyperlink>
      <w:r w:rsidRPr="00680837">
        <w:rPr>
          <w:lang w:val="en-GB"/>
        </w:rPr>
        <w:t>. [24 February 2017]</w:t>
      </w:r>
    </w:p>
    <w:p w14:paraId="516E3D72" w14:textId="58177173" w:rsidR="008A2C80" w:rsidRPr="00680837" w:rsidRDefault="008A2C80" w:rsidP="008A2C80">
      <w:pPr>
        <w:ind w:left="567" w:right="-52" w:hanging="567"/>
        <w:jc w:val="left"/>
        <w:rPr>
          <w:lang w:val="en-GB"/>
        </w:rPr>
      </w:pPr>
      <w:r w:rsidRPr="00680837">
        <w:rPr>
          <w:lang w:val="en-GB"/>
        </w:rPr>
        <w:t xml:space="preserve">World Health Organization (WHO). 2014. </w:t>
      </w:r>
      <w:hyperlink r:id="rId87" w:history="1">
        <w:r w:rsidRPr="00BC1BDC">
          <w:rPr>
            <w:rStyle w:val="Hyperlink"/>
            <w:i/>
            <w:lang w:val="en-GB"/>
          </w:rPr>
          <w:t>Concept Note: Opening the GATE for Assistive Health Technology: Shifting the paradigm</w:t>
        </w:r>
      </w:hyperlink>
      <w:r w:rsidR="00ED2A53">
        <w:rPr>
          <w:rStyle w:val="Hyperlink"/>
          <w:i/>
          <w:lang w:val="en-GB"/>
        </w:rPr>
        <w:t>,</w:t>
      </w:r>
      <w:r w:rsidR="00ED2A53" w:rsidRPr="00680837">
        <w:rPr>
          <w:i/>
          <w:lang w:val="en-GB"/>
        </w:rPr>
        <w:t xml:space="preserve"> </w:t>
      </w:r>
      <w:r w:rsidR="00ED2A53" w:rsidRPr="00680837">
        <w:rPr>
          <w:lang w:val="en-GB"/>
        </w:rPr>
        <w:t>(Geneva)</w:t>
      </w:r>
      <w:r w:rsidRPr="00680837">
        <w:rPr>
          <w:lang w:val="en-GB"/>
        </w:rPr>
        <w:t xml:space="preserve">. Available at: </w:t>
      </w:r>
      <w:hyperlink r:id="rId88" w:history="1">
        <w:r w:rsidRPr="00680837">
          <w:rPr>
            <w:rStyle w:val="Hyperlink"/>
            <w:lang w:val="en-GB"/>
          </w:rPr>
          <w:t>https://www.who.int/entity/phi/implementation/assistive_technology/concept_note.docx</w:t>
        </w:r>
      </w:hyperlink>
      <w:r w:rsidRPr="00680837">
        <w:rPr>
          <w:rStyle w:val="HTMLCite"/>
          <w:i w:val="0"/>
          <w:lang w:val="en-GB"/>
        </w:rPr>
        <w:t>. [24 February 2014]</w:t>
      </w:r>
    </w:p>
    <w:p w14:paraId="0D3827EB" w14:textId="0D2C92E3" w:rsidR="008A2C80" w:rsidRDefault="008A2C80" w:rsidP="008A2C80">
      <w:pPr>
        <w:ind w:left="567" w:right="-52" w:hanging="567"/>
        <w:jc w:val="left"/>
        <w:rPr>
          <w:lang w:val="en-GB"/>
        </w:rPr>
      </w:pPr>
      <w:r w:rsidRPr="00680837">
        <w:rPr>
          <w:lang w:val="en-GB"/>
        </w:rPr>
        <w:t xml:space="preserve">—. 2016. </w:t>
      </w:r>
      <w:hyperlink r:id="rId89" w:history="1">
        <w:r w:rsidRPr="00BC1BDC">
          <w:rPr>
            <w:rStyle w:val="Hyperlink"/>
            <w:i/>
            <w:lang w:val="en-GB"/>
          </w:rPr>
          <w:t>Priority assistive product list</w:t>
        </w:r>
      </w:hyperlink>
      <w:r w:rsidR="00ED2A53" w:rsidRPr="00ED2A53">
        <w:rPr>
          <w:rStyle w:val="Hyperlink"/>
          <w:i/>
          <w:lang w:val="en-GB"/>
        </w:rPr>
        <w:t>,</w:t>
      </w:r>
      <w:r w:rsidRPr="00680837">
        <w:rPr>
          <w:i/>
          <w:lang w:val="en-GB"/>
        </w:rPr>
        <w:t xml:space="preserve"> </w:t>
      </w:r>
      <w:r w:rsidRPr="00680837">
        <w:rPr>
          <w:lang w:val="en-GB"/>
        </w:rPr>
        <w:t xml:space="preserve">(Geneva). Available at: </w:t>
      </w:r>
      <w:hyperlink r:id="rId90" w:history="1">
        <w:r w:rsidRPr="00680837">
          <w:rPr>
            <w:rStyle w:val="Hyperlink"/>
            <w:lang w:val="en-GB"/>
          </w:rPr>
          <w:t>http://apps.who.int/iris/bitstream/10665/207694/1/WHO_EMP_PHI_2016.01_eng.pdf?ua=1</w:t>
        </w:r>
      </w:hyperlink>
      <w:r w:rsidRPr="00680837">
        <w:rPr>
          <w:lang w:val="en-GB"/>
        </w:rPr>
        <w:t>. [24 February 2017]</w:t>
      </w:r>
    </w:p>
    <w:p w14:paraId="3E600C42" w14:textId="77777777" w:rsidR="008A2C80" w:rsidRPr="00680837" w:rsidRDefault="008A2C80" w:rsidP="008A2C80">
      <w:pPr>
        <w:ind w:left="567" w:right="-52" w:hanging="567"/>
        <w:jc w:val="left"/>
        <w:rPr>
          <w:lang w:val="en-GB"/>
        </w:rPr>
      </w:pPr>
      <w:r w:rsidRPr="00680837">
        <w:rPr>
          <w:lang w:val="en-GB"/>
        </w:rPr>
        <w:t xml:space="preserve">Zaidi, A. and Burchardt, T. 2005. </w:t>
      </w:r>
      <w:hyperlink r:id="rId91" w:history="1">
        <w:r w:rsidRPr="00BC1BDC">
          <w:rPr>
            <w:rStyle w:val="Hyperlink"/>
            <w:lang w:val="en-GB"/>
          </w:rPr>
          <w:t>Comparing incomes when needs differ: equivalization for the extra costs of disability in the UK</w:t>
        </w:r>
      </w:hyperlink>
      <w:r w:rsidRPr="00680837">
        <w:rPr>
          <w:lang w:val="en-GB"/>
        </w:rPr>
        <w:t xml:space="preserve">. </w:t>
      </w:r>
      <w:r w:rsidRPr="00BC1BDC">
        <w:rPr>
          <w:lang w:val="en-GB"/>
        </w:rPr>
        <w:t>Review of Income and Wealth</w:t>
      </w:r>
      <w:r w:rsidRPr="00680837">
        <w:rPr>
          <w:lang w:val="en-GB"/>
        </w:rPr>
        <w:t xml:space="preserve">, 51(1): 89-114. </w:t>
      </w:r>
      <w:hyperlink r:id="rId92" w:history="1">
        <w:r w:rsidRPr="00680837">
          <w:rPr>
            <w:rStyle w:val="Hyperlink"/>
            <w:lang w:val="en-GB"/>
          </w:rPr>
          <w:t>http://dx.doi.org/10.1111/j.1475-4991.2005.00146.x</w:t>
        </w:r>
      </w:hyperlink>
      <w:r w:rsidRPr="00680837">
        <w:rPr>
          <w:lang w:val="en-GB"/>
        </w:rPr>
        <w:t>. [24 February 2017]</w:t>
      </w:r>
    </w:p>
    <w:p w14:paraId="7DBCF0DF" w14:textId="77777777" w:rsidR="008A2C80" w:rsidRPr="00680837" w:rsidRDefault="008A2C80" w:rsidP="008344A9">
      <w:pPr>
        <w:ind w:left="567" w:right="-52" w:hanging="567"/>
        <w:jc w:val="left"/>
        <w:rPr>
          <w:lang w:val="en-GB"/>
        </w:rPr>
      </w:pPr>
    </w:p>
    <w:p w14:paraId="2787C8DD" w14:textId="77777777" w:rsidR="00EF31C2" w:rsidRPr="00680837" w:rsidRDefault="00EF31C2" w:rsidP="00895463">
      <w:pPr>
        <w:rPr>
          <w:lang w:val="en-GB"/>
        </w:rPr>
      </w:pPr>
    </w:p>
    <w:p w14:paraId="6F5EE1A1" w14:textId="77777777" w:rsidR="00895463" w:rsidRPr="00680837" w:rsidRDefault="00895463" w:rsidP="00895463">
      <w:pPr>
        <w:rPr>
          <w:lang w:val="en-GB"/>
        </w:rPr>
        <w:sectPr w:rsidR="00895463" w:rsidRPr="00680837" w:rsidSect="004D3D9E">
          <w:headerReference w:type="even" r:id="rId93"/>
          <w:headerReference w:type="default" r:id="rId94"/>
          <w:footerReference w:type="default" r:id="rId95"/>
          <w:headerReference w:type="first" r:id="rId96"/>
          <w:endnotePr>
            <w:numFmt w:val="decimal"/>
          </w:endnotePr>
          <w:pgSz w:w="11900" w:h="16840"/>
          <w:pgMar w:top="1440" w:right="1440" w:bottom="1440" w:left="1440" w:header="708" w:footer="708" w:gutter="0"/>
          <w:cols w:space="708"/>
          <w:docGrid w:linePitch="360"/>
        </w:sectPr>
      </w:pPr>
    </w:p>
    <w:p w14:paraId="79F86167" w14:textId="714C602F" w:rsidR="00974717" w:rsidRPr="00680837" w:rsidRDefault="002D732A" w:rsidP="002D732A">
      <w:pPr>
        <w:pStyle w:val="Heading1"/>
        <w:rPr>
          <w:b w:val="0"/>
          <w:sz w:val="22"/>
          <w:szCs w:val="22"/>
          <w:lang w:val="en-GB"/>
        </w:rPr>
      </w:pPr>
      <w:bookmarkStart w:id="17" w:name="_Toc504036302"/>
      <w:r w:rsidRPr="00680837">
        <w:rPr>
          <w:lang w:val="en-GB"/>
        </w:rPr>
        <w:t>A</w:t>
      </w:r>
      <w:r w:rsidR="00E433C8">
        <w:rPr>
          <w:lang w:val="en-GB"/>
        </w:rPr>
        <w:t>ppendix</w:t>
      </w:r>
      <w:bookmarkEnd w:id="17"/>
    </w:p>
    <w:p w14:paraId="3D7E457D" w14:textId="020BC3BE" w:rsidR="002D732A" w:rsidRPr="00680837" w:rsidRDefault="002D732A" w:rsidP="00384450">
      <w:pPr>
        <w:rPr>
          <w:szCs w:val="22"/>
          <w:lang w:val="en-GB"/>
        </w:rPr>
      </w:pPr>
      <w:r w:rsidRPr="00680837">
        <w:rPr>
          <w:szCs w:val="22"/>
          <w:lang w:val="en-GB"/>
        </w:rPr>
        <w:t>The table below provides some concrete examples of how social protection systems c</w:t>
      </w:r>
      <w:r w:rsidR="00826AFE">
        <w:rPr>
          <w:szCs w:val="22"/>
          <w:lang w:val="en-GB"/>
        </w:rPr>
        <w:t>ould</w:t>
      </w:r>
      <w:r w:rsidRPr="00680837">
        <w:rPr>
          <w:szCs w:val="22"/>
          <w:lang w:val="en-GB"/>
        </w:rPr>
        <w:t xml:space="preserve"> be rendered more disability-inclusive by combining enhanced access to mainstream schemes </w:t>
      </w:r>
      <w:r w:rsidR="00C75C7C">
        <w:rPr>
          <w:szCs w:val="22"/>
          <w:lang w:val="en-GB"/>
        </w:rPr>
        <w:t>with</w:t>
      </w:r>
      <w:r w:rsidRPr="00680837">
        <w:rPr>
          <w:szCs w:val="22"/>
          <w:lang w:val="en-GB"/>
        </w:rPr>
        <w:t xml:space="preserve"> disability</w:t>
      </w:r>
      <w:r w:rsidR="00C75C7C">
        <w:rPr>
          <w:szCs w:val="22"/>
          <w:lang w:val="en-GB"/>
        </w:rPr>
        <w:t>-</w:t>
      </w:r>
      <w:r w:rsidRPr="00680837">
        <w:rPr>
          <w:szCs w:val="22"/>
          <w:lang w:val="en-GB"/>
        </w:rPr>
        <w:t>specific schemes. It is in no way an exhaustive list of possible interventions.</w:t>
      </w:r>
    </w:p>
    <w:tbl>
      <w:tblPr>
        <w:tblW w:w="15400" w:type="dxa"/>
        <w:tblInd w:w="55" w:type="dxa"/>
        <w:tblLook w:val="04A0" w:firstRow="1" w:lastRow="0" w:firstColumn="1" w:lastColumn="0" w:noHBand="0" w:noVBand="1"/>
      </w:tblPr>
      <w:tblGrid>
        <w:gridCol w:w="1701"/>
        <w:gridCol w:w="6886"/>
        <w:gridCol w:w="6813"/>
      </w:tblGrid>
      <w:tr w:rsidR="00C7367E" w:rsidRPr="00680837" w14:paraId="37EAEF22" w14:textId="77777777" w:rsidTr="00E30D0F">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1BFA84BA" w14:textId="1FF8C547" w:rsidR="00974717" w:rsidRPr="00680837" w:rsidRDefault="00974717" w:rsidP="00A95017">
            <w:pPr>
              <w:rPr>
                <w:sz w:val="20"/>
                <w:szCs w:val="19"/>
                <w:lang w:val="en-GB"/>
              </w:rPr>
            </w:pPr>
          </w:p>
        </w:tc>
        <w:tc>
          <w:tcPr>
            <w:tcW w:w="6886"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74C28326" w14:textId="34247648" w:rsidR="00974717" w:rsidRPr="00680837" w:rsidRDefault="003D4284" w:rsidP="00A95017">
            <w:pPr>
              <w:ind w:left="426"/>
              <w:jc w:val="center"/>
              <w:rPr>
                <w:b/>
                <w:sz w:val="20"/>
                <w:szCs w:val="19"/>
                <w:lang w:val="en-GB"/>
              </w:rPr>
            </w:pPr>
            <w:r w:rsidRPr="00680837">
              <w:rPr>
                <w:b/>
                <w:sz w:val="20"/>
                <w:szCs w:val="19"/>
                <w:lang w:val="en-GB"/>
              </w:rPr>
              <w:t>MAINSTREAM SCHEMES AND PROGRAMMES</w:t>
            </w:r>
          </w:p>
        </w:tc>
        <w:tc>
          <w:tcPr>
            <w:tcW w:w="6813"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652E2FC1" w14:textId="7A7DD1BB" w:rsidR="00974717" w:rsidRPr="00680837" w:rsidRDefault="003D4284" w:rsidP="002D732A">
            <w:pPr>
              <w:jc w:val="center"/>
              <w:rPr>
                <w:b/>
                <w:sz w:val="20"/>
                <w:szCs w:val="19"/>
                <w:lang w:val="en-GB"/>
              </w:rPr>
            </w:pPr>
            <w:r w:rsidRPr="00680837">
              <w:rPr>
                <w:b/>
                <w:sz w:val="20"/>
                <w:szCs w:val="19"/>
                <w:lang w:val="en-GB"/>
              </w:rPr>
              <w:t>DISABILITY</w:t>
            </w:r>
            <w:r w:rsidR="00C75C7C">
              <w:rPr>
                <w:b/>
                <w:sz w:val="20"/>
                <w:szCs w:val="19"/>
                <w:lang w:val="en-GB"/>
              </w:rPr>
              <w:t>-</w:t>
            </w:r>
            <w:r w:rsidRPr="00680837">
              <w:rPr>
                <w:b/>
                <w:sz w:val="20"/>
                <w:szCs w:val="19"/>
                <w:lang w:val="en-GB"/>
              </w:rPr>
              <w:t>SPECIFIC SCHEMES AND PROGRAMMES</w:t>
            </w:r>
          </w:p>
        </w:tc>
      </w:tr>
      <w:tr w:rsidR="00C7367E" w:rsidRPr="00680837" w14:paraId="46DC67E8"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tcPr>
          <w:p w14:paraId="4AE4B408" w14:textId="77777777" w:rsidR="00974717" w:rsidRPr="00680837" w:rsidRDefault="00974717" w:rsidP="003D4284">
            <w:pPr>
              <w:jc w:val="left"/>
              <w:rPr>
                <w:sz w:val="20"/>
                <w:szCs w:val="19"/>
                <w:lang w:val="en-GB"/>
              </w:rPr>
            </w:pPr>
            <w:r w:rsidRPr="00680837">
              <w:rPr>
                <w:sz w:val="20"/>
                <w:szCs w:val="19"/>
                <w:lang w:val="en-GB"/>
              </w:rPr>
              <w:t>General</w:t>
            </w:r>
          </w:p>
        </w:tc>
        <w:tc>
          <w:tcPr>
            <w:tcW w:w="6886" w:type="dxa"/>
            <w:tcBorders>
              <w:top w:val="nil"/>
              <w:left w:val="nil"/>
              <w:bottom w:val="single" w:sz="4" w:space="0" w:color="auto"/>
              <w:right w:val="single" w:sz="4" w:space="0" w:color="auto"/>
            </w:tcBorders>
            <w:shd w:val="clear" w:color="auto" w:fill="auto"/>
            <w:noWrap/>
          </w:tcPr>
          <w:p w14:paraId="42DB7817" w14:textId="05D8B384" w:rsidR="00974717" w:rsidRPr="00680837" w:rsidRDefault="00974717" w:rsidP="00EC23DA">
            <w:pPr>
              <w:pStyle w:val="ListParagraph"/>
              <w:numPr>
                <w:ilvl w:val="0"/>
                <w:numId w:val="13"/>
              </w:numPr>
              <w:ind w:left="298" w:hanging="298"/>
              <w:rPr>
                <w:sz w:val="20"/>
                <w:szCs w:val="19"/>
                <w:lang w:val="en-GB"/>
              </w:rPr>
            </w:pPr>
            <w:r w:rsidRPr="00680837">
              <w:rPr>
                <w:sz w:val="20"/>
                <w:szCs w:val="19"/>
                <w:lang w:val="en-GB"/>
              </w:rPr>
              <w:t>Ensur</w:t>
            </w:r>
            <w:r w:rsidR="000642C2" w:rsidRPr="00680837">
              <w:rPr>
                <w:sz w:val="20"/>
                <w:szCs w:val="19"/>
                <w:lang w:val="en-GB"/>
              </w:rPr>
              <w:t>e</w:t>
            </w:r>
            <w:r w:rsidRPr="00680837">
              <w:rPr>
                <w:sz w:val="20"/>
                <w:szCs w:val="19"/>
                <w:lang w:val="en-GB"/>
              </w:rPr>
              <w:t xml:space="preserve"> that national social protection legal frameworks guarantee the rights of persons with di</w:t>
            </w:r>
            <w:r w:rsidR="000642C2" w:rsidRPr="00680837">
              <w:rPr>
                <w:sz w:val="20"/>
                <w:szCs w:val="19"/>
                <w:lang w:val="en-GB"/>
              </w:rPr>
              <w:t>sabilities to social protection.</w:t>
            </w:r>
          </w:p>
          <w:p w14:paraId="789AD462" w14:textId="16F46990" w:rsidR="00974717" w:rsidRPr="00680837" w:rsidRDefault="000642C2" w:rsidP="00EC23DA">
            <w:pPr>
              <w:pStyle w:val="ListParagraph"/>
              <w:numPr>
                <w:ilvl w:val="0"/>
                <w:numId w:val="13"/>
              </w:numPr>
              <w:ind w:left="298" w:hanging="298"/>
              <w:rPr>
                <w:sz w:val="20"/>
                <w:szCs w:val="19"/>
                <w:lang w:val="en-GB"/>
              </w:rPr>
            </w:pPr>
            <w:r w:rsidRPr="00680837">
              <w:rPr>
                <w:sz w:val="20"/>
                <w:szCs w:val="19"/>
                <w:lang w:val="en-GB"/>
              </w:rPr>
              <w:t>Ensure</w:t>
            </w:r>
            <w:r w:rsidR="00974717" w:rsidRPr="00680837">
              <w:rPr>
                <w:sz w:val="20"/>
                <w:szCs w:val="19"/>
                <w:lang w:val="en-GB"/>
              </w:rPr>
              <w:t xml:space="preserve"> that persons with disabilities have equal access to mainstream social protection programmes and services, including</w:t>
            </w:r>
            <w:r w:rsidR="004375AD">
              <w:rPr>
                <w:sz w:val="20"/>
                <w:szCs w:val="19"/>
                <w:lang w:val="en-GB"/>
              </w:rPr>
              <w:t xml:space="preserve"> by providing</w:t>
            </w:r>
            <w:r w:rsidR="00974717" w:rsidRPr="00680837">
              <w:rPr>
                <w:sz w:val="20"/>
                <w:szCs w:val="19"/>
                <w:lang w:val="en-GB"/>
              </w:rPr>
              <w:t xml:space="preserve"> </w:t>
            </w:r>
            <w:r w:rsidR="004375AD" w:rsidRPr="004375AD">
              <w:rPr>
                <w:sz w:val="20"/>
                <w:szCs w:val="19"/>
                <w:lang w:val="en-GB"/>
              </w:rPr>
              <w:t>accessible</w:t>
            </w:r>
            <w:r w:rsidR="004375AD" w:rsidRPr="00680837">
              <w:rPr>
                <w:sz w:val="20"/>
                <w:szCs w:val="19"/>
                <w:lang w:val="en-GB"/>
              </w:rPr>
              <w:t xml:space="preserve"> information</w:t>
            </w:r>
            <w:r w:rsidR="00974717" w:rsidRPr="00680837">
              <w:rPr>
                <w:sz w:val="20"/>
                <w:szCs w:val="19"/>
                <w:lang w:val="en-GB"/>
              </w:rPr>
              <w:t xml:space="preserve"> and communication</w:t>
            </w:r>
            <w:r w:rsidR="00D67DED">
              <w:rPr>
                <w:sz w:val="20"/>
                <w:szCs w:val="19"/>
                <w:lang w:val="en-GB"/>
              </w:rPr>
              <w:t>.</w:t>
            </w:r>
          </w:p>
          <w:p w14:paraId="66D29F1F" w14:textId="71DAAC3C" w:rsidR="00974717" w:rsidRPr="00680837" w:rsidRDefault="000642C2" w:rsidP="00EC23DA">
            <w:pPr>
              <w:pStyle w:val="ListParagraph"/>
              <w:numPr>
                <w:ilvl w:val="0"/>
                <w:numId w:val="7"/>
              </w:numPr>
              <w:ind w:left="298" w:hanging="298"/>
              <w:rPr>
                <w:sz w:val="20"/>
                <w:szCs w:val="19"/>
                <w:lang w:val="en-GB"/>
              </w:rPr>
            </w:pPr>
            <w:r w:rsidRPr="00680837">
              <w:rPr>
                <w:sz w:val="20"/>
                <w:szCs w:val="19"/>
                <w:lang w:val="en-GB"/>
              </w:rPr>
              <w:t>Include</w:t>
            </w:r>
            <w:r w:rsidR="00974717" w:rsidRPr="00680837">
              <w:rPr>
                <w:sz w:val="20"/>
                <w:szCs w:val="19"/>
                <w:lang w:val="en-GB"/>
              </w:rPr>
              <w:t xml:space="preserve"> disability-specific indicators to monitor the inclusiveness of social protection programmes and the system as a whole</w:t>
            </w:r>
            <w:r w:rsidR="004575D3" w:rsidRPr="00680837">
              <w:rPr>
                <w:sz w:val="20"/>
                <w:szCs w:val="19"/>
                <w:lang w:val="en-GB"/>
              </w:rPr>
              <w:t xml:space="preserve">, and further disaggregate this data by </w:t>
            </w:r>
            <w:r w:rsidR="005F3AB7" w:rsidRPr="00680837">
              <w:rPr>
                <w:sz w:val="20"/>
                <w:szCs w:val="19"/>
                <w:lang w:val="en-GB"/>
              </w:rPr>
              <w:t>gender or</w:t>
            </w:r>
            <w:r w:rsidR="004D62FF" w:rsidRPr="00680837">
              <w:rPr>
                <w:sz w:val="20"/>
                <w:szCs w:val="19"/>
                <w:lang w:val="en-GB"/>
              </w:rPr>
              <w:t xml:space="preserve"> other relevant characteristics</w:t>
            </w:r>
            <w:r w:rsidR="00D03659" w:rsidRPr="00680837">
              <w:rPr>
                <w:sz w:val="20"/>
                <w:szCs w:val="19"/>
                <w:lang w:val="en-GB"/>
              </w:rPr>
              <w:t>.</w:t>
            </w:r>
          </w:p>
          <w:p w14:paraId="2C854521" w14:textId="55886935" w:rsidR="003D6932" w:rsidRPr="00680837" w:rsidRDefault="003D6932" w:rsidP="00EC23DA">
            <w:pPr>
              <w:pStyle w:val="ListParagraph"/>
              <w:numPr>
                <w:ilvl w:val="0"/>
                <w:numId w:val="17"/>
              </w:numPr>
              <w:ind w:left="298" w:hanging="298"/>
              <w:rPr>
                <w:sz w:val="20"/>
                <w:szCs w:val="19"/>
                <w:lang w:val="en-GB"/>
              </w:rPr>
            </w:pPr>
            <w:r w:rsidRPr="00680837">
              <w:rPr>
                <w:sz w:val="20"/>
                <w:szCs w:val="19"/>
                <w:lang w:val="en-GB"/>
              </w:rPr>
              <w:t>Explicitly refer to persons with disabilities as a target group in any mainstream program</w:t>
            </w:r>
            <w:r w:rsidR="004575D3" w:rsidRPr="00680837">
              <w:rPr>
                <w:sz w:val="20"/>
                <w:szCs w:val="19"/>
                <w:lang w:val="en-GB"/>
              </w:rPr>
              <w:t xml:space="preserve">me </w:t>
            </w:r>
            <w:r w:rsidR="004D62FF" w:rsidRPr="00680837">
              <w:rPr>
                <w:sz w:val="20"/>
                <w:szCs w:val="19"/>
                <w:lang w:val="en-GB"/>
              </w:rPr>
              <w:t>taking in</w:t>
            </w:r>
            <w:r w:rsidR="00D67DED">
              <w:rPr>
                <w:sz w:val="20"/>
                <w:szCs w:val="19"/>
                <w:lang w:val="en-GB"/>
              </w:rPr>
              <w:t>to</w:t>
            </w:r>
            <w:r w:rsidR="004D62FF" w:rsidRPr="00680837">
              <w:rPr>
                <w:sz w:val="20"/>
                <w:szCs w:val="19"/>
                <w:lang w:val="en-GB"/>
              </w:rPr>
              <w:t xml:space="preserve"> consideration </w:t>
            </w:r>
            <w:r w:rsidR="004575D3" w:rsidRPr="00680837">
              <w:rPr>
                <w:sz w:val="20"/>
                <w:szCs w:val="19"/>
                <w:lang w:val="en-GB"/>
              </w:rPr>
              <w:t>additional barriers</w:t>
            </w:r>
            <w:r w:rsidR="00C75C7C">
              <w:rPr>
                <w:sz w:val="20"/>
                <w:szCs w:val="19"/>
                <w:lang w:val="en-GB"/>
              </w:rPr>
              <w:t xml:space="preserve"> which</w:t>
            </w:r>
            <w:r w:rsidR="00C75C7C" w:rsidRPr="00680837">
              <w:rPr>
                <w:sz w:val="20"/>
                <w:szCs w:val="19"/>
                <w:lang w:val="en-GB"/>
              </w:rPr>
              <w:t xml:space="preserve"> </w:t>
            </w:r>
            <w:r w:rsidR="004D62FF" w:rsidRPr="00680837">
              <w:rPr>
                <w:sz w:val="20"/>
                <w:szCs w:val="19"/>
                <w:lang w:val="en-GB"/>
              </w:rPr>
              <w:t xml:space="preserve">may be </w:t>
            </w:r>
            <w:r w:rsidR="00D67DED">
              <w:rPr>
                <w:sz w:val="20"/>
                <w:szCs w:val="19"/>
                <w:lang w:val="en-GB"/>
              </w:rPr>
              <w:t>encountered</w:t>
            </w:r>
            <w:r w:rsidR="00D67DED" w:rsidRPr="00680837">
              <w:rPr>
                <w:sz w:val="20"/>
                <w:szCs w:val="19"/>
                <w:lang w:val="en-GB"/>
              </w:rPr>
              <w:t xml:space="preserve"> </w:t>
            </w:r>
            <w:r w:rsidR="004D62FF" w:rsidRPr="00680837">
              <w:rPr>
                <w:sz w:val="20"/>
                <w:szCs w:val="19"/>
                <w:lang w:val="en-GB"/>
              </w:rPr>
              <w:t>by</w:t>
            </w:r>
            <w:r w:rsidR="004575D3" w:rsidRPr="00680837">
              <w:rPr>
                <w:sz w:val="20"/>
                <w:szCs w:val="19"/>
                <w:lang w:val="en-GB"/>
              </w:rPr>
              <w:t xml:space="preserve"> women, </w:t>
            </w:r>
            <w:r w:rsidR="00B908D3" w:rsidRPr="00680837">
              <w:rPr>
                <w:sz w:val="20"/>
                <w:szCs w:val="19"/>
                <w:lang w:val="en-GB"/>
              </w:rPr>
              <w:t>indigenous people</w:t>
            </w:r>
            <w:r w:rsidR="004575D3" w:rsidRPr="00680837">
              <w:rPr>
                <w:sz w:val="20"/>
                <w:szCs w:val="19"/>
                <w:lang w:val="en-GB"/>
              </w:rPr>
              <w:t>, persons in rural locations</w:t>
            </w:r>
            <w:r w:rsidR="00C75C7C">
              <w:rPr>
                <w:sz w:val="20"/>
                <w:szCs w:val="19"/>
                <w:lang w:val="en-GB"/>
              </w:rPr>
              <w:t>, etc.</w:t>
            </w:r>
          </w:p>
          <w:p w14:paraId="7FB77CC8" w14:textId="6D0E7FEB" w:rsidR="00974717" w:rsidRPr="00680837" w:rsidRDefault="00C36AB4" w:rsidP="00EC23DA">
            <w:pPr>
              <w:pStyle w:val="ListParagraph"/>
              <w:numPr>
                <w:ilvl w:val="0"/>
                <w:numId w:val="17"/>
              </w:numPr>
              <w:ind w:left="298" w:hanging="298"/>
              <w:rPr>
                <w:sz w:val="20"/>
                <w:szCs w:val="19"/>
                <w:lang w:val="en-GB"/>
              </w:rPr>
            </w:pPr>
            <w:r w:rsidRPr="00680837">
              <w:rPr>
                <w:sz w:val="20"/>
                <w:szCs w:val="19"/>
                <w:lang w:val="en-GB"/>
              </w:rPr>
              <w:t>Unbundle</w:t>
            </w:r>
            <w:r w:rsidR="00974717" w:rsidRPr="00680837">
              <w:rPr>
                <w:sz w:val="20"/>
                <w:szCs w:val="19"/>
                <w:lang w:val="en-GB"/>
              </w:rPr>
              <w:t xml:space="preserve"> </w:t>
            </w:r>
            <w:r w:rsidR="001102C9" w:rsidRPr="00680837">
              <w:rPr>
                <w:sz w:val="20"/>
                <w:szCs w:val="19"/>
                <w:lang w:val="en-GB"/>
              </w:rPr>
              <w:t xml:space="preserve">basic </w:t>
            </w:r>
            <w:r w:rsidR="00974717" w:rsidRPr="00680837">
              <w:rPr>
                <w:sz w:val="20"/>
                <w:szCs w:val="19"/>
                <w:lang w:val="en-GB"/>
              </w:rPr>
              <w:t>income support/so</w:t>
            </w:r>
            <w:r w:rsidR="00C03D97" w:rsidRPr="00680837">
              <w:rPr>
                <w:sz w:val="20"/>
                <w:szCs w:val="19"/>
                <w:lang w:val="en-GB"/>
              </w:rPr>
              <w:t>cial assistance and disability-related</w:t>
            </w:r>
            <w:r w:rsidR="00974717" w:rsidRPr="00680837">
              <w:rPr>
                <w:sz w:val="20"/>
                <w:szCs w:val="19"/>
                <w:lang w:val="en-GB"/>
              </w:rPr>
              <w:t xml:space="preserve"> support</w:t>
            </w:r>
            <w:r w:rsidR="000642C2" w:rsidRPr="00680837">
              <w:rPr>
                <w:sz w:val="20"/>
                <w:szCs w:val="19"/>
                <w:lang w:val="en-GB"/>
              </w:rPr>
              <w:t>.</w:t>
            </w:r>
          </w:p>
          <w:p w14:paraId="392F5B47" w14:textId="50BCA8F4" w:rsidR="00C36AB4" w:rsidRPr="00680837" w:rsidRDefault="00C36AB4" w:rsidP="004D62FF">
            <w:pPr>
              <w:pStyle w:val="ListParagraph"/>
              <w:numPr>
                <w:ilvl w:val="0"/>
                <w:numId w:val="17"/>
              </w:numPr>
              <w:ind w:left="298" w:hanging="298"/>
              <w:rPr>
                <w:sz w:val="20"/>
                <w:szCs w:val="19"/>
                <w:lang w:val="en-GB"/>
              </w:rPr>
            </w:pPr>
            <w:r w:rsidRPr="00680837">
              <w:rPr>
                <w:sz w:val="20"/>
                <w:szCs w:val="19"/>
                <w:lang w:val="en-GB"/>
              </w:rPr>
              <w:t>Ensure that beneficiaries of income support programmes also have effective access to health care, education, care and other services</w:t>
            </w:r>
            <w:r w:rsidR="000642C2" w:rsidRPr="00680837">
              <w:rPr>
                <w:sz w:val="20"/>
                <w:szCs w:val="19"/>
                <w:lang w:val="en-GB"/>
              </w:rPr>
              <w:t>.</w:t>
            </w:r>
          </w:p>
        </w:tc>
        <w:tc>
          <w:tcPr>
            <w:tcW w:w="6813" w:type="dxa"/>
            <w:tcBorders>
              <w:top w:val="nil"/>
              <w:left w:val="nil"/>
              <w:bottom w:val="single" w:sz="4" w:space="0" w:color="auto"/>
              <w:right w:val="single" w:sz="4" w:space="0" w:color="auto"/>
            </w:tcBorders>
            <w:shd w:val="clear" w:color="auto" w:fill="auto"/>
            <w:noWrap/>
          </w:tcPr>
          <w:p w14:paraId="68CD85A9" w14:textId="382BA21E" w:rsidR="00974717" w:rsidRPr="00680837" w:rsidRDefault="00520339" w:rsidP="00EC23DA">
            <w:pPr>
              <w:pStyle w:val="ListParagraph"/>
              <w:numPr>
                <w:ilvl w:val="0"/>
                <w:numId w:val="17"/>
              </w:numPr>
              <w:ind w:left="312" w:hanging="312"/>
              <w:rPr>
                <w:sz w:val="20"/>
                <w:szCs w:val="19"/>
                <w:lang w:val="en-GB"/>
              </w:rPr>
            </w:pPr>
            <w:r w:rsidRPr="00680837">
              <w:rPr>
                <w:sz w:val="20"/>
                <w:szCs w:val="19"/>
                <w:lang w:val="en-GB"/>
              </w:rPr>
              <w:t>Ensure</w:t>
            </w:r>
            <w:r w:rsidR="00974717" w:rsidRPr="00680837">
              <w:rPr>
                <w:sz w:val="20"/>
                <w:szCs w:val="19"/>
                <w:lang w:val="en-GB"/>
              </w:rPr>
              <w:t xml:space="preserve"> that disability-related costs and support in cash and in kind (e.g. assistive devices, mobility aids) are reflected in national social protection systems</w:t>
            </w:r>
            <w:r w:rsidR="00EC23DA" w:rsidRPr="00680837">
              <w:rPr>
                <w:sz w:val="20"/>
                <w:szCs w:val="19"/>
                <w:lang w:val="en-GB"/>
              </w:rPr>
              <w:t>.</w:t>
            </w:r>
          </w:p>
          <w:p w14:paraId="2F8DA08D" w14:textId="233286D1" w:rsidR="00974717" w:rsidRPr="00680837" w:rsidRDefault="00520339" w:rsidP="00EC23DA">
            <w:pPr>
              <w:pStyle w:val="ListParagraph"/>
              <w:numPr>
                <w:ilvl w:val="0"/>
                <w:numId w:val="17"/>
              </w:numPr>
              <w:ind w:left="312" w:hanging="312"/>
              <w:rPr>
                <w:sz w:val="20"/>
                <w:szCs w:val="19"/>
                <w:lang w:val="en-GB"/>
              </w:rPr>
            </w:pPr>
            <w:r w:rsidRPr="00680837">
              <w:rPr>
                <w:sz w:val="20"/>
                <w:szCs w:val="19"/>
                <w:lang w:val="en-GB"/>
              </w:rPr>
              <w:t>Review</w:t>
            </w:r>
            <w:r w:rsidR="00974717" w:rsidRPr="00680837">
              <w:rPr>
                <w:sz w:val="20"/>
                <w:szCs w:val="19"/>
                <w:lang w:val="en-GB"/>
              </w:rPr>
              <w:t xml:space="preserve"> national definitions and eligibility criteria of persons with disabilities to ensure their conformity with the CRPD.</w:t>
            </w:r>
          </w:p>
          <w:p w14:paraId="6CA54797" w14:textId="77777777" w:rsidR="00974717" w:rsidRPr="00680837" w:rsidRDefault="00520339" w:rsidP="00EC23DA">
            <w:pPr>
              <w:pStyle w:val="ListParagraph"/>
              <w:numPr>
                <w:ilvl w:val="0"/>
                <w:numId w:val="17"/>
              </w:numPr>
              <w:ind w:left="312" w:hanging="312"/>
              <w:rPr>
                <w:sz w:val="20"/>
                <w:szCs w:val="19"/>
                <w:lang w:val="en-GB"/>
              </w:rPr>
            </w:pPr>
            <w:r w:rsidRPr="00680837">
              <w:rPr>
                <w:sz w:val="20"/>
                <w:szCs w:val="19"/>
                <w:lang w:val="en-GB"/>
              </w:rPr>
              <w:t>Ensure</w:t>
            </w:r>
            <w:r w:rsidR="00974717" w:rsidRPr="00680837">
              <w:rPr>
                <w:sz w:val="20"/>
                <w:szCs w:val="19"/>
                <w:lang w:val="en-GB"/>
              </w:rPr>
              <w:t xml:space="preserve"> acces</w:t>
            </w:r>
            <w:r w:rsidR="00EC23DA" w:rsidRPr="00680837">
              <w:rPr>
                <w:sz w:val="20"/>
                <w:szCs w:val="19"/>
                <w:lang w:val="en-GB"/>
              </w:rPr>
              <w:t>s to community support services.</w:t>
            </w:r>
          </w:p>
          <w:p w14:paraId="67551A3C" w14:textId="212132B4" w:rsidR="00985199" w:rsidRPr="00680837" w:rsidRDefault="00985199" w:rsidP="00E613FA">
            <w:pPr>
              <w:pStyle w:val="ListParagraph"/>
              <w:numPr>
                <w:ilvl w:val="0"/>
                <w:numId w:val="17"/>
              </w:numPr>
              <w:ind w:left="312" w:hanging="312"/>
              <w:rPr>
                <w:sz w:val="20"/>
                <w:szCs w:val="19"/>
                <w:lang w:val="en-GB"/>
              </w:rPr>
            </w:pPr>
            <w:r w:rsidRPr="00680837">
              <w:rPr>
                <w:sz w:val="20"/>
                <w:szCs w:val="19"/>
                <w:lang w:val="en-GB"/>
              </w:rPr>
              <w:t>Mitigate risk of stigma in the community that may result from targeted interventions</w:t>
            </w:r>
            <w:r w:rsidR="00C75C7C">
              <w:rPr>
                <w:sz w:val="20"/>
                <w:szCs w:val="19"/>
                <w:lang w:val="en-GB"/>
              </w:rPr>
              <w:t>.</w:t>
            </w:r>
            <w:r w:rsidRPr="00680837">
              <w:rPr>
                <w:sz w:val="20"/>
                <w:szCs w:val="19"/>
                <w:lang w:val="en-GB"/>
              </w:rPr>
              <w:t xml:space="preserve"> </w:t>
            </w:r>
          </w:p>
        </w:tc>
      </w:tr>
      <w:tr w:rsidR="00974717" w:rsidRPr="00680837" w14:paraId="41E3D0AF" w14:textId="77777777" w:rsidTr="00E30D0F">
        <w:trPr>
          <w:cantSplit/>
        </w:trPr>
        <w:tc>
          <w:tcPr>
            <w:tcW w:w="15400" w:type="dxa"/>
            <w:gridSpan w:val="3"/>
            <w:tcBorders>
              <w:top w:val="nil"/>
              <w:left w:val="single" w:sz="4" w:space="0" w:color="auto"/>
              <w:bottom w:val="single" w:sz="4" w:space="0" w:color="auto"/>
              <w:right w:val="single" w:sz="4" w:space="0" w:color="auto"/>
            </w:tcBorders>
            <w:shd w:val="clear" w:color="auto" w:fill="DEEAF6" w:themeFill="accent1" w:themeFillTint="33"/>
            <w:noWrap/>
            <w:hideMark/>
          </w:tcPr>
          <w:p w14:paraId="108B0FA4" w14:textId="21EAD1C5" w:rsidR="00974717" w:rsidRPr="00680837" w:rsidRDefault="003D4284" w:rsidP="00656CB6">
            <w:pPr>
              <w:rPr>
                <w:b/>
                <w:sz w:val="20"/>
                <w:szCs w:val="19"/>
                <w:lang w:val="en-GB"/>
              </w:rPr>
            </w:pPr>
            <w:r w:rsidRPr="00680837">
              <w:rPr>
                <w:b/>
                <w:sz w:val="20"/>
                <w:szCs w:val="19"/>
                <w:lang w:val="en-GB"/>
              </w:rPr>
              <w:t>INCOME S</w:t>
            </w:r>
            <w:r w:rsidR="00656CB6" w:rsidRPr="00680837">
              <w:rPr>
                <w:b/>
                <w:sz w:val="20"/>
                <w:szCs w:val="19"/>
                <w:lang w:val="en-GB"/>
              </w:rPr>
              <w:t>UPPORT</w:t>
            </w:r>
          </w:p>
        </w:tc>
      </w:tr>
      <w:tr w:rsidR="00C7367E" w:rsidRPr="00680837" w14:paraId="19447D70"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tcPr>
          <w:p w14:paraId="0454BD44" w14:textId="3A81C173" w:rsidR="00B55A32" w:rsidRPr="00680837" w:rsidRDefault="00B55A32">
            <w:pPr>
              <w:jc w:val="left"/>
              <w:rPr>
                <w:sz w:val="20"/>
                <w:szCs w:val="19"/>
                <w:lang w:val="en-GB"/>
              </w:rPr>
            </w:pPr>
            <w:r w:rsidRPr="00680837">
              <w:rPr>
                <w:sz w:val="20"/>
                <w:szCs w:val="19"/>
                <w:lang w:val="en-GB"/>
              </w:rPr>
              <w:t>Across the life</w:t>
            </w:r>
            <w:r w:rsidR="00E433C8">
              <w:rPr>
                <w:sz w:val="20"/>
                <w:szCs w:val="19"/>
                <w:lang w:val="en-GB"/>
              </w:rPr>
              <w:t xml:space="preserve"> </w:t>
            </w:r>
            <w:r w:rsidRPr="00680837">
              <w:rPr>
                <w:sz w:val="20"/>
                <w:szCs w:val="19"/>
                <w:lang w:val="en-GB"/>
              </w:rPr>
              <w:t xml:space="preserve">cycle: </w:t>
            </w:r>
            <w:r w:rsidR="00C7367E" w:rsidRPr="00680837">
              <w:rPr>
                <w:sz w:val="20"/>
                <w:szCs w:val="19"/>
                <w:lang w:val="en-GB"/>
              </w:rPr>
              <w:t>Taking into account</w:t>
            </w:r>
            <w:r w:rsidR="0078023B">
              <w:rPr>
                <w:sz w:val="20"/>
                <w:szCs w:val="19"/>
                <w:lang w:val="en-GB"/>
              </w:rPr>
              <w:t xml:space="preserve"> </w:t>
            </w:r>
            <w:r w:rsidRPr="00680837">
              <w:rPr>
                <w:sz w:val="20"/>
                <w:szCs w:val="19"/>
                <w:lang w:val="en-GB"/>
              </w:rPr>
              <w:t>disability</w:t>
            </w:r>
            <w:r w:rsidR="00136373" w:rsidRPr="00680837">
              <w:rPr>
                <w:sz w:val="20"/>
                <w:szCs w:val="19"/>
                <w:lang w:val="en-GB"/>
              </w:rPr>
              <w:t>-</w:t>
            </w:r>
            <w:r w:rsidRPr="00680837">
              <w:rPr>
                <w:sz w:val="20"/>
                <w:szCs w:val="19"/>
                <w:lang w:val="en-GB"/>
              </w:rPr>
              <w:t xml:space="preserve">related cost </w:t>
            </w:r>
          </w:p>
        </w:tc>
        <w:tc>
          <w:tcPr>
            <w:tcW w:w="6886" w:type="dxa"/>
            <w:tcBorders>
              <w:top w:val="single" w:sz="4" w:space="0" w:color="auto"/>
              <w:left w:val="nil"/>
              <w:bottom w:val="single" w:sz="4" w:space="0" w:color="auto"/>
              <w:right w:val="single" w:sz="4" w:space="0" w:color="auto"/>
            </w:tcBorders>
            <w:shd w:val="clear" w:color="auto" w:fill="auto"/>
            <w:noWrap/>
          </w:tcPr>
          <w:p w14:paraId="6FD5A0E2" w14:textId="69CDAF7F" w:rsidR="00B55A32" w:rsidRPr="00680837" w:rsidRDefault="00B55A32" w:rsidP="00EC23DA">
            <w:pPr>
              <w:pStyle w:val="ListParagraph"/>
              <w:numPr>
                <w:ilvl w:val="0"/>
                <w:numId w:val="7"/>
              </w:numPr>
              <w:ind w:left="298" w:hanging="298"/>
              <w:rPr>
                <w:sz w:val="20"/>
                <w:szCs w:val="19"/>
                <w:lang w:val="en-GB"/>
              </w:rPr>
            </w:pPr>
            <w:r w:rsidRPr="00680837">
              <w:rPr>
                <w:sz w:val="20"/>
                <w:szCs w:val="19"/>
                <w:lang w:val="en-GB"/>
              </w:rPr>
              <w:t>In</w:t>
            </w:r>
            <w:r w:rsidR="00C75C7C">
              <w:rPr>
                <w:sz w:val="20"/>
                <w:szCs w:val="19"/>
                <w:lang w:val="en-GB"/>
              </w:rPr>
              <w:t xml:space="preserve"> the</w:t>
            </w:r>
            <w:r w:rsidRPr="00680837">
              <w:rPr>
                <w:sz w:val="20"/>
                <w:szCs w:val="19"/>
                <w:lang w:val="en-GB"/>
              </w:rPr>
              <w:t xml:space="preserve"> absence of sufficient protection </w:t>
            </w:r>
            <w:r w:rsidR="00C75C7C">
              <w:rPr>
                <w:sz w:val="20"/>
                <w:szCs w:val="19"/>
                <w:lang w:val="en-GB"/>
              </w:rPr>
              <w:t>provided by</w:t>
            </w:r>
            <w:r w:rsidRPr="00680837">
              <w:rPr>
                <w:sz w:val="20"/>
                <w:szCs w:val="19"/>
                <w:lang w:val="en-GB"/>
              </w:rPr>
              <w:t xml:space="preserve"> disability-specific schemes, </w:t>
            </w:r>
            <w:r w:rsidR="00D67DED">
              <w:rPr>
                <w:sz w:val="20"/>
                <w:szCs w:val="19"/>
                <w:lang w:val="en-GB"/>
              </w:rPr>
              <w:t>provide for</w:t>
            </w:r>
            <w:r w:rsidR="00D67DED" w:rsidRPr="00680837">
              <w:rPr>
                <w:sz w:val="20"/>
                <w:szCs w:val="19"/>
                <w:lang w:val="en-GB"/>
              </w:rPr>
              <w:t xml:space="preserve"> </w:t>
            </w:r>
            <w:r w:rsidRPr="00680837">
              <w:rPr>
                <w:sz w:val="20"/>
                <w:szCs w:val="19"/>
                <w:lang w:val="en-GB"/>
              </w:rPr>
              <w:t>increased benefit levels to cover disability-related costs for children and adults with disabilities.</w:t>
            </w:r>
          </w:p>
          <w:p w14:paraId="41ED975F" w14:textId="474348B0" w:rsidR="00B55A32" w:rsidRPr="00680837" w:rsidRDefault="00B55A32" w:rsidP="00B9413E">
            <w:pPr>
              <w:pStyle w:val="ListParagraph"/>
              <w:numPr>
                <w:ilvl w:val="0"/>
                <w:numId w:val="7"/>
              </w:numPr>
              <w:ind w:left="298" w:hanging="298"/>
              <w:rPr>
                <w:sz w:val="20"/>
                <w:szCs w:val="19"/>
                <w:lang w:val="en-GB"/>
              </w:rPr>
            </w:pPr>
            <w:r w:rsidRPr="00680837">
              <w:rPr>
                <w:sz w:val="20"/>
                <w:szCs w:val="19"/>
                <w:lang w:val="en-GB"/>
              </w:rPr>
              <w:t>Ensure that minimum income thresholds in social assistance schemes are adjusted for disability-related cost</w:t>
            </w:r>
            <w:r w:rsidR="00D67DED">
              <w:rPr>
                <w:sz w:val="20"/>
                <w:szCs w:val="19"/>
                <w:lang w:val="en-GB"/>
              </w:rPr>
              <w:t>s</w:t>
            </w:r>
            <w:r w:rsidR="00C7367E" w:rsidRPr="00680837">
              <w:rPr>
                <w:sz w:val="20"/>
                <w:szCs w:val="19"/>
                <w:lang w:val="en-GB"/>
              </w:rPr>
              <w:t xml:space="preserve"> (</w:t>
            </w:r>
            <w:r w:rsidR="00C75C7C">
              <w:rPr>
                <w:sz w:val="20"/>
                <w:szCs w:val="19"/>
                <w:lang w:val="en-GB"/>
              </w:rPr>
              <w:t xml:space="preserve">e.g. by </w:t>
            </w:r>
            <w:r w:rsidR="00C7367E" w:rsidRPr="00680837">
              <w:rPr>
                <w:sz w:val="20"/>
                <w:szCs w:val="19"/>
                <w:lang w:val="en-GB"/>
              </w:rPr>
              <w:t>including disability as a factor in proxy means test</w:t>
            </w:r>
            <w:r w:rsidR="00D67DED">
              <w:rPr>
                <w:sz w:val="20"/>
                <w:szCs w:val="19"/>
                <w:lang w:val="en-GB"/>
              </w:rPr>
              <w:t>s</w:t>
            </w:r>
            <w:r w:rsidR="00C7367E" w:rsidRPr="00680837">
              <w:rPr>
                <w:sz w:val="20"/>
                <w:szCs w:val="19"/>
                <w:lang w:val="en-GB"/>
              </w:rPr>
              <w:t>)</w:t>
            </w:r>
            <w:r w:rsidR="000642C2" w:rsidRPr="00680837">
              <w:rPr>
                <w:sz w:val="20"/>
                <w:szCs w:val="19"/>
                <w:lang w:val="en-GB"/>
              </w:rPr>
              <w:t>.</w:t>
            </w:r>
          </w:p>
        </w:tc>
        <w:tc>
          <w:tcPr>
            <w:tcW w:w="6813" w:type="dxa"/>
            <w:tcBorders>
              <w:top w:val="nil"/>
              <w:left w:val="nil"/>
              <w:bottom w:val="single" w:sz="4" w:space="0" w:color="auto"/>
              <w:right w:val="single" w:sz="4" w:space="0" w:color="auto"/>
            </w:tcBorders>
            <w:shd w:val="clear" w:color="auto" w:fill="auto"/>
            <w:noWrap/>
          </w:tcPr>
          <w:p w14:paraId="7B918912" w14:textId="3E6DFCF3" w:rsidR="00B55A32" w:rsidRPr="00680837" w:rsidRDefault="00B55A32" w:rsidP="00DE5659">
            <w:pPr>
              <w:pStyle w:val="ListParagraph"/>
              <w:numPr>
                <w:ilvl w:val="0"/>
                <w:numId w:val="7"/>
              </w:numPr>
              <w:ind w:left="312" w:hanging="283"/>
              <w:rPr>
                <w:sz w:val="20"/>
                <w:szCs w:val="19"/>
                <w:lang w:val="en-GB"/>
              </w:rPr>
            </w:pPr>
            <w:r w:rsidRPr="00680837">
              <w:rPr>
                <w:sz w:val="20"/>
                <w:szCs w:val="19"/>
                <w:lang w:val="en-GB"/>
              </w:rPr>
              <w:t>Develop a set of schemes (cash al</w:t>
            </w:r>
            <w:r w:rsidR="00EC23DA" w:rsidRPr="00680837">
              <w:rPr>
                <w:sz w:val="20"/>
                <w:szCs w:val="19"/>
                <w:lang w:val="en-GB"/>
              </w:rPr>
              <w:t>lowances, discounts, exemptions</w:t>
            </w:r>
            <w:r w:rsidR="00D67DED">
              <w:rPr>
                <w:sz w:val="20"/>
                <w:szCs w:val="19"/>
                <w:lang w:val="en-GB"/>
              </w:rPr>
              <w:t>,</w:t>
            </w:r>
            <w:r w:rsidR="00EC23DA" w:rsidRPr="00680837">
              <w:rPr>
                <w:sz w:val="20"/>
                <w:szCs w:val="19"/>
                <w:lang w:val="en-GB"/>
              </w:rPr>
              <w:t xml:space="preserve"> etc.</w:t>
            </w:r>
            <w:r w:rsidRPr="00680837">
              <w:rPr>
                <w:sz w:val="20"/>
                <w:szCs w:val="19"/>
                <w:lang w:val="en-GB"/>
              </w:rPr>
              <w:t xml:space="preserve">) that effectively support persons with disabilities </w:t>
            </w:r>
            <w:r w:rsidR="00C75C7C">
              <w:rPr>
                <w:sz w:val="20"/>
                <w:szCs w:val="19"/>
                <w:lang w:val="en-GB"/>
              </w:rPr>
              <w:t>in covering</w:t>
            </w:r>
            <w:r w:rsidRPr="00680837">
              <w:rPr>
                <w:sz w:val="20"/>
                <w:szCs w:val="19"/>
                <w:lang w:val="en-GB"/>
              </w:rPr>
              <w:t xml:space="preserve"> disability</w:t>
            </w:r>
            <w:r w:rsidR="00136373" w:rsidRPr="00680837">
              <w:rPr>
                <w:sz w:val="20"/>
                <w:szCs w:val="19"/>
                <w:lang w:val="en-GB"/>
              </w:rPr>
              <w:t>-</w:t>
            </w:r>
            <w:r w:rsidRPr="00680837">
              <w:rPr>
                <w:sz w:val="20"/>
                <w:szCs w:val="19"/>
                <w:lang w:val="en-GB"/>
              </w:rPr>
              <w:t>related cost</w:t>
            </w:r>
            <w:r w:rsidR="00C75C7C">
              <w:rPr>
                <w:sz w:val="20"/>
                <w:szCs w:val="19"/>
                <w:lang w:val="en-GB"/>
              </w:rPr>
              <w:t>s</w:t>
            </w:r>
            <w:r w:rsidRPr="00680837">
              <w:rPr>
                <w:sz w:val="20"/>
                <w:szCs w:val="19"/>
                <w:lang w:val="en-GB"/>
              </w:rPr>
              <w:t xml:space="preserve"> across the life cycle</w:t>
            </w:r>
            <w:r w:rsidR="00D67DED">
              <w:rPr>
                <w:sz w:val="20"/>
                <w:szCs w:val="19"/>
                <w:lang w:val="en-GB"/>
              </w:rPr>
              <w:t>,</w:t>
            </w:r>
            <w:r w:rsidRPr="00680837">
              <w:rPr>
                <w:sz w:val="20"/>
                <w:szCs w:val="19"/>
                <w:lang w:val="en-GB"/>
              </w:rPr>
              <w:t xml:space="preserve"> with </w:t>
            </w:r>
            <w:r w:rsidR="00136373" w:rsidRPr="00680837">
              <w:rPr>
                <w:sz w:val="20"/>
                <w:szCs w:val="19"/>
                <w:lang w:val="en-GB"/>
              </w:rPr>
              <w:t xml:space="preserve">an </w:t>
            </w:r>
            <w:r w:rsidRPr="00680837">
              <w:rPr>
                <w:sz w:val="20"/>
                <w:szCs w:val="19"/>
                <w:lang w:val="en-GB"/>
              </w:rPr>
              <w:t xml:space="preserve">income threshold, if any, significantly higher than </w:t>
            </w:r>
            <w:r w:rsidR="00D67DED">
              <w:rPr>
                <w:sz w:val="20"/>
                <w:szCs w:val="19"/>
                <w:lang w:val="en-GB"/>
              </w:rPr>
              <w:t xml:space="preserve">that </w:t>
            </w:r>
            <w:r w:rsidRPr="00680837">
              <w:rPr>
                <w:sz w:val="20"/>
                <w:szCs w:val="19"/>
                <w:lang w:val="en-GB"/>
              </w:rPr>
              <w:t>for</w:t>
            </w:r>
            <w:r w:rsidR="00EC23DA" w:rsidRPr="00680837">
              <w:rPr>
                <w:sz w:val="20"/>
                <w:szCs w:val="19"/>
                <w:lang w:val="en-GB"/>
              </w:rPr>
              <w:t xml:space="preserve"> </w:t>
            </w:r>
            <w:r w:rsidR="00182D47" w:rsidRPr="00680837">
              <w:rPr>
                <w:sz w:val="20"/>
                <w:szCs w:val="19"/>
                <w:lang w:val="en-GB"/>
              </w:rPr>
              <w:t>social assistance</w:t>
            </w:r>
            <w:r w:rsidR="00EC23DA" w:rsidRPr="00680837">
              <w:rPr>
                <w:sz w:val="20"/>
                <w:szCs w:val="19"/>
                <w:lang w:val="en-GB"/>
              </w:rPr>
              <w:t>.</w:t>
            </w:r>
          </w:p>
        </w:tc>
      </w:tr>
      <w:tr w:rsidR="003F2B2A" w:rsidRPr="00680837" w14:paraId="38E7A849" w14:textId="77777777" w:rsidTr="00AB7B1C">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942E96" w14:textId="05867222" w:rsidR="003F2B2A" w:rsidRPr="00680837" w:rsidRDefault="003F2B2A" w:rsidP="003D4284">
            <w:pPr>
              <w:jc w:val="left"/>
              <w:rPr>
                <w:sz w:val="20"/>
                <w:szCs w:val="19"/>
                <w:lang w:val="en-GB"/>
              </w:rPr>
            </w:pPr>
            <w:r w:rsidRPr="00680837">
              <w:rPr>
                <w:sz w:val="20"/>
                <w:szCs w:val="19"/>
                <w:lang w:val="en-GB"/>
              </w:rPr>
              <w:t>Childhood</w:t>
            </w:r>
          </w:p>
        </w:tc>
        <w:tc>
          <w:tcPr>
            <w:tcW w:w="6886" w:type="dxa"/>
            <w:tcBorders>
              <w:top w:val="single" w:sz="4" w:space="0" w:color="auto"/>
              <w:left w:val="nil"/>
              <w:bottom w:val="single" w:sz="4" w:space="0" w:color="auto"/>
              <w:right w:val="single" w:sz="4" w:space="0" w:color="auto"/>
            </w:tcBorders>
            <w:shd w:val="clear" w:color="auto" w:fill="auto"/>
            <w:noWrap/>
          </w:tcPr>
          <w:p w14:paraId="29EA5505" w14:textId="1F4EA0FB" w:rsidR="003F2B2A" w:rsidRPr="00680837" w:rsidRDefault="003F2B2A" w:rsidP="00EC23DA">
            <w:pPr>
              <w:pStyle w:val="ListParagraph"/>
              <w:numPr>
                <w:ilvl w:val="0"/>
                <w:numId w:val="7"/>
              </w:numPr>
              <w:ind w:left="298" w:hanging="284"/>
              <w:rPr>
                <w:sz w:val="20"/>
                <w:szCs w:val="19"/>
                <w:lang w:val="en-GB"/>
              </w:rPr>
            </w:pPr>
            <w:r w:rsidRPr="00680837">
              <w:rPr>
                <w:sz w:val="20"/>
                <w:szCs w:val="19"/>
                <w:lang w:val="en-GB"/>
              </w:rPr>
              <w:t>Ensure that birth registration programmes include registration of children with disabilities</w:t>
            </w:r>
            <w:r w:rsidR="00EC23DA" w:rsidRPr="00680837">
              <w:rPr>
                <w:sz w:val="20"/>
                <w:szCs w:val="19"/>
                <w:lang w:val="en-GB"/>
              </w:rPr>
              <w:t>.</w:t>
            </w:r>
          </w:p>
          <w:p w14:paraId="1DCC7650" w14:textId="4A01E23E" w:rsidR="003F2B2A" w:rsidRPr="00680837" w:rsidRDefault="003F2B2A" w:rsidP="00EC23DA">
            <w:pPr>
              <w:pStyle w:val="ListParagraph"/>
              <w:numPr>
                <w:ilvl w:val="0"/>
                <w:numId w:val="7"/>
              </w:numPr>
              <w:ind w:left="298" w:hanging="284"/>
              <w:rPr>
                <w:sz w:val="20"/>
                <w:szCs w:val="19"/>
                <w:lang w:val="en-GB"/>
              </w:rPr>
            </w:pPr>
            <w:r w:rsidRPr="00680837">
              <w:rPr>
                <w:sz w:val="20"/>
                <w:szCs w:val="19"/>
                <w:lang w:val="en-GB"/>
              </w:rPr>
              <w:t xml:space="preserve">Ensure that </w:t>
            </w:r>
            <w:r w:rsidRPr="004375AD">
              <w:rPr>
                <w:sz w:val="20"/>
                <w:szCs w:val="19"/>
                <w:lang w:val="en-GB"/>
              </w:rPr>
              <w:t>child allowance</w:t>
            </w:r>
            <w:r w:rsidRPr="00680837">
              <w:rPr>
                <w:sz w:val="20"/>
                <w:szCs w:val="19"/>
                <w:lang w:val="en-GB"/>
              </w:rPr>
              <w:t xml:space="preserve"> </w:t>
            </w:r>
            <w:r w:rsidRPr="004375AD">
              <w:rPr>
                <w:sz w:val="20"/>
                <w:szCs w:val="19"/>
                <w:lang w:val="en-GB"/>
              </w:rPr>
              <w:t>program</w:t>
            </w:r>
            <w:r w:rsidR="00C75C7C" w:rsidRPr="004375AD">
              <w:rPr>
                <w:sz w:val="20"/>
                <w:szCs w:val="19"/>
                <w:lang w:val="en-GB"/>
              </w:rPr>
              <w:t>me</w:t>
            </w:r>
            <w:r w:rsidRPr="004375AD">
              <w:rPr>
                <w:sz w:val="20"/>
                <w:szCs w:val="19"/>
                <w:lang w:val="en-GB"/>
              </w:rPr>
              <w:t>s</w:t>
            </w:r>
            <w:r w:rsidRPr="00680837">
              <w:rPr>
                <w:sz w:val="20"/>
                <w:szCs w:val="19"/>
                <w:lang w:val="en-GB"/>
              </w:rPr>
              <w:t xml:space="preserve"> take into account</w:t>
            </w:r>
            <w:r w:rsidR="00D67DED">
              <w:rPr>
                <w:sz w:val="20"/>
                <w:szCs w:val="19"/>
                <w:lang w:val="en-GB"/>
              </w:rPr>
              <w:t xml:space="preserve"> the</w:t>
            </w:r>
            <w:r w:rsidRPr="00680837">
              <w:rPr>
                <w:sz w:val="20"/>
                <w:szCs w:val="19"/>
                <w:lang w:val="en-GB"/>
              </w:rPr>
              <w:t xml:space="preserve"> specific challenges faced by parents of children with disabilities.</w:t>
            </w:r>
          </w:p>
          <w:p w14:paraId="47E39834" w14:textId="7A559757" w:rsidR="003F2B2A" w:rsidRPr="00680837" w:rsidRDefault="003F2B2A" w:rsidP="00EC23DA">
            <w:pPr>
              <w:pStyle w:val="ListParagraph"/>
              <w:numPr>
                <w:ilvl w:val="0"/>
                <w:numId w:val="7"/>
              </w:numPr>
              <w:ind w:left="298" w:hanging="284"/>
              <w:rPr>
                <w:sz w:val="20"/>
                <w:szCs w:val="19"/>
                <w:lang w:val="en-GB"/>
              </w:rPr>
            </w:pPr>
            <w:r w:rsidRPr="00680837">
              <w:rPr>
                <w:sz w:val="20"/>
                <w:szCs w:val="19"/>
                <w:lang w:val="en-GB"/>
              </w:rPr>
              <w:t>In</w:t>
            </w:r>
            <w:r w:rsidR="00D67DED">
              <w:rPr>
                <w:sz w:val="20"/>
                <w:szCs w:val="19"/>
                <w:lang w:val="en-GB"/>
              </w:rPr>
              <w:t xml:space="preserve"> the</w:t>
            </w:r>
            <w:r w:rsidRPr="00680837">
              <w:rPr>
                <w:sz w:val="20"/>
                <w:szCs w:val="19"/>
                <w:lang w:val="en-GB"/>
              </w:rPr>
              <w:t xml:space="preserve"> case of conditional cash transfer programmes (CCTs), ensure that conditions do not discriminate against children with disabilities or parents with disabilities.</w:t>
            </w:r>
          </w:p>
          <w:p w14:paraId="46CC0A8E" w14:textId="1861091F" w:rsidR="003F2B2A" w:rsidRPr="00680837" w:rsidRDefault="003F2B2A" w:rsidP="00826AFE">
            <w:pPr>
              <w:pStyle w:val="ListParagraph"/>
              <w:numPr>
                <w:ilvl w:val="0"/>
                <w:numId w:val="7"/>
              </w:numPr>
              <w:ind w:left="298" w:hanging="284"/>
              <w:rPr>
                <w:sz w:val="20"/>
                <w:szCs w:val="19"/>
                <w:lang w:val="en-GB"/>
              </w:rPr>
            </w:pPr>
            <w:r w:rsidRPr="00680837">
              <w:rPr>
                <w:sz w:val="20"/>
                <w:szCs w:val="19"/>
                <w:lang w:val="en-GB"/>
              </w:rPr>
              <w:t>Ensure that</w:t>
            </w:r>
            <w:r w:rsidR="00D67DED">
              <w:rPr>
                <w:sz w:val="20"/>
                <w:szCs w:val="19"/>
                <w:lang w:val="en-GB"/>
              </w:rPr>
              <w:t xml:space="preserve"> the</w:t>
            </w:r>
            <w:r w:rsidRPr="00680837">
              <w:rPr>
                <w:sz w:val="20"/>
                <w:szCs w:val="19"/>
                <w:lang w:val="en-GB"/>
              </w:rPr>
              <w:t xml:space="preserve"> beneficiaries</w:t>
            </w:r>
            <w:r w:rsidR="00D67DED">
              <w:rPr>
                <w:sz w:val="20"/>
                <w:szCs w:val="19"/>
                <w:lang w:val="en-GB"/>
              </w:rPr>
              <w:t xml:space="preserve"> of</w:t>
            </w:r>
            <w:r w:rsidR="00826AFE">
              <w:rPr>
                <w:sz w:val="20"/>
                <w:szCs w:val="19"/>
                <w:lang w:val="en-GB"/>
              </w:rPr>
              <w:t xml:space="preserve"> social protection programmes</w:t>
            </w:r>
            <w:r w:rsidRPr="00680837">
              <w:rPr>
                <w:sz w:val="20"/>
                <w:szCs w:val="19"/>
                <w:lang w:val="en-GB"/>
              </w:rPr>
              <w:t xml:space="preserve"> also have effective access to health care, education, </w:t>
            </w:r>
            <w:r w:rsidRPr="004375AD">
              <w:rPr>
                <w:sz w:val="20"/>
                <w:szCs w:val="19"/>
                <w:lang w:val="en-GB"/>
              </w:rPr>
              <w:t>care</w:t>
            </w:r>
            <w:r w:rsidR="004E421F" w:rsidRPr="00680837">
              <w:rPr>
                <w:sz w:val="20"/>
                <w:szCs w:val="19"/>
                <w:lang w:val="en-GB"/>
              </w:rPr>
              <w:t>, food and nutrition</w:t>
            </w:r>
            <w:r w:rsidRPr="00680837">
              <w:rPr>
                <w:sz w:val="20"/>
                <w:szCs w:val="19"/>
                <w:lang w:val="en-GB"/>
              </w:rPr>
              <w:t xml:space="preserve"> and other services.</w:t>
            </w:r>
          </w:p>
        </w:tc>
        <w:tc>
          <w:tcPr>
            <w:tcW w:w="6813" w:type="dxa"/>
            <w:vMerge w:val="restart"/>
            <w:tcBorders>
              <w:top w:val="single" w:sz="4" w:space="0" w:color="auto"/>
              <w:left w:val="nil"/>
              <w:right w:val="single" w:sz="4" w:space="0" w:color="auto"/>
            </w:tcBorders>
            <w:shd w:val="clear" w:color="auto" w:fill="auto"/>
            <w:noWrap/>
            <w:vAlign w:val="center"/>
          </w:tcPr>
          <w:p w14:paraId="1CBDD02A" w14:textId="71420ECB" w:rsidR="003F2B2A" w:rsidRPr="00680837" w:rsidRDefault="003F2B2A" w:rsidP="00B9413E">
            <w:pPr>
              <w:pStyle w:val="ListParagraph"/>
              <w:numPr>
                <w:ilvl w:val="0"/>
                <w:numId w:val="7"/>
              </w:numPr>
              <w:ind w:left="312" w:hanging="283"/>
              <w:rPr>
                <w:sz w:val="20"/>
                <w:szCs w:val="19"/>
                <w:lang w:val="en-GB"/>
              </w:rPr>
            </w:pPr>
            <w:r w:rsidRPr="00680837">
              <w:rPr>
                <w:sz w:val="20"/>
                <w:szCs w:val="19"/>
                <w:lang w:val="en-GB"/>
              </w:rPr>
              <w:t>In</w:t>
            </w:r>
            <w:r w:rsidR="00C75C7C">
              <w:rPr>
                <w:sz w:val="20"/>
                <w:szCs w:val="19"/>
                <w:lang w:val="en-GB"/>
              </w:rPr>
              <w:t xml:space="preserve"> the</w:t>
            </w:r>
            <w:r w:rsidRPr="00680837">
              <w:rPr>
                <w:sz w:val="20"/>
                <w:szCs w:val="19"/>
                <w:lang w:val="en-GB"/>
              </w:rPr>
              <w:t xml:space="preserve"> absence of inclusive mainstream programmes</w:t>
            </w:r>
            <w:r w:rsidR="00C75C7C">
              <w:rPr>
                <w:sz w:val="20"/>
                <w:szCs w:val="19"/>
                <w:lang w:val="en-GB"/>
              </w:rPr>
              <w:t>,</w:t>
            </w:r>
            <w:r w:rsidRPr="00680837">
              <w:rPr>
                <w:sz w:val="20"/>
                <w:szCs w:val="19"/>
                <w:lang w:val="en-GB"/>
              </w:rPr>
              <w:t xml:space="preserve"> consider establishing a disability-specific income support grant for children, adult</w:t>
            </w:r>
            <w:r w:rsidR="00C75C7C">
              <w:rPr>
                <w:sz w:val="20"/>
                <w:szCs w:val="19"/>
                <w:lang w:val="en-GB"/>
              </w:rPr>
              <w:t>s</w:t>
            </w:r>
            <w:r w:rsidRPr="00680837">
              <w:rPr>
                <w:sz w:val="20"/>
                <w:szCs w:val="19"/>
                <w:lang w:val="en-GB"/>
              </w:rPr>
              <w:t xml:space="preserve"> of working age and older persons with disabilities as they are among those with the </w:t>
            </w:r>
            <w:r w:rsidR="00C75C7C">
              <w:rPr>
                <w:sz w:val="20"/>
                <w:szCs w:val="19"/>
                <w:lang w:val="en-GB"/>
              </w:rPr>
              <w:t>fewest</w:t>
            </w:r>
            <w:r w:rsidR="00C75C7C" w:rsidRPr="00680837">
              <w:rPr>
                <w:sz w:val="20"/>
                <w:szCs w:val="19"/>
                <w:lang w:val="en-GB"/>
              </w:rPr>
              <w:t xml:space="preserve"> </w:t>
            </w:r>
            <w:r w:rsidRPr="00680837">
              <w:rPr>
                <w:sz w:val="20"/>
                <w:szCs w:val="19"/>
                <w:lang w:val="en-GB"/>
              </w:rPr>
              <w:t>coping mechanisms.</w:t>
            </w:r>
          </w:p>
        </w:tc>
      </w:tr>
      <w:tr w:rsidR="003F2B2A" w:rsidRPr="00680837" w14:paraId="7BE7AFEB" w14:textId="77777777" w:rsidTr="00AB7B1C">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F7747C" w14:textId="42EA1313" w:rsidR="003F2B2A" w:rsidRPr="00680837" w:rsidRDefault="003F2B2A" w:rsidP="003D4284">
            <w:pPr>
              <w:jc w:val="left"/>
              <w:rPr>
                <w:sz w:val="20"/>
                <w:szCs w:val="19"/>
                <w:lang w:val="en-GB"/>
              </w:rPr>
            </w:pPr>
            <w:r w:rsidRPr="00680837">
              <w:rPr>
                <w:sz w:val="20"/>
                <w:szCs w:val="19"/>
                <w:lang w:val="en-GB"/>
              </w:rPr>
              <w:t>Working age</w:t>
            </w:r>
          </w:p>
        </w:tc>
        <w:tc>
          <w:tcPr>
            <w:tcW w:w="6886" w:type="dxa"/>
            <w:tcBorders>
              <w:top w:val="single" w:sz="4" w:space="0" w:color="auto"/>
              <w:left w:val="nil"/>
              <w:bottom w:val="single" w:sz="4" w:space="0" w:color="auto"/>
              <w:right w:val="single" w:sz="4" w:space="0" w:color="auto"/>
            </w:tcBorders>
            <w:shd w:val="clear" w:color="auto" w:fill="auto"/>
            <w:noWrap/>
          </w:tcPr>
          <w:p w14:paraId="46373509" w14:textId="712F5B47" w:rsidR="003F2B2A" w:rsidRPr="00680837" w:rsidRDefault="003F2B2A" w:rsidP="00EC23DA">
            <w:pPr>
              <w:pStyle w:val="ListParagraph"/>
              <w:numPr>
                <w:ilvl w:val="0"/>
                <w:numId w:val="7"/>
              </w:numPr>
              <w:ind w:left="298" w:hanging="284"/>
              <w:rPr>
                <w:sz w:val="20"/>
                <w:szCs w:val="19"/>
                <w:lang w:val="en-GB"/>
              </w:rPr>
            </w:pPr>
            <w:r w:rsidRPr="00680837">
              <w:rPr>
                <w:sz w:val="20"/>
                <w:szCs w:val="19"/>
                <w:lang w:val="en-GB"/>
              </w:rPr>
              <w:t xml:space="preserve">Consider the additional </w:t>
            </w:r>
            <w:r w:rsidR="000C286C">
              <w:rPr>
                <w:sz w:val="20"/>
                <w:szCs w:val="19"/>
                <w:lang w:val="en-GB"/>
              </w:rPr>
              <w:t>obstacles</w:t>
            </w:r>
            <w:r w:rsidR="000C286C" w:rsidRPr="00680837">
              <w:rPr>
                <w:sz w:val="20"/>
                <w:szCs w:val="19"/>
                <w:lang w:val="en-GB"/>
              </w:rPr>
              <w:t xml:space="preserve"> </w:t>
            </w:r>
            <w:r w:rsidRPr="00680837">
              <w:rPr>
                <w:sz w:val="20"/>
                <w:szCs w:val="19"/>
                <w:lang w:val="en-GB"/>
              </w:rPr>
              <w:t>faced by persons with disabilities</w:t>
            </w:r>
            <w:r w:rsidR="004575D3" w:rsidRPr="00680837">
              <w:rPr>
                <w:sz w:val="20"/>
                <w:szCs w:val="19"/>
                <w:lang w:val="en-GB"/>
              </w:rPr>
              <w:t>, particular</w:t>
            </w:r>
            <w:r w:rsidR="00C75C7C">
              <w:rPr>
                <w:sz w:val="20"/>
                <w:szCs w:val="19"/>
                <w:lang w:val="en-GB"/>
              </w:rPr>
              <w:t>ly</w:t>
            </w:r>
            <w:r w:rsidR="004575D3" w:rsidRPr="00680837">
              <w:rPr>
                <w:sz w:val="20"/>
                <w:szCs w:val="19"/>
                <w:lang w:val="en-GB"/>
              </w:rPr>
              <w:t xml:space="preserve"> women</w:t>
            </w:r>
            <w:r w:rsidR="004D62FF" w:rsidRPr="00680837">
              <w:rPr>
                <w:sz w:val="20"/>
                <w:szCs w:val="19"/>
                <w:lang w:val="en-GB"/>
              </w:rPr>
              <w:t>,</w:t>
            </w:r>
            <w:r w:rsidR="004575D3" w:rsidRPr="00680837">
              <w:rPr>
                <w:sz w:val="20"/>
                <w:szCs w:val="19"/>
                <w:lang w:val="en-GB"/>
              </w:rPr>
              <w:t xml:space="preserve"> </w:t>
            </w:r>
            <w:r w:rsidRPr="00680837">
              <w:rPr>
                <w:sz w:val="20"/>
                <w:szCs w:val="19"/>
                <w:lang w:val="en-GB"/>
              </w:rPr>
              <w:t xml:space="preserve">to find employment </w:t>
            </w:r>
            <w:r w:rsidR="00D67DED">
              <w:rPr>
                <w:sz w:val="20"/>
                <w:szCs w:val="19"/>
                <w:lang w:val="en-GB"/>
              </w:rPr>
              <w:t>and</w:t>
            </w:r>
            <w:r w:rsidR="00D67DED" w:rsidRPr="00680837">
              <w:rPr>
                <w:sz w:val="20"/>
                <w:szCs w:val="19"/>
                <w:lang w:val="en-GB"/>
              </w:rPr>
              <w:t xml:space="preserve"> </w:t>
            </w:r>
            <w:r w:rsidRPr="00680837">
              <w:rPr>
                <w:sz w:val="20"/>
                <w:szCs w:val="19"/>
                <w:lang w:val="en-GB"/>
              </w:rPr>
              <w:t>provid</w:t>
            </w:r>
            <w:r w:rsidR="00D67DED">
              <w:rPr>
                <w:sz w:val="20"/>
                <w:szCs w:val="19"/>
                <w:lang w:val="en-GB"/>
              </w:rPr>
              <w:t>e</w:t>
            </w:r>
            <w:r w:rsidRPr="00680837">
              <w:rPr>
                <w:sz w:val="20"/>
                <w:szCs w:val="19"/>
                <w:lang w:val="en-GB"/>
              </w:rPr>
              <w:t xml:space="preserve"> </w:t>
            </w:r>
            <w:r w:rsidR="000C286C" w:rsidRPr="00680837">
              <w:rPr>
                <w:sz w:val="20"/>
                <w:szCs w:val="19"/>
                <w:lang w:val="en-GB"/>
              </w:rPr>
              <w:t>flexible</w:t>
            </w:r>
            <w:r w:rsidRPr="00680837">
              <w:rPr>
                <w:sz w:val="20"/>
                <w:szCs w:val="19"/>
                <w:lang w:val="en-GB"/>
              </w:rPr>
              <w:t xml:space="preserve"> benefit</w:t>
            </w:r>
            <w:r w:rsidR="000C286C">
              <w:rPr>
                <w:sz w:val="20"/>
                <w:szCs w:val="19"/>
                <w:lang w:val="en-GB"/>
              </w:rPr>
              <w:t>s</w:t>
            </w:r>
            <w:r w:rsidRPr="00680837">
              <w:rPr>
                <w:sz w:val="20"/>
                <w:szCs w:val="19"/>
                <w:lang w:val="en-GB"/>
              </w:rPr>
              <w:t xml:space="preserve"> and conditions for </w:t>
            </w:r>
            <w:r w:rsidR="00CB269B">
              <w:rPr>
                <w:sz w:val="20"/>
                <w:szCs w:val="19"/>
                <w:lang w:val="en-GB"/>
              </w:rPr>
              <w:t>claiming</w:t>
            </w:r>
            <w:r w:rsidRPr="000C286C">
              <w:rPr>
                <w:sz w:val="20"/>
                <w:szCs w:val="19"/>
                <w:lang w:val="en-GB"/>
              </w:rPr>
              <w:t xml:space="preserve"> unemployment benefits</w:t>
            </w:r>
            <w:r w:rsidR="00CB269B">
              <w:rPr>
                <w:sz w:val="20"/>
                <w:szCs w:val="19"/>
                <w:lang w:val="en-GB"/>
              </w:rPr>
              <w:t xml:space="preserve"> again</w:t>
            </w:r>
            <w:r w:rsidRPr="00680837">
              <w:rPr>
                <w:sz w:val="20"/>
                <w:szCs w:val="19"/>
                <w:lang w:val="en-GB"/>
              </w:rPr>
              <w:t>.</w:t>
            </w:r>
          </w:p>
          <w:p w14:paraId="3F3C9DFA" w14:textId="0A7BF629" w:rsidR="003F2B2A" w:rsidRPr="00680837" w:rsidRDefault="003F2B2A" w:rsidP="004D62FF">
            <w:pPr>
              <w:pStyle w:val="ListParagraph"/>
              <w:numPr>
                <w:ilvl w:val="0"/>
                <w:numId w:val="7"/>
              </w:numPr>
              <w:ind w:left="298" w:hanging="284"/>
              <w:rPr>
                <w:sz w:val="20"/>
                <w:szCs w:val="19"/>
                <w:lang w:val="en-GB"/>
              </w:rPr>
            </w:pPr>
            <w:r w:rsidRPr="00680837">
              <w:rPr>
                <w:sz w:val="20"/>
                <w:szCs w:val="19"/>
                <w:lang w:val="en-GB"/>
              </w:rPr>
              <w:t xml:space="preserve">Ensure that public work programs are accessible and inclusive for </w:t>
            </w:r>
            <w:r w:rsidR="004D62FF" w:rsidRPr="00680837">
              <w:rPr>
                <w:sz w:val="20"/>
                <w:szCs w:val="19"/>
                <w:lang w:val="en-GB"/>
              </w:rPr>
              <w:t xml:space="preserve">all </w:t>
            </w:r>
            <w:r w:rsidRPr="00680837">
              <w:rPr>
                <w:sz w:val="20"/>
                <w:szCs w:val="19"/>
                <w:lang w:val="en-GB"/>
              </w:rPr>
              <w:t>persons with disabilities</w:t>
            </w:r>
            <w:r w:rsidR="004D62FF" w:rsidRPr="00680837">
              <w:rPr>
                <w:sz w:val="20"/>
                <w:szCs w:val="19"/>
                <w:lang w:val="en-GB"/>
              </w:rPr>
              <w:t>, including women.</w:t>
            </w:r>
          </w:p>
        </w:tc>
        <w:tc>
          <w:tcPr>
            <w:tcW w:w="6813" w:type="dxa"/>
            <w:vMerge/>
            <w:tcBorders>
              <w:left w:val="nil"/>
              <w:right w:val="single" w:sz="4" w:space="0" w:color="auto"/>
            </w:tcBorders>
            <w:shd w:val="clear" w:color="auto" w:fill="auto"/>
            <w:noWrap/>
          </w:tcPr>
          <w:p w14:paraId="13854D00" w14:textId="77777777" w:rsidR="003F2B2A" w:rsidRPr="00680837" w:rsidRDefault="003F2B2A" w:rsidP="00EF31C2">
            <w:pPr>
              <w:pStyle w:val="ListParagraph"/>
              <w:numPr>
                <w:ilvl w:val="0"/>
                <w:numId w:val="7"/>
              </w:numPr>
              <w:ind w:left="90" w:hanging="142"/>
              <w:rPr>
                <w:sz w:val="20"/>
                <w:szCs w:val="19"/>
                <w:lang w:val="en-GB"/>
              </w:rPr>
            </w:pPr>
          </w:p>
        </w:tc>
      </w:tr>
      <w:tr w:rsidR="003F2B2A" w:rsidRPr="00680837" w14:paraId="45748E01" w14:textId="77777777" w:rsidTr="00AB7B1C">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AB8BD9" w14:textId="2CBB3154" w:rsidR="003F2B2A" w:rsidRPr="00680837" w:rsidRDefault="003F2B2A" w:rsidP="003D4284">
            <w:pPr>
              <w:jc w:val="left"/>
              <w:rPr>
                <w:sz w:val="20"/>
                <w:szCs w:val="19"/>
                <w:lang w:val="en-GB"/>
              </w:rPr>
            </w:pPr>
            <w:r w:rsidRPr="00680837">
              <w:rPr>
                <w:sz w:val="20"/>
                <w:szCs w:val="19"/>
                <w:lang w:val="en-GB"/>
              </w:rPr>
              <w:t>Old age</w:t>
            </w:r>
          </w:p>
        </w:tc>
        <w:tc>
          <w:tcPr>
            <w:tcW w:w="6886" w:type="dxa"/>
            <w:tcBorders>
              <w:top w:val="single" w:sz="4" w:space="0" w:color="auto"/>
              <w:left w:val="nil"/>
              <w:bottom w:val="single" w:sz="4" w:space="0" w:color="auto"/>
              <w:right w:val="single" w:sz="4" w:space="0" w:color="auto"/>
            </w:tcBorders>
            <w:shd w:val="clear" w:color="auto" w:fill="auto"/>
            <w:noWrap/>
          </w:tcPr>
          <w:p w14:paraId="2820C9BE" w14:textId="4A0206D2" w:rsidR="003F2B2A" w:rsidRPr="00680837" w:rsidRDefault="003F2B2A" w:rsidP="008B4510">
            <w:pPr>
              <w:pStyle w:val="ListParagraph"/>
              <w:numPr>
                <w:ilvl w:val="0"/>
                <w:numId w:val="18"/>
              </w:numPr>
              <w:ind w:left="298" w:hanging="284"/>
              <w:rPr>
                <w:sz w:val="20"/>
                <w:szCs w:val="19"/>
                <w:lang w:val="en-GB"/>
              </w:rPr>
            </w:pPr>
            <w:r w:rsidRPr="00680837">
              <w:rPr>
                <w:sz w:val="20"/>
                <w:szCs w:val="19"/>
                <w:lang w:val="en-GB"/>
              </w:rPr>
              <w:t>Ensure that older persons</w:t>
            </w:r>
            <w:r w:rsidR="00C75C7C">
              <w:rPr>
                <w:sz w:val="20"/>
                <w:szCs w:val="19"/>
                <w:lang w:val="en-GB"/>
              </w:rPr>
              <w:t xml:space="preserve"> with disabilities</w:t>
            </w:r>
            <w:r w:rsidRPr="00680837">
              <w:rPr>
                <w:sz w:val="20"/>
                <w:szCs w:val="19"/>
                <w:lang w:val="en-GB"/>
              </w:rPr>
              <w:t xml:space="preserve"> enjoy at least a basic level of income security through a combination of contributory and non-contributory schemes, which may include a universal social pension.</w:t>
            </w:r>
          </w:p>
        </w:tc>
        <w:tc>
          <w:tcPr>
            <w:tcW w:w="6813" w:type="dxa"/>
            <w:vMerge/>
            <w:tcBorders>
              <w:left w:val="nil"/>
              <w:bottom w:val="single" w:sz="4" w:space="0" w:color="auto"/>
              <w:right w:val="single" w:sz="4" w:space="0" w:color="auto"/>
            </w:tcBorders>
            <w:shd w:val="clear" w:color="auto" w:fill="auto"/>
            <w:noWrap/>
          </w:tcPr>
          <w:p w14:paraId="0CE8438F" w14:textId="77777777" w:rsidR="003F2B2A" w:rsidRPr="00680837" w:rsidRDefault="003F2B2A" w:rsidP="00EF31C2">
            <w:pPr>
              <w:pStyle w:val="ListParagraph"/>
              <w:numPr>
                <w:ilvl w:val="0"/>
                <w:numId w:val="7"/>
              </w:numPr>
              <w:ind w:left="90" w:hanging="142"/>
              <w:rPr>
                <w:sz w:val="20"/>
                <w:szCs w:val="19"/>
                <w:lang w:val="en-GB"/>
              </w:rPr>
            </w:pPr>
          </w:p>
        </w:tc>
      </w:tr>
      <w:tr w:rsidR="00777DC7" w:rsidRPr="00680837" w14:paraId="471B159C" w14:textId="77777777" w:rsidTr="00E30D0F">
        <w:trPr>
          <w:cantSplit/>
        </w:trPr>
        <w:tc>
          <w:tcPr>
            <w:tcW w:w="1540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13B9DA1" w14:textId="20D8C924" w:rsidR="00777DC7" w:rsidRPr="00680837" w:rsidRDefault="003D4284" w:rsidP="003D4284">
            <w:pPr>
              <w:jc w:val="left"/>
              <w:rPr>
                <w:b/>
                <w:sz w:val="20"/>
                <w:szCs w:val="19"/>
                <w:lang w:val="en-GB"/>
              </w:rPr>
            </w:pPr>
            <w:r w:rsidRPr="00680837">
              <w:rPr>
                <w:b/>
                <w:sz w:val="20"/>
                <w:szCs w:val="19"/>
                <w:lang w:val="en-GB"/>
              </w:rPr>
              <w:t xml:space="preserve">SOCIAL SUPPORT SERVICES </w:t>
            </w:r>
          </w:p>
        </w:tc>
      </w:tr>
      <w:tr w:rsidR="00C7367E" w:rsidRPr="00680837" w14:paraId="19CECCB7"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487C1C18" w14:textId="77777777" w:rsidR="001102C9" w:rsidRPr="00680837" w:rsidRDefault="001102C9" w:rsidP="003D4284">
            <w:pPr>
              <w:jc w:val="left"/>
              <w:rPr>
                <w:sz w:val="20"/>
                <w:szCs w:val="19"/>
                <w:lang w:val="en-GB"/>
              </w:rPr>
            </w:pPr>
            <w:r w:rsidRPr="00680837">
              <w:rPr>
                <w:sz w:val="20"/>
                <w:szCs w:val="19"/>
                <w:lang w:val="en-GB"/>
              </w:rPr>
              <w:t xml:space="preserve">Personal assistance </w:t>
            </w:r>
          </w:p>
        </w:tc>
        <w:tc>
          <w:tcPr>
            <w:tcW w:w="6886" w:type="dxa"/>
            <w:tcBorders>
              <w:top w:val="nil"/>
              <w:left w:val="nil"/>
              <w:bottom w:val="single" w:sz="4" w:space="0" w:color="auto"/>
              <w:right w:val="single" w:sz="4" w:space="0" w:color="auto"/>
            </w:tcBorders>
            <w:shd w:val="clear" w:color="auto" w:fill="auto"/>
            <w:noWrap/>
            <w:hideMark/>
          </w:tcPr>
          <w:p w14:paraId="5C4E9A10" w14:textId="103D9CCD" w:rsidR="001102C9" w:rsidRPr="00680837" w:rsidRDefault="001102C9" w:rsidP="00B9413E">
            <w:pPr>
              <w:pStyle w:val="ListParagraph"/>
              <w:numPr>
                <w:ilvl w:val="0"/>
                <w:numId w:val="7"/>
              </w:numPr>
              <w:ind w:left="298" w:hanging="284"/>
              <w:rPr>
                <w:sz w:val="20"/>
                <w:szCs w:val="19"/>
                <w:lang w:val="en-GB"/>
              </w:rPr>
            </w:pPr>
            <w:r w:rsidRPr="00680837">
              <w:rPr>
                <w:sz w:val="20"/>
                <w:szCs w:val="19"/>
                <w:lang w:val="en-GB"/>
              </w:rPr>
              <w:t xml:space="preserve">Explore </w:t>
            </w:r>
            <w:r w:rsidR="0090505C" w:rsidRPr="00680837">
              <w:rPr>
                <w:sz w:val="20"/>
                <w:szCs w:val="19"/>
                <w:lang w:val="en-GB"/>
              </w:rPr>
              <w:t xml:space="preserve">the </w:t>
            </w:r>
            <w:r w:rsidRPr="00680837">
              <w:rPr>
                <w:sz w:val="20"/>
                <w:szCs w:val="19"/>
                <w:lang w:val="en-GB"/>
              </w:rPr>
              <w:t xml:space="preserve">possibility </w:t>
            </w:r>
            <w:r w:rsidR="00C75C7C">
              <w:rPr>
                <w:sz w:val="20"/>
                <w:szCs w:val="19"/>
                <w:lang w:val="en-GB"/>
              </w:rPr>
              <w:t>of</w:t>
            </w:r>
            <w:r w:rsidR="00C75C7C" w:rsidRPr="00680837">
              <w:rPr>
                <w:sz w:val="20"/>
                <w:szCs w:val="19"/>
                <w:lang w:val="en-GB"/>
              </w:rPr>
              <w:t xml:space="preserve"> </w:t>
            </w:r>
            <w:r w:rsidRPr="00680837">
              <w:rPr>
                <w:sz w:val="20"/>
                <w:szCs w:val="19"/>
                <w:lang w:val="en-GB"/>
              </w:rPr>
              <w:t>public</w:t>
            </w:r>
            <w:r w:rsidR="0090505C" w:rsidRPr="00680837">
              <w:rPr>
                <w:sz w:val="20"/>
                <w:szCs w:val="19"/>
                <w:lang w:val="en-GB"/>
              </w:rPr>
              <w:t xml:space="preserve"> employment/</w:t>
            </w:r>
            <w:r w:rsidR="00FC3D48" w:rsidRPr="00680837">
              <w:rPr>
                <w:sz w:val="20"/>
                <w:szCs w:val="19"/>
                <w:lang w:val="en-GB"/>
              </w:rPr>
              <w:t xml:space="preserve">public </w:t>
            </w:r>
            <w:r w:rsidRPr="00680837">
              <w:rPr>
                <w:sz w:val="20"/>
                <w:szCs w:val="19"/>
                <w:lang w:val="en-GB"/>
              </w:rPr>
              <w:t>work</w:t>
            </w:r>
            <w:r w:rsidR="0090505C" w:rsidRPr="00680837">
              <w:rPr>
                <w:sz w:val="20"/>
                <w:szCs w:val="19"/>
                <w:lang w:val="en-GB"/>
              </w:rPr>
              <w:t>s</w:t>
            </w:r>
            <w:r w:rsidRPr="00680837">
              <w:rPr>
                <w:sz w:val="20"/>
                <w:szCs w:val="19"/>
                <w:lang w:val="en-GB"/>
              </w:rPr>
              <w:t xml:space="preserve"> program</w:t>
            </w:r>
            <w:r w:rsidR="0090505C" w:rsidRPr="00680837">
              <w:rPr>
                <w:sz w:val="20"/>
                <w:szCs w:val="19"/>
                <w:lang w:val="en-GB"/>
              </w:rPr>
              <w:t>mes</w:t>
            </w:r>
            <w:r w:rsidRPr="00680837">
              <w:rPr>
                <w:sz w:val="20"/>
                <w:szCs w:val="19"/>
                <w:lang w:val="en-GB"/>
              </w:rPr>
              <w:t xml:space="preserve"> financ</w:t>
            </w:r>
            <w:r w:rsidR="00C75C7C">
              <w:rPr>
                <w:sz w:val="20"/>
                <w:szCs w:val="19"/>
                <w:lang w:val="en-GB"/>
              </w:rPr>
              <w:t>ing</w:t>
            </w:r>
            <w:r w:rsidRPr="00680837">
              <w:rPr>
                <w:sz w:val="20"/>
                <w:szCs w:val="19"/>
                <w:lang w:val="en-GB"/>
              </w:rPr>
              <w:t xml:space="preserve"> </w:t>
            </w:r>
            <w:r w:rsidR="0090505C" w:rsidRPr="00680837">
              <w:rPr>
                <w:sz w:val="20"/>
                <w:szCs w:val="19"/>
                <w:lang w:val="en-GB"/>
              </w:rPr>
              <w:t xml:space="preserve">the </w:t>
            </w:r>
            <w:r w:rsidRPr="00680837">
              <w:rPr>
                <w:sz w:val="20"/>
                <w:szCs w:val="19"/>
                <w:lang w:val="en-GB"/>
              </w:rPr>
              <w:t>provision of personal assistance service</w:t>
            </w:r>
            <w:r w:rsidR="0090505C" w:rsidRPr="00680837">
              <w:rPr>
                <w:sz w:val="20"/>
                <w:szCs w:val="19"/>
                <w:lang w:val="en-GB"/>
              </w:rPr>
              <w:t xml:space="preserve">s </w:t>
            </w:r>
            <w:r w:rsidR="00C75C7C">
              <w:rPr>
                <w:sz w:val="20"/>
                <w:szCs w:val="19"/>
                <w:lang w:val="en-GB"/>
              </w:rPr>
              <w:t xml:space="preserve">in order </w:t>
            </w:r>
            <w:r w:rsidR="0090505C" w:rsidRPr="00680837">
              <w:rPr>
                <w:sz w:val="20"/>
                <w:szCs w:val="19"/>
                <w:lang w:val="en-GB"/>
              </w:rPr>
              <w:t>to ensure the inclusion of persons with disabilities</w:t>
            </w:r>
            <w:r w:rsidR="000642C2" w:rsidRPr="00680837">
              <w:rPr>
                <w:sz w:val="20"/>
                <w:szCs w:val="19"/>
                <w:lang w:val="en-GB"/>
              </w:rPr>
              <w:t>.</w:t>
            </w:r>
            <w:r w:rsidR="0090505C" w:rsidRPr="00680837">
              <w:rPr>
                <w:sz w:val="20"/>
                <w:szCs w:val="19"/>
                <w:lang w:val="en-GB"/>
              </w:rPr>
              <w:t xml:space="preserve"> </w:t>
            </w:r>
          </w:p>
        </w:tc>
        <w:tc>
          <w:tcPr>
            <w:tcW w:w="6813" w:type="dxa"/>
            <w:tcBorders>
              <w:top w:val="nil"/>
              <w:left w:val="nil"/>
              <w:bottom w:val="single" w:sz="4" w:space="0" w:color="auto"/>
              <w:right w:val="single" w:sz="4" w:space="0" w:color="auto"/>
            </w:tcBorders>
            <w:shd w:val="clear" w:color="auto" w:fill="auto"/>
            <w:noWrap/>
            <w:hideMark/>
          </w:tcPr>
          <w:p w14:paraId="4E792D61" w14:textId="01807480" w:rsidR="001102C9" w:rsidRPr="00680837" w:rsidRDefault="001102C9" w:rsidP="008B4510">
            <w:pPr>
              <w:pStyle w:val="ListParagraph"/>
              <w:numPr>
                <w:ilvl w:val="0"/>
                <w:numId w:val="7"/>
              </w:numPr>
              <w:ind w:left="312" w:hanging="283"/>
              <w:rPr>
                <w:sz w:val="20"/>
                <w:szCs w:val="19"/>
                <w:lang w:val="en-GB"/>
              </w:rPr>
            </w:pPr>
            <w:r w:rsidRPr="00680837">
              <w:rPr>
                <w:sz w:val="20"/>
                <w:szCs w:val="19"/>
                <w:lang w:val="en-GB"/>
              </w:rPr>
              <w:t xml:space="preserve">Support culturally sensitive schemes to provide personal assistance </w:t>
            </w:r>
            <w:r w:rsidR="000C286C">
              <w:rPr>
                <w:sz w:val="20"/>
                <w:szCs w:val="19"/>
                <w:lang w:val="en-GB"/>
              </w:rPr>
              <w:t>which respects the</w:t>
            </w:r>
            <w:r w:rsidR="000C286C" w:rsidRPr="00680837">
              <w:rPr>
                <w:sz w:val="20"/>
                <w:szCs w:val="19"/>
                <w:lang w:val="en-GB"/>
              </w:rPr>
              <w:t xml:space="preserve"> </w:t>
            </w:r>
            <w:r w:rsidRPr="00680837">
              <w:rPr>
                <w:sz w:val="20"/>
                <w:szCs w:val="19"/>
                <w:lang w:val="en-GB"/>
              </w:rPr>
              <w:t>choice and control of the person and progressively scale them up</w:t>
            </w:r>
            <w:r w:rsidR="00EC23DA" w:rsidRPr="00680837">
              <w:rPr>
                <w:sz w:val="20"/>
                <w:szCs w:val="19"/>
                <w:lang w:val="en-GB"/>
              </w:rPr>
              <w:t>.</w:t>
            </w:r>
          </w:p>
        </w:tc>
      </w:tr>
      <w:tr w:rsidR="00C7367E" w:rsidRPr="00680837" w14:paraId="6CD854AA"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64119E4C" w14:textId="77777777" w:rsidR="00BE6CDA" w:rsidRPr="00680837" w:rsidRDefault="00BE6CDA" w:rsidP="003D4284">
            <w:pPr>
              <w:jc w:val="left"/>
              <w:rPr>
                <w:sz w:val="20"/>
                <w:szCs w:val="19"/>
                <w:lang w:val="en-GB"/>
              </w:rPr>
            </w:pPr>
            <w:r w:rsidRPr="00680837">
              <w:rPr>
                <w:sz w:val="20"/>
                <w:szCs w:val="19"/>
                <w:lang w:val="en-GB"/>
              </w:rPr>
              <w:t>Child support/care</w:t>
            </w:r>
          </w:p>
        </w:tc>
        <w:tc>
          <w:tcPr>
            <w:tcW w:w="6886" w:type="dxa"/>
            <w:tcBorders>
              <w:top w:val="nil"/>
              <w:left w:val="nil"/>
              <w:bottom w:val="single" w:sz="4" w:space="0" w:color="auto"/>
              <w:right w:val="single" w:sz="4" w:space="0" w:color="auto"/>
            </w:tcBorders>
            <w:shd w:val="clear" w:color="auto" w:fill="auto"/>
            <w:noWrap/>
            <w:hideMark/>
          </w:tcPr>
          <w:p w14:paraId="02021E1E" w14:textId="78298011" w:rsidR="00BE6CDA" w:rsidRPr="00680837" w:rsidRDefault="00BE6CDA" w:rsidP="00EC23DA">
            <w:pPr>
              <w:pStyle w:val="ListParagraph"/>
              <w:numPr>
                <w:ilvl w:val="0"/>
                <w:numId w:val="21"/>
              </w:numPr>
              <w:ind w:left="298" w:hanging="284"/>
              <w:rPr>
                <w:sz w:val="20"/>
                <w:szCs w:val="19"/>
                <w:lang w:val="en-GB"/>
              </w:rPr>
            </w:pPr>
            <w:r w:rsidRPr="00680837">
              <w:rPr>
                <w:sz w:val="20"/>
                <w:szCs w:val="19"/>
                <w:lang w:val="en-GB"/>
              </w:rPr>
              <w:t>Ensur</w:t>
            </w:r>
            <w:r w:rsidR="00FC3D48" w:rsidRPr="00680837">
              <w:rPr>
                <w:sz w:val="20"/>
                <w:szCs w:val="19"/>
                <w:lang w:val="en-GB"/>
              </w:rPr>
              <w:t>e</w:t>
            </w:r>
            <w:r w:rsidRPr="00680837">
              <w:rPr>
                <w:sz w:val="20"/>
                <w:szCs w:val="19"/>
                <w:lang w:val="en-GB"/>
              </w:rPr>
              <w:t xml:space="preserve"> that parents with disabilities have priority access to child care services </w:t>
            </w:r>
            <w:r w:rsidR="001102C9" w:rsidRPr="00680837">
              <w:rPr>
                <w:sz w:val="20"/>
                <w:szCs w:val="19"/>
                <w:lang w:val="en-GB"/>
              </w:rPr>
              <w:t>and that those services are accessible and inclusive</w:t>
            </w:r>
            <w:r w:rsidR="000642C2" w:rsidRPr="00680837">
              <w:rPr>
                <w:sz w:val="20"/>
                <w:szCs w:val="19"/>
                <w:lang w:val="en-GB"/>
              </w:rPr>
              <w:t>.</w:t>
            </w:r>
          </w:p>
        </w:tc>
        <w:tc>
          <w:tcPr>
            <w:tcW w:w="6813" w:type="dxa"/>
            <w:tcBorders>
              <w:top w:val="nil"/>
              <w:left w:val="nil"/>
              <w:bottom w:val="single" w:sz="4" w:space="0" w:color="auto"/>
              <w:right w:val="single" w:sz="4" w:space="0" w:color="auto"/>
            </w:tcBorders>
            <w:shd w:val="clear" w:color="auto" w:fill="auto"/>
            <w:noWrap/>
            <w:hideMark/>
          </w:tcPr>
          <w:p w14:paraId="02009ECA" w14:textId="680793F6" w:rsidR="00BE6CDA" w:rsidRPr="00680837" w:rsidRDefault="00BE6CDA" w:rsidP="004375AD">
            <w:pPr>
              <w:pStyle w:val="ListParagraph"/>
              <w:numPr>
                <w:ilvl w:val="0"/>
                <w:numId w:val="7"/>
              </w:numPr>
              <w:ind w:left="312" w:hanging="283"/>
              <w:rPr>
                <w:sz w:val="20"/>
                <w:szCs w:val="19"/>
                <w:lang w:val="en-GB"/>
              </w:rPr>
            </w:pPr>
            <w:r w:rsidRPr="004375AD">
              <w:rPr>
                <w:sz w:val="20"/>
                <w:szCs w:val="19"/>
                <w:lang w:val="en-GB"/>
              </w:rPr>
              <w:t>In</w:t>
            </w:r>
            <w:r w:rsidR="00FC3D48" w:rsidRPr="004375AD">
              <w:rPr>
                <w:sz w:val="20"/>
                <w:szCs w:val="19"/>
                <w:lang w:val="en-GB"/>
              </w:rPr>
              <w:t xml:space="preserve"> the</w:t>
            </w:r>
            <w:r w:rsidRPr="004375AD">
              <w:rPr>
                <w:sz w:val="20"/>
                <w:szCs w:val="19"/>
                <w:lang w:val="en-GB"/>
              </w:rPr>
              <w:t xml:space="preserve"> absence of child care services</w:t>
            </w:r>
            <w:r w:rsidR="004375AD" w:rsidRPr="004375AD">
              <w:rPr>
                <w:sz w:val="20"/>
                <w:szCs w:val="19"/>
                <w:lang w:val="en-GB"/>
              </w:rPr>
              <w:t>,</w:t>
            </w:r>
            <w:r w:rsidRPr="004375AD">
              <w:rPr>
                <w:sz w:val="20"/>
                <w:szCs w:val="19"/>
                <w:lang w:val="en-GB"/>
              </w:rPr>
              <w:t xml:space="preserve"> provide support to parents with disabilities who might require it. This support should always be provided in the community</w:t>
            </w:r>
            <w:r w:rsidR="004375AD" w:rsidRPr="004375AD">
              <w:rPr>
                <w:sz w:val="20"/>
                <w:szCs w:val="19"/>
                <w:lang w:val="en-GB"/>
              </w:rPr>
              <w:t>, where</w:t>
            </w:r>
            <w:r w:rsidRPr="004375AD">
              <w:rPr>
                <w:sz w:val="20"/>
                <w:szCs w:val="19"/>
                <w:lang w:val="en-GB"/>
              </w:rPr>
              <w:t xml:space="preserve"> necessary </w:t>
            </w:r>
            <w:r w:rsidR="001102C9" w:rsidRPr="004375AD">
              <w:rPr>
                <w:sz w:val="20"/>
                <w:szCs w:val="19"/>
                <w:lang w:val="en-GB"/>
              </w:rPr>
              <w:t>in family</w:t>
            </w:r>
            <w:r w:rsidR="004375AD" w:rsidRPr="004375AD">
              <w:rPr>
                <w:sz w:val="20"/>
                <w:szCs w:val="19"/>
                <w:lang w:val="en-GB"/>
              </w:rPr>
              <w:t>-</w:t>
            </w:r>
            <w:r w:rsidR="001102C9" w:rsidRPr="004375AD">
              <w:rPr>
                <w:sz w:val="20"/>
                <w:szCs w:val="19"/>
                <w:lang w:val="en-GB"/>
              </w:rPr>
              <w:t>like settings.</w:t>
            </w:r>
          </w:p>
        </w:tc>
      </w:tr>
      <w:tr w:rsidR="00C7367E" w:rsidRPr="00680837" w14:paraId="1BE94073"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tcPr>
          <w:p w14:paraId="4235012F" w14:textId="77777777" w:rsidR="00BE6CDA" w:rsidRPr="00680837" w:rsidRDefault="00BE6CDA" w:rsidP="003D4284">
            <w:pPr>
              <w:jc w:val="left"/>
              <w:rPr>
                <w:sz w:val="20"/>
                <w:szCs w:val="19"/>
                <w:lang w:val="en-GB"/>
              </w:rPr>
            </w:pPr>
            <w:r w:rsidRPr="00680837">
              <w:rPr>
                <w:sz w:val="20"/>
                <w:szCs w:val="19"/>
                <w:lang w:val="en-GB"/>
              </w:rPr>
              <w:t xml:space="preserve">Child protection </w:t>
            </w:r>
          </w:p>
        </w:tc>
        <w:tc>
          <w:tcPr>
            <w:tcW w:w="6886" w:type="dxa"/>
            <w:tcBorders>
              <w:top w:val="nil"/>
              <w:left w:val="nil"/>
              <w:bottom w:val="single" w:sz="4" w:space="0" w:color="auto"/>
              <w:right w:val="single" w:sz="4" w:space="0" w:color="auto"/>
            </w:tcBorders>
            <w:shd w:val="clear" w:color="auto" w:fill="auto"/>
            <w:noWrap/>
          </w:tcPr>
          <w:p w14:paraId="067B498F" w14:textId="3A065DEA" w:rsidR="00BE6CDA" w:rsidRPr="00680837" w:rsidRDefault="00BE6CDA" w:rsidP="0082451C">
            <w:pPr>
              <w:pStyle w:val="ListParagraph"/>
              <w:numPr>
                <w:ilvl w:val="0"/>
                <w:numId w:val="7"/>
              </w:numPr>
              <w:ind w:left="298" w:hanging="284"/>
              <w:rPr>
                <w:sz w:val="20"/>
                <w:szCs w:val="19"/>
                <w:lang w:val="en-GB"/>
              </w:rPr>
            </w:pPr>
            <w:r w:rsidRPr="00680837">
              <w:rPr>
                <w:sz w:val="20"/>
                <w:szCs w:val="19"/>
                <w:lang w:val="en-GB"/>
              </w:rPr>
              <w:t>Ensur</w:t>
            </w:r>
            <w:r w:rsidR="00FC3D48" w:rsidRPr="00680837">
              <w:rPr>
                <w:sz w:val="20"/>
                <w:szCs w:val="19"/>
                <w:lang w:val="en-GB"/>
              </w:rPr>
              <w:t>e</w:t>
            </w:r>
            <w:r w:rsidRPr="00680837">
              <w:rPr>
                <w:sz w:val="20"/>
                <w:szCs w:val="19"/>
                <w:lang w:val="en-GB"/>
              </w:rPr>
              <w:t xml:space="preserve"> that child pr</w:t>
            </w:r>
            <w:r w:rsidR="000642C2" w:rsidRPr="00680837">
              <w:rPr>
                <w:sz w:val="20"/>
                <w:szCs w:val="19"/>
                <w:lang w:val="en-GB"/>
              </w:rPr>
              <w:t>otection services are inclusive.</w:t>
            </w:r>
          </w:p>
        </w:tc>
        <w:tc>
          <w:tcPr>
            <w:tcW w:w="6813" w:type="dxa"/>
            <w:tcBorders>
              <w:top w:val="nil"/>
              <w:left w:val="nil"/>
              <w:bottom w:val="single" w:sz="4" w:space="0" w:color="auto"/>
              <w:right w:val="single" w:sz="4" w:space="0" w:color="auto"/>
            </w:tcBorders>
            <w:shd w:val="clear" w:color="auto" w:fill="auto"/>
            <w:noWrap/>
          </w:tcPr>
          <w:p w14:paraId="42C1B27D" w14:textId="6C5D5F71" w:rsidR="00BE6CDA" w:rsidRPr="00680837" w:rsidRDefault="00BE6CDA" w:rsidP="0082451C">
            <w:pPr>
              <w:pStyle w:val="ListParagraph"/>
              <w:numPr>
                <w:ilvl w:val="0"/>
                <w:numId w:val="7"/>
              </w:numPr>
              <w:ind w:left="312" w:hanging="283"/>
              <w:rPr>
                <w:sz w:val="20"/>
                <w:szCs w:val="19"/>
                <w:lang w:val="en-GB"/>
              </w:rPr>
            </w:pPr>
            <w:r w:rsidRPr="00680837">
              <w:rPr>
                <w:sz w:val="20"/>
                <w:szCs w:val="19"/>
                <w:lang w:val="en-GB"/>
              </w:rPr>
              <w:t>Ensur</w:t>
            </w:r>
            <w:r w:rsidR="00FC3D48" w:rsidRPr="00680837">
              <w:rPr>
                <w:sz w:val="20"/>
                <w:szCs w:val="19"/>
                <w:lang w:val="en-GB"/>
              </w:rPr>
              <w:t>e</w:t>
            </w:r>
            <w:r w:rsidRPr="00680837">
              <w:rPr>
                <w:sz w:val="20"/>
                <w:szCs w:val="19"/>
                <w:lang w:val="en-GB"/>
              </w:rPr>
              <w:t xml:space="preserve"> that services are not offered in segregated settings (e.g. special institutions or sheltered employment) but support inclusion. </w:t>
            </w:r>
          </w:p>
        </w:tc>
      </w:tr>
      <w:tr w:rsidR="00C7367E" w:rsidRPr="00680837" w14:paraId="58C0E6B6"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34C007E7" w14:textId="562D881D" w:rsidR="00777DC7" w:rsidRPr="00680837" w:rsidRDefault="001102C9" w:rsidP="003D4284">
            <w:pPr>
              <w:jc w:val="left"/>
              <w:rPr>
                <w:sz w:val="20"/>
                <w:szCs w:val="19"/>
                <w:lang w:val="en-GB"/>
              </w:rPr>
            </w:pPr>
            <w:r w:rsidRPr="00680837">
              <w:rPr>
                <w:sz w:val="20"/>
                <w:szCs w:val="19"/>
                <w:lang w:val="en-GB"/>
              </w:rPr>
              <w:t xml:space="preserve">Violence </w:t>
            </w:r>
            <w:r w:rsidR="00A61FDD" w:rsidRPr="00680837">
              <w:rPr>
                <w:sz w:val="20"/>
                <w:szCs w:val="19"/>
                <w:lang w:val="en-GB"/>
              </w:rPr>
              <w:t>related services</w:t>
            </w:r>
          </w:p>
        </w:tc>
        <w:tc>
          <w:tcPr>
            <w:tcW w:w="6886" w:type="dxa"/>
            <w:tcBorders>
              <w:top w:val="nil"/>
              <w:left w:val="nil"/>
              <w:bottom w:val="single" w:sz="4" w:space="0" w:color="auto"/>
              <w:right w:val="single" w:sz="4" w:space="0" w:color="auto"/>
            </w:tcBorders>
            <w:shd w:val="clear" w:color="auto" w:fill="auto"/>
            <w:noWrap/>
            <w:hideMark/>
          </w:tcPr>
          <w:p w14:paraId="45FC05D4" w14:textId="42AA6E7F" w:rsidR="00777DC7" w:rsidRPr="00680837" w:rsidRDefault="00FC3D48" w:rsidP="0082451C">
            <w:pPr>
              <w:pStyle w:val="ListParagraph"/>
              <w:numPr>
                <w:ilvl w:val="0"/>
                <w:numId w:val="22"/>
              </w:numPr>
              <w:ind w:left="298" w:hanging="284"/>
              <w:rPr>
                <w:sz w:val="20"/>
                <w:szCs w:val="19"/>
                <w:lang w:val="en-GB"/>
              </w:rPr>
            </w:pPr>
            <w:r w:rsidRPr="00680837">
              <w:rPr>
                <w:sz w:val="20"/>
                <w:szCs w:val="19"/>
                <w:lang w:val="en-GB"/>
              </w:rPr>
              <w:t xml:space="preserve">Ensure </w:t>
            </w:r>
            <w:r w:rsidR="001102C9" w:rsidRPr="00680837">
              <w:rPr>
                <w:sz w:val="20"/>
                <w:szCs w:val="19"/>
                <w:lang w:val="en-GB"/>
              </w:rPr>
              <w:t>that men</w:t>
            </w:r>
            <w:r w:rsidR="00C75C7C">
              <w:rPr>
                <w:sz w:val="20"/>
                <w:szCs w:val="19"/>
                <w:lang w:val="en-GB"/>
              </w:rPr>
              <w:t>,</w:t>
            </w:r>
            <w:r w:rsidR="001102C9" w:rsidRPr="00680837">
              <w:rPr>
                <w:sz w:val="20"/>
                <w:szCs w:val="19"/>
                <w:lang w:val="en-GB"/>
              </w:rPr>
              <w:t xml:space="preserve"> women</w:t>
            </w:r>
            <w:r w:rsidR="004575D3" w:rsidRPr="00680837">
              <w:rPr>
                <w:sz w:val="20"/>
                <w:szCs w:val="19"/>
                <w:lang w:val="en-GB"/>
              </w:rPr>
              <w:t>,</w:t>
            </w:r>
            <w:r w:rsidR="001102C9" w:rsidRPr="00680837">
              <w:rPr>
                <w:sz w:val="20"/>
                <w:szCs w:val="19"/>
                <w:lang w:val="en-GB"/>
              </w:rPr>
              <w:t xml:space="preserve"> girls and boys with disabilities have access to existing protection and support service</w:t>
            </w:r>
            <w:r w:rsidR="000642C2" w:rsidRPr="00680837">
              <w:rPr>
                <w:sz w:val="20"/>
                <w:szCs w:val="19"/>
                <w:lang w:val="en-GB"/>
              </w:rPr>
              <w:t>s,</w:t>
            </w:r>
            <w:r w:rsidR="00C75C7C">
              <w:rPr>
                <w:sz w:val="20"/>
                <w:szCs w:val="19"/>
                <w:lang w:val="en-GB"/>
              </w:rPr>
              <w:t xml:space="preserve"> including</w:t>
            </w:r>
            <w:r w:rsidR="000642C2" w:rsidRPr="00680837">
              <w:rPr>
                <w:sz w:val="20"/>
                <w:szCs w:val="19"/>
                <w:lang w:val="en-GB"/>
              </w:rPr>
              <w:t xml:space="preserve"> shelter and support programs.</w:t>
            </w:r>
          </w:p>
        </w:tc>
        <w:tc>
          <w:tcPr>
            <w:tcW w:w="6813" w:type="dxa"/>
            <w:tcBorders>
              <w:top w:val="nil"/>
              <w:left w:val="nil"/>
              <w:bottom w:val="single" w:sz="4" w:space="0" w:color="auto"/>
              <w:right w:val="single" w:sz="4" w:space="0" w:color="auto"/>
            </w:tcBorders>
            <w:shd w:val="clear" w:color="auto" w:fill="auto"/>
            <w:noWrap/>
            <w:hideMark/>
          </w:tcPr>
          <w:p w14:paraId="707878D8" w14:textId="722B3D7C" w:rsidR="00777DC7" w:rsidRPr="00680837" w:rsidRDefault="00FC3D48" w:rsidP="00B9413E">
            <w:pPr>
              <w:pStyle w:val="ListParagraph"/>
              <w:numPr>
                <w:ilvl w:val="0"/>
                <w:numId w:val="7"/>
              </w:numPr>
              <w:ind w:left="312" w:hanging="283"/>
              <w:rPr>
                <w:sz w:val="20"/>
                <w:szCs w:val="19"/>
                <w:lang w:val="en-GB"/>
              </w:rPr>
            </w:pPr>
            <w:r w:rsidRPr="00680837">
              <w:rPr>
                <w:sz w:val="20"/>
                <w:szCs w:val="19"/>
                <w:lang w:val="en-GB"/>
              </w:rPr>
              <w:t>S</w:t>
            </w:r>
            <w:r w:rsidR="001102C9" w:rsidRPr="00680837">
              <w:rPr>
                <w:sz w:val="20"/>
                <w:szCs w:val="19"/>
                <w:lang w:val="en-GB"/>
              </w:rPr>
              <w:t xml:space="preserve">upport </w:t>
            </w:r>
            <w:r w:rsidR="00C75C7C">
              <w:rPr>
                <w:sz w:val="20"/>
                <w:szCs w:val="19"/>
                <w:lang w:val="en-GB"/>
              </w:rPr>
              <w:t>DPOs</w:t>
            </w:r>
            <w:r w:rsidR="00EC23DA" w:rsidRPr="00680837">
              <w:rPr>
                <w:sz w:val="20"/>
                <w:szCs w:val="19"/>
                <w:lang w:val="en-GB"/>
              </w:rPr>
              <w:t xml:space="preserve"> </w:t>
            </w:r>
            <w:r w:rsidR="001102C9" w:rsidRPr="00680837">
              <w:rPr>
                <w:sz w:val="20"/>
                <w:szCs w:val="19"/>
                <w:lang w:val="en-GB"/>
              </w:rPr>
              <w:t xml:space="preserve">to offer support and </w:t>
            </w:r>
            <w:r w:rsidR="0002406E" w:rsidRPr="00680837">
              <w:rPr>
                <w:sz w:val="20"/>
                <w:szCs w:val="19"/>
                <w:lang w:val="en-GB"/>
              </w:rPr>
              <w:t>counselling</w:t>
            </w:r>
            <w:r w:rsidR="001102C9" w:rsidRPr="00680837">
              <w:rPr>
                <w:sz w:val="20"/>
                <w:szCs w:val="19"/>
                <w:lang w:val="en-GB"/>
              </w:rPr>
              <w:t xml:space="preserve"> to those </w:t>
            </w:r>
            <w:r w:rsidR="00C75C7C">
              <w:rPr>
                <w:sz w:val="20"/>
                <w:szCs w:val="19"/>
                <w:lang w:val="en-GB"/>
              </w:rPr>
              <w:t>who</w:t>
            </w:r>
            <w:r w:rsidR="00C75C7C" w:rsidRPr="00680837">
              <w:rPr>
                <w:sz w:val="20"/>
                <w:szCs w:val="19"/>
                <w:lang w:val="en-GB"/>
              </w:rPr>
              <w:t xml:space="preserve"> </w:t>
            </w:r>
            <w:r w:rsidR="001102C9" w:rsidRPr="00680837">
              <w:rPr>
                <w:sz w:val="20"/>
                <w:szCs w:val="19"/>
                <w:lang w:val="en-GB"/>
              </w:rPr>
              <w:t xml:space="preserve">might be at risk </w:t>
            </w:r>
            <w:r w:rsidR="00C75C7C">
              <w:rPr>
                <w:sz w:val="20"/>
                <w:szCs w:val="19"/>
                <w:lang w:val="en-GB"/>
              </w:rPr>
              <w:t xml:space="preserve">of </w:t>
            </w:r>
            <w:r w:rsidR="001102C9" w:rsidRPr="00680837">
              <w:rPr>
                <w:sz w:val="20"/>
                <w:szCs w:val="19"/>
                <w:lang w:val="en-GB"/>
              </w:rPr>
              <w:t>o</w:t>
            </w:r>
            <w:r w:rsidR="00EC23DA" w:rsidRPr="00680837">
              <w:rPr>
                <w:sz w:val="20"/>
                <w:szCs w:val="19"/>
                <w:lang w:val="en-GB"/>
              </w:rPr>
              <w:t>r victims of violence.</w:t>
            </w:r>
          </w:p>
        </w:tc>
      </w:tr>
      <w:tr w:rsidR="003B7148" w:rsidRPr="00680837" w14:paraId="7A37805D" w14:textId="77777777" w:rsidTr="00E30D0F">
        <w:trPr>
          <w:cantSplit/>
        </w:trPr>
        <w:tc>
          <w:tcPr>
            <w:tcW w:w="15400" w:type="dxa"/>
            <w:gridSpan w:val="3"/>
            <w:tcBorders>
              <w:top w:val="nil"/>
              <w:left w:val="single" w:sz="4" w:space="0" w:color="auto"/>
              <w:bottom w:val="single" w:sz="4" w:space="0" w:color="auto"/>
              <w:right w:val="single" w:sz="4" w:space="0" w:color="auto"/>
            </w:tcBorders>
            <w:shd w:val="clear" w:color="auto" w:fill="DEEAF6" w:themeFill="accent1" w:themeFillTint="33"/>
            <w:noWrap/>
          </w:tcPr>
          <w:p w14:paraId="6F751870" w14:textId="6EFC3574" w:rsidR="003B7148" w:rsidRPr="00680837" w:rsidRDefault="003D4284" w:rsidP="003D4284">
            <w:pPr>
              <w:jc w:val="left"/>
              <w:rPr>
                <w:b/>
                <w:sz w:val="20"/>
                <w:szCs w:val="19"/>
                <w:lang w:val="en-GB"/>
              </w:rPr>
            </w:pPr>
            <w:r w:rsidRPr="00680837">
              <w:rPr>
                <w:b/>
                <w:sz w:val="20"/>
                <w:szCs w:val="19"/>
                <w:lang w:val="en-GB"/>
              </w:rPr>
              <w:t>ACCESS TO HEALTH CARE</w:t>
            </w:r>
          </w:p>
        </w:tc>
      </w:tr>
      <w:tr w:rsidR="00C7367E" w:rsidRPr="00680837" w14:paraId="037E54C0"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3E445D68" w14:textId="77777777" w:rsidR="003B7148" w:rsidRPr="00680837" w:rsidRDefault="003B7148" w:rsidP="003D4284">
            <w:pPr>
              <w:jc w:val="left"/>
              <w:rPr>
                <w:sz w:val="20"/>
                <w:szCs w:val="19"/>
                <w:lang w:val="en-GB"/>
              </w:rPr>
            </w:pPr>
            <w:r w:rsidRPr="00680837">
              <w:rPr>
                <w:sz w:val="20"/>
                <w:szCs w:val="19"/>
                <w:lang w:val="en-GB"/>
              </w:rPr>
              <w:t xml:space="preserve">Health </w:t>
            </w:r>
          </w:p>
        </w:tc>
        <w:tc>
          <w:tcPr>
            <w:tcW w:w="6886" w:type="dxa"/>
            <w:tcBorders>
              <w:top w:val="nil"/>
              <w:left w:val="nil"/>
              <w:bottom w:val="single" w:sz="4" w:space="0" w:color="auto"/>
              <w:right w:val="single" w:sz="4" w:space="0" w:color="auto"/>
            </w:tcBorders>
            <w:shd w:val="clear" w:color="auto" w:fill="auto"/>
            <w:noWrap/>
            <w:hideMark/>
          </w:tcPr>
          <w:p w14:paraId="5FC02EBA" w14:textId="5DAACBE2" w:rsidR="003B7148" w:rsidRPr="00680837" w:rsidRDefault="003B7148" w:rsidP="0082451C">
            <w:pPr>
              <w:pStyle w:val="ListParagraph"/>
              <w:numPr>
                <w:ilvl w:val="0"/>
                <w:numId w:val="19"/>
              </w:numPr>
              <w:ind w:left="298" w:hanging="284"/>
              <w:rPr>
                <w:sz w:val="20"/>
                <w:szCs w:val="19"/>
                <w:lang w:val="en-GB"/>
              </w:rPr>
            </w:pPr>
            <w:r w:rsidRPr="00680837">
              <w:rPr>
                <w:sz w:val="20"/>
                <w:szCs w:val="19"/>
                <w:lang w:val="en-GB"/>
              </w:rPr>
              <w:t xml:space="preserve">Ensure </w:t>
            </w:r>
            <w:r w:rsidR="000C286C">
              <w:rPr>
                <w:sz w:val="20"/>
                <w:szCs w:val="19"/>
                <w:lang w:val="en-GB"/>
              </w:rPr>
              <w:t xml:space="preserve">the </w:t>
            </w:r>
            <w:r w:rsidRPr="00680837">
              <w:rPr>
                <w:sz w:val="20"/>
                <w:szCs w:val="19"/>
                <w:lang w:val="en-GB"/>
              </w:rPr>
              <w:t xml:space="preserve">removal of </w:t>
            </w:r>
            <w:r w:rsidR="000C286C">
              <w:rPr>
                <w:sz w:val="20"/>
                <w:szCs w:val="19"/>
                <w:lang w:val="en-GB"/>
              </w:rPr>
              <w:t xml:space="preserve">the </w:t>
            </w:r>
            <w:r w:rsidRPr="00680837">
              <w:rPr>
                <w:sz w:val="20"/>
                <w:szCs w:val="19"/>
                <w:lang w:val="en-GB"/>
              </w:rPr>
              <w:t xml:space="preserve">barriers faced by </w:t>
            </w:r>
            <w:r w:rsidR="004D62FF" w:rsidRPr="00680837">
              <w:rPr>
                <w:sz w:val="20"/>
                <w:szCs w:val="19"/>
                <w:lang w:val="en-GB"/>
              </w:rPr>
              <w:t xml:space="preserve">all </w:t>
            </w:r>
            <w:r w:rsidRPr="00680837">
              <w:rPr>
                <w:sz w:val="20"/>
                <w:szCs w:val="19"/>
                <w:lang w:val="en-GB"/>
              </w:rPr>
              <w:t>persons with disabilities</w:t>
            </w:r>
            <w:r w:rsidR="004575D3" w:rsidRPr="00680837">
              <w:rPr>
                <w:sz w:val="20"/>
                <w:szCs w:val="19"/>
                <w:lang w:val="en-GB"/>
              </w:rPr>
              <w:t xml:space="preserve"> </w:t>
            </w:r>
            <w:r w:rsidRPr="00680837">
              <w:rPr>
                <w:sz w:val="20"/>
                <w:szCs w:val="19"/>
                <w:lang w:val="en-GB"/>
              </w:rPr>
              <w:t>to effectively access health care, thereby promoting universal health coverage</w:t>
            </w:r>
            <w:r w:rsidR="000642C2" w:rsidRPr="00680837">
              <w:rPr>
                <w:sz w:val="20"/>
                <w:szCs w:val="19"/>
                <w:lang w:val="en-GB"/>
              </w:rPr>
              <w:t>.</w:t>
            </w:r>
          </w:p>
          <w:p w14:paraId="6ACD8E81" w14:textId="4910294D" w:rsidR="003B7148" w:rsidRPr="00680837" w:rsidRDefault="003B7148" w:rsidP="0082451C">
            <w:pPr>
              <w:pStyle w:val="ListParagraph"/>
              <w:numPr>
                <w:ilvl w:val="0"/>
                <w:numId w:val="19"/>
              </w:numPr>
              <w:ind w:left="298" w:hanging="284"/>
              <w:rPr>
                <w:sz w:val="20"/>
                <w:szCs w:val="19"/>
                <w:lang w:val="en-GB"/>
              </w:rPr>
            </w:pPr>
            <w:r w:rsidRPr="00680837">
              <w:rPr>
                <w:sz w:val="20"/>
                <w:szCs w:val="19"/>
                <w:lang w:val="en-GB"/>
              </w:rPr>
              <w:t>Ensure that health care benefit package</w:t>
            </w:r>
            <w:r w:rsidR="00C75C7C">
              <w:rPr>
                <w:sz w:val="20"/>
                <w:szCs w:val="19"/>
                <w:lang w:val="en-GB"/>
              </w:rPr>
              <w:t>s</w:t>
            </w:r>
            <w:r w:rsidRPr="00680837">
              <w:rPr>
                <w:sz w:val="20"/>
                <w:szCs w:val="19"/>
                <w:lang w:val="en-GB"/>
              </w:rPr>
              <w:t xml:space="preserve"> include rehabilitation and assistive devices (at least the WHO list of 50 essential assistive devices)</w:t>
            </w:r>
            <w:r w:rsidR="000642C2" w:rsidRPr="00680837">
              <w:rPr>
                <w:sz w:val="20"/>
                <w:szCs w:val="19"/>
                <w:lang w:val="en-GB"/>
              </w:rPr>
              <w:t>.</w:t>
            </w:r>
          </w:p>
          <w:p w14:paraId="6AE0CB25" w14:textId="627316A7" w:rsidR="003B7148" w:rsidRPr="00680837" w:rsidRDefault="003B7148" w:rsidP="0082451C">
            <w:pPr>
              <w:pStyle w:val="ListParagraph"/>
              <w:numPr>
                <w:ilvl w:val="0"/>
                <w:numId w:val="19"/>
              </w:numPr>
              <w:ind w:left="298" w:hanging="284"/>
              <w:rPr>
                <w:sz w:val="20"/>
                <w:szCs w:val="19"/>
                <w:lang w:val="en-GB"/>
              </w:rPr>
            </w:pPr>
            <w:r w:rsidRPr="00680837">
              <w:rPr>
                <w:sz w:val="20"/>
                <w:szCs w:val="19"/>
                <w:lang w:val="en-GB"/>
              </w:rPr>
              <w:t>Ensure that persons with disabilities are not denied access to private health insurance due to precondition clauses and are n</w:t>
            </w:r>
            <w:r w:rsidR="000642C2" w:rsidRPr="00680837">
              <w:rPr>
                <w:sz w:val="20"/>
                <w:szCs w:val="19"/>
                <w:lang w:val="en-GB"/>
              </w:rPr>
              <w:t>ot exposed to a higher premium.</w:t>
            </w:r>
          </w:p>
        </w:tc>
        <w:tc>
          <w:tcPr>
            <w:tcW w:w="6813" w:type="dxa"/>
            <w:tcBorders>
              <w:top w:val="nil"/>
              <w:left w:val="nil"/>
              <w:bottom w:val="single" w:sz="4" w:space="0" w:color="auto"/>
              <w:right w:val="single" w:sz="4" w:space="0" w:color="auto"/>
            </w:tcBorders>
            <w:shd w:val="clear" w:color="auto" w:fill="auto"/>
            <w:noWrap/>
            <w:hideMark/>
          </w:tcPr>
          <w:p w14:paraId="0B74A18D" w14:textId="2075847A" w:rsidR="003B7148" w:rsidRPr="00680837" w:rsidRDefault="00FC3D48" w:rsidP="0082451C">
            <w:pPr>
              <w:pStyle w:val="ListParagraph"/>
              <w:numPr>
                <w:ilvl w:val="0"/>
                <w:numId w:val="19"/>
              </w:numPr>
              <w:ind w:left="312" w:hanging="283"/>
              <w:rPr>
                <w:sz w:val="20"/>
                <w:szCs w:val="19"/>
                <w:lang w:val="en-GB"/>
              </w:rPr>
            </w:pPr>
            <w:r w:rsidRPr="00680837">
              <w:rPr>
                <w:sz w:val="20"/>
                <w:szCs w:val="19"/>
                <w:lang w:val="en-GB"/>
              </w:rPr>
              <w:t>I</w:t>
            </w:r>
            <w:r w:rsidR="003B7148" w:rsidRPr="00680837">
              <w:rPr>
                <w:sz w:val="20"/>
                <w:szCs w:val="19"/>
                <w:lang w:val="en-GB"/>
              </w:rPr>
              <w:t xml:space="preserve">n </w:t>
            </w:r>
            <w:r w:rsidRPr="00680837">
              <w:rPr>
                <w:sz w:val="20"/>
                <w:szCs w:val="19"/>
                <w:lang w:val="en-GB"/>
              </w:rPr>
              <w:t xml:space="preserve">the </w:t>
            </w:r>
            <w:r w:rsidR="003B7148" w:rsidRPr="00680837">
              <w:rPr>
                <w:sz w:val="20"/>
                <w:szCs w:val="19"/>
                <w:lang w:val="en-GB"/>
              </w:rPr>
              <w:t>absence of inclusion in mainstream health benefit packages, develop a scheme to ensure affordable access to quality assistive devices (WHO 50 assistive devices list) and rehabilitation services</w:t>
            </w:r>
            <w:r w:rsidR="00EC23DA" w:rsidRPr="00680837">
              <w:rPr>
                <w:sz w:val="20"/>
                <w:szCs w:val="19"/>
                <w:lang w:val="en-GB"/>
              </w:rPr>
              <w:t>.</w:t>
            </w:r>
          </w:p>
          <w:p w14:paraId="4CDE3404" w14:textId="0C0D5793" w:rsidR="003B7148" w:rsidRPr="00680837" w:rsidRDefault="00917538" w:rsidP="0082451C">
            <w:pPr>
              <w:pStyle w:val="ListParagraph"/>
              <w:numPr>
                <w:ilvl w:val="0"/>
                <w:numId w:val="19"/>
              </w:numPr>
              <w:ind w:left="312" w:hanging="283"/>
              <w:rPr>
                <w:sz w:val="20"/>
                <w:szCs w:val="19"/>
                <w:lang w:val="en-GB"/>
              </w:rPr>
            </w:pPr>
            <w:r w:rsidRPr="00680837">
              <w:rPr>
                <w:sz w:val="20"/>
                <w:szCs w:val="19"/>
                <w:lang w:val="en-GB"/>
              </w:rPr>
              <w:t>I</w:t>
            </w:r>
            <w:r w:rsidR="003B7148" w:rsidRPr="00680837">
              <w:rPr>
                <w:sz w:val="20"/>
                <w:szCs w:val="19"/>
                <w:lang w:val="en-GB"/>
              </w:rPr>
              <w:t xml:space="preserve">f effective health coverage for persons with disabilities cannot </w:t>
            </w:r>
            <w:r w:rsidR="00C75C7C">
              <w:rPr>
                <w:sz w:val="20"/>
                <w:szCs w:val="19"/>
                <w:lang w:val="en-GB"/>
              </w:rPr>
              <w:t xml:space="preserve">be </w:t>
            </w:r>
            <w:r w:rsidR="003B7148" w:rsidRPr="00680837">
              <w:rPr>
                <w:sz w:val="20"/>
                <w:szCs w:val="19"/>
                <w:lang w:val="en-GB"/>
              </w:rPr>
              <w:t>ensured through mainstream schemes, consider alternative ways of ensuring their effective access to health care.</w:t>
            </w:r>
          </w:p>
        </w:tc>
      </w:tr>
      <w:tr w:rsidR="003B7148" w:rsidRPr="00680837" w14:paraId="07F9722F" w14:textId="77777777" w:rsidTr="00E30D0F">
        <w:trPr>
          <w:cantSplit/>
        </w:trPr>
        <w:tc>
          <w:tcPr>
            <w:tcW w:w="15400" w:type="dxa"/>
            <w:gridSpan w:val="3"/>
            <w:tcBorders>
              <w:top w:val="nil"/>
              <w:left w:val="single" w:sz="4" w:space="0" w:color="auto"/>
              <w:bottom w:val="single" w:sz="4" w:space="0" w:color="auto"/>
              <w:right w:val="single" w:sz="4" w:space="0" w:color="auto"/>
            </w:tcBorders>
            <w:shd w:val="clear" w:color="auto" w:fill="DEEAF6" w:themeFill="accent1" w:themeFillTint="33"/>
            <w:noWrap/>
            <w:hideMark/>
          </w:tcPr>
          <w:p w14:paraId="6A34D5C2" w14:textId="561EC372" w:rsidR="003B7148" w:rsidRPr="00680837" w:rsidRDefault="003D4284" w:rsidP="003D4284">
            <w:pPr>
              <w:jc w:val="left"/>
              <w:rPr>
                <w:b/>
                <w:sz w:val="20"/>
                <w:szCs w:val="19"/>
                <w:lang w:val="en-GB"/>
              </w:rPr>
            </w:pPr>
            <w:r w:rsidRPr="00680837">
              <w:rPr>
                <w:b/>
                <w:sz w:val="20"/>
                <w:szCs w:val="19"/>
                <w:lang w:val="en-GB"/>
              </w:rPr>
              <w:t>RELATED POLICY AREAS</w:t>
            </w:r>
          </w:p>
        </w:tc>
      </w:tr>
      <w:tr w:rsidR="00C7367E" w:rsidRPr="00680837" w14:paraId="6D667C49"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468198FD" w14:textId="77777777" w:rsidR="003B7148" w:rsidRPr="00680837" w:rsidRDefault="003B7148" w:rsidP="003D4284">
            <w:pPr>
              <w:jc w:val="left"/>
              <w:rPr>
                <w:sz w:val="20"/>
                <w:szCs w:val="19"/>
                <w:lang w:val="en-GB"/>
              </w:rPr>
            </w:pPr>
            <w:r w:rsidRPr="00680837">
              <w:rPr>
                <w:sz w:val="20"/>
                <w:szCs w:val="19"/>
                <w:lang w:val="en-GB"/>
              </w:rPr>
              <w:t>Education</w:t>
            </w:r>
          </w:p>
        </w:tc>
        <w:tc>
          <w:tcPr>
            <w:tcW w:w="6886" w:type="dxa"/>
            <w:tcBorders>
              <w:top w:val="nil"/>
              <w:left w:val="nil"/>
              <w:bottom w:val="single" w:sz="4" w:space="0" w:color="auto"/>
              <w:right w:val="single" w:sz="4" w:space="0" w:color="auto"/>
            </w:tcBorders>
            <w:shd w:val="clear" w:color="auto" w:fill="auto"/>
            <w:noWrap/>
            <w:hideMark/>
          </w:tcPr>
          <w:p w14:paraId="75F50CE3" w14:textId="49E917CC" w:rsidR="003B7148" w:rsidRPr="00680837" w:rsidRDefault="00EC23DA" w:rsidP="00B9413E">
            <w:pPr>
              <w:pStyle w:val="ListParagraph"/>
              <w:numPr>
                <w:ilvl w:val="0"/>
                <w:numId w:val="20"/>
              </w:numPr>
              <w:ind w:left="298" w:hanging="284"/>
              <w:rPr>
                <w:sz w:val="20"/>
                <w:szCs w:val="19"/>
                <w:lang w:val="en-GB"/>
              </w:rPr>
            </w:pPr>
            <w:r w:rsidRPr="00680837">
              <w:rPr>
                <w:sz w:val="20"/>
                <w:szCs w:val="19"/>
                <w:lang w:val="en-GB"/>
              </w:rPr>
              <w:t>Waive</w:t>
            </w:r>
            <w:r w:rsidR="000642C2" w:rsidRPr="00680837">
              <w:rPr>
                <w:sz w:val="20"/>
                <w:szCs w:val="19"/>
                <w:lang w:val="en-GB"/>
              </w:rPr>
              <w:t xml:space="preserve"> tuition fees </w:t>
            </w:r>
            <w:r w:rsidR="00C75C7C">
              <w:rPr>
                <w:sz w:val="20"/>
                <w:szCs w:val="19"/>
                <w:lang w:val="en-GB"/>
              </w:rPr>
              <w:t>where applicable</w:t>
            </w:r>
            <w:r w:rsidR="000642C2" w:rsidRPr="00680837">
              <w:rPr>
                <w:sz w:val="20"/>
                <w:szCs w:val="19"/>
                <w:lang w:val="en-GB"/>
              </w:rPr>
              <w:t>.</w:t>
            </w:r>
          </w:p>
        </w:tc>
        <w:tc>
          <w:tcPr>
            <w:tcW w:w="6813" w:type="dxa"/>
            <w:tcBorders>
              <w:top w:val="nil"/>
              <w:left w:val="nil"/>
              <w:bottom w:val="single" w:sz="4" w:space="0" w:color="auto"/>
              <w:right w:val="single" w:sz="4" w:space="0" w:color="auto"/>
            </w:tcBorders>
            <w:shd w:val="clear" w:color="auto" w:fill="auto"/>
            <w:noWrap/>
            <w:hideMark/>
          </w:tcPr>
          <w:p w14:paraId="54FC4817" w14:textId="7146B49C" w:rsidR="003B7148" w:rsidRPr="00680837" w:rsidRDefault="003B7148">
            <w:pPr>
              <w:pStyle w:val="ListParagraph"/>
              <w:numPr>
                <w:ilvl w:val="0"/>
                <w:numId w:val="20"/>
              </w:numPr>
              <w:ind w:left="312" w:hanging="283"/>
              <w:rPr>
                <w:sz w:val="20"/>
                <w:szCs w:val="19"/>
                <w:lang w:val="en-GB"/>
              </w:rPr>
            </w:pPr>
            <w:r w:rsidRPr="00680837">
              <w:rPr>
                <w:sz w:val="20"/>
                <w:szCs w:val="19"/>
                <w:lang w:val="en-GB"/>
              </w:rPr>
              <w:t>Provid</w:t>
            </w:r>
            <w:r w:rsidR="00FC3D48" w:rsidRPr="00680837">
              <w:rPr>
                <w:sz w:val="20"/>
                <w:szCs w:val="19"/>
                <w:lang w:val="en-GB"/>
              </w:rPr>
              <w:t>e</w:t>
            </w:r>
            <w:r w:rsidRPr="00680837">
              <w:rPr>
                <w:sz w:val="20"/>
                <w:szCs w:val="19"/>
                <w:lang w:val="en-GB"/>
              </w:rPr>
              <w:t xml:space="preserve"> support to cover transportation </w:t>
            </w:r>
            <w:r w:rsidR="00800417" w:rsidRPr="00680837">
              <w:rPr>
                <w:sz w:val="20"/>
                <w:szCs w:val="19"/>
                <w:lang w:val="en-GB"/>
              </w:rPr>
              <w:t xml:space="preserve">and other </w:t>
            </w:r>
            <w:r w:rsidR="001166FB" w:rsidRPr="00680837">
              <w:rPr>
                <w:sz w:val="20"/>
                <w:szCs w:val="19"/>
                <w:lang w:val="en-GB"/>
              </w:rPr>
              <w:t>disability</w:t>
            </w:r>
            <w:r w:rsidR="00182D47" w:rsidRPr="00680837">
              <w:rPr>
                <w:sz w:val="20"/>
                <w:szCs w:val="19"/>
                <w:lang w:val="en-GB"/>
              </w:rPr>
              <w:t>-</w:t>
            </w:r>
            <w:r w:rsidR="001166FB" w:rsidRPr="00680837">
              <w:rPr>
                <w:sz w:val="20"/>
                <w:szCs w:val="19"/>
                <w:lang w:val="en-GB"/>
              </w:rPr>
              <w:t xml:space="preserve">related </w:t>
            </w:r>
            <w:r w:rsidRPr="00680837">
              <w:rPr>
                <w:sz w:val="20"/>
                <w:szCs w:val="19"/>
                <w:lang w:val="en-GB"/>
              </w:rPr>
              <w:t>cost</w:t>
            </w:r>
            <w:r w:rsidR="00C75C7C">
              <w:rPr>
                <w:sz w:val="20"/>
                <w:szCs w:val="19"/>
                <w:lang w:val="en-GB"/>
              </w:rPr>
              <w:t>s</w:t>
            </w:r>
            <w:r w:rsidRPr="00680837">
              <w:rPr>
                <w:sz w:val="20"/>
                <w:szCs w:val="19"/>
                <w:lang w:val="en-GB"/>
              </w:rPr>
              <w:t xml:space="preserve"> for children with disabilities</w:t>
            </w:r>
            <w:r w:rsidR="00EC23DA" w:rsidRPr="00680837">
              <w:rPr>
                <w:sz w:val="20"/>
                <w:szCs w:val="19"/>
                <w:lang w:val="en-GB"/>
              </w:rPr>
              <w:t>.</w:t>
            </w:r>
          </w:p>
        </w:tc>
      </w:tr>
      <w:tr w:rsidR="00C7367E" w:rsidRPr="00680837" w14:paraId="2160F927"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0FBAE5DF" w14:textId="77777777" w:rsidR="003B7148" w:rsidRPr="00680837" w:rsidRDefault="003B7148" w:rsidP="003D4284">
            <w:pPr>
              <w:jc w:val="left"/>
              <w:rPr>
                <w:sz w:val="20"/>
                <w:szCs w:val="19"/>
                <w:lang w:val="en-GB"/>
              </w:rPr>
            </w:pPr>
            <w:r w:rsidRPr="00680837">
              <w:rPr>
                <w:sz w:val="20"/>
                <w:szCs w:val="19"/>
                <w:lang w:val="en-GB"/>
              </w:rPr>
              <w:t xml:space="preserve">Transportation </w:t>
            </w:r>
          </w:p>
        </w:tc>
        <w:tc>
          <w:tcPr>
            <w:tcW w:w="6886" w:type="dxa"/>
            <w:tcBorders>
              <w:top w:val="nil"/>
              <w:left w:val="nil"/>
              <w:bottom w:val="single" w:sz="4" w:space="0" w:color="auto"/>
              <w:right w:val="single" w:sz="4" w:space="0" w:color="auto"/>
            </w:tcBorders>
            <w:shd w:val="clear" w:color="auto" w:fill="auto"/>
            <w:noWrap/>
            <w:hideMark/>
          </w:tcPr>
          <w:p w14:paraId="10115E7A" w14:textId="7A9109E9" w:rsidR="003B7148" w:rsidRPr="00680837" w:rsidRDefault="003B7148" w:rsidP="00B9413E">
            <w:pPr>
              <w:pStyle w:val="ListParagraph"/>
              <w:numPr>
                <w:ilvl w:val="0"/>
                <w:numId w:val="20"/>
              </w:numPr>
              <w:ind w:left="298" w:hanging="284"/>
              <w:rPr>
                <w:sz w:val="20"/>
                <w:szCs w:val="19"/>
                <w:lang w:val="en-GB"/>
              </w:rPr>
            </w:pPr>
            <w:r w:rsidRPr="00680837">
              <w:rPr>
                <w:sz w:val="20"/>
                <w:szCs w:val="19"/>
                <w:lang w:val="en-GB"/>
              </w:rPr>
              <w:t>In</w:t>
            </w:r>
            <w:r w:rsidR="00C75C7C">
              <w:rPr>
                <w:sz w:val="20"/>
                <w:szCs w:val="19"/>
                <w:lang w:val="en-GB"/>
              </w:rPr>
              <w:t xml:space="preserve"> the</w:t>
            </w:r>
            <w:r w:rsidRPr="00680837">
              <w:rPr>
                <w:sz w:val="20"/>
                <w:szCs w:val="19"/>
                <w:lang w:val="en-GB"/>
              </w:rPr>
              <w:t xml:space="preserve"> absence</w:t>
            </w:r>
            <w:r w:rsidR="00C75C7C">
              <w:rPr>
                <w:sz w:val="20"/>
                <w:szCs w:val="19"/>
                <w:lang w:val="en-GB"/>
              </w:rPr>
              <w:t xml:space="preserve"> of</w:t>
            </w:r>
            <w:r w:rsidRPr="00680837">
              <w:rPr>
                <w:sz w:val="20"/>
                <w:szCs w:val="19"/>
                <w:lang w:val="en-GB"/>
              </w:rPr>
              <w:t xml:space="preserve"> or in </w:t>
            </w:r>
            <w:r w:rsidR="00C75C7C">
              <w:rPr>
                <w:sz w:val="20"/>
                <w:szCs w:val="19"/>
                <w:lang w:val="en-GB"/>
              </w:rPr>
              <w:t>addition</w:t>
            </w:r>
            <w:r w:rsidRPr="00680837">
              <w:rPr>
                <w:sz w:val="20"/>
                <w:szCs w:val="19"/>
                <w:lang w:val="en-GB"/>
              </w:rPr>
              <w:t xml:space="preserve"> to disability support</w:t>
            </w:r>
            <w:r w:rsidR="00EC23DA" w:rsidRPr="00680837">
              <w:rPr>
                <w:sz w:val="20"/>
                <w:szCs w:val="19"/>
                <w:lang w:val="en-GB"/>
              </w:rPr>
              <w:t>,</w:t>
            </w:r>
            <w:r w:rsidRPr="00680837">
              <w:rPr>
                <w:sz w:val="20"/>
                <w:szCs w:val="19"/>
                <w:lang w:val="en-GB"/>
              </w:rPr>
              <w:t xml:space="preserve"> create mechanisms for subsi</w:t>
            </w:r>
            <w:r w:rsidR="000642C2" w:rsidRPr="00680837">
              <w:rPr>
                <w:sz w:val="20"/>
                <w:szCs w:val="19"/>
                <w:lang w:val="en-GB"/>
              </w:rPr>
              <w:t>dized or free public transport.</w:t>
            </w:r>
          </w:p>
        </w:tc>
        <w:tc>
          <w:tcPr>
            <w:tcW w:w="6813" w:type="dxa"/>
            <w:tcBorders>
              <w:top w:val="nil"/>
              <w:left w:val="nil"/>
              <w:bottom w:val="single" w:sz="4" w:space="0" w:color="auto"/>
              <w:right w:val="single" w:sz="4" w:space="0" w:color="auto"/>
            </w:tcBorders>
            <w:shd w:val="clear" w:color="auto" w:fill="auto"/>
            <w:noWrap/>
            <w:hideMark/>
          </w:tcPr>
          <w:p w14:paraId="05622639" w14:textId="2CE28F96" w:rsidR="003B7148" w:rsidRPr="00680837" w:rsidRDefault="003B7148" w:rsidP="008B4510">
            <w:pPr>
              <w:pStyle w:val="ListParagraph"/>
              <w:numPr>
                <w:ilvl w:val="0"/>
                <w:numId w:val="20"/>
              </w:numPr>
              <w:ind w:left="312" w:hanging="283"/>
              <w:rPr>
                <w:sz w:val="20"/>
                <w:szCs w:val="19"/>
                <w:lang w:val="en-GB"/>
              </w:rPr>
            </w:pPr>
            <w:r w:rsidRPr="00680837">
              <w:rPr>
                <w:sz w:val="20"/>
                <w:szCs w:val="19"/>
                <w:lang w:val="en-GB"/>
              </w:rPr>
              <w:t xml:space="preserve">In </w:t>
            </w:r>
            <w:r w:rsidR="00FC3D48" w:rsidRPr="00680837">
              <w:rPr>
                <w:sz w:val="20"/>
                <w:szCs w:val="19"/>
                <w:lang w:val="en-GB"/>
              </w:rPr>
              <w:t xml:space="preserve">the </w:t>
            </w:r>
            <w:r w:rsidRPr="00680837">
              <w:rPr>
                <w:sz w:val="20"/>
                <w:szCs w:val="19"/>
                <w:lang w:val="en-GB"/>
              </w:rPr>
              <w:t>absence of accessible public transport</w:t>
            </w:r>
            <w:r w:rsidR="00FC3D48" w:rsidRPr="00680837">
              <w:rPr>
                <w:sz w:val="20"/>
                <w:szCs w:val="19"/>
                <w:lang w:val="en-GB"/>
              </w:rPr>
              <w:t>,</w:t>
            </w:r>
            <w:r w:rsidRPr="00680837">
              <w:rPr>
                <w:sz w:val="20"/>
                <w:szCs w:val="19"/>
                <w:lang w:val="en-GB"/>
              </w:rPr>
              <w:t xml:space="preserve"> consider support</w:t>
            </w:r>
            <w:r w:rsidR="000C286C">
              <w:rPr>
                <w:sz w:val="20"/>
                <w:szCs w:val="19"/>
                <w:lang w:val="en-GB"/>
              </w:rPr>
              <w:t>ing</w:t>
            </w:r>
            <w:r w:rsidRPr="00680837">
              <w:rPr>
                <w:sz w:val="20"/>
                <w:szCs w:val="19"/>
                <w:lang w:val="en-GB"/>
              </w:rPr>
              <w:t xml:space="preserve"> services </w:t>
            </w:r>
            <w:r w:rsidR="000C286C">
              <w:rPr>
                <w:sz w:val="20"/>
                <w:szCs w:val="19"/>
                <w:lang w:val="en-GB"/>
              </w:rPr>
              <w:t xml:space="preserve">which </w:t>
            </w:r>
            <w:r w:rsidRPr="00680837">
              <w:rPr>
                <w:sz w:val="20"/>
                <w:szCs w:val="19"/>
                <w:lang w:val="en-GB"/>
              </w:rPr>
              <w:t>provid</w:t>
            </w:r>
            <w:r w:rsidR="000C286C">
              <w:rPr>
                <w:sz w:val="20"/>
                <w:szCs w:val="19"/>
                <w:lang w:val="en-GB"/>
              </w:rPr>
              <w:t>e</w:t>
            </w:r>
            <w:r w:rsidRPr="00680837">
              <w:rPr>
                <w:sz w:val="20"/>
                <w:szCs w:val="19"/>
                <w:lang w:val="en-GB"/>
              </w:rPr>
              <w:t xml:space="preserve"> accessible transport services for persons with disabilities as well as su</w:t>
            </w:r>
            <w:r w:rsidR="00EC23DA" w:rsidRPr="00680837">
              <w:rPr>
                <w:sz w:val="20"/>
                <w:szCs w:val="19"/>
                <w:lang w:val="en-GB"/>
              </w:rPr>
              <w:t>bsidizing adapted motor vehicle</w:t>
            </w:r>
            <w:r w:rsidR="00C75C7C">
              <w:rPr>
                <w:sz w:val="20"/>
                <w:szCs w:val="19"/>
                <w:lang w:val="en-GB"/>
              </w:rPr>
              <w:t>s</w:t>
            </w:r>
            <w:r w:rsidR="00EC23DA" w:rsidRPr="00680837">
              <w:rPr>
                <w:sz w:val="20"/>
                <w:szCs w:val="19"/>
                <w:lang w:val="en-GB"/>
              </w:rPr>
              <w:t>.</w:t>
            </w:r>
          </w:p>
        </w:tc>
      </w:tr>
      <w:tr w:rsidR="00C7367E" w:rsidRPr="00680837" w14:paraId="77E1FCCF" w14:textId="77777777" w:rsidTr="00AB7B1C">
        <w:trPr>
          <w:cantSplit/>
        </w:trPr>
        <w:tc>
          <w:tcPr>
            <w:tcW w:w="1701" w:type="dxa"/>
            <w:tcBorders>
              <w:top w:val="nil"/>
              <w:left w:val="single" w:sz="4" w:space="0" w:color="auto"/>
              <w:bottom w:val="single" w:sz="4" w:space="0" w:color="auto"/>
              <w:right w:val="single" w:sz="4" w:space="0" w:color="auto"/>
            </w:tcBorders>
            <w:shd w:val="clear" w:color="auto" w:fill="auto"/>
            <w:noWrap/>
            <w:hideMark/>
          </w:tcPr>
          <w:p w14:paraId="06B39934" w14:textId="77777777" w:rsidR="003B7148" w:rsidRPr="00680837" w:rsidRDefault="003B7148" w:rsidP="003D4284">
            <w:pPr>
              <w:jc w:val="left"/>
              <w:rPr>
                <w:sz w:val="20"/>
                <w:szCs w:val="19"/>
                <w:lang w:val="en-GB"/>
              </w:rPr>
            </w:pPr>
            <w:r w:rsidRPr="00680837">
              <w:rPr>
                <w:sz w:val="20"/>
                <w:szCs w:val="19"/>
                <w:lang w:val="en-GB"/>
              </w:rPr>
              <w:t>Employment and livelihood</w:t>
            </w:r>
          </w:p>
        </w:tc>
        <w:tc>
          <w:tcPr>
            <w:tcW w:w="6886" w:type="dxa"/>
            <w:tcBorders>
              <w:top w:val="nil"/>
              <w:left w:val="nil"/>
              <w:bottom w:val="single" w:sz="4" w:space="0" w:color="auto"/>
              <w:right w:val="single" w:sz="4" w:space="0" w:color="auto"/>
            </w:tcBorders>
            <w:shd w:val="clear" w:color="auto" w:fill="auto"/>
            <w:noWrap/>
            <w:hideMark/>
          </w:tcPr>
          <w:p w14:paraId="330903EF" w14:textId="6223AD43" w:rsidR="003B7148" w:rsidRPr="00680837" w:rsidRDefault="003B7148" w:rsidP="0082451C">
            <w:pPr>
              <w:pStyle w:val="ListParagraph"/>
              <w:numPr>
                <w:ilvl w:val="0"/>
                <w:numId w:val="20"/>
              </w:numPr>
              <w:ind w:left="298" w:hanging="298"/>
              <w:rPr>
                <w:sz w:val="20"/>
                <w:szCs w:val="19"/>
                <w:lang w:val="en-GB"/>
              </w:rPr>
            </w:pPr>
            <w:r w:rsidRPr="00680837">
              <w:rPr>
                <w:sz w:val="20"/>
                <w:szCs w:val="19"/>
                <w:lang w:val="en-GB"/>
              </w:rPr>
              <w:t>Develop inclusive job placement, supported employment services or programme</w:t>
            </w:r>
            <w:r w:rsidR="00C75C7C">
              <w:rPr>
                <w:sz w:val="20"/>
                <w:szCs w:val="19"/>
                <w:lang w:val="en-GB"/>
              </w:rPr>
              <w:t>s</w:t>
            </w:r>
            <w:r w:rsidR="004575D3" w:rsidRPr="00680837">
              <w:rPr>
                <w:sz w:val="20"/>
                <w:szCs w:val="19"/>
                <w:lang w:val="en-GB"/>
              </w:rPr>
              <w:t xml:space="preserve">, </w:t>
            </w:r>
            <w:r w:rsidR="004375AD">
              <w:rPr>
                <w:sz w:val="20"/>
                <w:szCs w:val="19"/>
                <w:lang w:val="en-GB"/>
              </w:rPr>
              <w:t>which are sensitive to gender.</w:t>
            </w:r>
          </w:p>
          <w:p w14:paraId="3B0547D0" w14:textId="77777777" w:rsidR="004D62FF" w:rsidRPr="00680837" w:rsidRDefault="003B7148" w:rsidP="004D62FF">
            <w:pPr>
              <w:pStyle w:val="ListParagraph"/>
              <w:numPr>
                <w:ilvl w:val="0"/>
                <w:numId w:val="20"/>
              </w:numPr>
              <w:ind w:left="298" w:hanging="298"/>
              <w:rPr>
                <w:sz w:val="20"/>
                <w:szCs w:val="19"/>
                <w:lang w:val="en-GB"/>
              </w:rPr>
            </w:pPr>
            <w:r w:rsidRPr="00680837">
              <w:rPr>
                <w:sz w:val="20"/>
                <w:szCs w:val="19"/>
                <w:lang w:val="en-GB"/>
              </w:rPr>
              <w:t>Ensure that mainstream financial services for SMEs</w:t>
            </w:r>
            <w:r w:rsidR="000A05BD" w:rsidRPr="00680837">
              <w:rPr>
                <w:sz w:val="20"/>
                <w:szCs w:val="19"/>
                <w:lang w:val="en-GB"/>
              </w:rPr>
              <w:t xml:space="preserve"> and livelihood programs</w:t>
            </w:r>
            <w:r w:rsidRPr="00680837">
              <w:rPr>
                <w:sz w:val="20"/>
                <w:szCs w:val="19"/>
                <w:lang w:val="en-GB"/>
              </w:rPr>
              <w:t xml:space="preserve"> are inclusive of persons with disabilities</w:t>
            </w:r>
            <w:r w:rsidR="004575D3" w:rsidRPr="00680837">
              <w:rPr>
                <w:sz w:val="20"/>
                <w:szCs w:val="19"/>
                <w:lang w:val="en-GB"/>
              </w:rPr>
              <w:t xml:space="preserve"> </w:t>
            </w:r>
          </w:p>
          <w:p w14:paraId="238D82BE" w14:textId="2A3DBD1F" w:rsidR="003B7148" w:rsidRPr="00680837" w:rsidRDefault="003B7148">
            <w:pPr>
              <w:pStyle w:val="ListParagraph"/>
              <w:numPr>
                <w:ilvl w:val="0"/>
                <w:numId w:val="20"/>
              </w:numPr>
              <w:ind w:left="298" w:hanging="298"/>
              <w:rPr>
                <w:sz w:val="20"/>
                <w:szCs w:val="19"/>
                <w:lang w:val="en-GB"/>
              </w:rPr>
            </w:pPr>
            <w:r w:rsidRPr="00680837">
              <w:rPr>
                <w:sz w:val="20"/>
                <w:szCs w:val="19"/>
                <w:lang w:val="en-GB"/>
              </w:rPr>
              <w:t>Ensure that</w:t>
            </w:r>
            <w:r w:rsidR="00C9541E" w:rsidRPr="00680837">
              <w:rPr>
                <w:sz w:val="20"/>
                <w:szCs w:val="19"/>
                <w:lang w:val="en-GB"/>
              </w:rPr>
              <w:t xml:space="preserve"> </w:t>
            </w:r>
            <w:r w:rsidR="00182D47" w:rsidRPr="00680837">
              <w:rPr>
                <w:sz w:val="20"/>
                <w:szCs w:val="19"/>
                <w:lang w:val="en-GB"/>
              </w:rPr>
              <w:t xml:space="preserve">skills development programmes, including </w:t>
            </w:r>
            <w:r w:rsidR="00C9541E" w:rsidRPr="00680837">
              <w:rPr>
                <w:sz w:val="20"/>
                <w:szCs w:val="19"/>
                <w:lang w:val="en-GB"/>
              </w:rPr>
              <w:t>technical and vocational education and training</w:t>
            </w:r>
            <w:r w:rsidRPr="00680837">
              <w:rPr>
                <w:sz w:val="20"/>
                <w:szCs w:val="19"/>
                <w:lang w:val="en-GB"/>
              </w:rPr>
              <w:t xml:space="preserve"> </w:t>
            </w:r>
            <w:r w:rsidR="00C75C7C">
              <w:rPr>
                <w:sz w:val="20"/>
                <w:szCs w:val="19"/>
                <w:lang w:val="en-GB"/>
              </w:rPr>
              <w:t>(</w:t>
            </w:r>
            <w:r w:rsidRPr="00680837">
              <w:rPr>
                <w:sz w:val="20"/>
                <w:szCs w:val="19"/>
                <w:lang w:val="en-GB"/>
              </w:rPr>
              <w:t>TVET</w:t>
            </w:r>
            <w:r w:rsidR="00C9541E" w:rsidRPr="00680837">
              <w:rPr>
                <w:sz w:val="20"/>
                <w:szCs w:val="19"/>
                <w:lang w:val="en-GB"/>
              </w:rPr>
              <w:t>)</w:t>
            </w:r>
            <w:r w:rsidRPr="00680837">
              <w:rPr>
                <w:sz w:val="20"/>
                <w:szCs w:val="19"/>
                <w:lang w:val="en-GB"/>
              </w:rPr>
              <w:t xml:space="preserve"> programm</w:t>
            </w:r>
            <w:r w:rsidR="000642C2" w:rsidRPr="00680837">
              <w:rPr>
                <w:sz w:val="20"/>
                <w:szCs w:val="19"/>
                <w:lang w:val="en-GB"/>
              </w:rPr>
              <w:t>es</w:t>
            </w:r>
            <w:r w:rsidR="00182D47" w:rsidRPr="00680837">
              <w:rPr>
                <w:sz w:val="20"/>
                <w:szCs w:val="19"/>
                <w:lang w:val="en-GB"/>
              </w:rPr>
              <w:t>,</w:t>
            </w:r>
            <w:r w:rsidR="000642C2" w:rsidRPr="00680837">
              <w:rPr>
                <w:sz w:val="20"/>
                <w:szCs w:val="19"/>
                <w:lang w:val="en-GB"/>
              </w:rPr>
              <w:t xml:space="preserve"> are inclusive and accessible.</w:t>
            </w:r>
          </w:p>
        </w:tc>
        <w:tc>
          <w:tcPr>
            <w:tcW w:w="6813" w:type="dxa"/>
            <w:tcBorders>
              <w:top w:val="nil"/>
              <w:left w:val="nil"/>
              <w:bottom w:val="single" w:sz="4" w:space="0" w:color="auto"/>
              <w:right w:val="single" w:sz="4" w:space="0" w:color="auto"/>
            </w:tcBorders>
            <w:shd w:val="clear" w:color="auto" w:fill="auto"/>
            <w:noWrap/>
            <w:hideMark/>
          </w:tcPr>
          <w:p w14:paraId="06DD824D" w14:textId="2DF1155C" w:rsidR="003B7148" w:rsidRPr="00680837" w:rsidRDefault="003B7148" w:rsidP="0082451C">
            <w:pPr>
              <w:pStyle w:val="ListParagraph"/>
              <w:numPr>
                <w:ilvl w:val="0"/>
                <w:numId w:val="20"/>
              </w:numPr>
              <w:ind w:left="312" w:hanging="283"/>
              <w:rPr>
                <w:sz w:val="20"/>
                <w:szCs w:val="19"/>
                <w:lang w:val="en-GB"/>
              </w:rPr>
            </w:pPr>
            <w:r w:rsidRPr="00680837">
              <w:rPr>
                <w:sz w:val="20"/>
                <w:szCs w:val="19"/>
                <w:lang w:val="en-GB"/>
              </w:rPr>
              <w:t>Consider support</w:t>
            </w:r>
            <w:r w:rsidR="000C286C">
              <w:rPr>
                <w:sz w:val="20"/>
                <w:szCs w:val="19"/>
                <w:lang w:val="en-GB"/>
              </w:rPr>
              <w:t>ing</w:t>
            </w:r>
            <w:r w:rsidRPr="00680837">
              <w:rPr>
                <w:sz w:val="20"/>
                <w:szCs w:val="19"/>
                <w:lang w:val="en-GB"/>
              </w:rPr>
              <w:t xml:space="preserve"> cooperative</w:t>
            </w:r>
            <w:r w:rsidR="000C286C">
              <w:rPr>
                <w:sz w:val="20"/>
                <w:szCs w:val="19"/>
                <w:lang w:val="en-GB"/>
              </w:rPr>
              <w:t>s</w:t>
            </w:r>
            <w:r w:rsidRPr="00680837">
              <w:rPr>
                <w:sz w:val="20"/>
                <w:szCs w:val="19"/>
                <w:lang w:val="en-GB"/>
              </w:rPr>
              <w:t xml:space="preserve"> of persons with disabilities</w:t>
            </w:r>
            <w:r w:rsidR="00EC23DA" w:rsidRPr="00680837">
              <w:rPr>
                <w:sz w:val="20"/>
                <w:szCs w:val="19"/>
                <w:lang w:val="en-GB"/>
              </w:rPr>
              <w:t>.</w:t>
            </w:r>
          </w:p>
          <w:p w14:paraId="7ADC7E30" w14:textId="1DC13E0E" w:rsidR="003B7148" w:rsidRPr="00680837" w:rsidRDefault="003B7148" w:rsidP="008B4510">
            <w:pPr>
              <w:pStyle w:val="ListParagraph"/>
              <w:numPr>
                <w:ilvl w:val="0"/>
                <w:numId w:val="20"/>
              </w:numPr>
              <w:ind w:left="312" w:hanging="283"/>
              <w:rPr>
                <w:sz w:val="20"/>
                <w:szCs w:val="19"/>
                <w:lang w:val="en-GB"/>
              </w:rPr>
            </w:pPr>
            <w:r w:rsidRPr="00680837">
              <w:rPr>
                <w:sz w:val="20"/>
                <w:szCs w:val="19"/>
                <w:lang w:val="en-GB"/>
              </w:rPr>
              <w:t>Create a quota or social clause in public procurement giving preference to cooperative</w:t>
            </w:r>
            <w:r w:rsidR="000C286C">
              <w:rPr>
                <w:sz w:val="20"/>
                <w:szCs w:val="19"/>
                <w:lang w:val="en-GB"/>
              </w:rPr>
              <w:t>s</w:t>
            </w:r>
            <w:r w:rsidRPr="00680837">
              <w:rPr>
                <w:sz w:val="20"/>
                <w:szCs w:val="19"/>
                <w:lang w:val="en-GB"/>
              </w:rPr>
              <w:t xml:space="preserve"> of persons with disabilities and compan</w:t>
            </w:r>
            <w:r w:rsidR="000C286C">
              <w:rPr>
                <w:sz w:val="20"/>
                <w:szCs w:val="19"/>
                <w:lang w:val="en-GB"/>
              </w:rPr>
              <w:t>ies</w:t>
            </w:r>
            <w:r w:rsidRPr="00680837">
              <w:rPr>
                <w:sz w:val="20"/>
                <w:szCs w:val="19"/>
                <w:lang w:val="en-GB"/>
              </w:rPr>
              <w:t xml:space="preserve"> employing more persons with disabilities than the legal quota, </w:t>
            </w:r>
            <w:r w:rsidR="000C286C">
              <w:rPr>
                <w:sz w:val="20"/>
                <w:szCs w:val="19"/>
                <w:lang w:val="en-GB"/>
              </w:rPr>
              <w:t>if such a quota exists</w:t>
            </w:r>
            <w:r w:rsidRPr="00680837">
              <w:rPr>
                <w:sz w:val="20"/>
                <w:szCs w:val="19"/>
                <w:lang w:val="en-GB"/>
              </w:rPr>
              <w:t xml:space="preserve">. </w:t>
            </w:r>
          </w:p>
        </w:tc>
      </w:tr>
    </w:tbl>
    <w:p w14:paraId="4E0132D3" w14:textId="69A81046" w:rsidR="00101D89" w:rsidRDefault="00101D89" w:rsidP="00C7374F">
      <w:pPr>
        <w:rPr>
          <w:b/>
          <w:sz w:val="21"/>
          <w:szCs w:val="21"/>
          <w:u w:val="single"/>
          <w:lang w:val="en-GB"/>
        </w:rPr>
      </w:pPr>
    </w:p>
    <w:p w14:paraId="75555404" w14:textId="77777777" w:rsidR="000346A1" w:rsidRDefault="000346A1" w:rsidP="00C7374F">
      <w:pPr>
        <w:rPr>
          <w:b/>
          <w:sz w:val="21"/>
          <w:szCs w:val="21"/>
          <w:u w:val="single"/>
          <w:lang w:val="en-GB"/>
        </w:rPr>
        <w:sectPr w:rsidR="000346A1" w:rsidSect="003C05F8">
          <w:headerReference w:type="even" r:id="rId97"/>
          <w:headerReference w:type="default" r:id="rId98"/>
          <w:footerReference w:type="default" r:id="rId99"/>
          <w:headerReference w:type="first" r:id="rId100"/>
          <w:endnotePr>
            <w:numFmt w:val="decimal"/>
          </w:endnotePr>
          <w:pgSz w:w="16840" w:h="11900" w:orient="landscape"/>
          <w:pgMar w:top="720" w:right="720" w:bottom="720" w:left="720" w:header="708" w:footer="708" w:gutter="0"/>
          <w:cols w:space="708"/>
          <w:docGrid w:linePitch="360"/>
        </w:sectPr>
      </w:pPr>
    </w:p>
    <w:p w14:paraId="54745B53" w14:textId="0FC0DFC5" w:rsidR="000346A1" w:rsidRPr="00680837" w:rsidRDefault="000346A1" w:rsidP="00C7374F">
      <w:pPr>
        <w:rPr>
          <w:b/>
          <w:sz w:val="21"/>
          <w:szCs w:val="21"/>
          <w:u w:val="single"/>
          <w:lang w:val="en-GB"/>
        </w:rPr>
      </w:pPr>
    </w:p>
    <w:sectPr w:rsidR="000346A1" w:rsidRPr="00680837" w:rsidSect="000346A1">
      <w:endnotePr>
        <w:numFmt w:val="decimal"/>
      </w:endnotePr>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36B4F" w16cid:durableId="1D6AB4FD"/>
  <w16cid:commentId w16cid:paraId="592972E6" w16cid:durableId="1D6AB569"/>
  <w16cid:commentId w16cid:paraId="3BE83C55" w16cid:durableId="1D6AB68C"/>
  <w16cid:commentId w16cid:paraId="21579B5F" w16cid:durableId="1D6AB9B3"/>
  <w16cid:commentId w16cid:paraId="628E94A4" w16cid:durableId="1D6ABAB8"/>
  <w16cid:commentId w16cid:paraId="2A3ADB98" w16cid:durableId="1D6ABBDA"/>
  <w16cid:commentId w16cid:paraId="04EC5220" w16cid:durableId="1D6AD0B7"/>
  <w16cid:commentId w16cid:paraId="27422675" w16cid:durableId="1D6AD141"/>
  <w16cid:commentId w16cid:paraId="17F5D66C" w16cid:durableId="1D6AD195"/>
  <w16cid:commentId w16cid:paraId="33A1A2A1" w16cid:durableId="1D6AD1E1"/>
  <w16cid:commentId w16cid:paraId="449984C9" w16cid:durableId="1D6AD33D"/>
  <w16cid:commentId w16cid:paraId="117AEF22" w16cid:durableId="1D6AD406"/>
  <w16cid:commentId w16cid:paraId="28384F00" w16cid:durableId="1D6AD4E2"/>
  <w16cid:commentId w16cid:paraId="0182AB0A" w16cid:durableId="1D6AD539"/>
  <w16cid:commentId w16cid:paraId="452375E9" w16cid:durableId="1D6AD59E"/>
  <w16cid:commentId w16cid:paraId="6C0DE57E" w16cid:durableId="1D6AD60A"/>
  <w16cid:commentId w16cid:paraId="05BC5092" w16cid:durableId="1D6AD60C"/>
  <w16cid:commentId w16cid:paraId="284324E2" w16cid:durableId="1D6AD6F4"/>
  <w16cid:commentId w16cid:paraId="7949A41F" w16cid:durableId="1D6AD745"/>
  <w16cid:commentId w16cid:paraId="41611AB4" w16cid:durableId="1D6AC2E2"/>
  <w16cid:commentId w16cid:paraId="3DE81A17" w16cid:durableId="1D6AC38B"/>
  <w16cid:commentId w16cid:paraId="72D13C05" w16cid:durableId="1D6AC42B"/>
  <w16cid:commentId w16cid:paraId="345C57E3" w16cid:durableId="1D6AC47B"/>
  <w16cid:commentId w16cid:paraId="257B3A4D" w16cid:durableId="1D6AC4F1"/>
  <w16cid:commentId w16cid:paraId="63A5AD8B" w16cid:durableId="1D6AC53D"/>
  <w16cid:commentId w16cid:paraId="55E1DAD5" w16cid:durableId="1D6AC5D7"/>
  <w16cid:commentId w16cid:paraId="75CD098B" w16cid:durableId="1D6AC6A0"/>
  <w16cid:commentId w16cid:paraId="7B80FB25" w16cid:durableId="1D6AC6FA"/>
  <w16cid:commentId w16cid:paraId="62FA906A" w16cid:durableId="1D6AC7B3"/>
  <w16cid:commentId w16cid:paraId="037CABA4" w16cid:durableId="1D6AC810"/>
  <w16cid:commentId w16cid:paraId="756DE551" w16cid:durableId="1D6AC8EF"/>
  <w16cid:commentId w16cid:paraId="4C28B073" w16cid:durableId="1D6AC953"/>
  <w16cid:commentId w16cid:paraId="4DE663BA" w16cid:durableId="1D6ACA6E"/>
  <w16cid:commentId w16cid:paraId="238B6E96" w16cid:durableId="1D6ACB0B"/>
  <w16cid:commentId w16cid:paraId="197BF1E7" w16cid:durableId="1D6ACBA7"/>
  <w16cid:commentId w16cid:paraId="0E528329" w16cid:durableId="1D6ACBE9"/>
  <w16cid:commentId w16cid:paraId="537E2B43" w16cid:durableId="1D6ACC81"/>
  <w16cid:commentId w16cid:paraId="36ED00A5" w16cid:durableId="1D6ACDB0"/>
  <w16cid:commentId w16cid:paraId="7CE04637" w16cid:durableId="1D6ACE56"/>
  <w16cid:commentId w16cid:paraId="31D8EB2F" w16cid:durableId="1D6ACEA1"/>
  <w16cid:commentId w16cid:paraId="4666E4C9" w16cid:durableId="1D6ACE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9E46" w14:textId="77777777" w:rsidR="00336524" w:rsidRDefault="00336524" w:rsidP="00A9777C">
      <w:r>
        <w:separator/>
      </w:r>
    </w:p>
  </w:endnote>
  <w:endnote w:type="continuationSeparator" w:id="0">
    <w:p w14:paraId="34031A38" w14:textId="77777777" w:rsidR="00336524" w:rsidRDefault="00336524" w:rsidP="00A9777C">
      <w:r>
        <w:continuationSeparator/>
      </w:r>
    </w:p>
  </w:endnote>
  <w:endnote w:type="continuationNotice" w:id="1">
    <w:p w14:paraId="1F8CADA7" w14:textId="77777777" w:rsidR="00336524" w:rsidRDefault="00336524">
      <w:pPr>
        <w:spacing w:before="0" w:after="0"/>
      </w:pPr>
    </w:p>
  </w:endnote>
  <w:endnote w:id="2">
    <w:p w14:paraId="6FEA89C2" w14:textId="7C302720" w:rsidR="00336524" w:rsidRPr="004A496C" w:rsidRDefault="00336524" w:rsidP="005F39AA">
      <w:pPr>
        <w:pStyle w:val="EndnoteText"/>
        <w:rPr>
          <w:rStyle w:val="EndnoteReference"/>
          <w:rFonts w:cstheme="minorHAnsi"/>
        </w:rPr>
      </w:pPr>
      <w:r w:rsidRPr="004A496C">
        <w:rPr>
          <w:rStyle w:val="EndnoteReference"/>
          <w:rFonts w:cstheme="minorHAnsi"/>
        </w:rPr>
        <w:endnoteRef/>
      </w:r>
      <w:r w:rsidRPr="004A496C">
        <w:rPr>
          <w:rStyle w:val="EndnoteReference"/>
          <w:rFonts w:cstheme="minorHAnsi"/>
        </w:rPr>
        <w:t xml:space="preserve"> </w:t>
      </w:r>
      <w:r w:rsidRPr="004A496C">
        <w:rPr>
          <w:rFonts w:cstheme="minorHAnsi"/>
        </w:rPr>
        <w:t>According to Article 1 of the CRPD, “persons with disabilities include those who have long-term physical, mental, intellectual or sensory impairments which in interaction with various barriers may hinder their full and effective participation in society on an equal basis with others”.</w:t>
      </w:r>
      <w:r w:rsidRPr="004A496C">
        <w:rPr>
          <w:rStyle w:val="EndnoteReference"/>
          <w:rFonts w:cstheme="minorHAnsi"/>
        </w:rPr>
        <w:t xml:space="preserve"> </w:t>
      </w:r>
    </w:p>
  </w:endnote>
  <w:endnote w:id="3">
    <w:p w14:paraId="32C97F86" w14:textId="2C6155FE" w:rsidR="00336524" w:rsidRPr="004A496C" w:rsidRDefault="00336524" w:rsidP="008A25AE">
      <w:pPr>
        <w:pStyle w:val="EndnoteText"/>
        <w:rPr>
          <w:rFonts w:cstheme="minorHAnsi"/>
        </w:rPr>
      </w:pPr>
      <w:r w:rsidRPr="004A496C">
        <w:rPr>
          <w:rStyle w:val="EndnoteReference"/>
          <w:rFonts w:cstheme="minorHAnsi"/>
        </w:rPr>
        <w:endnoteRef/>
      </w:r>
      <w:r w:rsidRPr="004A496C">
        <w:rPr>
          <w:rFonts w:cstheme="minorHAnsi"/>
        </w:rPr>
        <w:t xml:space="preserve"> WHO and World Bank (2011).</w:t>
      </w:r>
    </w:p>
  </w:endnote>
  <w:endnote w:id="4">
    <w:p w14:paraId="075E1F52" w14:textId="3CCC821A" w:rsidR="00336524" w:rsidRPr="004A496C" w:rsidRDefault="00336524" w:rsidP="008A25AE">
      <w:pPr>
        <w:pStyle w:val="EndnoteText"/>
        <w:rPr>
          <w:rFonts w:cstheme="minorHAnsi"/>
        </w:rPr>
      </w:pPr>
      <w:r w:rsidRPr="004A496C">
        <w:rPr>
          <w:rFonts w:cstheme="minorHAnsi"/>
          <w:vertAlign w:val="superscript"/>
        </w:rPr>
        <w:endnoteRef/>
      </w:r>
      <w:r w:rsidRPr="004A496C">
        <w:rPr>
          <w:rFonts w:cstheme="minorHAnsi"/>
        </w:rPr>
        <w:t xml:space="preserve"> Buckup (2009)</w:t>
      </w:r>
      <w:r>
        <w:rPr>
          <w:rFonts w:cstheme="minorHAnsi"/>
        </w:rPr>
        <w:t>; Banks (2011)</w:t>
      </w:r>
      <w:r w:rsidRPr="004A496C">
        <w:rPr>
          <w:rFonts w:cstheme="minorHAnsi"/>
        </w:rPr>
        <w:t>.</w:t>
      </w:r>
    </w:p>
  </w:endnote>
  <w:endnote w:id="5">
    <w:p w14:paraId="665CE40E" w14:textId="24F34199"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rPr>
        <w:t xml:space="preserve"> For the purposes of this document, social protection refers to “the set of policies and programs aimed at preventing or protecting all people against poverty, vulnerability, and social exclusion throughout their life cycles, with a particular emphasis towards vulnerable groups. Social protection can be provided in cash or in-kind, through non-contributory schemes, providing universal, categorical, or poverty-targeted benefits such as social assistance, contributory schemes with social insurance being the most common form, and by building human capital, productive assets, and access to jobs”, based on a definition developed in the context of the Interagency Social Protection Assessment tools </w:t>
      </w:r>
      <w:r>
        <w:rPr>
          <w:rFonts w:cstheme="minorHAnsi"/>
        </w:rPr>
        <w:t>(ISPA, 2016)</w:t>
      </w:r>
      <w:r w:rsidRPr="004A496C">
        <w:rPr>
          <w:rFonts w:cstheme="minorHAnsi"/>
        </w:rPr>
        <w:t xml:space="preserve">. </w:t>
      </w:r>
    </w:p>
  </w:endnote>
  <w:endnote w:id="6">
    <w:p w14:paraId="7237C57D" w14:textId="2342FEF7" w:rsidR="00336524" w:rsidRPr="004A496C" w:rsidRDefault="00336524" w:rsidP="00C115D2">
      <w:pPr>
        <w:pStyle w:val="EndnoteText"/>
        <w:tabs>
          <w:tab w:val="left" w:pos="8364"/>
        </w:tabs>
        <w:rPr>
          <w:rFonts w:cstheme="minorHAnsi"/>
        </w:rPr>
      </w:pPr>
      <w:r w:rsidRPr="004A496C">
        <w:rPr>
          <w:rStyle w:val="EndnoteReference"/>
          <w:rFonts w:cstheme="minorHAnsi"/>
        </w:rPr>
        <w:endnoteRef/>
      </w:r>
      <w:r w:rsidRPr="004A496C">
        <w:rPr>
          <w:rFonts w:cstheme="minorHAnsi"/>
        </w:rPr>
        <w:t xml:space="preserve"> ILO (</w:t>
      </w:r>
      <w:r>
        <w:rPr>
          <w:rFonts w:cstheme="minorHAnsi"/>
        </w:rPr>
        <w:t>2017b</w:t>
      </w:r>
      <w:r w:rsidRPr="004A496C">
        <w:rPr>
          <w:rFonts w:cstheme="minorHAnsi"/>
        </w:rPr>
        <w:t>).</w:t>
      </w:r>
    </w:p>
  </w:endnote>
  <w:endnote w:id="7">
    <w:p w14:paraId="0925CF56" w14:textId="4758EF9D"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rPr>
        <w:t xml:space="preserve"> According to the ILO Social Protection Floors Recommendation, 2012 (No. 202), social protection floors are a nationally defined sets of basic social security guarantees aimed at preventing or alleviating poverty, vulnerability and social exclusion. </w:t>
      </w:r>
      <w:r>
        <w:rPr>
          <w:rFonts w:cstheme="minorHAnsi"/>
        </w:rPr>
        <w:t>See ILO (2017a).</w:t>
      </w:r>
    </w:p>
  </w:endnote>
  <w:endnote w:id="8">
    <w:p w14:paraId="358CD8A9" w14:textId="28812C4F" w:rsidR="00336524" w:rsidRPr="004A496C" w:rsidRDefault="00336524" w:rsidP="00521BE5">
      <w:pPr>
        <w:pStyle w:val="EndnoteText"/>
        <w:rPr>
          <w:rFonts w:cstheme="minorHAnsi"/>
        </w:rPr>
      </w:pPr>
      <w:r w:rsidRPr="004A496C">
        <w:rPr>
          <w:rStyle w:val="EndnoteReference"/>
          <w:rFonts w:cstheme="minorHAnsi"/>
        </w:rPr>
        <w:endnoteRef/>
      </w:r>
      <w:r w:rsidRPr="004A496C">
        <w:rPr>
          <w:rFonts w:cstheme="minorHAnsi"/>
        </w:rPr>
        <w:t xml:space="preserve"> SDG Indicator 1.3.1: “Proportion of the population covered by social protection floors/systems, by sex, distinguishing children, unemployed persons, older persons, persons with disabilities, pregnant women, newborns, work-injury victims and the poor and the vulnerable.”</w:t>
      </w:r>
    </w:p>
  </w:endnote>
  <w:endnote w:id="9">
    <w:p w14:paraId="342637D1" w14:textId="49A1E119" w:rsidR="00336524" w:rsidRPr="004A496C" w:rsidRDefault="00336524" w:rsidP="00B94232">
      <w:pPr>
        <w:pStyle w:val="EndnoteText"/>
        <w:rPr>
          <w:rFonts w:cstheme="minorHAnsi"/>
        </w:rPr>
      </w:pPr>
      <w:r w:rsidRPr="004A496C">
        <w:rPr>
          <w:rStyle w:val="EndnoteReference"/>
          <w:rFonts w:cstheme="minorHAnsi"/>
        </w:rPr>
        <w:endnoteRef/>
      </w:r>
      <w:r w:rsidRPr="004A496C">
        <w:rPr>
          <w:rFonts w:cstheme="minorHAnsi"/>
        </w:rPr>
        <w:t xml:space="preserve"> Recommendation No. 202 was adopted virtually unanimously (one abstention) by the Governments, as well as workers’ and employers’ organizations, of the ILO’s 187 member States. The full text of Recommendation No. 202 is available</w:t>
      </w:r>
      <w:r>
        <w:rPr>
          <w:rFonts w:cstheme="minorHAnsi"/>
        </w:rPr>
        <w:t xml:space="preserve"> in ILO (2017a) and</w:t>
      </w:r>
      <w:r w:rsidRPr="004A496C">
        <w:rPr>
          <w:rFonts w:cstheme="minorHAnsi"/>
        </w:rPr>
        <w:t xml:space="preserve"> at: </w:t>
      </w:r>
      <w:r>
        <w:rPr>
          <w:rFonts w:cstheme="minorHAnsi"/>
        </w:rPr>
        <w:tab/>
      </w:r>
      <w:r>
        <w:rPr>
          <w:rFonts w:cstheme="minorHAnsi"/>
        </w:rPr>
        <w:br/>
      </w:r>
      <w:hyperlink r:id="rId1" w:history="1">
        <w:r w:rsidRPr="004A496C">
          <w:rPr>
            <w:rStyle w:val="Hyperlink"/>
            <w:rFonts w:cstheme="minorHAnsi"/>
          </w:rPr>
          <w:t>http://www.ilo.org/dyn/normlex/en/f?p=NORMLEXPUB:12100:0::NO::P12100_ILO_CODE:R202</w:t>
        </w:r>
      </w:hyperlink>
      <w:r w:rsidRPr="004A496C">
        <w:rPr>
          <w:rFonts w:cstheme="minorHAnsi"/>
        </w:rPr>
        <w:t xml:space="preserve">.   </w:t>
      </w:r>
    </w:p>
  </w:endnote>
  <w:endnote w:id="10">
    <w:p w14:paraId="120F6997" w14:textId="339AE96C" w:rsidR="00336524" w:rsidRPr="00E30D0F" w:rsidRDefault="00336524" w:rsidP="008A25AE">
      <w:pPr>
        <w:pStyle w:val="EndnoteText"/>
        <w:rPr>
          <w:rFonts w:cstheme="minorHAnsi"/>
          <w:lang w:val="fr-CH"/>
        </w:rPr>
      </w:pPr>
      <w:r w:rsidRPr="004A496C">
        <w:rPr>
          <w:rFonts w:cstheme="minorHAnsi"/>
          <w:vertAlign w:val="superscript"/>
        </w:rPr>
        <w:endnoteRef/>
      </w:r>
      <w:r w:rsidRPr="00E30D0F">
        <w:rPr>
          <w:rFonts w:cstheme="minorHAnsi"/>
          <w:lang w:val="fr-CH"/>
        </w:rPr>
        <w:t xml:space="preserve"> UN (2015). </w:t>
      </w:r>
    </w:p>
  </w:endnote>
  <w:endnote w:id="11">
    <w:p w14:paraId="27D468AA" w14:textId="442BACDF" w:rsidR="00336524" w:rsidRPr="00E30D0F" w:rsidRDefault="00336524" w:rsidP="00C63862">
      <w:pPr>
        <w:pStyle w:val="EndnoteText"/>
        <w:rPr>
          <w:rFonts w:cstheme="minorHAnsi"/>
          <w:lang w:val="fr-CH"/>
        </w:rPr>
      </w:pPr>
      <w:r w:rsidRPr="004A496C">
        <w:rPr>
          <w:rStyle w:val="EndnoteReference"/>
          <w:rFonts w:cstheme="minorHAnsi"/>
        </w:rPr>
        <w:endnoteRef/>
      </w:r>
      <w:r w:rsidRPr="00E30D0F">
        <w:rPr>
          <w:rFonts w:cstheme="minorHAnsi"/>
          <w:lang w:val="fr-CH"/>
        </w:rPr>
        <w:t xml:space="preserve"> Groce et al (2011). </w:t>
      </w:r>
    </w:p>
  </w:endnote>
  <w:endnote w:id="12">
    <w:p w14:paraId="1AC00113" w14:textId="34075EA1" w:rsidR="00336524" w:rsidRPr="00E30D0F" w:rsidRDefault="00336524" w:rsidP="00C63862">
      <w:pPr>
        <w:pStyle w:val="EndnoteText"/>
        <w:rPr>
          <w:rFonts w:cstheme="minorHAnsi"/>
          <w:lang w:val="fr-CH"/>
        </w:rPr>
      </w:pPr>
      <w:r w:rsidRPr="004A496C">
        <w:rPr>
          <w:rStyle w:val="EndnoteReference"/>
          <w:rFonts w:cstheme="minorHAnsi"/>
        </w:rPr>
        <w:endnoteRef/>
      </w:r>
      <w:r w:rsidRPr="00E30D0F">
        <w:rPr>
          <w:rFonts w:cstheme="minorHAnsi"/>
          <w:lang w:val="fr-CH"/>
        </w:rPr>
        <w:t xml:space="preserve"> Mitra et al (2011). </w:t>
      </w:r>
    </w:p>
  </w:endnote>
  <w:endnote w:id="13">
    <w:p w14:paraId="52F5FC09" w14:textId="624549DB" w:rsidR="00336524" w:rsidRPr="00E30D0F" w:rsidRDefault="00336524" w:rsidP="00C63862">
      <w:pPr>
        <w:pStyle w:val="EndnoteText"/>
        <w:rPr>
          <w:rFonts w:cstheme="minorHAnsi"/>
          <w:lang w:val="es-ES_tradnl"/>
        </w:rPr>
      </w:pPr>
      <w:r w:rsidRPr="004A496C">
        <w:rPr>
          <w:rStyle w:val="EndnoteReference"/>
          <w:rFonts w:cstheme="minorHAnsi"/>
        </w:rPr>
        <w:endnoteRef/>
      </w:r>
      <w:r w:rsidRPr="00E30D0F">
        <w:rPr>
          <w:rFonts w:cstheme="minorHAnsi"/>
          <w:lang w:val="es-ES_tradnl"/>
        </w:rPr>
        <w:t xml:space="preserve"> ibid, p.65-68.</w:t>
      </w:r>
    </w:p>
  </w:endnote>
  <w:endnote w:id="14">
    <w:p w14:paraId="00C86FD2" w14:textId="0E2841F6" w:rsidR="00336524" w:rsidRPr="00E30D0F" w:rsidRDefault="00336524" w:rsidP="00436448">
      <w:pPr>
        <w:pStyle w:val="EndnoteText"/>
        <w:rPr>
          <w:rFonts w:cstheme="minorHAnsi"/>
          <w:lang w:val="es-ES_tradnl"/>
        </w:rPr>
      </w:pPr>
      <w:r w:rsidRPr="004A496C">
        <w:rPr>
          <w:rStyle w:val="EndnoteReference"/>
          <w:rFonts w:cstheme="minorHAnsi"/>
        </w:rPr>
        <w:endnoteRef/>
      </w:r>
      <w:r w:rsidRPr="00E30D0F">
        <w:rPr>
          <w:rFonts w:cstheme="minorHAnsi"/>
          <w:lang w:val="es-ES_tradnl"/>
        </w:rPr>
        <w:t xml:space="preserve"> UNICEF (2007).</w:t>
      </w:r>
    </w:p>
  </w:endnote>
  <w:endnote w:id="15">
    <w:p w14:paraId="2D8A8D91" w14:textId="72B419DE" w:rsidR="00336524" w:rsidRPr="00E30D0F" w:rsidRDefault="00336524" w:rsidP="00534334">
      <w:pPr>
        <w:pStyle w:val="EndnoteText"/>
        <w:rPr>
          <w:rStyle w:val="EndnoteReference"/>
          <w:rFonts w:cstheme="minorHAnsi"/>
          <w:lang w:val="es-ES_tradnl"/>
        </w:rPr>
      </w:pPr>
      <w:r w:rsidRPr="004A496C">
        <w:rPr>
          <w:rStyle w:val="EndnoteReference"/>
          <w:rFonts w:cstheme="minorHAnsi"/>
        </w:rPr>
        <w:endnoteRef/>
      </w:r>
      <w:r w:rsidRPr="00E30D0F">
        <w:rPr>
          <w:rStyle w:val="EndnoteReference"/>
          <w:rFonts w:cstheme="minorHAnsi"/>
          <w:lang w:val="es-ES_tradnl"/>
        </w:rPr>
        <w:t xml:space="preserve"> </w:t>
      </w:r>
      <w:r w:rsidRPr="00E30D0F">
        <w:rPr>
          <w:rFonts w:cstheme="minorHAnsi"/>
          <w:lang w:val="es-ES_tradnl"/>
        </w:rPr>
        <w:t xml:space="preserve">Jones et al (2012). </w:t>
      </w:r>
    </w:p>
  </w:endnote>
  <w:endnote w:id="16">
    <w:p w14:paraId="43C30F89" w14:textId="704582E8" w:rsidR="00336524" w:rsidRPr="00E30D0F" w:rsidRDefault="00336524">
      <w:pPr>
        <w:pStyle w:val="EndnoteText"/>
        <w:rPr>
          <w:rFonts w:cstheme="minorHAnsi"/>
          <w:lang w:val="es-ES_tradnl"/>
        </w:rPr>
      </w:pPr>
      <w:r w:rsidRPr="004A496C">
        <w:rPr>
          <w:rStyle w:val="EndnoteReference"/>
          <w:rFonts w:cstheme="minorHAnsi"/>
        </w:rPr>
        <w:endnoteRef/>
      </w:r>
      <w:r w:rsidRPr="00E30D0F">
        <w:rPr>
          <w:rFonts w:cstheme="minorHAnsi"/>
          <w:lang w:val="es-ES_tradnl"/>
        </w:rPr>
        <w:t xml:space="preserve"> UNICEF (2012).</w:t>
      </w:r>
    </w:p>
  </w:endnote>
  <w:endnote w:id="17">
    <w:p w14:paraId="5B896F6C" w14:textId="284B07D5"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i/>
        </w:rPr>
        <w:t xml:space="preserve"> </w:t>
      </w:r>
      <w:r w:rsidRPr="004A496C">
        <w:rPr>
          <w:rFonts w:cstheme="minorHAnsi"/>
        </w:rPr>
        <w:t xml:space="preserve">Better Care Network </w:t>
      </w:r>
      <w:r>
        <w:rPr>
          <w:rFonts w:cstheme="minorHAnsi"/>
        </w:rPr>
        <w:t>(</w:t>
      </w:r>
      <w:r w:rsidRPr="004A496C">
        <w:rPr>
          <w:rFonts w:cstheme="minorHAnsi"/>
        </w:rPr>
        <w:t>2017</w:t>
      </w:r>
      <w:r>
        <w:rPr>
          <w:rFonts w:cstheme="minorHAnsi"/>
        </w:rPr>
        <w:t>)</w:t>
      </w:r>
      <w:r w:rsidRPr="004A496C">
        <w:rPr>
          <w:rFonts w:cstheme="minorHAnsi"/>
        </w:rPr>
        <w:t>.</w:t>
      </w:r>
    </w:p>
  </w:endnote>
  <w:endnote w:id="18">
    <w:p w14:paraId="6A1D9EB6" w14:textId="543272BD" w:rsidR="00336524" w:rsidRPr="004A496C" w:rsidRDefault="00336524" w:rsidP="008A25AE">
      <w:pPr>
        <w:pStyle w:val="EndnoteText"/>
        <w:rPr>
          <w:rFonts w:cstheme="minorHAnsi"/>
        </w:rPr>
      </w:pPr>
      <w:r w:rsidRPr="004A496C">
        <w:rPr>
          <w:rStyle w:val="EndnoteReference"/>
          <w:rFonts w:cstheme="minorHAnsi"/>
        </w:rPr>
        <w:endnoteRef/>
      </w:r>
      <w:r w:rsidRPr="004A496C">
        <w:rPr>
          <w:rFonts w:cstheme="minorHAnsi"/>
        </w:rPr>
        <w:t xml:space="preserve"> </w:t>
      </w:r>
      <w:r w:rsidRPr="00066F23">
        <w:rPr>
          <w:rFonts w:cstheme="minorHAnsi"/>
        </w:rPr>
        <w:t>WHO and World Bank (2011).</w:t>
      </w:r>
    </w:p>
  </w:endnote>
  <w:endnote w:id="19">
    <w:p w14:paraId="385390C2" w14:textId="77777777" w:rsidR="00336524" w:rsidRPr="004A496C" w:rsidRDefault="00336524" w:rsidP="00F03106">
      <w:pPr>
        <w:pStyle w:val="EndnoteText"/>
        <w:rPr>
          <w:rFonts w:cstheme="minorHAnsi"/>
        </w:rPr>
      </w:pPr>
      <w:r w:rsidRPr="004A496C">
        <w:rPr>
          <w:rStyle w:val="EndnoteReference"/>
          <w:rFonts w:cstheme="minorHAnsi"/>
        </w:rPr>
        <w:endnoteRef/>
      </w:r>
      <w:r w:rsidRPr="004A496C">
        <w:rPr>
          <w:rFonts w:cstheme="minorHAnsi"/>
        </w:rPr>
        <w:t xml:space="preserve"> ibid, p.35</w:t>
      </w:r>
    </w:p>
  </w:endnote>
  <w:endnote w:id="20">
    <w:p w14:paraId="11EFF558" w14:textId="1ED39E35" w:rsidR="00336524" w:rsidRPr="004A496C" w:rsidRDefault="00336524" w:rsidP="006D2F60">
      <w:pPr>
        <w:pStyle w:val="EndnoteText"/>
        <w:rPr>
          <w:rFonts w:cstheme="minorHAnsi"/>
        </w:rPr>
      </w:pPr>
      <w:r w:rsidRPr="004A496C">
        <w:rPr>
          <w:rStyle w:val="EndnoteReference"/>
          <w:rFonts w:cstheme="minorHAnsi"/>
        </w:rPr>
        <w:endnoteRef/>
      </w:r>
      <w:r w:rsidRPr="004A496C">
        <w:rPr>
          <w:rFonts w:cstheme="minorHAnsi"/>
        </w:rPr>
        <w:t xml:space="preserve"> </w:t>
      </w:r>
      <w:r>
        <w:rPr>
          <w:rFonts w:cstheme="minorHAnsi"/>
        </w:rPr>
        <w:t>WHO and World Bank (2011)</w:t>
      </w:r>
      <w:r w:rsidRPr="004A496C">
        <w:rPr>
          <w:rFonts w:cstheme="minorHAnsi"/>
        </w:rPr>
        <w:t>, p.236; O’Reilly (2003).</w:t>
      </w:r>
    </w:p>
  </w:endnote>
  <w:endnote w:id="21">
    <w:p w14:paraId="3DA3E44C" w14:textId="6B4496EF" w:rsidR="00336524" w:rsidRPr="004A496C" w:rsidRDefault="00336524" w:rsidP="006D2F60">
      <w:pPr>
        <w:pStyle w:val="EndnoteText"/>
        <w:rPr>
          <w:rFonts w:eastAsia="Malgun Gothic" w:cstheme="minorHAnsi"/>
        </w:rPr>
      </w:pPr>
      <w:r w:rsidRPr="004A496C">
        <w:rPr>
          <w:rStyle w:val="EndnoteReference"/>
          <w:rFonts w:cstheme="minorHAnsi"/>
        </w:rPr>
        <w:endnoteRef/>
      </w:r>
      <w:r w:rsidRPr="004A496C">
        <w:rPr>
          <w:rStyle w:val="EndnoteReference"/>
          <w:rFonts w:cstheme="minorHAnsi"/>
        </w:rPr>
        <w:t xml:space="preserve"> </w:t>
      </w:r>
      <w:r w:rsidRPr="004A496C">
        <w:rPr>
          <w:rFonts w:cstheme="minorHAnsi"/>
        </w:rPr>
        <w:t xml:space="preserve">UN WOMEN </w:t>
      </w:r>
      <w:r>
        <w:rPr>
          <w:rFonts w:cstheme="minorHAnsi"/>
        </w:rPr>
        <w:t>(</w:t>
      </w:r>
      <w:r w:rsidRPr="004A496C">
        <w:rPr>
          <w:rFonts w:cstheme="minorHAnsi"/>
        </w:rPr>
        <w:t>2017</w:t>
      </w:r>
      <w:r>
        <w:rPr>
          <w:rFonts w:cstheme="minorHAnsi"/>
        </w:rPr>
        <w:t>)</w:t>
      </w:r>
      <w:r w:rsidRPr="004A496C">
        <w:rPr>
          <w:rFonts w:eastAsia="Malgun Gothic" w:cstheme="minorHAnsi"/>
        </w:rPr>
        <w:t>; European Union Agency for Fundamental Rights</w:t>
      </w:r>
      <w:r>
        <w:rPr>
          <w:rFonts w:eastAsia="Malgun Gothic" w:cstheme="minorHAnsi"/>
        </w:rPr>
        <w:t xml:space="preserve"> </w:t>
      </w:r>
      <w:r w:rsidRPr="004A496C">
        <w:rPr>
          <w:rFonts w:eastAsia="Malgun Gothic" w:cstheme="minorHAnsi"/>
        </w:rPr>
        <w:t>(2014), p.104.</w:t>
      </w:r>
    </w:p>
  </w:endnote>
  <w:endnote w:id="22">
    <w:p w14:paraId="258A53EA" w14:textId="35490BF6" w:rsidR="00336524" w:rsidRPr="004A496C" w:rsidRDefault="00336524" w:rsidP="000E1420">
      <w:pPr>
        <w:pStyle w:val="EndnoteText"/>
        <w:rPr>
          <w:rFonts w:cstheme="minorHAnsi"/>
          <w:lang w:val="en-GB"/>
        </w:rPr>
      </w:pPr>
      <w:r w:rsidRPr="004A496C">
        <w:rPr>
          <w:rStyle w:val="EndnoteReference"/>
          <w:rFonts w:cstheme="minorHAnsi"/>
        </w:rPr>
        <w:endnoteRef/>
      </w:r>
      <w:r w:rsidRPr="004A496C">
        <w:rPr>
          <w:rFonts w:cstheme="minorHAnsi"/>
        </w:rPr>
        <w:t xml:space="preserve"> United Nations Committee on the Rights of Persons with Disabilities, </w:t>
      </w:r>
      <w:r w:rsidRPr="004A496C">
        <w:rPr>
          <w:rFonts w:cstheme="minorHAnsi"/>
          <w:i/>
        </w:rPr>
        <w:t xml:space="preserve">Concluding observations, </w:t>
      </w:r>
      <w:r w:rsidRPr="004A496C">
        <w:rPr>
          <w:rFonts w:cstheme="minorHAnsi"/>
        </w:rPr>
        <w:t xml:space="preserve">document </w:t>
      </w:r>
      <w:r w:rsidRPr="004A496C">
        <w:rPr>
          <w:rFonts w:cstheme="minorHAnsi"/>
          <w:lang w:val="en-GB"/>
        </w:rPr>
        <w:t>CRPD/C/BRA/CO/1, para. 50 and document CRPD/C/KEN/CO/1, para. 49.</w:t>
      </w:r>
    </w:p>
  </w:endnote>
  <w:endnote w:id="23">
    <w:p w14:paraId="37448896" w14:textId="2DB6B017" w:rsidR="00336524" w:rsidRPr="004A496C" w:rsidRDefault="00336524" w:rsidP="00BC5F80">
      <w:pPr>
        <w:pStyle w:val="EndnoteText"/>
        <w:rPr>
          <w:rFonts w:cstheme="minorHAnsi"/>
        </w:rPr>
      </w:pPr>
      <w:r w:rsidRPr="004A496C">
        <w:rPr>
          <w:rStyle w:val="EndnoteReference"/>
          <w:rFonts w:cstheme="minorHAnsi"/>
        </w:rPr>
        <w:endnoteRef/>
      </w:r>
      <w:r w:rsidRPr="004A496C">
        <w:rPr>
          <w:rFonts w:cstheme="minorHAnsi"/>
        </w:rPr>
        <w:t xml:space="preserve"> </w:t>
      </w:r>
      <w:r w:rsidRPr="004A496C">
        <w:rPr>
          <w:rFonts w:cstheme="minorHAnsi"/>
          <w:iCs/>
        </w:rPr>
        <w:t>Handicap International and HelpAge International (2014); Handicap International</w:t>
      </w:r>
      <w:r>
        <w:rPr>
          <w:rFonts w:cstheme="minorHAnsi"/>
          <w:iCs/>
        </w:rPr>
        <w:t xml:space="preserve"> </w:t>
      </w:r>
      <w:r w:rsidRPr="004A496C">
        <w:rPr>
          <w:rFonts w:cstheme="minorHAnsi"/>
          <w:iCs/>
        </w:rPr>
        <w:t>(2015).</w:t>
      </w:r>
    </w:p>
  </w:endnote>
  <w:endnote w:id="24">
    <w:p w14:paraId="0D22F9E7" w14:textId="33945449" w:rsidR="00336524" w:rsidRPr="004A496C" w:rsidRDefault="00336524" w:rsidP="00957375">
      <w:pPr>
        <w:pStyle w:val="EndnoteText"/>
        <w:rPr>
          <w:rFonts w:cstheme="minorHAnsi"/>
        </w:rPr>
      </w:pPr>
      <w:r w:rsidRPr="004A496C">
        <w:rPr>
          <w:rStyle w:val="EndnoteReference"/>
          <w:rFonts w:cstheme="minorHAnsi"/>
        </w:rPr>
        <w:endnoteRef/>
      </w:r>
      <w:r w:rsidRPr="004A496C">
        <w:rPr>
          <w:rFonts w:cstheme="minorHAnsi"/>
        </w:rPr>
        <w:t xml:space="preserve"> UNICEF</w:t>
      </w:r>
      <w:r>
        <w:rPr>
          <w:rFonts w:cstheme="minorHAnsi"/>
        </w:rPr>
        <w:t xml:space="preserve"> </w:t>
      </w:r>
      <w:r w:rsidRPr="004A496C">
        <w:rPr>
          <w:rFonts w:cstheme="minorHAnsi"/>
        </w:rPr>
        <w:t>(2013).</w:t>
      </w:r>
    </w:p>
  </w:endnote>
  <w:endnote w:id="25">
    <w:p w14:paraId="11D9BA55" w14:textId="7D263267" w:rsidR="00336524" w:rsidRPr="004A496C" w:rsidRDefault="00336524" w:rsidP="00407225">
      <w:pPr>
        <w:pStyle w:val="EndnoteText"/>
        <w:rPr>
          <w:rFonts w:cstheme="minorHAnsi"/>
        </w:rPr>
      </w:pPr>
      <w:r w:rsidRPr="004A496C">
        <w:rPr>
          <w:rStyle w:val="EndnoteReference"/>
          <w:rFonts w:cstheme="minorHAnsi"/>
        </w:rPr>
        <w:endnoteRef/>
      </w:r>
      <w:r w:rsidRPr="004A496C">
        <w:rPr>
          <w:rFonts w:cstheme="minorHAnsi"/>
        </w:rPr>
        <w:t xml:space="preserve"> International Disability and Development Consortium</w:t>
      </w:r>
      <w:r>
        <w:rPr>
          <w:rFonts w:cstheme="minorHAnsi"/>
        </w:rPr>
        <w:t xml:space="preserve"> </w:t>
      </w:r>
      <w:r w:rsidRPr="004A496C">
        <w:rPr>
          <w:rFonts w:cstheme="minorHAnsi"/>
        </w:rPr>
        <w:t>(2008).</w:t>
      </w:r>
    </w:p>
  </w:endnote>
  <w:endnote w:id="26">
    <w:p w14:paraId="26F8DE42" w14:textId="03454126" w:rsidR="00336524" w:rsidRPr="004A496C" w:rsidRDefault="00336524" w:rsidP="00351024">
      <w:pPr>
        <w:pStyle w:val="EndnoteText"/>
        <w:rPr>
          <w:rFonts w:cstheme="minorHAnsi"/>
          <w:iCs/>
        </w:rPr>
      </w:pPr>
      <w:r w:rsidRPr="004A496C">
        <w:rPr>
          <w:rStyle w:val="EndnoteReference"/>
          <w:rFonts w:cstheme="minorHAnsi"/>
        </w:rPr>
        <w:endnoteRef/>
      </w:r>
      <w:r w:rsidRPr="004A496C">
        <w:rPr>
          <w:rFonts w:cstheme="minorHAnsi"/>
        </w:rPr>
        <w:t xml:space="preserve"> United Nations (2015).</w:t>
      </w:r>
    </w:p>
  </w:endnote>
  <w:endnote w:id="27">
    <w:p w14:paraId="52D9D796" w14:textId="7C5AD9E0" w:rsidR="00336524" w:rsidRPr="004A496C" w:rsidRDefault="00336524" w:rsidP="00ED261B">
      <w:pPr>
        <w:pStyle w:val="EndnoteText"/>
        <w:rPr>
          <w:rFonts w:cstheme="minorHAnsi"/>
        </w:rPr>
      </w:pPr>
      <w:r w:rsidRPr="004A496C">
        <w:rPr>
          <w:rStyle w:val="EndnoteReference"/>
          <w:rFonts w:cstheme="minorHAnsi"/>
        </w:rPr>
        <w:endnoteRef/>
      </w:r>
      <w:r w:rsidRPr="004A496C">
        <w:rPr>
          <w:rFonts w:cstheme="minorHAnsi"/>
        </w:rPr>
        <w:t xml:space="preserve"> UNESCO</w:t>
      </w:r>
      <w:r>
        <w:rPr>
          <w:rFonts w:cstheme="minorHAnsi"/>
        </w:rPr>
        <w:t xml:space="preserve"> </w:t>
      </w:r>
      <w:r w:rsidRPr="004A496C">
        <w:rPr>
          <w:rFonts w:cstheme="minorHAnsi"/>
        </w:rPr>
        <w:t>(2010), p. 184.</w:t>
      </w:r>
    </w:p>
  </w:endnote>
  <w:endnote w:id="28">
    <w:p w14:paraId="2FE599A9" w14:textId="36CEE8CC"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rPr>
        <w:t xml:space="preserve"> WHO</w:t>
      </w:r>
      <w:r>
        <w:rPr>
          <w:rFonts w:cstheme="minorHAnsi"/>
        </w:rPr>
        <w:t xml:space="preserve"> </w:t>
      </w:r>
      <w:r w:rsidRPr="004A496C">
        <w:rPr>
          <w:rFonts w:cstheme="minorHAnsi"/>
        </w:rPr>
        <w:t xml:space="preserve">(2014). </w:t>
      </w:r>
    </w:p>
  </w:endnote>
  <w:endnote w:id="29">
    <w:p w14:paraId="533071F0" w14:textId="4E0B1DA5"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rPr>
        <w:t xml:space="preserve"> The WHO has recently produced a list of 50 essential assistive devices which can be used to guide states on procurement and reimbursement policies, including insurance coverage, of assistive devices</w:t>
      </w:r>
      <w:r>
        <w:rPr>
          <w:rFonts w:cstheme="minorHAnsi"/>
        </w:rPr>
        <w:t xml:space="preserve"> (WHO 2016)</w:t>
      </w:r>
      <w:r w:rsidRPr="004A496C">
        <w:rPr>
          <w:rFonts w:cstheme="minorHAnsi"/>
        </w:rPr>
        <w:t>. It is common for low- and middle-income countries not to have public mechanisms in place to provide personal assistance and the funding to support such services.</w:t>
      </w:r>
    </w:p>
  </w:endnote>
  <w:endnote w:id="30">
    <w:p w14:paraId="2523653D" w14:textId="71CA7BF4" w:rsidR="00336524" w:rsidRPr="004A496C" w:rsidRDefault="00336524">
      <w:pPr>
        <w:pStyle w:val="EndnoteText"/>
        <w:rPr>
          <w:rFonts w:cstheme="minorHAnsi"/>
        </w:rPr>
      </w:pPr>
      <w:r w:rsidRPr="004A496C">
        <w:rPr>
          <w:rStyle w:val="EndnoteReference"/>
          <w:rFonts w:cstheme="minorHAnsi"/>
        </w:rPr>
        <w:endnoteRef/>
      </w:r>
      <w:r w:rsidRPr="004A496C">
        <w:rPr>
          <w:rFonts w:cstheme="minorHAnsi"/>
        </w:rPr>
        <w:t xml:space="preserve"> Cullinan</w:t>
      </w:r>
      <w:r>
        <w:rPr>
          <w:rFonts w:cstheme="minorHAnsi"/>
        </w:rPr>
        <w:t xml:space="preserve"> et al </w:t>
      </w:r>
      <w:r w:rsidRPr="004A496C">
        <w:rPr>
          <w:rFonts w:cstheme="minorHAnsi"/>
        </w:rPr>
        <w:t>(2011); Cullinan</w:t>
      </w:r>
      <w:r>
        <w:rPr>
          <w:rFonts w:cstheme="minorHAnsi"/>
        </w:rPr>
        <w:t xml:space="preserve"> et al </w:t>
      </w:r>
      <w:r w:rsidRPr="004A496C">
        <w:rPr>
          <w:rFonts w:cstheme="minorHAnsi"/>
        </w:rPr>
        <w:t>(2013); Loyalka et al</w:t>
      </w:r>
      <w:r>
        <w:rPr>
          <w:rFonts w:cstheme="minorHAnsi"/>
        </w:rPr>
        <w:t xml:space="preserve"> </w:t>
      </w:r>
      <w:r w:rsidRPr="004A496C">
        <w:rPr>
          <w:rFonts w:cstheme="minorHAnsi"/>
        </w:rPr>
        <w:t>(2014); Mont</w:t>
      </w:r>
      <w:r>
        <w:rPr>
          <w:rFonts w:cstheme="minorHAnsi"/>
        </w:rPr>
        <w:t xml:space="preserve"> </w:t>
      </w:r>
      <w:r w:rsidRPr="004A496C">
        <w:rPr>
          <w:rFonts w:cstheme="minorHAnsi"/>
        </w:rPr>
        <w:t>and Cuong</w:t>
      </w:r>
      <w:r>
        <w:rPr>
          <w:rFonts w:cstheme="minorHAnsi"/>
        </w:rPr>
        <w:t xml:space="preserve"> </w:t>
      </w:r>
      <w:r w:rsidRPr="004A496C">
        <w:rPr>
          <w:rFonts w:cstheme="minorHAnsi"/>
        </w:rPr>
        <w:t>(2011); Braithwaite and Mont</w:t>
      </w:r>
      <w:r>
        <w:rPr>
          <w:rFonts w:cstheme="minorHAnsi"/>
        </w:rPr>
        <w:t xml:space="preserve"> </w:t>
      </w:r>
      <w:r w:rsidRPr="004A496C">
        <w:rPr>
          <w:rFonts w:cstheme="minorHAnsi"/>
        </w:rPr>
        <w:t>(2009); Saunders</w:t>
      </w:r>
      <w:r>
        <w:rPr>
          <w:rFonts w:cstheme="minorHAnsi"/>
        </w:rPr>
        <w:t xml:space="preserve"> </w:t>
      </w:r>
      <w:r w:rsidRPr="004A496C">
        <w:rPr>
          <w:rFonts w:cstheme="minorHAnsi"/>
        </w:rPr>
        <w:t>(2007); Zaidi and Burchardt</w:t>
      </w:r>
      <w:r>
        <w:rPr>
          <w:rFonts w:cstheme="minorHAnsi"/>
        </w:rPr>
        <w:t xml:space="preserve"> </w:t>
      </w:r>
      <w:r w:rsidRPr="004A496C">
        <w:rPr>
          <w:rFonts w:cstheme="minorHAnsi"/>
        </w:rPr>
        <w:t>(2005).</w:t>
      </w:r>
    </w:p>
  </w:endnote>
  <w:endnote w:id="31">
    <w:p w14:paraId="4808BE8D" w14:textId="3687E591" w:rsidR="00336524" w:rsidRPr="003E45C4" w:rsidRDefault="00336524">
      <w:pPr>
        <w:pStyle w:val="EndnoteText"/>
        <w:rPr>
          <w:rFonts w:cstheme="minorHAnsi"/>
        </w:rPr>
      </w:pPr>
      <w:r w:rsidRPr="004A496C">
        <w:rPr>
          <w:rStyle w:val="EndnoteReference"/>
          <w:rFonts w:cstheme="minorHAnsi"/>
        </w:rPr>
        <w:endnoteRef/>
      </w:r>
      <w:r w:rsidRPr="004A496C">
        <w:rPr>
          <w:rFonts w:cstheme="minorHAnsi"/>
        </w:rPr>
        <w:t xml:space="preserve"> Hanass-Hancock and Deghaye</w:t>
      </w:r>
      <w:r>
        <w:rPr>
          <w:rFonts w:cstheme="minorHAnsi"/>
        </w:rPr>
        <w:t xml:space="preserve"> </w:t>
      </w:r>
      <w:r w:rsidRPr="004A496C">
        <w:rPr>
          <w:rFonts w:cstheme="minorHAnsi"/>
        </w:rPr>
        <w:t>(</w:t>
      </w:r>
      <w:r w:rsidRPr="003E45C4">
        <w:rPr>
          <w:rFonts w:cstheme="minorHAnsi"/>
        </w:rPr>
        <w:t xml:space="preserve">2015). </w:t>
      </w:r>
    </w:p>
  </w:endnote>
  <w:endnote w:id="32">
    <w:p w14:paraId="5FA70DAE" w14:textId="19663F60" w:rsidR="00336524" w:rsidRPr="003E45C4" w:rsidRDefault="00336524" w:rsidP="00292089">
      <w:pPr>
        <w:pStyle w:val="EndnoteText"/>
        <w:rPr>
          <w:rFonts w:cstheme="minorHAnsi"/>
          <w:lang w:val="en-GB"/>
        </w:rPr>
      </w:pPr>
      <w:r w:rsidRPr="003E45C4">
        <w:rPr>
          <w:rStyle w:val="EndnoteReference"/>
          <w:rFonts w:cstheme="minorHAnsi"/>
        </w:rPr>
        <w:endnoteRef/>
      </w:r>
      <w:r w:rsidRPr="003E45C4">
        <w:rPr>
          <w:rFonts w:cstheme="minorHAnsi"/>
          <w:lang w:val="en-GB"/>
        </w:rPr>
        <w:t xml:space="preserve"> United Nations Committee on the Rights of Persons with Disabilities, </w:t>
      </w:r>
      <w:r w:rsidRPr="003E45C4">
        <w:rPr>
          <w:rFonts w:cstheme="minorHAnsi"/>
          <w:i/>
          <w:lang w:val="en-GB"/>
        </w:rPr>
        <w:t>Concluding observations,</w:t>
      </w:r>
      <w:r w:rsidRPr="003E45C4">
        <w:rPr>
          <w:rFonts w:cstheme="minorHAnsi"/>
          <w:lang w:val="en-GB"/>
        </w:rPr>
        <w:t xml:space="preserve"> documents CRPD/C/GAB/CO/1, para. </w:t>
      </w:r>
      <w:r w:rsidRPr="00E30D0F">
        <w:rPr>
          <w:rFonts w:cstheme="minorHAnsi"/>
          <w:lang w:val="es-ES_tradnl"/>
        </w:rPr>
        <w:t xml:space="preserve">60; CRPD/C/UKR/CO/1, para. 52; CRPD/C/KOR/CO/1, para. </w:t>
      </w:r>
      <w:r w:rsidRPr="003E45C4">
        <w:rPr>
          <w:rFonts w:cstheme="minorHAnsi"/>
          <w:lang w:val="en-GB"/>
        </w:rPr>
        <w:t>53 and; CRPD/C/THA/CO/1.</w:t>
      </w:r>
    </w:p>
  </w:endnote>
  <w:endnote w:id="33">
    <w:p w14:paraId="03071529" w14:textId="1C2CC125" w:rsidR="00336524" w:rsidRPr="003E45C4" w:rsidRDefault="00336524" w:rsidP="00367A0C">
      <w:pPr>
        <w:pStyle w:val="EndnoteText"/>
        <w:rPr>
          <w:rFonts w:cstheme="minorHAnsi"/>
        </w:rPr>
      </w:pPr>
      <w:r w:rsidRPr="003E45C4">
        <w:rPr>
          <w:rStyle w:val="EndnoteReference"/>
          <w:rFonts w:cstheme="minorHAnsi"/>
        </w:rPr>
        <w:endnoteRef/>
      </w:r>
      <w:r w:rsidRPr="003E45C4">
        <w:rPr>
          <w:rFonts w:cstheme="minorHAnsi"/>
        </w:rPr>
        <w:t xml:space="preserve"> CESCR (1994); </w:t>
      </w:r>
      <w:r w:rsidRPr="00AF6EF6">
        <w:rPr>
          <w:rFonts w:cstheme="minorHAnsi"/>
        </w:rPr>
        <w:t xml:space="preserve">CESCR </w:t>
      </w:r>
      <w:r w:rsidRPr="003E45C4">
        <w:rPr>
          <w:rFonts w:cstheme="minorHAnsi"/>
        </w:rPr>
        <w:t>(2008), para. 20.</w:t>
      </w:r>
    </w:p>
  </w:endnote>
  <w:endnote w:id="34">
    <w:p w14:paraId="1B5F7FF1" w14:textId="28D644B9" w:rsidR="00336524" w:rsidRPr="003E45C4" w:rsidRDefault="00336524" w:rsidP="008C3A9F">
      <w:pPr>
        <w:pStyle w:val="EndnoteText"/>
        <w:rPr>
          <w:rFonts w:cstheme="minorHAnsi"/>
          <w:lang w:val="en-GB"/>
        </w:rPr>
      </w:pPr>
      <w:r w:rsidRPr="003E45C4">
        <w:rPr>
          <w:rStyle w:val="EndnoteReference"/>
          <w:rFonts w:cstheme="minorHAnsi"/>
        </w:rPr>
        <w:endnoteRef/>
      </w:r>
      <w:r w:rsidRPr="003E45C4">
        <w:rPr>
          <w:rFonts w:cstheme="minorHAnsi"/>
          <w:lang w:val="en-GB"/>
        </w:rPr>
        <w:t xml:space="preserve"> United Nations Committee on the Rights of Persons with Disabilities: </w:t>
      </w:r>
      <w:r w:rsidRPr="003E45C4">
        <w:rPr>
          <w:rFonts w:cstheme="minorHAnsi"/>
          <w:i/>
          <w:lang w:val="en-GB"/>
        </w:rPr>
        <w:t>Concluding observations,</w:t>
      </w:r>
      <w:r w:rsidRPr="003E45C4">
        <w:rPr>
          <w:rFonts w:cstheme="minorHAnsi"/>
          <w:lang w:val="en-GB"/>
        </w:rPr>
        <w:t xml:space="preserve"> document CRPD/C/ECU/CO/1, </w:t>
      </w:r>
      <w:r w:rsidRPr="003E45C4">
        <w:rPr>
          <w:rFonts w:cstheme="minorHAnsi"/>
        </w:rPr>
        <w:t>para.</w:t>
      </w:r>
      <w:r w:rsidRPr="003E45C4">
        <w:rPr>
          <w:rFonts w:cstheme="minorHAnsi"/>
          <w:lang w:val="en-GB"/>
        </w:rPr>
        <w:t xml:space="preserve"> 45</w:t>
      </w:r>
      <w:r w:rsidRPr="003E45C4">
        <w:rPr>
          <w:rFonts w:cstheme="minorHAnsi"/>
        </w:rPr>
        <w:t>.</w:t>
      </w:r>
    </w:p>
  </w:endnote>
  <w:endnote w:id="35">
    <w:p w14:paraId="5322C032" w14:textId="4FCEBAF7" w:rsidR="00336524" w:rsidRPr="004A496C" w:rsidRDefault="00336524" w:rsidP="008C3A9F">
      <w:pPr>
        <w:spacing w:before="0" w:after="0"/>
        <w:rPr>
          <w:rFonts w:eastAsia="Calibri" w:cstheme="minorHAnsi"/>
          <w:sz w:val="20"/>
          <w:szCs w:val="20"/>
          <w:lang w:val="en-GB"/>
        </w:rPr>
      </w:pPr>
      <w:r w:rsidRPr="003E45C4">
        <w:rPr>
          <w:rStyle w:val="EndnoteReference"/>
          <w:rFonts w:cstheme="minorHAnsi"/>
          <w:sz w:val="20"/>
          <w:szCs w:val="20"/>
        </w:rPr>
        <w:endnoteRef/>
      </w:r>
      <w:r w:rsidRPr="003E45C4">
        <w:rPr>
          <w:rFonts w:cstheme="minorHAnsi"/>
          <w:sz w:val="20"/>
          <w:szCs w:val="20"/>
          <w:lang w:val="en-GB"/>
        </w:rPr>
        <w:t xml:space="preserve"> United Nations Committee on the Rights of Persons with Disabilities</w:t>
      </w:r>
      <w:r w:rsidRPr="004A496C">
        <w:rPr>
          <w:rFonts w:cstheme="minorHAnsi"/>
          <w:sz w:val="20"/>
          <w:szCs w:val="20"/>
          <w:lang w:val="en-GB"/>
        </w:rPr>
        <w:t xml:space="preserve">: </w:t>
      </w:r>
      <w:r w:rsidRPr="004A496C">
        <w:rPr>
          <w:rFonts w:cstheme="minorHAnsi"/>
          <w:i/>
          <w:sz w:val="20"/>
          <w:szCs w:val="20"/>
          <w:lang w:val="en-GB"/>
        </w:rPr>
        <w:t>Concluding observations</w:t>
      </w:r>
      <w:r w:rsidRPr="004A496C">
        <w:rPr>
          <w:rFonts w:cstheme="minorHAnsi"/>
          <w:sz w:val="20"/>
          <w:szCs w:val="20"/>
          <w:lang w:val="en-GB"/>
        </w:rPr>
        <w:t xml:space="preserve">, documents: </w:t>
      </w:r>
      <w:hyperlink r:id="rId2" w:history="1">
        <w:r w:rsidRPr="004A496C">
          <w:rPr>
            <w:rFonts w:eastAsia="Calibri" w:cstheme="minorHAnsi"/>
            <w:sz w:val="20"/>
            <w:szCs w:val="20"/>
            <w:lang w:val="en-GB"/>
          </w:rPr>
          <w:t>CRPD/C/THA/CO/1</w:t>
        </w:r>
      </w:hyperlink>
      <w:r w:rsidRPr="004A496C">
        <w:rPr>
          <w:rFonts w:eastAsia="Calibri" w:cstheme="minorHAnsi"/>
          <w:sz w:val="20"/>
          <w:szCs w:val="20"/>
          <w:lang w:val="en-GB"/>
        </w:rPr>
        <w:t xml:space="preserve">, para. </w:t>
      </w:r>
      <w:r w:rsidRPr="004A496C">
        <w:rPr>
          <w:rFonts w:eastAsia="Calibri" w:cstheme="minorHAnsi"/>
          <w:sz w:val="20"/>
          <w:szCs w:val="20"/>
          <w:lang w:val="pt-BR"/>
        </w:rPr>
        <w:t>50; CRPD/C/</w:t>
      </w:r>
      <w:hyperlink r:id="rId3" w:history="1">
        <w:r w:rsidRPr="004A496C">
          <w:rPr>
            <w:rFonts w:eastAsia="Calibri" w:cstheme="minorHAnsi"/>
            <w:sz w:val="20"/>
            <w:szCs w:val="20"/>
            <w:lang w:val="pt-BR"/>
          </w:rPr>
          <w:t>EU/CO/1</w:t>
        </w:r>
      </w:hyperlink>
      <w:r w:rsidRPr="004A496C">
        <w:rPr>
          <w:rFonts w:eastAsia="Calibri" w:cstheme="minorHAnsi"/>
          <w:sz w:val="20"/>
          <w:szCs w:val="20"/>
          <w:lang w:val="pt-BR"/>
        </w:rPr>
        <w:t xml:space="preserve"> para. 87; CRPD/C/</w:t>
      </w:r>
      <w:hyperlink r:id="rId4" w:history="1">
        <w:r w:rsidRPr="004A496C">
          <w:rPr>
            <w:rFonts w:eastAsia="Calibri" w:cstheme="minorHAnsi"/>
            <w:sz w:val="20"/>
            <w:szCs w:val="20"/>
            <w:lang w:val="pt-BR"/>
          </w:rPr>
          <w:t>SLV/CO/1</w:t>
        </w:r>
      </w:hyperlink>
      <w:r w:rsidRPr="004A496C">
        <w:rPr>
          <w:rFonts w:eastAsia="Calibri" w:cstheme="minorHAnsi"/>
          <w:sz w:val="20"/>
          <w:szCs w:val="20"/>
          <w:lang w:val="pt-BR"/>
        </w:rPr>
        <w:t xml:space="preserve"> para. </w:t>
      </w:r>
      <w:r w:rsidRPr="004A496C">
        <w:rPr>
          <w:rFonts w:eastAsia="Calibri" w:cstheme="minorHAnsi"/>
          <w:sz w:val="20"/>
          <w:szCs w:val="20"/>
          <w:lang w:val="en-GB"/>
        </w:rPr>
        <w:t>52; CRPD/C/</w:t>
      </w:r>
      <w:hyperlink r:id="rId5" w:history="1">
        <w:r w:rsidRPr="004A496C">
          <w:rPr>
            <w:rFonts w:eastAsia="Calibri" w:cstheme="minorHAnsi"/>
            <w:sz w:val="20"/>
            <w:szCs w:val="20"/>
            <w:lang w:val="en-GB"/>
          </w:rPr>
          <w:t>CHN/CO/1</w:t>
        </w:r>
      </w:hyperlink>
      <w:r w:rsidRPr="004A496C">
        <w:rPr>
          <w:rFonts w:eastAsia="Calibri" w:cstheme="minorHAnsi"/>
          <w:sz w:val="20"/>
          <w:szCs w:val="20"/>
          <w:lang w:val="en-GB"/>
        </w:rPr>
        <w:t xml:space="preserve"> para. 76; CRPD/C /</w:t>
      </w:r>
      <w:hyperlink r:id="rId6" w:history="1">
        <w:r w:rsidRPr="004A496C">
          <w:rPr>
            <w:rFonts w:eastAsia="Calibri" w:cstheme="minorHAnsi"/>
            <w:sz w:val="20"/>
            <w:szCs w:val="20"/>
            <w:lang w:val="en-GB"/>
          </w:rPr>
          <w:t>PER/CO/1</w:t>
        </w:r>
      </w:hyperlink>
      <w:r w:rsidRPr="004A496C">
        <w:rPr>
          <w:rFonts w:eastAsia="Calibri" w:cstheme="minorHAnsi"/>
          <w:sz w:val="20"/>
          <w:szCs w:val="20"/>
          <w:lang w:val="en-GB"/>
        </w:rPr>
        <w:t xml:space="preserve"> para. 39a.</w:t>
      </w:r>
    </w:p>
  </w:endnote>
  <w:endnote w:id="36">
    <w:p w14:paraId="669A7D79" w14:textId="73317529" w:rsidR="00336524" w:rsidRPr="004A496C" w:rsidRDefault="00336524" w:rsidP="00367A0C">
      <w:pPr>
        <w:pStyle w:val="EndnoteText"/>
        <w:rPr>
          <w:rFonts w:cstheme="minorHAnsi"/>
          <w:lang w:val="en-GB"/>
        </w:rPr>
      </w:pPr>
      <w:r w:rsidRPr="004A496C">
        <w:rPr>
          <w:rStyle w:val="EndnoteReference"/>
          <w:rFonts w:cstheme="minorHAnsi"/>
        </w:rPr>
        <w:endnoteRef/>
      </w:r>
      <w:r w:rsidRPr="004A496C">
        <w:rPr>
          <w:rFonts w:cstheme="minorHAnsi"/>
          <w:lang w:val="en-GB"/>
        </w:rPr>
        <w:t xml:space="preserve"> United Nations Committee on the Rights of Persons with Disabilities: </w:t>
      </w:r>
      <w:r w:rsidRPr="004A496C">
        <w:rPr>
          <w:rFonts w:cstheme="minorHAnsi"/>
          <w:i/>
          <w:lang w:val="en-GB"/>
        </w:rPr>
        <w:t>Concluding observations,</w:t>
      </w:r>
      <w:r w:rsidRPr="004A496C">
        <w:rPr>
          <w:rFonts w:cstheme="minorHAnsi"/>
          <w:lang w:val="en-GB"/>
        </w:rPr>
        <w:t xml:space="preserve"> documents: CRPD/C/BRA/CO/1, para. </w:t>
      </w:r>
      <w:r w:rsidRPr="004A496C">
        <w:rPr>
          <w:rFonts w:cstheme="minorHAnsi"/>
          <w:lang w:val="pt-BR"/>
        </w:rPr>
        <w:t xml:space="preserve">51; CRPD/C/NZL/CO/1, para. 60; CRPD/C/DEU/CO/1 para. </w:t>
      </w:r>
      <w:r w:rsidRPr="00E30D0F">
        <w:rPr>
          <w:rFonts w:cstheme="minorHAnsi"/>
          <w:lang w:val="es-ES_tradnl"/>
        </w:rPr>
        <w:t xml:space="preserve">52; CRPD/C/LTU/CO/1, para. 54; CRPD/C/THA/CO/1 para. </w:t>
      </w:r>
      <w:r w:rsidRPr="004A496C">
        <w:rPr>
          <w:rFonts w:cstheme="minorHAnsi"/>
          <w:lang w:val="en-GB"/>
        </w:rPr>
        <w:t>56.</w:t>
      </w:r>
    </w:p>
  </w:endnote>
  <w:endnote w:id="37">
    <w:p w14:paraId="4FCC71AF" w14:textId="74AD2F7D" w:rsidR="00336524" w:rsidRPr="004A496C" w:rsidRDefault="00336524" w:rsidP="00367A0C">
      <w:pPr>
        <w:pStyle w:val="EndnoteText"/>
        <w:rPr>
          <w:rFonts w:cstheme="minorHAnsi"/>
          <w:lang w:val="en-GB"/>
        </w:rPr>
      </w:pPr>
      <w:r w:rsidRPr="004A496C">
        <w:rPr>
          <w:rStyle w:val="EndnoteReference"/>
          <w:rFonts w:cstheme="minorHAnsi"/>
        </w:rPr>
        <w:endnoteRef/>
      </w:r>
      <w:r w:rsidRPr="004A496C">
        <w:rPr>
          <w:rFonts w:cstheme="minorHAnsi"/>
          <w:lang w:val="en-GB"/>
        </w:rPr>
        <w:t xml:space="preserve"> United Nations Committee on the Rights of Persons with Disabilities: </w:t>
      </w:r>
      <w:r w:rsidRPr="004A496C">
        <w:rPr>
          <w:rFonts w:cstheme="minorHAnsi"/>
          <w:i/>
          <w:lang w:val="en-GB"/>
        </w:rPr>
        <w:t>Concluding observations,</w:t>
      </w:r>
      <w:r w:rsidRPr="004A496C">
        <w:rPr>
          <w:rFonts w:cstheme="minorHAnsi"/>
          <w:lang w:val="en-GB"/>
        </w:rPr>
        <w:t xml:space="preserve"> </w:t>
      </w:r>
      <w:r w:rsidRPr="004A496C">
        <w:rPr>
          <w:rFonts w:cstheme="minorHAnsi"/>
        </w:rPr>
        <w:t xml:space="preserve">document: </w:t>
      </w:r>
      <w:r w:rsidRPr="004A496C">
        <w:rPr>
          <w:rFonts w:cstheme="minorHAnsi"/>
          <w:lang w:val="en-GB"/>
        </w:rPr>
        <w:t>CRPD/C/UGA/CO/1.</w:t>
      </w:r>
    </w:p>
  </w:endnote>
  <w:endnote w:id="38">
    <w:p w14:paraId="71322189" w14:textId="0FC4DDEB" w:rsidR="00336524" w:rsidRPr="004A496C" w:rsidRDefault="00336524" w:rsidP="00367A0C">
      <w:pPr>
        <w:pStyle w:val="EndnoteText"/>
        <w:rPr>
          <w:rFonts w:cstheme="minorHAnsi"/>
          <w:lang w:val="en-GB"/>
        </w:rPr>
      </w:pPr>
      <w:r w:rsidRPr="004A496C">
        <w:rPr>
          <w:rStyle w:val="EndnoteReference"/>
          <w:rFonts w:cstheme="minorHAnsi"/>
        </w:rPr>
        <w:endnoteRef/>
      </w:r>
      <w:r w:rsidRPr="004A496C">
        <w:rPr>
          <w:rFonts w:cstheme="minorHAnsi"/>
          <w:lang w:val="en-GB"/>
        </w:rPr>
        <w:t xml:space="preserve"> </w:t>
      </w:r>
      <w:r>
        <w:rPr>
          <w:rFonts w:cstheme="minorHAnsi"/>
        </w:rPr>
        <w:t>CESCR</w:t>
      </w:r>
      <w:r w:rsidRPr="004A496C">
        <w:rPr>
          <w:rFonts w:cstheme="minorHAnsi"/>
        </w:rPr>
        <w:t xml:space="preserve"> (1990)</w:t>
      </w:r>
      <w:r w:rsidRPr="004A496C">
        <w:rPr>
          <w:rFonts w:cstheme="minorHAnsi"/>
          <w:lang w:val="en-GB"/>
        </w:rPr>
        <w:t>, paras 27 and 59.</w:t>
      </w:r>
    </w:p>
  </w:endnote>
  <w:endnote w:id="39">
    <w:p w14:paraId="6330F511" w14:textId="6954A83A" w:rsidR="00336524" w:rsidRPr="004A496C" w:rsidRDefault="00336524">
      <w:pPr>
        <w:pStyle w:val="EndnoteText"/>
        <w:rPr>
          <w:rFonts w:cstheme="minorHAnsi"/>
          <w:lang w:val="en-GB"/>
        </w:rPr>
      </w:pPr>
      <w:r w:rsidRPr="004A496C">
        <w:rPr>
          <w:rStyle w:val="EndnoteReference"/>
          <w:rFonts w:cstheme="minorHAnsi"/>
        </w:rPr>
        <w:endnoteRef/>
      </w:r>
      <w:r w:rsidRPr="004A496C">
        <w:rPr>
          <w:rFonts w:cstheme="minorHAnsi"/>
          <w:lang w:val="en-GB"/>
        </w:rPr>
        <w:t xml:space="preserve"> </w:t>
      </w:r>
      <w:r w:rsidRPr="004A496C">
        <w:rPr>
          <w:rFonts w:cstheme="minorHAnsi"/>
        </w:rPr>
        <w:t>United Nations (2015).</w:t>
      </w:r>
    </w:p>
  </w:endnote>
  <w:endnote w:id="40">
    <w:p w14:paraId="68BAD3D1" w14:textId="4259B69B" w:rsidR="00336524" w:rsidRPr="004A496C" w:rsidRDefault="00336524" w:rsidP="00AF6627">
      <w:pPr>
        <w:pStyle w:val="EndnoteText"/>
        <w:rPr>
          <w:rFonts w:cstheme="minorHAnsi"/>
          <w:lang w:val="en-GB"/>
        </w:rPr>
      </w:pPr>
      <w:r w:rsidRPr="004A496C">
        <w:rPr>
          <w:rStyle w:val="EndnoteReference"/>
          <w:rFonts w:cstheme="minorHAnsi"/>
        </w:rPr>
        <w:endnoteRef/>
      </w:r>
      <w:r w:rsidRPr="004A496C">
        <w:rPr>
          <w:rFonts w:cstheme="minorHAnsi"/>
          <w:lang w:val="en-GB"/>
        </w:rPr>
        <w:t xml:space="preserve"> United Nations Committee on the Rights of Persons with Disabilities: </w:t>
      </w:r>
      <w:r w:rsidRPr="004A496C">
        <w:rPr>
          <w:rFonts w:cstheme="minorHAnsi"/>
          <w:i/>
          <w:lang w:val="en-GB"/>
        </w:rPr>
        <w:t>Concluding observations,</w:t>
      </w:r>
      <w:r w:rsidRPr="004A496C">
        <w:rPr>
          <w:rFonts w:cstheme="minorHAnsi"/>
          <w:lang w:val="en-GB"/>
        </w:rPr>
        <w:t xml:space="preserve"> </w:t>
      </w:r>
      <w:r w:rsidRPr="004A496C">
        <w:rPr>
          <w:rFonts w:cstheme="minorHAnsi"/>
        </w:rPr>
        <w:t xml:space="preserve">documents: </w:t>
      </w:r>
      <w:hyperlink r:id="rId7" w:history="1">
        <w:r w:rsidRPr="004A496C">
          <w:rPr>
            <w:rFonts w:cstheme="minorHAnsi"/>
            <w:lang w:val="en-GB"/>
          </w:rPr>
          <w:t>CRPD/C/SRB/CO/1</w:t>
        </w:r>
      </w:hyperlink>
      <w:r w:rsidRPr="004A496C">
        <w:rPr>
          <w:rFonts w:cstheme="minorHAnsi"/>
          <w:lang w:val="en-GB"/>
        </w:rPr>
        <w:t xml:space="preserve"> para. </w:t>
      </w:r>
      <w:r w:rsidRPr="004A496C">
        <w:rPr>
          <w:rFonts w:cstheme="minorHAnsi"/>
          <w:lang w:val="pt-BR"/>
        </w:rPr>
        <w:t>54; CRPD/C/</w:t>
      </w:r>
      <w:hyperlink r:id="rId8" w:history="1">
        <w:r w:rsidRPr="004A496C">
          <w:rPr>
            <w:rFonts w:cstheme="minorHAnsi"/>
            <w:lang w:val="pt-BR"/>
          </w:rPr>
          <w:t>LTU/CO/1</w:t>
        </w:r>
      </w:hyperlink>
      <w:r w:rsidRPr="004A496C">
        <w:rPr>
          <w:rFonts w:cstheme="minorHAnsi"/>
          <w:lang w:val="pt-BR"/>
        </w:rPr>
        <w:t xml:space="preserve"> para. 52; CRPD/C/</w:t>
      </w:r>
      <w:hyperlink r:id="rId9" w:history="1">
        <w:r w:rsidRPr="004A496C">
          <w:rPr>
            <w:rFonts w:cstheme="minorHAnsi"/>
            <w:lang w:val="pt-BR"/>
          </w:rPr>
          <w:t>TKM/CO/1</w:t>
        </w:r>
      </w:hyperlink>
      <w:r w:rsidRPr="004A496C">
        <w:rPr>
          <w:rFonts w:cstheme="minorHAnsi"/>
          <w:lang w:val="pt-BR"/>
        </w:rPr>
        <w:t xml:space="preserve"> para. </w:t>
      </w:r>
      <w:r w:rsidRPr="004A496C">
        <w:rPr>
          <w:rFonts w:cstheme="minorHAnsi"/>
          <w:lang w:val="en-GB"/>
        </w:rPr>
        <w:t>46</w:t>
      </w:r>
      <w:r w:rsidRPr="004A496C">
        <w:rPr>
          <w:rFonts w:cstheme="minorHAnsi"/>
        </w:rPr>
        <w:t>.</w:t>
      </w:r>
    </w:p>
  </w:endnote>
  <w:endnote w:id="41">
    <w:p w14:paraId="47F753A1" w14:textId="06BF2111" w:rsidR="00336524" w:rsidRPr="004A496C" w:rsidRDefault="00336524" w:rsidP="00AF6627">
      <w:pPr>
        <w:pStyle w:val="EndnoteText"/>
        <w:rPr>
          <w:rFonts w:cstheme="minorHAnsi"/>
        </w:rPr>
      </w:pPr>
      <w:r w:rsidRPr="004A496C">
        <w:rPr>
          <w:rStyle w:val="EndnoteReference"/>
          <w:rFonts w:cstheme="minorHAnsi"/>
        </w:rPr>
        <w:endnoteRef/>
      </w:r>
      <w:r w:rsidRPr="004A496C">
        <w:rPr>
          <w:rFonts w:cstheme="minorHAnsi"/>
        </w:rPr>
        <w:t xml:space="preserve"> Article 27 of the CRPD includes obligations related to non-discrimination policies, access to quality vocational training and return to work programmes and support for self-employment.</w:t>
      </w:r>
    </w:p>
  </w:endnote>
  <w:endnote w:id="42">
    <w:p w14:paraId="75410AB8" w14:textId="6D644AF6" w:rsidR="00336524" w:rsidRPr="004A496C" w:rsidRDefault="00336524" w:rsidP="00AF6627">
      <w:pPr>
        <w:pStyle w:val="EndnoteText"/>
        <w:rPr>
          <w:rFonts w:cstheme="minorHAnsi"/>
        </w:rPr>
      </w:pPr>
      <w:r w:rsidRPr="004A496C">
        <w:rPr>
          <w:rStyle w:val="EndnoteReference"/>
          <w:rFonts w:cstheme="minorHAnsi"/>
        </w:rPr>
        <w:endnoteRef/>
      </w:r>
      <w:r w:rsidRPr="004A496C">
        <w:rPr>
          <w:rFonts w:cstheme="minorHAnsi"/>
          <w:lang w:val="en-GB"/>
        </w:rPr>
        <w:t xml:space="preserve"> United Nations Committee on the Rights of Persons with Disabilities: </w:t>
      </w:r>
      <w:r w:rsidRPr="004A496C">
        <w:rPr>
          <w:rFonts w:cstheme="minorHAnsi"/>
          <w:i/>
          <w:lang w:val="en-GB"/>
        </w:rPr>
        <w:t>Concluding observations,</w:t>
      </w:r>
      <w:r w:rsidRPr="004A496C">
        <w:rPr>
          <w:rFonts w:cstheme="minorHAnsi"/>
          <w:lang w:val="en-GB"/>
        </w:rPr>
        <w:t xml:space="preserve"> </w:t>
      </w:r>
      <w:r w:rsidRPr="004A496C">
        <w:rPr>
          <w:rFonts w:cstheme="minorHAnsi"/>
        </w:rPr>
        <w:t>documents:</w:t>
      </w:r>
      <w:r w:rsidRPr="004A496C">
        <w:rPr>
          <w:rFonts w:cstheme="minorHAnsi"/>
          <w:lang w:val="en-GB"/>
        </w:rPr>
        <w:t xml:space="preserve"> CRPD/C/TKM/CO/1, para. </w:t>
      </w:r>
      <w:r w:rsidRPr="00E30D0F">
        <w:rPr>
          <w:rFonts w:cstheme="minorHAnsi"/>
          <w:lang w:val="es-ES_tradnl"/>
        </w:rPr>
        <w:t xml:space="preserve">34; MNG/CO/1, para. 31; DOM/CO/1, para. 39; KEN/CO/1, para. 38; UGA/CO/1, para. 39; SRB/CO/1, para. 40; CHL/CO/1, para. 44; MAU/CO/1, para. 32; BRA/CO/1, para. </w:t>
      </w:r>
      <w:r w:rsidRPr="004A496C">
        <w:rPr>
          <w:rFonts w:cstheme="minorHAnsi"/>
        </w:rPr>
        <w:t>37; LTU/CO/1, para. 40; /UKR/CO/1, para. 37.</w:t>
      </w:r>
    </w:p>
  </w:endnote>
  <w:endnote w:id="43">
    <w:p w14:paraId="6BA65E34" w14:textId="4D2DCBD0" w:rsidR="00336524" w:rsidRPr="004A496C" w:rsidRDefault="00336524" w:rsidP="00AF6627">
      <w:pPr>
        <w:spacing w:before="0" w:after="0"/>
        <w:rPr>
          <w:sz w:val="20"/>
          <w:szCs w:val="20"/>
        </w:rPr>
      </w:pPr>
      <w:r w:rsidRPr="004A496C">
        <w:rPr>
          <w:rStyle w:val="EndnoteReference"/>
          <w:rFonts w:cstheme="minorHAnsi"/>
          <w:sz w:val="20"/>
          <w:szCs w:val="20"/>
        </w:rPr>
        <w:endnoteRef/>
      </w:r>
      <w:r w:rsidRPr="004A496C">
        <w:rPr>
          <w:rFonts w:cstheme="minorHAnsi"/>
          <w:sz w:val="20"/>
          <w:szCs w:val="20"/>
        </w:rPr>
        <w:t xml:space="preserve"> </w:t>
      </w:r>
      <w:r w:rsidRPr="004A496C">
        <w:rPr>
          <w:rFonts w:cstheme="minorHAnsi"/>
          <w:sz w:val="20"/>
          <w:szCs w:val="20"/>
          <w:lang w:val="en-GB"/>
        </w:rPr>
        <w:t>Eurochild</w:t>
      </w:r>
      <w:r>
        <w:rPr>
          <w:rFonts w:cstheme="minorHAnsi"/>
          <w:sz w:val="20"/>
          <w:szCs w:val="20"/>
          <w:lang w:val="en-GB"/>
        </w:rPr>
        <w:t xml:space="preserve"> </w:t>
      </w:r>
      <w:r w:rsidRPr="004A496C">
        <w:rPr>
          <w:rFonts w:cstheme="minorHAnsi"/>
          <w:sz w:val="20"/>
          <w:szCs w:val="20"/>
          <w:lang w:val="en-GB"/>
        </w:rPr>
        <w:t xml:space="preserve">(2014); </w:t>
      </w:r>
      <w:r>
        <w:rPr>
          <w:rFonts w:cstheme="minorHAnsi"/>
          <w:sz w:val="20"/>
          <w:szCs w:val="20"/>
          <w:lang w:val="en-GB"/>
        </w:rPr>
        <w:t>CESCR</w:t>
      </w:r>
      <w:r w:rsidRPr="004A496C">
        <w:rPr>
          <w:rFonts w:cstheme="minorHAnsi"/>
          <w:sz w:val="20"/>
          <w:szCs w:val="20"/>
        </w:rPr>
        <w:t xml:space="preserve"> (</w:t>
      </w:r>
      <w:r>
        <w:rPr>
          <w:rFonts w:cstheme="minorHAnsi"/>
          <w:sz w:val="20"/>
          <w:szCs w:val="20"/>
        </w:rPr>
        <w:t xml:space="preserve">2008), </w:t>
      </w:r>
      <w:r w:rsidRPr="004A496C">
        <w:rPr>
          <w:rFonts w:cstheme="minorHAnsi"/>
          <w:sz w:val="20"/>
          <w:szCs w:val="20"/>
        </w:rPr>
        <w:t>endnote no.17: “</w:t>
      </w:r>
      <w:r w:rsidRPr="004A496C">
        <w:rPr>
          <w:rFonts w:cstheme="minorHAnsi"/>
          <w:sz w:val="20"/>
          <w:szCs w:val="20"/>
          <w:lang w:val="en-GB"/>
        </w:rPr>
        <w:t>Institutionalization of persons with disabilities</w:t>
      </w:r>
      <w:r w:rsidRPr="004A496C">
        <w:rPr>
          <w:rFonts w:cs="Times New Roman"/>
          <w:sz w:val="20"/>
          <w:szCs w:val="20"/>
          <w:lang w:val="en-GB"/>
        </w:rPr>
        <w:t xml:space="preserve"> [...], cannot be regarded as an adequate substitute for the social security and income-support rights of such persons, as well as rehabilitation and employment support, in order to assist persons with disabilities to secure work as required by articles 6 and 7 of the Covenant.”</w:t>
      </w:r>
    </w:p>
  </w:endnote>
  <w:endnote w:id="44">
    <w:p w14:paraId="3BC96EC5" w14:textId="27374A9D" w:rsidR="00336524" w:rsidRPr="004A496C" w:rsidRDefault="00336524" w:rsidP="00AF6627">
      <w:pPr>
        <w:pStyle w:val="EndnoteText"/>
      </w:pPr>
      <w:r w:rsidRPr="004A496C">
        <w:rPr>
          <w:rStyle w:val="EndnoteReference"/>
        </w:rPr>
        <w:endnoteRef/>
      </w:r>
      <w:r w:rsidRPr="004A496C">
        <w:t xml:space="preserve"> A means test is used to assess whether the individual’s or household’s own resources (income and/or assets) are below a defined threshold and determine whether the applicants are eligible for a benefit at all, and if so at what level benefit will be provided</w:t>
      </w:r>
      <w:r>
        <w:t xml:space="preserve"> (ILO, 2014)</w:t>
      </w:r>
      <w:r w:rsidRPr="004A496C">
        <w:t>. In some countries, proxy means tests are used in which eligibility is determined without actually assessing income or assets on the basis of other household characteristics (proxies) that are deemed more easily observable.</w:t>
      </w:r>
    </w:p>
  </w:endnote>
  <w:endnote w:id="45">
    <w:p w14:paraId="15EFB74A" w14:textId="6251D691" w:rsidR="00336524" w:rsidRPr="004A496C" w:rsidRDefault="00336524">
      <w:pPr>
        <w:pStyle w:val="EndnoteText"/>
      </w:pPr>
      <w:r w:rsidRPr="004A496C">
        <w:rPr>
          <w:rStyle w:val="EndnoteReference"/>
        </w:rPr>
        <w:endnoteRef/>
      </w:r>
      <w:r w:rsidRPr="004A496C">
        <w:t xml:space="preserve"> The World Health Organization has recently produced a list of 50 essential assistive devices</w:t>
      </w:r>
      <w:r>
        <w:t xml:space="preserve"> (WHO, 2016)</w:t>
      </w:r>
      <w:r w:rsidRPr="004A496C">
        <w:t>.</w:t>
      </w:r>
    </w:p>
  </w:endnote>
  <w:endnote w:id="46">
    <w:p w14:paraId="761E1A25" w14:textId="67092053" w:rsidR="00336524" w:rsidRPr="004A496C" w:rsidRDefault="00336524">
      <w:pPr>
        <w:pStyle w:val="EndnoteText"/>
      </w:pPr>
      <w:r w:rsidRPr="004A496C">
        <w:rPr>
          <w:rStyle w:val="EndnoteReference"/>
        </w:rPr>
        <w:endnoteRef/>
      </w:r>
      <w:r w:rsidRPr="004A496C">
        <w:t xml:space="preserve"> The GIZ Inclusive Social Protection webpage contains many helpful tools and case studies. Available at: </w:t>
      </w:r>
      <w:hyperlink r:id="rId10" w:history="1">
        <w:r w:rsidRPr="004A496C">
          <w:rPr>
            <w:rStyle w:val="Hyperlink"/>
          </w:rPr>
          <w:t>https://www.giz.de/expertise/html/16762.html</w:t>
        </w:r>
      </w:hyperlink>
      <w:r w:rsidRPr="004A496C">
        <w:t xml:space="preserve"> </w:t>
      </w:r>
    </w:p>
  </w:endnote>
  <w:endnote w:id="47">
    <w:p w14:paraId="03F8CEA7" w14:textId="2F6EA08B" w:rsidR="00336524" w:rsidRPr="004A496C" w:rsidRDefault="00336524" w:rsidP="00C63862">
      <w:pPr>
        <w:widowControl w:val="0"/>
        <w:autoSpaceDE w:val="0"/>
        <w:autoSpaceDN w:val="0"/>
        <w:adjustRightInd w:val="0"/>
        <w:spacing w:before="0" w:after="0"/>
        <w:rPr>
          <w:rFonts w:eastAsia="Calibri" w:cs="Times New Roman"/>
          <w:sz w:val="20"/>
          <w:szCs w:val="20"/>
          <w:lang w:val="en-GB"/>
        </w:rPr>
      </w:pPr>
      <w:r w:rsidRPr="004A496C">
        <w:rPr>
          <w:rStyle w:val="EndnoteReference"/>
          <w:sz w:val="20"/>
          <w:szCs w:val="20"/>
        </w:rPr>
        <w:endnoteRef/>
      </w:r>
      <w:r w:rsidRPr="004A496C">
        <w:rPr>
          <w:sz w:val="20"/>
          <w:szCs w:val="20"/>
        </w:rPr>
        <w:t xml:space="preserve"> </w:t>
      </w:r>
      <w:r w:rsidRPr="004A496C">
        <w:rPr>
          <w:rStyle w:val="gmail-il"/>
          <w:sz w:val="20"/>
          <w:szCs w:val="20"/>
        </w:rPr>
        <w:t>Reasonable</w:t>
      </w:r>
      <w:r w:rsidRPr="004A496C">
        <w:rPr>
          <w:sz w:val="20"/>
          <w:szCs w:val="20"/>
        </w:rPr>
        <w:t> accommodation or adjustment is any change required in the way things are usually done to allow a person with a disability to access and/or use any facilities, information, services, benefits, economic and educational opportunities on an equal basis with others.  Such changes can cover premises, regulations, procedures, schedules among others. They must be effective for the person as well as not excessively onerous or disruptive for the provider. Solutions may vary according to individual circumstances and the capacity of the provider as what is </w:t>
      </w:r>
      <w:r w:rsidRPr="004A496C">
        <w:rPr>
          <w:rStyle w:val="gmail-il"/>
          <w:sz w:val="20"/>
          <w:szCs w:val="20"/>
        </w:rPr>
        <w:t>reasonable</w:t>
      </w:r>
      <w:r w:rsidRPr="004A496C">
        <w:rPr>
          <w:sz w:val="20"/>
          <w:szCs w:val="20"/>
        </w:rPr>
        <w:t xml:space="preserve"> for one organization may not be so for another. </w:t>
      </w:r>
      <w:r w:rsidRPr="004A496C">
        <w:rPr>
          <w:rFonts w:eastAsia="Calibri" w:cs="Times New Roman"/>
          <w:sz w:val="20"/>
          <w:szCs w:val="20"/>
          <w:lang w:val="en-GB"/>
        </w:rPr>
        <w:t xml:space="preserve">According to Article 2 of the CRPD,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w:t>
      </w:r>
      <w:r w:rsidRPr="004A496C">
        <w:rPr>
          <w:rFonts w:cs="Times New Roman"/>
          <w:sz w:val="20"/>
          <w:szCs w:val="20"/>
        </w:rPr>
        <w:t xml:space="preserve">fundamental freedoms”. </w:t>
      </w:r>
    </w:p>
  </w:endnote>
  <w:endnote w:id="48">
    <w:p w14:paraId="3D4302D9" w14:textId="19BE6976" w:rsidR="00336524" w:rsidRPr="00AD2F7E" w:rsidRDefault="00336524" w:rsidP="00F70300">
      <w:pPr>
        <w:pStyle w:val="EndnoteText"/>
      </w:pPr>
      <w:r w:rsidRPr="004A496C">
        <w:rPr>
          <w:rStyle w:val="EndnoteReference"/>
        </w:rPr>
        <w:endnoteRef/>
      </w:r>
      <w:r w:rsidRPr="004A496C">
        <w:t xml:space="preserve"> Including augmentative and alternative </w:t>
      </w:r>
      <w:r w:rsidRPr="00AD2F7E">
        <w:t>communication, and all other accessible means, modes and formats of communication of their choice by persons with disabilities.</w:t>
      </w:r>
    </w:p>
  </w:endnote>
  <w:endnote w:id="49">
    <w:p w14:paraId="77DB9CCA" w14:textId="533FB5F4" w:rsidR="00336524" w:rsidRPr="00AD2F7E" w:rsidRDefault="00336524" w:rsidP="00734D2E">
      <w:pPr>
        <w:pStyle w:val="NormalWeb"/>
        <w:spacing w:before="0" w:beforeAutospacing="0" w:after="0" w:afterAutospacing="0"/>
        <w:rPr>
          <w:rFonts w:asciiTheme="minorHAnsi" w:hAnsiTheme="minorHAnsi"/>
          <w:sz w:val="20"/>
          <w:szCs w:val="20"/>
          <w:lang w:val="en-GB"/>
        </w:rPr>
      </w:pPr>
      <w:r w:rsidRPr="00AD2F7E">
        <w:rPr>
          <w:rStyle w:val="EndnoteReference"/>
          <w:rFonts w:asciiTheme="minorHAnsi" w:hAnsiTheme="minorHAnsi"/>
          <w:sz w:val="20"/>
          <w:szCs w:val="20"/>
        </w:rPr>
        <w:endnoteRef/>
      </w:r>
      <w:r w:rsidRPr="00AD2F7E">
        <w:rPr>
          <w:rFonts w:asciiTheme="minorHAnsi" w:hAnsiTheme="minorHAnsi"/>
          <w:sz w:val="20"/>
          <w:szCs w:val="20"/>
        </w:rPr>
        <w:t xml:space="preserve"> </w:t>
      </w:r>
      <w:r w:rsidRPr="00AD2F7E">
        <w:rPr>
          <w:rFonts w:asciiTheme="minorHAnsi" w:eastAsia="Calibri" w:hAnsiTheme="minorHAnsi"/>
          <w:sz w:val="20"/>
          <w:szCs w:val="20"/>
          <w:lang w:val="en-GB"/>
        </w:rPr>
        <w:t>Easy-to-read documents have short, simple sentences often with pictures and are used to make information more accessible to people with intellectual disabilities. They can also be useful for people with other communication difficulties including, those who have difficulty reading, people with hearing impairment whose first language is sign language and people who do not speak an official language as their first language.</w:t>
      </w:r>
    </w:p>
  </w:endnote>
  <w:endnote w:id="50">
    <w:p w14:paraId="4665908D" w14:textId="515C8D46" w:rsidR="00336524" w:rsidRPr="00AD2F7E" w:rsidRDefault="00336524" w:rsidP="00143802">
      <w:pPr>
        <w:pStyle w:val="EndnoteText"/>
        <w:rPr>
          <w:rFonts w:cstheme="minorHAnsi"/>
        </w:rPr>
      </w:pPr>
      <w:r w:rsidRPr="00AD2F7E">
        <w:rPr>
          <w:rStyle w:val="EndnoteReference"/>
        </w:rPr>
        <w:endnoteRef/>
      </w:r>
      <w:r w:rsidRPr="00AD2F7E">
        <w:t xml:space="preserve"> </w:t>
      </w:r>
      <w:r w:rsidRPr="00AD2F7E">
        <w:rPr>
          <w:rFonts w:cstheme="minorHAnsi"/>
        </w:rPr>
        <w:t>Mitra (2005), p. 29.</w:t>
      </w:r>
    </w:p>
  </w:endnote>
  <w:endnote w:id="51">
    <w:p w14:paraId="1526B8AA" w14:textId="384B54E9" w:rsidR="00336524" w:rsidRPr="00AD2F7E" w:rsidRDefault="00336524" w:rsidP="008A25AE">
      <w:pPr>
        <w:pStyle w:val="EndnoteText"/>
      </w:pPr>
      <w:r w:rsidRPr="00AD2F7E">
        <w:rPr>
          <w:rStyle w:val="EndnoteReference"/>
        </w:rPr>
        <w:endnoteRef/>
      </w:r>
      <w:r w:rsidRPr="00AD2F7E">
        <w:t xml:space="preserve"> Recommendation No. 202, paras 13-18; see also </w:t>
      </w:r>
      <w:r w:rsidRPr="00AD2F7E">
        <w:rPr>
          <w:lang w:eastAsia="en-GB"/>
        </w:rPr>
        <w:t>ILO</w:t>
      </w:r>
      <w:r w:rsidRPr="00AF6EF6">
        <w:rPr>
          <w:lang w:eastAsia="en-GB"/>
        </w:rPr>
        <w:t xml:space="preserve"> </w:t>
      </w:r>
      <w:r w:rsidRPr="00AD2F7E">
        <w:rPr>
          <w:lang w:eastAsia="en-GB"/>
        </w:rPr>
        <w:t>(2016).</w:t>
      </w:r>
    </w:p>
  </w:endnote>
  <w:endnote w:id="52">
    <w:p w14:paraId="21C55763" w14:textId="6A6AD080" w:rsidR="00336524" w:rsidRPr="00AF6EF6" w:rsidRDefault="00336524">
      <w:pPr>
        <w:pStyle w:val="EndnoteText"/>
        <w:rPr>
          <w:lang w:val="es-ES"/>
        </w:rPr>
      </w:pPr>
      <w:r w:rsidRPr="00AD2F7E">
        <w:rPr>
          <w:rStyle w:val="EndnoteReference"/>
        </w:rPr>
        <w:endnoteRef/>
      </w:r>
      <w:r w:rsidRPr="00AF6EF6">
        <w:rPr>
          <w:lang w:val="es-ES"/>
        </w:rPr>
        <w:t xml:space="preserve"> Mitra (2010); Palmer and Nguyen (2012).</w:t>
      </w:r>
    </w:p>
  </w:endnote>
  <w:endnote w:id="53">
    <w:p w14:paraId="33A0BE80" w14:textId="488B6F31" w:rsidR="00336524" w:rsidRPr="004A496C" w:rsidRDefault="00336524">
      <w:pPr>
        <w:pStyle w:val="EndnoteText"/>
      </w:pPr>
      <w:r w:rsidRPr="00AD2F7E">
        <w:rPr>
          <w:rStyle w:val="EndnoteReference"/>
        </w:rPr>
        <w:endnoteRef/>
      </w:r>
      <w:r w:rsidRPr="00AF6EF6">
        <w:rPr>
          <w:lang w:val="es-ES"/>
        </w:rPr>
        <w:t xml:space="preserve"> ILO Recommendation No. 202, para. </w:t>
      </w:r>
      <w:r w:rsidRPr="00AD2F7E">
        <w:t>21.</w:t>
      </w:r>
    </w:p>
  </w:endnote>
  <w:endnote w:id="54">
    <w:p w14:paraId="183BAFD9" w14:textId="369B8B92" w:rsidR="00336524" w:rsidRPr="00701029" w:rsidRDefault="00336524" w:rsidP="00537088">
      <w:pPr>
        <w:pStyle w:val="EndnoteText"/>
      </w:pPr>
    </w:p>
  </w:endnote>
  <w:endnote w:id="55">
    <w:p w14:paraId="3F9731E4" w14:textId="77777777" w:rsidR="00336524" w:rsidRDefault="0033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swiss"/>
    <w:pitch w:val="variable"/>
    <w:sig w:usb0="E50002FF" w:usb1="500079DB" w:usb2="00000010" w:usb3="00000000" w:csb0="00000001" w:csb1="00000000"/>
  </w:font>
  <w:font w:name="Times">
    <w:panose1 w:val="02020603050405020304"/>
    <w:charset w:val="00"/>
    <w:family w:val="roman"/>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6BD9" w14:textId="77777777" w:rsidR="00336524" w:rsidRDefault="00336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88E2" w14:textId="41972619" w:rsidR="00336524" w:rsidRDefault="00336524" w:rsidP="009722E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9DB7" w14:textId="77777777" w:rsidR="00336524" w:rsidRDefault="003365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371836258"/>
      <w:docPartObj>
        <w:docPartGallery w:val="Page Numbers (Bottom of Page)"/>
        <w:docPartUnique/>
      </w:docPartObj>
    </w:sdtPr>
    <w:sdtEndPr>
      <w:rPr>
        <w:noProof/>
      </w:rPr>
    </w:sdtEndPr>
    <w:sdtContent>
      <w:p w14:paraId="525ADEAB" w14:textId="77777777" w:rsidR="00336524" w:rsidRDefault="00336524" w:rsidP="009722ED">
        <w:pPr>
          <w:pStyle w:val="Footer"/>
          <w:jc w:val="center"/>
        </w:pPr>
        <w:r w:rsidRPr="00C41249">
          <w:rPr>
            <w:szCs w:val="22"/>
          </w:rPr>
          <w:fldChar w:fldCharType="begin"/>
        </w:r>
        <w:r w:rsidRPr="00C41249">
          <w:rPr>
            <w:szCs w:val="22"/>
          </w:rPr>
          <w:instrText xml:space="preserve"> PAGE   \* MERGEFORMAT </w:instrText>
        </w:r>
        <w:r w:rsidRPr="00C41249">
          <w:rPr>
            <w:szCs w:val="22"/>
          </w:rPr>
          <w:fldChar w:fldCharType="separate"/>
        </w:r>
        <w:r w:rsidR="00C6471C" w:rsidRPr="00C6471C">
          <w:rPr>
            <w:noProof/>
            <w:sz w:val="24"/>
            <w:szCs w:val="22"/>
          </w:rPr>
          <w:t>16</w:t>
        </w:r>
        <w:r w:rsidRPr="00C41249">
          <w:rPr>
            <w:noProof/>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990064146"/>
      <w:docPartObj>
        <w:docPartGallery w:val="Page Numbers (Bottom of Page)"/>
        <w:docPartUnique/>
      </w:docPartObj>
    </w:sdtPr>
    <w:sdtEndPr>
      <w:rPr>
        <w:noProof/>
      </w:rPr>
    </w:sdtEndPr>
    <w:sdtContent>
      <w:p w14:paraId="3CC6F6B2" w14:textId="317BB1E0" w:rsidR="00336524" w:rsidRPr="00C41249" w:rsidRDefault="00336524">
        <w:pPr>
          <w:pStyle w:val="Footer"/>
          <w:jc w:val="center"/>
          <w:rPr>
            <w:szCs w:val="22"/>
          </w:rPr>
        </w:pPr>
        <w:r w:rsidRPr="00C41249">
          <w:rPr>
            <w:szCs w:val="22"/>
          </w:rPr>
          <w:fldChar w:fldCharType="begin"/>
        </w:r>
        <w:r w:rsidRPr="00C41249">
          <w:rPr>
            <w:szCs w:val="22"/>
          </w:rPr>
          <w:instrText xml:space="preserve"> PAGE   \* MERGEFORMAT </w:instrText>
        </w:r>
        <w:r w:rsidRPr="00C41249">
          <w:rPr>
            <w:szCs w:val="22"/>
          </w:rPr>
          <w:fldChar w:fldCharType="separate"/>
        </w:r>
        <w:r w:rsidR="00C6471C">
          <w:rPr>
            <w:noProof/>
            <w:szCs w:val="22"/>
          </w:rPr>
          <w:t>17</w:t>
        </w:r>
        <w:r w:rsidRPr="00C41249">
          <w:rPr>
            <w:noProof/>
            <w:szCs w:val="22"/>
          </w:rPr>
          <w:fldChar w:fldCharType="end"/>
        </w:r>
      </w:p>
    </w:sdtContent>
  </w:sdt>
  <w:p w14:paraId="69F0972B" w14:textId="77777777" w:rsidR="00336524" w:rsidRDefault="0033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A687" w14:textId="77777777" w:rsidR="00336524" w:rsidRDefault="00336524" w:rsidP="00A9777C">
      <w:r>
        <w:separator/>
      </w:r>
    </w:p>
  </w:footnote>
  <w:footnote w:type="continuationSeparator" w:id="0">
    <w:p w14:paraId="6AC7F8E7" w14:textId="77777777" w:rsidR="00336524" w:rsidRDefault="00336524" w:rsidP="00A9777C">
      <w:r>
        <w:continuationSeparator/>
      </w:r>
    </w:p>
  </w:footnote>
  <w:footnote w:type="continuationNotice" w:id="1">
    <w:p w14:paraId="0B61F23D" w14:textId="77777777" w:rsidR="00336524" w:rsidRDefault="0033652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AF4D" w14:textId="77777777" w:rsidR="00336524" w:rsidRDefault="00336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73394"/>
      <w:docPartObj>
        <w:docPartGallery w:val="Watermarks"/>
        <w:docPartUnique/>
      </w:docPartObj>
    </w:sdtPr>
    <w:sdtContent>
      <w:p w14:paraId="72D563A9" w14:textId="20BB2FF6" w:rsidR="00336524" w:rsidRDefault="00336524">
        <w:pPr>
          <w:pStyle w:val="Header"/>
        </w:pPr>
        <w:r>
          <w:rPr>
            <w:noProof/>
          </w:rPr>
          <w:pict w14:anchorId="541E0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B5A9" w14:textId="77777777" w:rsidR="00336524" w:rsidRDefault="00336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856D" w14:textId="77777777" w:rsidR="00336524" w:rsidRDefault="003365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D7C1" w14:textId="50260A2B" w:rsidR="00336524" w:rsidRPr="007B4F63" w:rsidRDefault="00336524" w:rsidP="007B4F63">
    <w:pPr>
      <w:pStyle w:val="Header"/>
      <w:jc w:val="distribute"/>
      <w:rPr>
        <w:rFonts w:asciiTheme="majorHAnsi" w:hAnsiTheme="majorHAnsi"/>
        <w:color w:val="262626" w:themeColor="text1" w:themeTint="D9"/>
      </w:rPr>
    </w:pPr>
    <w:sdt>
      <w:sdtPr>
        <w:rPr>
          <w:rFonts w:asciiTheme="majorHAnsi" w:hAnsiTheme="majorHAnsi"/>
          <w:color w:val="262626" w:themeColor="text1" w:themeTint="D9"/>
        </w:rPr>
        <w:id w:val="-1724968785"/>
        <w:docPartObj>
          <w:docPartGallery w:val="Watermarks"/>
          <w:docPartUnique/>
        </w:docPartObj>
      </w:sdtPr>
      <w:sdtContent>
        <w:r>
          <w:rPr>
            <w:rFonts w:asciiTheme="majorHAnsi" w:hAnsiTheme="majorHAnsi"/>
            <w:noProof/>
            <w:color w:val="262626" w:themeColor="text1" w:themeTint="D9"/>
          </w:rPr>
          <w:pict w14:anchorId="02FFA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B4F63">
      <w:rPr>
        <w:rFonts w:asciiTheme="majorHAnsi" w:hAnsiTheme="majorHAnsi"/>
        <w:color w:val="262626" w:themeColor="text1" w:themeTint="D9"/>
      </w:rPr>
      <w:t>JOINT STATEMENT</w:t>
    </w:r>
    <w:r>
      <w:rPr>
        <w:rFonts w:asciiTheme="majorHAnsi" w:hAnsiTheme="majorHAnsi"/>
        <w:color w:val="262626" w:themeColor="text1" w:themeTint="D9"/>
      </w:rPr>
      <w:t>:</w:t>
    </w:r>
    <w:r w:rsidRPr="007B4F63">
      <w:rPr>
        <w:rFonts w:asciiTheme="majorHAnsi" w:hAnsiTheme="majorHAnsi"/>
        <w:color w:val="262626" w:themeColor="text1" w:themeTint="D9"/>
      </w:rPr>
      <w:t xml:space="preserve"> TOWARDS INCLUSIVE SOCIAL PROTECTION SYSTEM</w:t>
    </w:r>
    <w:r>
      <w:rPr>
        <w:rFonts w:asciiTheme="majorHAnsi" w:hAnsiTheme="majorHAnsi"/>
        <w:color w:val="262626" w:themeColor="text1" w:themeTint="D9"/>
      </w:rPr>
      <w:t>S</w:t>
    </w:r>
    <w:r w:rsidRPr="007B4F63">
      <w:rPr>
        <w:rFonts w:asciiTheme="majorHAnsi" w:hAnsiTheme="majorHAnsi"/>
        <w:color w:val="262626" w:themeColor="text1" w:themeTint="D9"/>
      </w:rPr>
      <w:t xml:space="preserve"> SUPPORTING</w:t>
    </w:r>
    <w:r>
      <w:rPr>
        <w:rFonts w:asciiTheme="majorHAnsi" w:hAnsiTheme="majorHAnsi"/>
        <w:color w:val="262626" w:themeColor="text1" w:themeTint="D9"/>
      </w:rPr>
      <w:t xml:space="preserve"> THE</w:t>
    </w:r>
    <w:r w:rsidRPr="007B4F63">
      <w:rPr>
        <w:rFonts w:asciiTheme="majorHAnsi" w:hAnsiTheme="majorHAnsi"/>
        <w:color w:val="262626" w:themeColor="text1" w:themeTint="D9"/>
      </w:rPr>
      <w:t xml:space="preserve"> FULL AND EFFECTIVE PARTICIPATION OF PERSONS WITH DISABILITIES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BD05" w14:textId="77777777" w:rsidR="00336524" w:rsidRDefault="003365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652A" w14:textId="77777777" w:rsidR="00336524" w:rsidRDefault="003365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40032"/>
      <w:docPartObj>
        <w:docPartGallery w:val="Watermarks"/>
        <w:docPartUnique/>
      </w:docPartObj>
    </w:sdtPr>
    <w:sdtContent>
      <w:p w14:paraId="1D0A6C60" w14:textId="59F755C8" w:rsidR="00336524" w:rsidRDefault="00336524">
        <w:pPr>
          <w:pStyle w:val="Header"/>
        </w:pPr>
        <w:r>
          <w:rPr>
            <w:noProof/>
          </w:rPr>
          <w:pict w14:anchorId="219CD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BCB8" w14:textId="77777777" w:rsidR="00336524" w:rsidRDefault="0033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7DC"/>
    <w:multiLevelType w:val="hybridMultilevel"/>
    <w:tmpl w:val="943C5DD6"/>
    <w:lvl w:ilvl="0" w:tplc="3B2A1560">
      <w:start w:val="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83DE3"/>
    <w:multiLevelType w:val="hybridMultilevel"/>
    <w:tmpl w:val="FA9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51EE5"/>
    <w:multiLevelType w:val="hybridMultilevel"/>
    <w:tmpl w:val="C3DC7D12"/>
    <w:lvl w:ilvl="0" w:tplc="08090001">
      <w:start w:val="1"/>
      <w:numFmt w:val="bullet"/>
      <w:lvlText w:val=""/>
      <w:lvlJc w:val="left"/>
      <w:pPr>
        <w:ind w:left="720" w:hanging="360"/>
      </w:pPr>
      <w:rPr>
        <w:rFonts w:ascii="Symbol" w:hAnsi="Symbol" w:hint="default"/>
      </w:rPr>
    </w:lvl>
    <w:lvl w:ilvl="1" w:tplc="8638AB1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D6E08"/>
    <w:multiLevelType w:val="hybridMultilevel"/>
    <w:tmpl w:val="D016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B27AD8"/>
    <w:multiLevelType w:val="hybridMultilevel"/>
    <w:tmpl w:val="04466C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DF30AD"/>
    <w:multiLevelType w:val="hybridMultilevel"/>
    <w:tmpl w:val="AAE6A586"/>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0279F"/>
    <w:multiLevelType w:val="hybridMultilevel"/>
    <w:tmpl w:val="7D5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44C1E"/>
    <w:multiLevelType w:val="hybridMultilevel"/>
    <w:tmpl w:val="0C9A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AC0521"/>
    <w:multiLevelType w:val="hybridMultilevel"/>
    <w:tmpl w:val="8F60B75A"/>
    <w:lvl w:ilvl="0" w:tplc="26A282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75D50"/>
    <w:multiLevelType w:val="hybridMultilevel"/>
    <w:tmpl w:val="6054DF90"/>
    <w:lvl w:ilvl="0" w:tplc="00BEC9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0759"/>
    <w:multiLevelType w:val="hybridMultilevel"/>
    <w:tmpl w:val="76AE7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1711FC"/>
    <w:multiLevelType w:val="hybridMultilevel"/>
    <w:tmpl w:val="624A27CA"/>
    <w:lvl w:ilvl="0" w:tplc="3B2A1560">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E0CF9"/>
    <w:multiLevelType w:val="hybridMultilevel"/>
    <w:tmpl w:val="DCAE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C5D56"/>
    <w:multiLevelType w:val="hybridMultilevel"/>
    <w:tmpl w:val="EDBCCAC0"/>
    <w:lvl w:ilvl="0" w:tplc="3B2A1560">
      <w:start w:val="28"/>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0F3F2C"/>
    <w:multiLevelType w:val="multilevel"/>
    <w:tmpl w:val="8A8E093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C5958B5"/>
    <w:multiLevelType w:val="hybridMultilevel"/>
    <w:tmpl w:val="C660C816"/>
    <w:lvl w:ilvl="0" w:tplc="3B2A1560">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60EE3"/>
    <w:multiLevelType w:val="hybridMultilevel"/>
    <w:tmpl w:val="B0C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21D33"/>
    <w:multiLevelType w:val="hybridMultilevel"/>
    <w:tmpl w:val="A0381910"/>
    <w:lvl w:ilvl="0" w:tplc="07803062">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F14A6"/>
    <w:multiLevelType w:val="hybridMultilevel"/>
    <w:tmpl w:val="825EF318"/>
    <w:lvl w:ilvl="0" w:tplc="7638C92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7C9C0B04">
      <w:start w:val="4"/>
      <w:numFmt w:val="bullet"/>
      <w:lvlText w:val="-"/>
      <w:lvlJc w:val="left"/>
      <w:pPr>
        <w:ind w:left="2880" w:hanging="360"/>
      </w:pPr>
      <w:rPr>
        <w:rFonts w:ascii="Times New Roman" w:eastAsiaTheme="minorEastAsia"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6E7B2E"/>
    <w:multiLevelType w:val="hybridMultilevel"/>
    <w:tmpl w:val="DE9A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5342EA"/>
    <w:multiLevelType w:val="hybridMultilevel"/>
    <w:tmpl w:val="7604E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4009"/>
    <w:multiLevelType w:val="hybridMultilevel"/>
    <w:tmpl w:val="3316299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816D89"/>
    <w:multiLevelType w:val="hybridMultilevel"/>
    <w:tmpl w:val="FC30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DF4BBB"/>
    <w:multiLevelType w:val="hybridMultilevel"/>
    <w:tmpl w:val="844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E2DD9"/>
    <w:multiLevelType w:val="hybridMultilevel"/>
    <w:tmpl w:val="32427A46"/>
    <w:lvl w:ilvl="0" w:tplc="3B2A1560">
      <w:start w:val="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6D55DB"/>
    <w:multiLevelType w:val="hybridMultilevel"/>
    <w:tmpl w:val="3AE4A552"/>
    <w:lvl w:ilvl="0" w:tplc="AC62AFD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73761"/>
    <w:multiLevelType w:val="hybridMultilevel"/>
    <w:tmpl w:val="4CCEF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88388E"/>
    <w:multiLevelType w:val="hybridMultilevel"/>
    <w:tmpl w:val="D9260102"/>
    <w:lvl w:ilvl="0" w:tplc="3B2A1560">
      <w:start w:val="28"/>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E2B4A00"/>
    <w:multiLevelType w:val="hybridMultilevel"/>
    <w:tmpl w:val="1BA01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A17F31"/>
    <w:multiLevelType w:val="hybridMultilevel"/>
    <w:tmpl w:val="64A6C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2642DDA"/>
    <w:multiLevelType w:val="hybridMultilevel"/>
    <w:tmpl w:val="77E647C4"/>
    <w:lvl w:ilvl="0" w:tplc="3B2A1560">
      <w:start w:val="28"/>
      <w:numFmt w:val="bullet"/>
      <w:lvlText w:val="-"/>
      <w:lvlJc w:val="left"/>
      <w:pPr>
        <w:ind w:left="668" w:hanging="360"/>
      </w:pPr>
      <w:rPr>
        <w:rFonts w:ascii="Cambria" w:eastAsiaTheme="minorEastAsia" w:hAnsi="Cambria" w:cstheme="minorBidi" w:hint="default"/>
      </w:rPr>
    </w:lvl>
    <w:lvl w:ilvl="1" w:tplc="08090003" w:tentative="1">
      <w:start w:val="1"/>
      <w:numFmt w:val="bullet"/>
      <w:lvlText w:val="o"/>
      <w:lvlJc w:val="left"/>
      <w:pPr>
        <w:ind w:left="1388" w:hanging="360"/>
      </w:pPr>
      <w:rPr>
        <w:rFonts w:ascii="Courier New" w:hAnsi="Courier New" w:cs="Courier New" w:hint="default"/>
      </w:rPr>
    </w:lvl>
    <w:lvl w:ilvl="2" w:tplc="08090005" w:tentative="1">
      <w:start w:val="1"/>
      <w:numFmt w:val="bullet"/>
      <w:lvlText w:val=""/>
      <w:lvlJc w:val="left"/>
      <w:pPr>
        <w:ind w:left="2108" w:hanging="360"/>
      </w:pPr>
      <w:rPr>
        <w:rFonts w:ascii="Wingdings" w:hAnsi="Wingdings" w:hint="default"/>
      </w:rPr>
    </w:lvl>
    <w:lvl w:ilvl="3" w:tplc="08090001" w:tentative="1">
      <w:start w:val="1"/>
      <w:numFmt w:val="bullet"/>
      <w:lvlText w:val=""/>
      <w:lvlJc w:val="left"/>
      <w:pPr>
        <w:ind w:left="2828" w:hanging="360"/>
      </w:pPr>
      <w:rPr>
        <w:rFonts w:ascii="Symbol" w:hAnsi="Symbol" w:hint="default"/>
      </w:rPr>
    </w:lvl>
    <w:lvl w:ilvl="4" w:tplc="08090003" w:tentative="1">
      <w:start w:val="1"/>
      <w:numFmt w:val="bullet"/>
      <w:lvlText w:val="o"/>
      <w:lvlJc w:val="left"/>
      <w:pPr>
        <w:ind w:left="3548" w:hanging="360"/>
      </w:pPr>
      <w:rPr>
        <w:rFonts w:ascii="Courier New" w:hAnsi="Courier New" w:cs="Courier New" w:hint="default"/>
      </w:rPr>
    </w:lvl>
    <w:lvl w:ilvl="5" w:tplc="08090005" w:tentative="1">
      <w:start w:val="1"/>
      <w:numFmt w:val="bullet"/>
      <w:lvlText w:val=""/>
      <w:lvlJc w:val="left"/>
      <w:pPr>
        <w:ind w:left="4268" w:hanging="360"/>
      </w:pPr>
      <w:rPr>
        <w:rFonts w:ascii="Wingdings" w:hAnsi="Wingdings" w:hint="default"/>
      </w:rPr>
    </w:lvl>
    <w:lvl w:ilvl="6" w:tplc="08090001" w:tentative="1">
      <w:start w:val="1"/>
      <w:numFmt w:val="bullet"/>
      <w:lvlText w:val=""/>
      <w:lvlJc w:val="left"/>
      <w:pPr>
        <w:ind w:left="4988" w:hanging="360"/>
      </w:pPr>
      <w:rPr>
        <w:rFonts w:ascii="Symbol" w:hAnsi="Symbol" w:hint="default"/>
      </w:rPr>
    </w:lvl>
    <w:lvl w:ilvl="7" w:tplc="08090003" w:tentative="1">
      <w:start w:val="1"/>
      <w:numFmt w:val="bullet"/>
      <w:lvlText w:val="o"/>
      <w:lvlJc w:val="left"/>
      <w:pPr>
        <w:ind w:left="5708" w:hanging="360"/>
      </w:pPr>
      <w:rPr>
        <w:rFonts w:ascii="Courier New" w:hAnsi="Courier New" w:cs="Courier New" w:hint="default"/>
      </w:rPr>
    </w:lvl>
    <w:lvl w:ilvl="8" w:tplc="08090005" w:tentative="1">
      <w:start w:val="1"/>
      <w:numFmt w:val="bullet"/>
      <w:lvlText w:val=""/>
      <w:lvlJc w:val="left"/>
      <w:pPr>
        <w:ind w:left="6428" w:hanging="360"/>
      </w:pPr>
      <w:rPr>
        <w:rFonts w:ascii="Wingdings" w:hAnsi="Wingdings" w:hint="default"/>
      </w:rPr>
    </w:lvl>
  </w:abstractNum>
  <w:abstractNum w:abstractNumId="31">
    <w:nsid w:val="73CA5FF0"/>
    <w:multiLevelType w:val="hybridMultilevel"/>
    <w:tmpl w:val="A26441CC"/>
    <w:lvl w:ilvl="0" w:tplc="EB34E1B6">
      <w:start w:val="11"/>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37CFF"/>
    <w:multiLevelType w:val="hybridMultilevel"/>
    <w:tmpl w:val="3472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622A7A"/>
    <w:multiLevelType w:val="hybridMultilevel"/>
    <w:tmpl w:val="6FB86DB6"/>
    <w:lvl w:ilvl="0" w:tplc="3B2A1560">
      <w:start w:val="28"/>
      <w:numFmt w:val="bullet"/>
      <w:lvlText w:val="-"/>
      <w:lvlJc w:val="left"/>
      <w:pPr>
        <w:ind w:left="668" w:hanging="360"/>
      </w:pPr>
      <w:rPr>
        <w:rFonts w:ascii="Cambria" w:eastAsiaTheme="minorEastAsia" w:hAnsi="Cambria" w:cstheme="minorBidi" w:hint="default"/>
      </w:rPr>
    </w:lvl>
    <w:lvl w:ilvl="1" w:tplc="08090003" w:tentative="1">
      <w:start w:val="1"/>
      <w:numFmt w:val="bullet"/>
      <w:lvlText w:val="o"/>
      <w:lvlJc w:val="left"/>
      <w:pPr>
        <w:ind w:left="1388" w:hanging="360"/>
      </w:pPr>
      <w:rPr>
        <w:rFonts w:ascii="Courier New" w:hAnsi="Courier New" w:cs="Courier New" w:hint="default"/>
      </w:rPr>
    </w:lvl>
    <w:lvl w:ilvl="2" w:tplc="08090005" w:tentative="1">
      <w:start w:val="1"/>
      <w:numFmt w:val="bullet"/>
      <w:lvlText w:val=""/>
      <w:lvlJc w:val="left"/>
      <w:pPr>
        <w:ind w:left="2108" w:hanging="360"/>
      </w:pPr>
      <w:rPr>
        <w:rFonts w:ascii="Wingdings" w:hAnsi="Wingdings" w:hint="default"/>
      </w:rPr>
    </w:lvl>
    <w:lvl w:ilvl="3" w:tplc="08090001" w:tentative="1">
      <w:start w:val="1"/>
      <w:numFmt w:val="bullet"/>
      <w:lvlText w:val=""/>
      <w:lvlJc w:val="left"/>
      <w:pPr>
        <w:ind w:left="2828" w:hanging="360"/>
      </w:pPr>
      <w:rPr>
        <w:rFonts w:ascii="Symbol" w:hAnsi="Symbol" w:hint="default"/>
      </w:rPr>
    </w:lvl>
    <w:lvl w:ilvl="4" w:tplc="08090003" w:tentative="1">
      <w:start w:val="1"/>
      <w:numFmt w:val="bullet"/>
      <w:lvlText w:val="o"/>
      <w:lvlJc w:val="left"/>
      <w:pPr>
        <w:ind w:left="3548" w:hanging="360"/>
      </w:pPr>
      <w:rPr>
        <w:rFonts w:ascii="Courier New" w:hAnsi="Courier New" w:cs="Courier New" w:hint="default"/>
      </w:rPr>
    </w:lvl>
    <w:lvl w:ilvl="5" w:tplc="08090005" w:tentative="1">
      <w:start w:val="1"/>
      <w:numFmt w:val="bullet"/>
      <w:lvlText w:val=""/>
      <w:lvlJc w:val="left"/>
      <w:pPr>
        <w:ind w:left="4268" w:hanging="360"/>
      </w:pPr>
      <w:rPr>
        <w:rFonts w:ascii="Wingdings" w:hAnsi="Wingdings" w:hint="default"/>
      </w:rPr>
    </w:lvl>
    <w:lvl w:ilvl="6" w:tplc="08090001" w:tentative="1">
      <w:start w:val="1"/>
      <w:numFmt w:val="bullet"/>
      <w:lvlText w:val=""/>
      <w:lvlJc w:val="left"/>
      <w:pPr>
        <w:ind w:left="4988" w:hanging="360"/>
      </w:pPr>
      <w:rPr>
        <w:rFonts w:ascii="Symbol" w:hAnsi="Symbol" w:hint="default"/>
      </w:rPr>
    </w:lvl>
    <w:lvl w:ilvl="7" w:tplc="08090003" w:tentative="1">
      <w:start w:val="1"/>
      <w:numFmt w:val="bullet"/>
      <w:lvlText w:val="o"/>
      <w:lvlJc w:val="left"/>
      <w:pPr>
        <w:ind w:left="5708" w:hanging="360"/>
      </w:pPr>
      <w:rPr>
        <w:rFonts w:ascii="Courier New" w:hAnsi="Courier New" w:cs="Courier New" w:hint="default"/>
      </w:rPr>
    </w:lvl>
    <w:lvl w:ilvl="8" w:tplc="08090005" w:tentative="1">
      <w:start w:val="1"/>
      <w:numFmt w:val="bullet"/>
      <w:lvlText w:val=""/>
      <w:lvlJc w:val="left"/>
      <w:pPr>
        <w:ind w:left="6428" w:hanging="360"/>
      </w:pPr>
      <w:rPr>
        <w:rFonts w:ascii="Wingdings" w:hAnsi="Wingdings" w:hint="default"/>
      </w:rPr>
    </w:lvl>
  </w:abstractNum>
  <w:abstractNum w:abstractNumId="34">
    <w:nsid w:val="7EB37B58"/>
    <w:multiLevelType w:val="hybridMultilevel"/>
    <w:tmpl w:val="2270A42E"/>
    <w:lvl w:ilvl="0" w:tplc="3B2A1560">
      <w:start w:val="28"/>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6"/>
  </w:num>
  <w:num w:numId="4">
    <w:abstractNumId w:val="7"/>
  </w:num>
  <w:num w:numId="5">
    <w:abstractNumId w:val="31"/>
  </w:num>
  <w:num w:numId="6">
    <w:abstractNumId w:val="21"/>
  </w:num>
  <w:num w:numId="7">
    <w:abstractNumId w:val="34"/>
  </w:num>
  <w:num w:numId="8">
    <w:abstractNumId w:val="20"/>
  </w:num>
  <w:num w:numId="9">
    <w:abstractNumId w:val="18"/>
  </w:num>
  <w:num w:numId="10">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5"/>
  </w:num>
  <w:num w:numId="14">
    <w:abstractNumId w:val="17"/>
  </w:num>
  <w:num w:numId="15">
    <w:abstractNumId w:val="25"/>
  </w:num>
  <w:num w:numId="16">
    <w:abstractNumId w:val="8"/>
  </w:num>
  <w:num w:numId="17">
    <w:abstractNumId w:val="0"/>
  </w:num>
  <w:num w:numId="18">
    <w:abstractNumId w:val="13"/>
  </w:num>
  <w:num w:numId="19">
    <w:abstractNumId w:val="30"/>
  </w:num>
  <w:num w:numId="20">
    <w:abstractNumId w:val="33"/>
  </w:num>
  <w:num w:numId="21">
    <w:abstractNumId w:val="24"/>
  </w:num>
  <w:num w:numId="22">
    <w:abstractNumId w:val="27"/>
  </w:num>
  <w:num w:numId="23">
    <w:abstractNumId w:val="19"/>
  </w:num>
  <w:num w:numId="24">
    <w:abstractNumId w:val="12"/>
  </w:num>
  <w:num w:numId="25">
    <w:abstractNumId w:val="1"/>
  </w:num>
  <w:num w:numId="26">
    <w:abstractNumId w:val="4"/>
  </w:num>
  <w:num w:numId="27">
    <w:abstractNumId w:val="29"/>
  </w:num>
  <w:num w:numId="28">
    <w:abstractNumId w:val="32"/>
  </w:num>
  <w:num w:numId="29">
    <w:abstractNumId w:val="10"/>
  </w:num>
  <w:num w:numId="30">
    <w:abstractNumId w:val="2"/>
  </w:num>
  <w:num w:numId="31">
    <w:abstractNumId w:val="14"/>
  </w:num>
  <w:num w:numId="32">
    <w:abstractNumId w:val="6"/>
  </w:num>
  <w:num w:numId="33">
    <w:abstractNumId w:val="3"/>
  </w:num>
  <w:num w:numId="34">
    <w:abstractNumId w:val="22"/>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B6"/>
    <w:rsid w:val="00003109"/>
    <w:rsid w:val="00003C3E"/>
    <w:rsid w:val="00003FA6"/>
    <w:rsid w:val="00004367"/>
    <w:rsid w:val="00004686"/>
    <w:rsid w:val="00005102"/>
    <w:rsid w:val="00010A13"/>
    <w:rsid w:val="00012CB4"/>
    <w:rsid w:val="00014260"/>
    <w:rsid w:val="00016185"/>
    <w:rsid w:val="000166B6"/>
    <w:rsid w:val="00016CBA"/>
    <w:rsid w:val="000177AB"/>
    <w:rsid w:val="0002406E"/>
    <w:rsid w:val="000340C9"/>
    <w:rsid w:val="000346A1"/>
    <w:rsid w:val="00041181"/>
    <w:rsid w:val="000452BE"/>
    <w:rsid w:val="000471EE"/>
    <w:rsid w:val="00047A7A"/>
    <w:rsid w:val="00051059"/>
    <w:rsid w:val="00051CBB"/>
    <w:rsid w:val="000530BA"/>
    <w:rsid w:val="00054D83"/>
    <w:rsid w:val="00057CFB"/>
    <w:rsid w:val="0006162E"/>
    <w:rsid w:val="00061B9D"/>
    <w:rsid w:val="00063098"/>
    <w:rsid w:val="00063602"/>
    <w:rsid w:val="000642C2"/>
    <w:rsid w:val="00064B91"/>
    <w:rsid w:val="00064C45"/>
    <w:rsid w:val="000655FE"/>
    <w:rsid w:val="00066D0C"/>
    <w:rsid w:val="00066F23"/>
    <w:rsid w:val="000675FF"/>
    <w:rsid w:val="00070DF4"/>
    <w:rsid w:val="00072954"/>
    <w:rsid w:val="00073630"/>
    <w:rsid w:val="000746ED"/>
    <w:rsid w:val="00076631"/>
    <w:rsid w:val="00081479"/>
    <w:rsid w:val="000825B9"/>
    <w:rsid w:val="00086212"/>
    <w:rsid w:val="00086EB7"/>
    <w:rsid w:val="000871B8"/>
    <w:rsid w:val="00091250"/>
    <w:rsid w:val="000A05BD"/>
    <w:rsid w:val="000A1517"/>
    <w:rsid w:val="000A247E"/>
    <w:rsid w:val="000A381A"/>
    <w:rsid w:val="000A3A6B"/>
    <w:rsid w:val="000A7011"/>
    <w:rsid w:val="000B0723"/>
    <w:rsid w:val="000B19A7"/>
    <w:rsid w:val="000B38FA"/>
    <w:rsid w:val="000C01F3"/>
    <w:rsid w:val="000C0EC1"/>
    <w:rsid w:val="000C1FC7"/>
    <w:rsid w:val="000C2284"/>
    <w:rsid w:val="000C286C"/>
    <w:rsid w:val="000C6270"/>
    <w:rsid w:val="000C68DD"/>
    <w:rsid w:val="000C6BDE"/>
    <w:rsid w:val="000D525A"/>
    <w:rsid w:val="000D7A93"/>
    <w:rsid w:val="000E0E8D"/>
    <w:rsid w:val="000E12EA"/>
    <w:rsid w:val="000E1420"/>
    <w:rsid w:val="000E20DD"/>
    <w:rsid w:val="000E250C"/>
    <w:rsid w:val="000E2E8D"/>
    <w:rsid w:val="000E3208"/>
    <w:rsid w:val="000E53C0"/>
    <w:rsid w:val="000E58C2"/>
    <w:rsid w:val="000E6DD2"/>
    <w:rsid w:val="000E7554"/>
    <w:rsid w:val="000E7974"/>
    <w:rsid w:val="000F1C9F"/>
    <w:rsid w:val="000F232E"/>
    <w:rsid w:val="000F3212"/>
    <w:rsid w:val="000F382F"/>
    <w:rsid w:val="000F4E06"/>
    <w:rsid w:val="00100504"/>
    <w:rsid w:val="00101D89"/>
    <w:rsid w:val="00101DDA"/>
    <w:rsid w:val="001034FC"/>
    <w:rsid w:val="00106931"/>
    <w:rsid w:val="001102C9"/>
    <w:rsid w:val="00110A53"/>
    <w:rsid w:val="00110DAA"/>
    <w:rsid w:val="001135D6"/>
    <w:rsid w:val="0011360B"/>
    <w:rsid w:val="00113C40"/>
    <w:rsid w:val="0011438C"/>
    <w:rsid w:val="00115BE7"/>
    <w:rsid w:val="001166FB"/>
    <w:rsid w:val="00117E70"/>
    <w:rsid w:val="00124048"/>
    <w:rsid w:val="00125B97"/>
    <w:rsid w:val="00126453"/>
    <w:rsid w:val="0013179F"/>
    <w:rsid w:val="00132BE7"/>
    <w:rsid w:val="001357DD"/>
    <w:rsid w:val="00135BC7"/>
    <w:rsid w:val="00136373"/>
    <w:rsid w:val="00140630"/>
    <w:rsid w:val="00143802"/>
    <w:rsid w:val="00145704"/>
    <w:rsid w:val="001512CA"/>
    <w:rsid w:val="001524AB"/>
    <w:rsid w:val="00157E6B"/>
    <w:rsid w:val="0016175D"/>
    <w:rsid w:val="0016256A"/>
    <w:rsid w:val="001632A4"/>
    <w:rsid w:val="00170ACD"/>
    <w:rsid w:val="00176E81"/>
    <w:rsid w:val="0018004A"/>
    <w:rsid w:val="0018182D"/>
    <w:rsid w:val="00181AC5"/>
    <w:rsid w:val="00182D47"/>
    <w:rsid w:val="00184CF6"/>
    <w:rsid w:val="001850AD"/>
    <w:rsid w:val="00186FBC"/>
    <w:rsid w:val="00190D41"/>
    <w:rsid w:val="00190D83"/>
    <w:rsid w:val="00192621"/>
    <w:rsid w:val="00194BBE"/>
    <w:rsid w:val="001953F3"/>
    <w:rsid w:val="00196A0D"/>
    <w:rsid w:val="001A05CF"/>
    <w:rsid w:val="001A0D18"/>
    <w:rsid w:val="001A5A62"/>
    <w:rsid w:val="001A7AE8"/>
    <w:rsid w:val="001B1B0D"/>
    <w:rsid w:val="001B3C33"/>
    <w:rsid w:val="001B497F"/>
    <w:rsid w:val="001B5441"/>
    <w:rsid w:val="001B5A09"/>
    <w:rsid w:val="001C0487"/>
    <w:rsid w:val="001C2378"/>
    <w:rsid w:val="001C65A3"/>
    <w:rsid w:val="001C6EFF"/>
    <w:rsid w:val="001D027F"/>
    <w:rsid w:val="001D3BBB"/>
    <w:rsid w:val="001D5627"/>
    <w:rsid w:val="001D5BB0"/>
    <w:rsid w:val="001D5FFE"/>
    <w:rsid w:val="001D67A9"/>
    <w:rsid w:val="001E0A7B"/>
    <w:rsid w:val="001E35B8"/>
    <w:rsid w:val="001E6EA7"/>
    <w:rsid w:val="001F1916"/>
    <w:rsid w:val="001F2240"/>
    <w:rsid w:val="001F37DA"/>
    <w:rsid w:val="001F477C"/>
    <w:rsid w:val="001F4ADC"/>
    <w:rsid w:val="001F4E01"/>
    <w:rsid w:val="001F50C3"/>
    <w:rsid w:val="001F70BA"/>
    <w:rsid w:val="001F78DE"/>
    <w:rsid w:val="00200C55"/>
    <w:rsid w:val="00201B7A"/>
    <w:rsid w:val="0020337E"/>
    <w:rsid w:val="00204A62"/>
    <w:rsid w:val="00204A83"/>
    <w:rsid w:val="00205DF2"/>
    <w:rsid w:val="002073C9"/>
    <w:rsid w:val="00211307"/>
    <w:rsid w:val="002129E9"/>
    <w:rsid w:val="0021363E"/>
    <w:rsid w:val="002137B0"/>
    <w:rsid w:val="00214970"/>
    <w:rsid w:val="00215240"/>
    <w:rsid w:val="00216F32"/>
    <w:rsid w:val="00220F50"/>
    <w:rsid w:val="00224A54"/>
    <w:rsid w:val="0022547A"/>
    <w:rsid w:val="002257E3"/>
    <w:rsid w:val="0022588A"/>
    <w:rsid w:val="00226789"/>
    <w:rsid w:val="0023473F"/>
    <w:rsid w:val="00234B89"/>
    <w:rsid w:val="00235B4C"/>
    <w:rsid w:val="00235F1E"/>
    <w:rsid w:val="00236238"/>
    <w:rsid w:val="002371FB"/>
    <w:rsid w:val="00237953"/>
    <w:rsid w:val="00237BA5"/>
    <w:rsid w:val="00241DC0"/>
    <w:rsid w:val="0025049C"/>
    <w:rsid w:val="002512CE"/>
    <w:rsid w:val="00260679"/>
    <w:rsid w:val="00262F2B"/>
    <w:rsid w:val="002663DD"/>
    <w:rsid w:val="00270034"/>
    <w:rsid w:val="002715B8"/>
    <w:rsid w:val="002778D2"/>
    <w:rsid w:val="00277ADF"/>
    <w:rsid w:val="00281048"/>
    <w:rsid w:val="00281C81"/>
    <w:rsid w:val="00284630"/>
    <w:rsid w:val="0028496B"/>
    <w:rsid w:val="00284D12"/>
    <w:rsid w:val="00287BA0"/>
    <w:rsid w:val="00292089"/>
    <w:rsid w:val="002965AC"/>
    <w:rsid w:val="00296F7E"/>
    <w:rsid w:val="002973B0"/>
    <w:rsid w:val="002A0432"/>
    <w:rsid w:val="002A1709"/>
    <w:rsid w:val="002A22A1"/>
    <w:rsid w:val="002A27DF"/>
    <w:rsid w:val="002A29BD"/>
    <w:rsid w:val="002A2E78"/>
    <w:rsid w:val="002A3FB4"/>
    <w:rsid w:val="002A7F5A"/>
    <w:rsid w:val="002B0105"/>
    <w:rsid w:val="002B5F28"/>
    <w:rsid w:val="002C1F5D"/>
    <w:rsid w:val="002C22B6"/>
    <w:rsid w:val="002C2B0A"/>
    <w:rsid w:val="002C467F"/>
    <w:rsid w:val="002C5FC8"/>
    <w:rsid w:val="002C7518"/>
    <w:rsid w:val="002C7DF0"/>
    <w:rsid w:val="002D0AEC"/>
    <w:rsid w:val="002D0C78"/>
    <w:rsid w:val="002D144D"/>
    <w:rsid w:val="002D23F0"/>
    <w:rsid w:val="002D59F8"/>
    <w:rsid w:val="002D732A"/>
    <w:rsid w:val="002E2AA8"/>
    <w:rsid w:val="002E3FD4"/>
    <w:rsid w:val="002E4331"/>
    <w:rsid w:val="002E46AD"/>
    <w:rsid w:val="002E5FB3"/>
    <w:rsid w:val="002E6236"/>
    <w:rsid w:val="002F27AE"/>
    <w:rsid w:val="002F2BBA"/>
    <w:rsid w:val="002F3A27"/>
    <w:rsid w:val="002F3E34"/>
    <w:rsid w:val="002F76E8"/>
    <w:rsid w:val="002F7A2C"/>
    <w:rsid w:val="002F7C0B"/>
    <w:rsid w:val="002F7E20"/>
    <w:rsid w:val="00301854"/>
    <w:rsid w:val="00304269"/>
    <w:rsid w:val="00305CCE"/>
    <w:rsid w:val="00311987"/>
    <w:rsid w:val="00312CD1"/>
    <w:rsid w:val="00313945"/>
    <w:rsid w:val="00314D33"/>
    <w:rsid w:val="00315137"/>
    <w:rsid w:val="0032039E"/>
    <w:rsid w:val="003213E5"/>
    <w:rsid w:val="0032162A"/>
    <w:rsid w:val="003217EE"/>
    <w:rsid w:val="00324128"/>
    <w:rsid w:val="00324C79"/>
    <w:rsid w:val="003255D7"/>
    <w:rsid w:val="0032592D"/>
    <w:rsid w:val="00326509"/>
    <w:rsid w:val="00330363"/>
    <w:rsid w:val="00330E66"/>
    <w:rsid w:val="00331EB4"/>
    <w:rsid w:val="003347FE"/>
    <w:rsid w:val="00336524"/>
    <w:rsid w:val="00340658"/>
    <w:rsid w:val="00340AE4"/>
    <w:rsid w:val="003422F2"/>
    <w:rsid w:val="00342B5A"/>
    <w:rsid w:val="003440C0"/>
    <w:rsid w:val="00344D2E"/>
    <w:rsid w:val="00346BDF"/>
    <w:rsid w:val="00351024"/>
    <w:rsid w:val="0035265B"/>
    <w:rsid w:val="0035303D"/>
    <w:rsid w:val="00354313"/>
    <w:rsid w:val="00356339"/>
    <w:rsid w:val="003600B2"/>
    <w:rsid w:val="00361DEC"/>
    <w:rsid w:val="00363717"/>
    <w:rsid w:val="003641F2"/>
    <w:rsid w:val="00365D0B"/>
    <w:rsid w:val="00367A0C"/>
    <w:rsid w:val="0037031C"/>
    <w:rsid w:val="00372005"/>
    <w:rsid w:val="00372E28"/>
    <w:rsid w:val="00375A50"/>
    <w:rsid w:val="00377338"/>
    <w:rsid w:val="00377CBC"/>
    <w:rsid w:val="00382B6F"/>
    <w:rsid w:val="00383CE8"/>
    <w:rsid w:val="00384450"/>
    <w:rsid w:val="0038664B"/>
    <w:rsid w:val="003901A7"/>
    <w:rsid w:val="0039298A"/>
    <w:rsid w:val="00393A66"/>
    <w:rsid w:val="00393B9A"/>
    <w:rsid w:val="00395830"/>
    <w:rsid w:val="00396900"/>
    <w:rsid w:val="003A1CAF"/>
    <w:rsid w:val="003A648E"/>
    <w:rsid w:val="003A6D32"/>
    <w:rsid w:val="003B5134"/>
    <w:rsid w:val="003B5B01"/>
    <w:rsid w:val="003B7148"/>
    <w:rsid w:val="003C05F8"/>
    <w:rsid w:val="003C0993"/>
    <w:rsid w:val="003C09EA"/>
    <w:rsid w:val="003C62E7"/>
    <w:rsid w:val="003C790E"/>
    <w:rsid w:val="003D4284"/>
    <w:rsid w:val="003D6932"/>
    <w:rsid w:val="003E0438"/>
    <w:rsid w:val="003E0EFD"/>
    <w:rsid w:val="003E19CD"/>
    <w:rsid w:val="003E45C4"/>
    <w:rsid w:val="003E5D4F"/>
    <w:rsid w:val="003F2B2A"/>
    <w:rsid w:val="003F2BCB"/>
    <w:rsid w:val="003F3837"/>
    <w:rsid w:val="003F3BBA"/>
    <w:rsid w:val="003F487F"/>
    <w:rsid w:val="003F5BDD"/>
    <w:rsid w:val="003F7888"/>
    <w:rsid w:val="003F7CB6"/>
    <w:rsid w:val="0040063E"/>
    <w:rsid w:val="00404047"/>
    <w:rsid w:val="004040C1"/>
    <w:rsid w:val="00405F49"/>
    <w:rsid w:val="00406A45"/>
    <w:rsid w:val="00407225"/>
    <w:rsid w:val="004122F7"/>
    <w:rsid w:val="004127C9"/>
    <w:rsid w:val="0041349D"/>
    <w:rsid w:val="00414ACC"/>
    <w:rsid w:val="004162F8"/>
    <w:rsid w:val="004241AC"/>
    <w:rsid w:val="00424BAF"/>
    <w:rsid w:val="00425325"/>
    <w:rsid w:val="004253DE"/>
    <w:rsid w:val="0043087B"/>
    <w:rsid w:val="004315E0"/>
    <w:rsid w:val="00432C58"/>
    <w:rsid w:val="00435193"/>
    <w:rsid w:val="00436448"/>
    <w:rsid w:val="004375AD"/>
    <w:rsid w:val="00440324"/>
    <w:rsid w:val="004436D1"/>
    <w:rsid w:val="00443ED3"/>
    <w:rsid w:val="0044621A"/>
    <w:rsid w:val="00446BB1"/>
    <w:rsid w:val="00446C7F"/>
    <w:rsid w:val="004517EC"/>
    <w:rsid w:val="00451DAC"/>
    <w:rsid w:val="004520A7"/>
    <w:rsid w:val="004543AA"/>
    <w:rsid w:val="00456A55"/>
    <w:rsid w:val="00456C1C"/>
    <w:rsid w:val="004571F3"/>
    <w:rsid w:val="004575D3"/>
    <w:rsid w:val="004607EB"/>
    <w:rsid w:val="0046123A"/>
    <w:rsid w:val="0047688F"/>
    <w:rsid w:val="00480C0E"/>
    <w:rsid w:val="004845F4"/>
    <w:rsid w:val="004878BF"/>
    <w:rsid w:val="004919EA"/>
    <w:rsid w:val="00497F2E"/>
    <w:rsid w:val="004A1642"/>
    <w:rsid w:val="004A190F"/>
    <w:rsid w:val="004A28AB"/>
    <w:rsid w:val="004A496C"/>
    <w:rsid w:val="004A5591"/>
    <w:rsid w:val="004B0717"/>
    <w:rsid w:val="004B1FEA"/>
    <w:rsid w:val="004B2AC4"/>
    <w:rsid w:val="004B3B46"/>
    <w:rsid w:val="004B5910"/>
    <w:rsid w:val="004B6295"/>
    <w:rsid w:val="004B6DFE"/>
    <w:rsid w:val="004C0EAC"/>
    <w:rsid w:val="004C29D0"/>
    <w:rsid w:val="004C7C9C"/>
    <w:rsid w:val="004D336F"/>
    <w:rsid w:val="004D3D9E"/>
    <w:rsid w:val="004D4D55"/>
    <w:rsid w:val="004D62FF"/>
    <w:rsid w:val="004D69F9"/>
    <w:rsid w:val="004D7E53"/>
    <w:rsid w:val="004E0E0B"/>
    <w:rsid w:val="004E421F"/>
    <w:rsid w:val="004F00CE"/>
    <w:rsid w:val="004F02C3"/>
    <w:rsid w:val="004F20B9"/>
    <w:rsid w:val="004F222F"/>
    <w:rsid w:val="004F29A8"/>
    <w:rsid w:val="004F306F"/>
    <w:rsid w:val="004F3F7E"/>
    <w:rsid w:val="005007C7"/>
    <w:rsid w:val="005050BD"/>
    <w:rsid w:val="005054B9"/>
    <w:rsid w:val="00510D96"/>
    <w:rsid w:val="005119AC"/>
    <w:rsid w:val="00516E70"/>
    <w:rsid w:val="00520339"/>
    <w:rsid w:val="00520830"/>
    <w:rsid w:val="00520990"/>
    <w:rsid w:val="00521BE5"/>
    <w:rsid w:val="00526014"/>
    <w:rsid w:val="00534334"/>
    <w:rsid w:val="0053511B"/>
    <w:rsid w:val="00537088"/>
    <w:rsid w:val="005415D4"/>
    <w:rsid w:val="00544FEB"/>
    <w:rsid w:val="00556C9E"/>
    <w:rsid w:val="00557FDD"/>
    <w:rsid w:val="00560074"/>
    <w:rsid w:val="00563D73"/>
    <w:rsid w:val="00563D7E"/>
    <w:rsid w:val="00565092"/>
    <w:rsid w:val="00567A42"/>
    <w:rsid w:val="00573050"/>
    <w:rsid w:val="005759CB"/>
    <w:rsid w:val="00575DE8"/>
    <w:rsid w:val="005768FD"/>
    <w:rsid w:val="00580987"/>
    <w:rsid w:val="00582C55"/>
    <w:rsid w:val="00583167"/>
    <w:rsid w:val="005870FF"/>
    <w:rsid w:val="00591DF2"/>
    <w:rsid w:val="00593CED"/>
    <w:rsid w:val="00594974"/>
    <w:rsid w:val="00596BB3"/>
    <w:rsid w:val="00596D6C"/>
    <w:rsid w:val="005972F6"/>
    <w:rsid w:val="005A1B5B"/>
    <w:rsid w:val="005A1BB4"/>
    <w:rsid w:val="005A2186"/>
    <w:rsid w:val="005A2336"/>
    <w:rsid w:val="005B3465"/>
    <w:rsid w:val="005B4628"/>
    <w:rsid w:val="005B47F4"/>
    <w:rsid w:val="005B4825"/>
    <w:rsid w:val="005B4B4B"/>
    <w:rsid w:val="005B57B1"/>
    <w:rsid w:val="005B6C73"/>
    <w:rsid w:val="005B6E5D"/>
    <w:rsid w:val="005B6F88"/>
    <w:rsid w:val="005B7044"/>
    <w:rsid w:val="005C7645"/>
    <w:rsid w:val="005D0EA3"/>
    <w:rsid w:val="005D1DEC"/>
    <w:rsid w:val="005D363F"/>
    <w:rsid w:val="005D3F21"/>
    <w:rsid w:val="005D64AD"/>
    <w:rsid w:val="005E0379"/>
    <w:rsid w:val="005E512B"/>
    <w:rsid w:val="005E7401"/>
    <w:rsid w:val="005E799E"/>
    <w:rsid w:val="005F110C"/>
    <w:rsid w:val="005F1CD7"/>
    <w:rsid w:val="005F39AA"/>
    <w:rsid w:val="005F3AB7"/>
    <w:rsid w:val="005F3E7C"/>
    <w:rsid w:val="005F6C19"/>
    <w:rsid w:val="005F7803"/>
    <w:rsid w:val="0060093B"/>
    <w:rsid w:val="00601AF4"/>
    <w:rsid w:val="006053AF"/>
    <w:rsid w:val="0060574B"/>
    <w:rsid w:val="006057D9"/>
    <w:rsid w:val="0061216C"/>
    <w:rsid w:val="00612260"/>
    <w:rsid w:val="00612E78"/>
    <w:rsid w:val="0061353F"/>
    <w:rsid w:val="00613F8A"/>
    <w:rsid w:val="00614BC9"/>
    <w:rsid w:val="00620C03"/>
    <w:rsid w:val="00623038"/>
    <w:rsid w:val="006251D1"/>
    <w:rsid w:val="006253F3"/>
    <w:rsid w:val="00630F14"/>
    <w:rsid w:val="0063114C"/>
    <w:rsid w:val="006338F6"/>
    <w:rsid w:val="00633AF4"/>
    <w:rsid w:val="00634DAC"/>
    <w:rsid w:val="0063597A"/>
    <w:rsid w:val="006371A7"/>
    <w:rsid w:val="00637A5F"/>
    <w:rsid w:val="006411DF"/>
    <w:rsid w:val="006425F5"/>
    <w:rsid w:val="0064593B"/>
    <w:rsid w:val="006471D8"/>
    <w:rsid w:val="00651654"/>
    <w:rsid w:val="006516C8"/>
    <w:rsid w:val="00652404"/>
    <w:rsid w:val="00653B9D"/>
    <w:rsid w:val="0065407A"/>
    <w:rsid w:val="006556CA"/>
    <w:rsid w:val="00656CB6"/>
    <w:rsid w:val="00656F57"/>
    <w:rsid w:val="00657DBE"/>
    <w:rsid w:val="0066138A"/>
    <w:rsid w:val="00662E93"/>
    <w:rsid w:val="006643AB"/>
    <w:rsid w:val="0066733E"/>
    <w:rsid w:val="00673458"/>
    <w:rsid w:val="00675267"/>
    <w:rsid w:val="006804E1"/>
    <w:rsid w:val="00680837"/>
    <w:rsid w:val="00686AE0"/>
    <w:rsid w:val="00691A7E"/>
    <w:rsid w:val="0069382F"/>
    <w:rsid w:val="00693F59"/>
    <w:rsid w:val="006942BB"/>
    <w:rsid w:val="00694504"/>
    <w:rsid w:val="00694AF5"/>
    <w:rsid w:val="00694DCC"/>
    <w:rsid w:val="006A035B"/>
    <w:rsid w:val="006A4884"/>
    <w:rsid w:val="006A5A82"/>
    <w:rsid w:val="006A5E1F"/>
    <w:rsid w:val="006A7A5D"/>
    <w:rsid w:val="006B1E01"/>
    <w:rsid w:val="006B20FC"/>
    <w:rsid w:val="006B32EB"/>
    <w:rsid w:val="006B62BA"/>
    <w:rsid w:val="006B7D21"/>
    <w:rsid w:val="006C0C89"/>
    <w:rsid w:val="006C1D24"/>
    <w:rsid w:val="006C228D"/>
    <w:rsid w:val="006C31B4"/>
    <w:rsid w:val="006C3A57"/>
    <w:rsid w:val="006D0EEC"/>
    <w:rsid w:val="006D1296"/>
    <w:rsid w:val="006D15DA"/>
    <w:rsid w:val="006D2F60"/>
    <w:rsid w:val="006D527C"/>
    <w:rsid w:val="006D772E"/>
    <w:rsid w:val="006E179D"/>
    <w:rsid w:val="006E1F76"/>
    <w:rsid w:val="006E44A8"/>
    <w:rsid w:val="006E4765"/>
    <w:rsid w:val="006F1911"/>
    <w:rsid w:val="006F1D94"/>
    <w:rsid w:val="006F47C6"/>
    <w:rsid w:val="006F4FA3"/>
    <w:rsid w:val="006F53CD"/>
    <w:rsid w:val="00701029"/>
    <w:rsid w:val="0070484E"/>
    <w:rsid w:val="00704B4E"/>
    <w:rsid w:val="007072BA"/>
    <w:rsid w:val="007073A2"/>
    <w:rsid w:val="007114CC"/>
    <w:rsid w:val="00713D88"/>
    <w:rsid w:val="0071451F"/>
    <w:rsid w:val="00715FF4"/>
    <w:rsid w:val="00716A7D"/>
    <w:rsid w:val="00722669"/>
    <w:rsid w:val="0072491F"/>
    <w:rsid w:val="00724AE4"/>
    <w:rsid w:val="007251BE"/>
    <w:rsid w:val="00727544"/>
    <w:rsid w:val="00727FF9"/>
    <w:rsid w:val="007315ED"/>
    <w:rsid w:val="00732D4C"/>
    <w:rsid w:val="00733267"/>
    <w:rsid w:val="00734D2E"/>
    <w:rsid w:val="007374DA"/>
    <w:rsid w:val="00737EBC"/>
    <w:rsid w:val="00741F7E"/>
    <w:rsid w:val="00744609"/>
    <w:rsid w:val="00747A28"/>
    <w:rsid w:val="007550F9"/>
    <w:rsid w:val="00755796"/>
    <w:rsid w:val="00755CAA"/>
    <w:rsid w:val="00756A89"/>
    <w:rsid w:val="00757745"/>
    <w:rsid w:val="007605C2"/>
    <w:rsid w:val="0076133C"/>
    <w:rsid w:val="00761856"/>
    <w:rsid w:val="00761A92"/>
    <w:rsid w:val="00762303"/>
    <w:rsid w:val="0076246D"/>
    <w:rsid w:val="00762677"/>
    <w:rsid w:val="00762D4B"/>
    <w:rsid w:val="00762DA4"/>
    <w:rsid w:val="0076377C"/>
    <w:rsid w:val="00763C44"/>
    <w:rsid w:val="00764670"/>
    <w:rsid w:val="00765637"/>
    <w:rsid w:val="0076709C"/>
    <w:rsid w:val="007722C6"/>
    <w:rsid w:val="00772DBD"/>
    <w:rsid w:val="00772F22"/>
    <w:rsid w:val="0077557C"/>
    <w:rsid w:val="007759AC"/>
    <w:rsid w:val="007767C0"/>
    <w:rsid w:val="00777DC7"/>
    <w:rsid w:val="00777F26"/>
    <w:rsid w:val="0078006A"/>
    <w:rsid w:val="0078023B"/>
    <w:rsid w:val="00782431"/>
    <w:rsid w:val="0078413E"/>
    <w:rsid w:val="00784895"/>
    <w:rsid w:val="00786AF5"/>
    <w:rsid w:val="0078735F"/>
    <w:rsid w:val="00790885"/>
    <w:rsid w:val="00791995"/>
    <w:rsid w:val="007946F8"/>
    <w:rsid w:val="00795345"/>
    <w:rsid w:val="007A26DB"/>
    <w:rsid w:val="007A4309"/>
    <w:rsid w:val="007A51D0"/>
    <w:rsid w:val="007A619A"/>
    <w:rsid w:val="007B04CE"/>
    <w:rsid w:val="007B1F09"/>
    <w:rsid w:val="007B374A"/>
    <w:rsid w:val="007B3F2B"/>
    <w:rsid w:val="007B45FC"/>
    <w:rsid w:val="007B4F63"/>
    <w:rsid w:val="007B5500"/>
    <w:rsid w:val="007B7068"/>
    <w:rsid w:val="007C015E"/>
    <w:rsid w:val="007C2E68"/>
    <w:rsid w:val="007C352D"/>
    <w:rsid w:val="007C3DE4"/>
    <w:rsid w:val="007C62F8"/>
    <w:rsid w:val="007D1F9D"/>
    <w:rsid w:val="007D3EB2"/>
    <w:rsid w:val="007D5C68"/>
    <w:rsid w:val="007E3AA2"/>
    <w:rsid w:val="007E3F8D"/>
    <w:rsid w:val="007E450E"/>
    <w:rsid w:val="007E7A3A"/>
    <w:rsid w:val="007F1042"/>
    <w:rsid w:val="007F7FBA"/>
    <w:rsid w:val="00800417"/>
    <w:rsid w:val="00800826"/>
    <w:rsid w:val="008014DE"/>
    <w:rsid w:val="008016D1"/>
    <w:rsid w:val="008030DE"/>
    <w:rsid w:val="008038BD"/>
    <w:rsid w:val="00804924"/>
    <w:rsid w:val="00804F89"/>
    <w:rsid w:val="00805345"/>
    <w:rsid w:val="00805A51"/>
    <w:rsid w:val="00810438"/>
    <w:rsid w:val="0081131B"/>
    <w:rsid w:val="008116D0"/>
    <w:rsid w:val="00811E33"/>
    <w:rsid w:val="00812797"/>
    <w:rsid w:val="00817AA4"/>
    <w:rsid w:val="0082317E"/>
    <w:rsid w:val="00823205"/>
    <w:rsid w:val="00823ACC"/>
    <w:rsid w:val="0082451C"/>
    <w:rsid w:val="00824830"/>
    <w:rsid w:val="00825817"/>
    <w:rsid w:val="00826AFE"/>
    <w:rsid w:val="00827BF9"/>
    <w:rsid w:val="008344A9"/>
    <w:rsid w:val="0083506E"/>
    <w:rsid w:val="00836FD3"/>
    <w:rsid w:val="008378AA"/>
    <w:rsid w:val="00837ABB"/>
    <w:rsid w:val="00842AC8"/>
    <w:rsid w:val="00844E4A"/>
    <w:rsid w:val="0084795C"/>
    <w:rsid w:val="00850855"/>
    <w:rsid w:val="00852970"/>
    <w:rsid w:val="008530C6"/>
    <w:rsid w:val="00854CDC"/>
    <w:rsid w:val="008560B2"/>
    <w:rsid w:val="008607A9"/>
    <w:rsid w:val="00862233"/>
    <w:rsid w:val="00863399"/>
    <w:rsid w:val="0086550F"/>
    <w:rsid w:val="00866921"/>
    <w:rsid w:val="00867194"/>
    <w:rsid w:val="008704CA"/>
    <w:rsid w:val="00871844"/>
    <w:rsid w:val="00871B73"/>
    <w:rsid w:val="0087625F"/>
    <w:rsid w:val="00876FA5"/>
    <w:rsid w:val="0088004F"/>
    <w:rsid w:val="00880DA7"/>
    <w:rsid w:val="00883447"/>
    <w:rsid w:val="00883F1D"/>
    <w:rsid w:val="00884DDC"/>
    <w:rsid w:val="0088717A"/>
    <w:rsid w:val="0089002D"/>
    <w:rsid w:val="008908A9"/>
    <w:rsid w:val="00893DF6"/>
    <w:rsid w:val="00895463"/>
    <w:rsid w:val="0089721E"/>
    <w:rsid w:val="008A0451"/>
    <w:rsid w:val="008A0892"/>
    <w:rsid w:val="008A1AC3"/>
    <w:rsid w:val="008A25AE"/>
    <w:rsid w:val="008A2C80"/>
    <w:rsid w:val="008A526F"/>
    <w:rsid w:val="008A558F"/>
    <w:rsid w:val="008A5F33"/>
    <w:rsid w:val="008A666D"/>
    <w:rsid w:val="008A7D0A"/>
    <w:rsid w:val="008B0DB8"/>
    <w:rsid w:val="008B12DE"/>
    <w:rsid w:val="008B3081"/>
    <w:rsid w:val="008B4510"/>
    <w:rsid w:val="008B668E"/>
    <w:rsid w:val="008B6BB9"/>
    <w:rsid w:val="008C0515"/>
    <w:rsid w:val="008C3A9F"/>
    <w:rsid w:val="008D64BE"/>
    <w:rsid w:val="008E11EF"/>
    <w:rsid w:val="008E4053"/>
    <w:rsid w:val="008E5003"/>
    <w:rsid w:val="008E6645"/>
    <w:rsid w:val="008F0F4E"/>
    <w:rsid w:val="008F1523"/>
    <w:rsid w:val="008F16D1"/>
    <w:rsid w:val="008F3212"/>
    <w:rsid w:val="008F4D60"/>
    <w:rsid w:val="008F69D3"/>
    <w:rsid w:val="0090505C"/>
    <w:rsid w:val="00905436"/>
    <w:rsid w:val="00910D55"/>
    <w:rsid w:val="0091210C"/>
    <w:rsid w:val="0091297C"/>
    <w:rsid w:val="00912DBA"/>
    <w:rsid w:val="0091357C"/>
    <w:rsid w:val="00913A41"/>
    <w:rsid w:val="00917538"/>
    <w:rsid w:val="00917D8A"/>
    <w:rsid w:val="00922D4E"/>
    <w:rsid w:val="0092387B"/>
    <w:rsid w:val="0092463D"/>
    <w:rsid w:val="0092514E"/>
    <w:rsid w:val="0092596E"/>
    <w:rsid w:val="0092720F"/>
    <w:rsid w:val="009302C6"/>
    <w:rsid w:val="00930BF8"/>
    <w:rsid w:val="00934222"/>
    <w:rsid w:val="009369CA"/>
    <w:rsid w:val="009373FE"/>
    <w:rsid w:val="00937FF5"/>
    <w:rsid w:val="00940C45"/>
    <w:rsid w:val="0094166C"/>
    <w:rsid w:val="009418FA"/>
    <w:rsid w:val="00942395"/>
    <w:rsid w:val="00944D7F"/>
    <w:rsid w:val="00946831"/>
    <w:rsid w:val="00950423"/>
    <w:rsid w:val="009563F5"/>
    <w:rsid w:val="00957375"/>
    <w:rsid w:val="00960381"/>
    <w:rsid w:val="0096403A"/>
    <w:rsid w:val="00964105"/>
    <w:rsid w:val="00964456"/>
    <w:rsid w:val="00964968"/>
    <w:rsid w:val="00964B4F"/>
    <w:rsid w:val="0096535C"/>
    <w:rsid w:val="00965449"/>
    <w:rsid w:val="0096546E"/>
    <w:rsid w:val="009660EF"/>
    <w:rsid w:val="0096629A"/>
    <w:rsid w:val="00966B4B"/>
    <w:rsid w:val="009700D9"/>
    <w:rsid w:val="0097102E"/>
    <w:rsid w:val="009722ED"/>
    <w:rsid w:val="00973B00"/>
    <w:rsid w:val="00974717"/>
    <w:rsid w:val="00974881"/>
    <w:rsid w:val="00975343"/>
    <w:rsid w:val="009774C9"/>
    <w:rsid w:val="00977BE2"/>
    <w:rsid w:val="00981797"/>
    <w:rsid w:val="009823CE"/>
    <w:rsid w:val="00982935"/>
    <w:rsid w:val="00982C2C"/>
    <w:rsid w:val="009833BC"/>
    <w:rsid w:val="00985199"/>
    <w:rsid w:val="00987E18"/>
    <w:rsid w:val="009909DB"/>
    <w:rsid w:val="0099427C"/>
    <w:rsid w:val="00996BCB"/>
    <w:rsid w:val="009A2201"/>
    <w:rsid w:val="009A3294"/>
    <w:rsid w:val="009A3E1D"/>
    <w:rsid w:val="009A4CD6"/>
    <w:rsid w:val="009A6F18"/>
    <w:rsid w:val="009A7CD9"/>
    <w:rsid w:val="009B0AA3"/>
    <w:rsid w:val="009B326E"/>
    <w:rsid w:val="009B4F10"/>
    <w:rsid w:val="009B4F9B"/>
    <w:rsid w:val="009C389F"/>
    <w:rsid w:val="009C626C"/>
    <w:rsid w:val="009D46B3"/>
    <w:rsid w:val="009D6D0F"/>
    <w:rsid w:val="009E03C1"/>
    <w:rsid w:val="009E1ABB"/>
    <w:rsid w:val="009E2360"/>
    <w:rsid w:val="009E252C"/>
    <w:rsid w:val="009E268B"/>
    <w:rsid w:val="009E4BED"/>
    <w:rsid w:val="009E7733"/>
    <w:rsid w:val="009F0B8E"/>
    <w:rsid w:val="009F38A3"/>
    <w:rsid w:val="009F5B1B"/>
    <w:rsid w:val="009F75F9"/>
    <w:rsid w:val="00A01C20"/>
    <w:rsid w:val="00A03CE1"/>
    <w:rsid w:val="00A064C4"/>
    <w:rsid w:val="00A07FD8"/>
    <w:rsid w:val="00A10DEE"/>
    <w:rsid w:val="00A128C6"/>
    <w:rsid w:val="00A16A13"/>
    <w:rsid w:val="00A17CA6"/>
    <w:rsid w:val="00A20015"/>
    <w:rsid w:val="00A247E0"/>
    <w:rsid w:val="00A25B98"/>
    <w:rsid w:val="00A275BE"/>
    <w:rsid w:val="00A30DBA"/>
    <w:rsid w:val="00A32F84"/>
    <w:rsid w:val="00A4063F"/>
    <w:rsid w:val="00A40F0F"/>
    <w:rsid w:val="00A428E6"/>
    <w:rsid w:val="00A43FAA"/>
    <w:rsid w:val="00A465C8"/>
    <w:rsid w:val="00A50FDC"/>
    <w:rsid w:val="00A51839"/>
    <w:rsid w:val="00A529BD"/>
    <w:rsid w:val="00A5557E"/>
    <w:rsid w:val="00A615B7"/>
    <w:rsid w:val="00A61661"/>
    <w:rsid w:val="00A61FDD"/>
    <w:rsid w:val="00A70328"/>
    <w:rsid w:val="00A72D18"/>
    <w:rsid w:val="00A73E1F"/>
    <w:rsid w:val="00A75738"/>
    <w:rsid w:val="00A76D21"/>
    <w:rsid w:val="00A7782A"/>
    <w:rsid w:val="00A82C25"/>
    <w:rsid w:val="00A83703"/>
    <w:rsid w:val="00A83C99"/>
    <w:rsid w:val="00A930B7"/>
    <w:rsid w:val="00A94780"/>
    <w:rsid w:val="00A95017"/>
    <w:rsid w:val="00A96108"/>
    <w:rsid w:val="00A9639B"/>
    <w:rsid w:val="00A96711"/>
    <w:rsid w:val="00A9777C"/>
    <w:rsid w:val="00A978A5"/>
    <w:rsid w:val="00AA08AE"/>
    <w:rsid w:val="00AA2BA3"/>
    <w:rsid w:val="00AA737B"/>
    <w:rsid w:val="00AB0EC9"/>
    <w:rsid w:val="00AB1B50"/>
    <w:rsid w:val="00AB357A"/>
    <w:rsid w:val="00AB39A0"/>
    <w:rsid w:val="00AB4C7F"/>
    <w:rsid w:val="00AB7600"/>
    <w:rsid w:val="00AB7B1C"/>
    <w:rsid w:val="00AC09DA"/>
    <w:rsid w:val="00AC1FBA"/>
    <w:rsid w:val="00AC20C2"/>
    <w:rsid w:val="00AC4748"/>
    <w:rsid w:val="00AC52FF"/>
    <w:rsid w:val="00AC5FD6"/>
    <w:rsid w:val="00AC6717"/>
    <w:rsid w:val="00AC725B"/>
    <w:rsid w:val="00AD1020"/>
    <w:rsid w:val="00AD11F7"/>
    <w:rsid w:val="00AD1DF3"/>
    <w:rsid w:val="00AD2F7E"/>
    <w:rsid w:val="00AD3DEF"/>
    <w:rsid w:val="00AD576B"/>
    <w:rsid w:val="00AD608C"/>
    <w:rsid w:val="00AE1FE9"/>
    <w:rsid w:val="00AE27B2"/>
    <w:rsid w:val="00AE2B86"/>
    <w:rsid w:val="00AE2D7D"/>
    <w:rsid w:val="00AE3A9B"/>
    <w:rsid w:val="00AE3BE9"/>
    <w:rsid w:val="00AF194C"/>
    <w:rsid w:val="00AF24C3"/>
    <w:rsid w:val="00AF262C"/>
    <w:rsid w:val="00AF306D"/>
    <w:rsid w:val="00AF407A"/>
    <w:rsid w:val="00AF5B97"/>
    <w:rsid w:val="00AF6627"/>
    <w:rsid w:val="00AF6EF6"/>
    <w:rsid w:val="00B04119"/>
    <w:rsid w:val="00B0462C"/>
    <w:rsid w:val="00B071A9"/>
    <w:rsid w:val="00B123E9"/>
    <w:rsid w:val="00B1498D"/>
    <w:rsid w:val="00B21052"/>
    <w:rsid w:val="00B23140"/>
    <w:rsid w:val="00B232FF"/>
    <w:rsid w:val="00B2554D"/>
    <w:rsid w:val="00B30640"/>
    <w:rsid w:val="00B3174A"/>
    <w:rsid w:val="00B42FD3"/>
    <w:rsid w:val="00B43ECD"/>
    <w:rsid w:val="00B44576"/>
    <w:rsid w:val="00B44C33"/>
    <w:rsid w:val="00B46428"/>
    <w:rsid w:val="00B50941"/>
    <w:rsid w:val="00B50BBD"/>
    <w:rsid w:val="00B50EF8"/>
    <w:rsid w:val="00B55329"/>
    <w:rsid w:val="00B55A32"/>
    <w:rsid w:val="00B55D2D"/>
    <w:rsid w:val="00B60156"/>
    <w:rsid w:val="00B62916"/>
    <w:rsid w:val="00B62E90"/>
    <w:rsid w:val="00B63DAF"/>
    <w:rsid w:val="00B63E1F"/>
    <w:rsid w:val="00B640EC"/>
    <w:rsid w:val="00B642EF"/>
    <w:rsid w:val="00B642F0"/>
    <w:rsid w:val="00B72277"/>
    <w:rsid w:val="00B743E0"/>
    <w:rsid w:val="00B752A7"/>
    <w:rsid w:val="00B76745"/>
    <w:rsid w:val="00B834A0"/>
    <w:rsid w:val="00B84369"/>
    <w:rsid w:val="00B863D1"/>
    <w:rsid w:val="00B87442"/>
    <w:rsid w:val="00B9073F"/>
    <w:rsid w:val="00B908D3"/>
    <w:rsid w:val="00B91B4A"/>
    <w:rsid w:val="00B9391B"/>
    <w:rsid w:val="00B939C1"/>
    <w:rsid w:val="00B9413E"/>
    <w:rsid w:val="00B94232"/>
    <w:rsid w:val="00B972E2"/>
    <w:rsid w:val="00BA4A99"/>
    <w:rsid w:val="00BA6E18"/>
    <w:rsid w:val="00BB0E6E"/>
    <w:rsid w:val="00BB2659"/>
    <w:rsid w:val="00BB38DD"/>
    <w:rsid w:val="00BB3B5B"/>
    <w:rsid w:val="00BB6C3E"/>
    <w:rsid w:val="00BB7DA9"/>
    <w:rsid w:val="00BC0320"/>
    <w:rsid w:val="00BC2C94"/>
    <w:rsid w:val="00BC3C8E"/>
    <w:rsid w:val="00BC5AD0"/>
    <w:rsid w:val="00BC5F80"/>
    <w:rsid w:val="00BC64BD"/>
    <w:rsid w:val="00BD5560"/>
    <w:rsid w:val="00BD6248"/>
    <w:rsid w:val="00BE088C"/>
    <w:rsid w:val="00BE0F47"/>
    <w:rsid w:val="00BE106C"/>
    <w:rsid w:val="00BE1E0C"/>
    <w:rsid w:val="00BE371C"/>
    <w:rsid w:val="00BE4663"/>
    <w:rsid w:val="00BE6A5F"/>
    <w:rsid w:val="00BE6CDA"/>
    <w:rsid w:val="00BE73DB"/>
    <w:rsid w:val="00BE73E2"/>
    <w:rsid w:val="00BE7658"/>
    <w:rsid w:val="00BF0080"/>
    <w:rsid w:val="00BF1282"/>
    <w:rsid w:val="00BF4600"/>
    <w:rsid w:val="00BF4825"/>
    <w:rsid w:val="00BF6C52"/>
    <w:rsid w:val="00C03363"/>
    <w:rsid w:val="00C03D97"/>
    <w:rsid w:val="00C0429C"/>
    <w:rsid w:val="00C109DA"/>
    <w:rsid w:val="00C115D2"/>
    <w:rsid w:val="00C11668"/>
    <w:rsid w:val="00C12B3F"/>
    <w:rsid w:val="00C14166"/>
    <w:rsid w:val="00C1546E"/>
    <w:rsid w:val="00C1634D"/>
    <w:rsid w:val="00C169EB"/>
    <w:rsid w:val="00C16E8E"/>
    <w:rsid w:val="00C21689"/>
    <w:rsid w:val="00C24833"/>
    <w:rsid w:val="00C26D5D"/>
    <w:rsid w:val="00C27AC0"/>
    <w:rsid w:val="00C319BD"/>
    <w:rsid w:val="00C34261"/>
    <w:rsid w:val="00C3437E"/>
    <w:rsid w:val="00C36AB4"/>
    <w:rsid w:val="00C36AFC"/>
    <w:rsid w:val="00C37587"/>
    <w:rsid w:val="00C41249"/>
    <w:rsid w:val="00C4231F"/>
    <w:rsid w:val="00C455FC"/>
    <w:rsid w:val="00C46599"/>
    <w:rsid w:val="00C50AE9"/>
    <w:rsid w:val="00C574B2"/>
    <w:rsid w:val="00C57749"/>
    <w:rsid w:val="00C604EA"/>
    <w:rsid w:val="00C60D31"/>
    <w:rsid w:val="00C63862"/>
    <w:rsid w:val="00C6471C"/>
    <w:rsid w:val="00C679EE"/>
    <w:rsid w:val="00C67AC0"/>
    <w:rsid w:val="00C70A6E"/>
    <w:rsid w:val="00C724A7"/>
    <w:rsid w:val="00C7367E"/>
    <w:rsid w:val="00C7374F"/>
    <w:rsid w:val="00C7525B"/>
    <w:rsid w:val="00C753CA"/>
    <w:rsid w:val="00C75C7C"/>
    <w:rsid w:val="00C76672"/>
    <w:rsid w:val="00C76DAB"/>
    <w:rsid w:val="00C7734B"/>
    <w:rsid w:val="00C77F24"/>
    <w:rsid w:val="00C816CE"/>
    <w:rsid w:val="00C82374"/>
    <w:rsid w:val="00C83D40"/>
    <w:rsid w:val="00C858BD"/>
    <w:rsid w:val="00C90AA6"/>
    <w:rsid w:val="00C90EEC"/>
    <w:rsid w:val="00C92231"/>
    <w:rsid w:val="00C937DC"/>
    <w:rsid w:val="00C93997"/>
    <w:rsid w:val="00C94E78"/>
    <w:rsid w:val="00C9541E"/>
    <w:rsid w:val="00C967C7"/>
    <w:rsid w:val="00C9798E"/>
    <w:rsid w:val="00CA504E"/>
    <w:rsid w:val="00CB269B"/>
    <w:rsid w:val="00CB4C0D"/>
    <w:rsid w:val="00CB4FC7"/>
    <w:rsid w:val="00CB5286"/>
    <w:rsid w:val="00CC01F4"/>
    <w:rsid w:val="00CC0FA6"/>
    <w:rsid w:val="00CC12BB"/>
    <w:rsid w:val="00CC57A1"/>
    <w:rsid w:val="00CC5E2E"/>
    <w:rsid w:val="00CC66E7"/>
    <w:rsid w:val="00CD3156"/>
    <w:rsid w:val="00CD3601"/>
    <w:rsid w:val="00CD3A8D"/>
    <w:rsid w:val="00CD42BF"/>
    <w:rsid w:val="00CE3076"/>
    <w:rsid w:val="00CE3279"/>
    <w:rsid w:val="00CE3835"/>
    <w:rsid w:val="00CE3985"/>
    <w:rsid w:val="00CE77C3"/>
    <w:rsid w:val="00CE7B8F"/>
    <w:rsid w:val="00CF33E6"/>
    <w:rsid w:val="00CF3768"/>
    <w:rsid w:val="00CF3EC2"/>
    <w:rsid w:val="00CF420B"/>
    <w:rsid w:val="00CF68BB"/>
    <w:rsid w:val="00CF7A18"/>
    <w:rsid w:val="00D00325"/>
    <w:rsid w:val="00D01EF6"/>
    <w:rsid w:val="00D029ED"/>
    <w:rsid w:val="00D03659"/>
    <w:rsid w:val="00D03FA1"/>
    <w:rsid w:val="00D04776"/>
    <w:rsid w:val="00D075C4"/>
    <w:rsid w:val="00D1118A"/>
    <w:rsid w:val="00D1610E"/>
    <w:rsid w:val="00D17369"/>
    <w:rsid w:val="00D225D2"/>
    <w:rsid w:val="00D26333"/>
    <w:rsid w:val="00D34077"/>
    <w:rsid w:val="00D36A22"/>
    <w:rsid w:val="00D405D9"/>
    <w:rsid w:val="00D40BD2"/>
    <w:rsid w:val="00D4225E"/>
    <w:rsid w:val="00D426E0"/>
    <w:rsid w:val="00D42CB0"/>
    <w:rsid w:val="00D44368"/>
    <w:rsid w:val="00D4467E"/>
    <w:rsid w:val="00D45374"/>
    <w:rsid w:val="00D4781B"/>
    <w:rsid w:val="00D47AFF"/>
    <w:rsid w:val="00D47BB7"/>
    <w:rsid w:val="00D50DD1"/>
    <w:rsid w:val="00D51560"/>
    <w:rsid w:val="00D5578B"/>
    <w:rsid w:val="00D60994"/>
    <w:rsid w:val="00D63011"/>
    <w:rsid w:val="00D6526E"/>
    <w:rsid w:val="00D663AC"/>
    <w:rsid w:val="00D6741D"/>
    <w:rsid w:val="00D67DED"/>
    <w:rsid w:val="00D712B7"/>
    <w:rsid w:val="00D746C8"/>
    <w:rsid w:val="00D754D0"/>
    <w:rsid w:val="00D75CFB"/>
    <w:rsid w:val="00D75D6E"/>
    <w:rsid w:val="00D75FDD"/>
    <w:rsid w:val="00D80150"/>
    <w:rsid w:val="00D82BAB"/>
    <w:rsid w:val="00D84876"/>
    <w:rsid w:val="00D84BB0"/>
    <w:rsid w:val="00D84D56"/>
    <w:rsid w:val="00D85DA3"/>
    <w:rsid w:val="00D86333"/>
    <w:rsid w:val="00D86529"/>
    <w:rsid w:val="00D86A4F"/>
    <w:rsid w:val="00D91BE8"/>
    <w:rsid w:val="00D920D6"/>
    <w:rsid w:val="00D925DC"/>
    <w:rsid w:val="00D93781"/>
    <w:rsid w:val="00D93C10"/>
    <w:rsid w:val="00D93E83"/>
    <w:rsid w:val="00DA0C13"/>
    <w:rsid w:val="00DA0CF4"/>
    <w:rsid w:val="00DA1431"/>
    <w:rsid w:val="00DA7F9F"/>
    <w:rsid w:val="00DB330F"/>
    <w:rsid w:val="00DC0802"/>
    <w:rsid w:val="00DC22AF"/>
    <w:rsid w:val="00DC2769"/>
    <w:rsid w:val="00DC2E8F"/>
    <w:rsid w:val="00DC3F9F"/>
    <w:rsid w:val="00DC4188"/>
    <w:rsid w:val="00DC678F"/>
    <w:rsid w:val="00DC7302"/>
    <w:rsid w:val="00DC769D"/>
    <w:rsid w:val="00DD2F69"/>
    <w:rsid w:val="00DD7697"/>
    <w:rsid w:val="00DD7E30"/>
    <w:rsid w:val="00DE2EB4"/>
    <w:rsid w:val="00DE36CC"/>
    <w:rsid w:val="00DE3F69"/>
    <w:rsid w:val="00DE49B5"/>
    <w:rsid w:val="00DE5659"/>
    <w:rsid w:val="00DE6B1E"/>
    <w:rsid w:val="00DE7AA8"/>
    <w:rsid w:val="00DF0397"/>
    <w:rsid w:val="00DF1D47"/>
    <w:rsid w:val="00DF6358"/>
    <w:rsid w:val="00E01D05"/>
    <w:rsid w:val="00E02D1E"/>
    <w:rsid w:val="00E0504E"/>
    <w:rsid w:val="00E05E87"/>
    <w:rsid w:val="00E06859"/>
    <w:rsid w:val="00E143A7"/>
    <w:rsid w:val="00E15263"/>
    <w:rsid w:val="00E1535A"/>
    <w:rsid w:val="00E1615B"/>
    <w:rsid w:val="00E163D1"/>
    <w:rsid w:val="00E17F36"/>
    <w:rsid w:val="00E23F7F"/>
    <w:rsid w:val="00E241CF"/>
    <w:rsid w:val="00E24504"/>
    <w:rsid w:val="00E307E2"/>
    <w:rsid w:val="00E30D0F"/>
    <w:rsid w:val="00E30DC0"/>
    <w:rsid w:val="00E31C10"/>
    <w:rsid w:val="00E3207B"/>
    <w:rsid w:val="00E32C20"/>
    <w:rsid w:val="00E406FA"/>
    <w:rsid w:val="00E41D61"/>
    <w:rsid w:val="00E4259F"/>
    <w:rsid w:val="00E429DA"/>
    <w:rsid w:val="00E433C8"/>
    <w:rsid w:val="00E440D0"/>
    <w:rsid w:val="00E46013"/>
    <w:rsid w:val="00E5038B"/>
    <w:rsid w:val="00E54F4C"/>
    <w:rsid w:val="00E56CBD"/>
    <w:rsid w:val="00E57B9E"/>
    <w:rsid w:val="00E613FA"/>
    <w:rsid w:val="00E630E5"/>
    <w:rsid w:val="00E6599B"/>
    <w:rsid w:val="00E7099A"/>
    <w:rsid w:val="00E70E94"/>
    <w:rsid w:val="00E71340"/>
    <w:rsid w:val="00E71939"/>
    <w:rsid w:val="00E722A1"/>
    <w:rsid w:val="00E74B86"/>
    <w:rsid w:val="00E74DCD"/>
    <w:rsid w:val="00E74E9F"/>
    <w:rsid w:val="00E77BC5"/>
    <w:rsid w:val="00E840CE"/>
    <w:rsid w:val="00E85834"/>
    <w:rsid w:val="00E85D27"/>
    <w:rsid w:val="00E87309"/>
    <w:rsid w:val="00E874F9"/>
    <w:rsid w:val="00E9036D"/>
    <w:rsid w:val="00E93BDE"/>
    <w:rsid w:val="00E94405"/>
    <w:rsid w:val="00E951A6"/>
    <w:rsid w:val="00E96172"/>
    <w:rsid w:val="00E96632"/>
    <w:rsid w:val="00EA1E58"/>
    <w:rsid w:val="00EA26EB"/>
    <w:rsid w:val="00EA3217"/>
    <w:rsid w:val="00EA4FA1"/>
    <w:rsid w:val="00EA5EE4"/>
    <w:rsid w:val="00EA6CD9"/>
    <w:rsid w:val="00EB051B"/>
    <w:rsid w:val="00EB16C9"/>
    <w:rsid w:val="00EB5908"/>
    <w:rsid w:val="00EB5A31"/>
    <w:rsid w:val="00EB5E86"/>
    <w:rsid w:val="00EB769D"/>
    <w:rsid w:val="00EB7A72"/>
    <w:rsid w:val="00EC144C"/>
    <w:rsid w:val="00EC23DA"/>
    <w:rsid w:val="00EC2785"/>
    <w:rsid w:val="00EC3068"/>
    <w:rsid w:val="00EC500E"/>
    <w:rsid w:val="00EC69B8"/>
    <w:rsid w:val="00EC7C76"/>
    <w:rsid w:val="00ED261B"/>
    <w:rsid w:val="00ED2A53"/>
    <w:rsid w:val="00ED2BE2"/>
    <w:rsid w:val="00ED36B1"/>
    <w:rsid w:val="00ED6599"/>
    <w:rsid w:val="00ED7E2C"/>
    <w:rsid w:val="00EE1020"/>
    <w:rsid w:val="00EE3D6F"/>
    <w:rsid w:val="00EE407B"/>
    <w:rsid w:val="00EE706A"/>
    <w:rsid w:val="00EE78CC"/>
    <w:rsid w:val="00EF08FD"/>
    <w:rsid w:val="00EF0BF4"/>
    <w:rsid w:val="00EF2AC3"/>
    <w:rsid w:val="00EF31C2"/>
    <w:rsid w:val="00EF32D6"/>
    <w:rsid w:val="00EF548A"/>
    <w:rsid w:val="00EF6A4F"/>
    <w:rsid w:val="00EF6E51"/>
    <w:rsid w:val="00F03106"/>
    <w:rsid w:val="00F037C5"/>
    <w:rsid w:val="00F043AF"/>
    <w:rsid w:val="00F05F46"/>
    <w:rsid w:val="00F06A12"/>
    <w:rsid w:val="00F10CAA"/>
    <w:rsid w:val="00F116E0"/>
    <w:rsid w:val="00F125DC"/>
    <w:rsid w:val="00F12937"/>
    <w:rsid w:val="00F13D16"/>
    <w:rsid w:val="00F15084"/>
    <w:rsid w:val="00F1621B"/>
    <w:rsid w:val="00F16680"/>
    <w:rsid w:val="00F16C20"/>
    <w:rsid w:val="00F17129"/>
    <w:rsid w:val="00F17795"/>
    <w:rsid w:val="00F2016B"/>
    <w:rsid w:val="00F20830"/>
    <w:rsid w:val="00F21470"/>
    <w:rsid w:val="00F227FF"/>
    <w:rsid w:val="00F27F5F"/>
    <w:rsid w:val="00F317F7"/>
    <w:rsid w:val="00F31A20"/>
    <w:rsid w:val="00F31D5B"/>
    <w:rsid w:val="00F3625A"/>
    <w:rsid w:val="00F36CD6"/>
    <w:rsid w:val="00F36E76"/>
    <w:rsid w:val="00F37297"/>
    <w:rsid w:val="00F37589"/>
    <w:rsid w:val="00F40767"/>
    <w:rsid w:val="00F446EC"/>
    <w:rsid w:val="00F44FB4"/>
    <w:rsid w:val="00F44FC7"/>
    <w:rsid w:val="00F465F3"/>
    <w:rsid w:val="00F4694B"/>
    <w:rsid w:val="00F51773"/>
    <w:rsid w:val="00F57535"/>
    <w:rsid w:val="00F57736"/>
    <w:rsid w:val="00F616A1"/>
    <w:rsid w:val="00F61A9B"/>
    <w:rsid w:val="00F6361D"/>
    <w:rsid w:val="00F673C4"/>
    <w:rsid w:val="00F6769E"/>
    <w:rsid w:val="00F70300"/>
    <w:rsid w:val="00F72890"/>
    <w:rsid w:val="00F740BE"/>
    <w:rsid w:val="00F751C3"/>
    <w:rsid w:val="00F754E0"/>
    <w:rsid w:val="00F75DB9"/>
    <w:rsid w:val="00F76AB2"/>
    <w:rsid w:val="00F80BCF"/>
    <w:rsid w:val="00F82604"/>
    <w:rsid w:val="00F854EE"/>
    <w:rsid w:val="00F8590A"/>
    <w:rsid w:val="00F864E1"/>
    <w:rsid w:val="00F86B06"/>
    <w:rsid w:val="00F9355D"/>
    <w:rsid w:val="00F94F07"/>
    <w:rsid w:val="00F95AC4"/>
    <w:rsid w:val="00F96DB9"/>
    <w:rsid w:val="00FA32B6"/>
    <w:rsid w:val="00FA4273"/>
    <w:rsid w:val="00FA4A64"/>
    <w:rsid w:val="00FA655D"/>
    <w:rsid w:val="00FB0CF8"/>
    <w:rsid w:val="00FB2135"/>
    <w:rsid w:val="00FB58F9"/>
    <w:rsid w:val="00FB610D"/>
    <w:rsid w:val="00FC2FCD"/>
    <w:rsid w:val="00FC300C"/>
    <w:rsid w:val="00FC3D48"/>
    <w:rsid w:val="00FC5555"/>
    <w:rsid w:val="00FC555B"/>
    <w:rsid w:val="00FC625B"/>
    <w:rsid w:val="00FD0726"/>
    <w:rsid w:val="00FD1056"/>
    <w:rsid w:val="00FD1636"/>
    <w:rsid w:val="00FD3E3D"/>
    <w:rsid w:val="00FD7F21"/>
    <w:rsid w:val="00FE073B"/>
    <w:rsid w:val="00FE07C7"/>
    <w:rsid w:val="00FE61DE"/>
    <w:rsid w:val="00FF0A18"/>
    <w:rsid w:val="00FF0AB8"/>
    <w:rsid w:val="00FF1C06"/>
    <w:rsid w:val="00FF4444"/>
    <w:rsid w:val="00FF5FDB"/>
    <w:rsid w:val="00FF7376"/>
    <w:rsid w:val="00FF759D"/>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C7D5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68"/>
    <w:pPr>
      <w:spacing w:before="120" w:after="120"/>
      <w:jc w:val="both"/>
    </w:pPr>
    <w:rPr>
      <w:sz w:val="22"/>
    </w:rPr>
  </w:style>
  <w:style w:type="paragraph" w:styleId="Heading1">
    <w:name w:val="heading 1"/>
    <w:basedOn w:val="Normal"/>
    <w:next w:val="Normal"/>
    <w:link w:val="Heading1Char"/>
    <w:uiPriority w:val="9"/>
    <w:qFormat/>
    <w:rsid w:val="000A7011"/>
    <w:pPr>
      <w:keepNext/>
      <w:keepLines/>
      <w:spacing w:before="360" w:after="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0A7011"/>
    <w:pPr>
      <w:keepNext/>
      <w:keepLines/>
      <w:spacing w:before="36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284"/>
    <w:pPr>
      <w:ind w:left="720"/>
    </w:pPr>
  </w:style>
  <w:style w:type="paragraph" w:customStyle="1" w:styleId="Default">
    <w:name w:val="Default"/>
    <w:rsid w:val="00014260"/>
    <w:pPr>
      <w:widowControl w:val="0"/>
      <w:autoSpaceDE w:val="0"/>
      <w:autoSpaceDN w:val="0"/>
      <w:adjustRightInd w:val="0"/>
    </w:pPr>
    <w:rPr>
      <w:rFonts w:ascii="Arial" w:eastAsiaTheme="minorEastAsia" w:hAnsi="Arial" w:cs="Arial"/>
      <w:color w:val="000000"/>
      <w:lang w:val="fr-FR" w:eastAsia="fr-FR"/>
    </w:rPr>
  </w:style>
  <w:style w:type="character" w:styleId="FootnoteReference">
    <w:name w:val="footnote reference"/>
    <w:aliases w:val="Footnotes refss,Footnote number,Footnote,4_G,ftref,ftref Char,ftref1 Char,ftref2 Char,ftref11 Char,Footnote Reference Char Char Char Char,Carattere Char Carattere Carattere Char Carattere Char Carattere Char Char Char1 Char Char"/>
    <w:basedOn w:val="DefaultParagraphFont"/>
    <w:link w:val="ftref1"/>
    <w:uiPriority w:val="99"/>
    <w:unhideWhenUsed/>
    <w:qFormat/>
    <w:rsid w:val="00A9777C"/>
    <w:rPr>
      <w:vertAlign w:val="superscript"/>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
    <w:basedOn w:val="Normal"/>
    <w:link w:val="FootnoteTextChar"/>
    <w:uiPriority w:val="99"/>
    <w:unhideWhenUsed/>
    <w:qFormat/>
    <w:rsid w:val="008A25AE"/>
    <w:pPr>
      <w:spacing w:before="0" w:after="0"/>
    </w:pPr>
    <w:rPr>
      <w:rFonts w:ascii="Calibri Light" w:eastAsia="Calibri" w:hAnsi="Calibri Light" w:cs="Times New Roman"/>
      <w:sz w:val="18"/>
      <w:lang w:val="en-GB"/>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8A25AE"/>
    <w:rPr>
      <w:rFonts w:ascii="Calibri Light" w:eastAsia="Calibri" w:hAnsi="Calibri Light" w:cs="Times New Roman"/>
      <w:sz w:val="18"/>
      <w:lang w:val="en-GB"/>
    </w:rPr>
  </w:style>
  <w:style w:type="character" w:styleId="CommentReference">
    <w:name w:val="annotation reference"/>
    <w:basedOn w:val="DefaultParagraphFont"/>
    <w:uiPriority w:val="99"/>
    <w:semiHidden/>
    <w:unhideWhenUsed/>
    <w:rsid w:val="00673458"/>
    <w:rPr>
      <w:sz w:val="18"/>
      <w:szCs w:val="18"/>
    </w:rPr>
  </w:style>
  <w:style w:type="paragraph" w:styleId="CommentText">
    <w:name w:val="annotation text"/>
    <w:basedOn w:val="Normal"/>
    <w:link w:val="CommentTextChar"/>
    <w:uiPriority w:val="99"/>
    <w:unhideWhenUsed/>
    <w:rsid w:val="00673458"/>
  </w:style>
  <w:style w:type="character" w:customStyle="1" w:styleId="CommentTextChar">
    <w:name w:val="Comment Text Char"/>
    <w:basedOn w:val="DefaultParagraphFont"/>
    <w:link w:val="CommentText"/>
    <w:uiPriority w:val="99"/>
    <w:rsid w:val="00673458"/>
  </w:style>
  <w:style w:type="paragraph" w:styleId="CommentSubject">
    <w:name w:val="annotation subject"/>
    <w:basedOn w:val="CommentText"/>
    <w:next w:val="CommentText"/>
    <w:link w:val="CommentSubjectChar"/>
    <w:uiPriority w:val="99"/>
    <w:semiHidden/>
    <w:unhideWhenUsed/>
    <w:rsid w:val="00673458"/>
    <w:rPr>
      <w:b/>
      <w:bCs/>
      <w:sz w:val="20"/>
      <w:szCs w:val="20"/>
    </w:rPr>
  </w:style>
  <w:style w:type="character" w:customStyle="1" w:styleId="CommentSubjectChar">
    <w:name w:val="Comment Subject Char"/>
    <w:basedOn w:val="CommentTextChar"/>
    <w:link w:val="CommentSubject"/>
    <w:uiPriority w:val="99"/>
    <w:semiHidden/>
    <w:rsid w:val="00673458"/>
    <w:rPr>
      <w:b/>
      <w:bCs/>
      <w:sz w:val="20"/>
      <w:szCs w:val="20"/>
    </w:rPr>
  </w:style>
  <w:style w:type="paragraph" w:styleId="BalloonText">
    <w:name w:val="Balloon Text"/>
    <w:basedOn w:val="Normal"/>
    <w:link w:val="BalloonTextChar"/>
    <w:uiPriority w:val="99"/>
    <w:semiHidden/>
    <w:unhideWhenUsed/>
    <w:rsid w:val="006734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458"/>
    <w:rPr>
      <w:rFonts w:ascii="Times New Roman" w:hAnsi="Times New Roman" w:cs="Times New Roman"/>
      <w:sz w:val="18"/>
      <w:szCs w:val="18"/>
    </w:rPr>
  </w:style>
  <w:style w:type="table" w:styleId="TableGrid">
    <w:name w:val="Table Grid"/>
    <w:basedOn w:val="TableNormal"/>
    <w:uiPriority w:val="39"/>
    <w:rsid w:val="00583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7011"/>
    <w:rPr>
      <w:rFonts w:eastAsiaTheme="majorEastAsia" w:cstheme="majorBidi"/>
      <w:b/>
      <w:sz w:val="26"/>
      <w:szCs w:val="32"/>
    </w:rPr>
  </w:style>
  <w:style w:type="paragraph" w:styleId="TOCHeading">
    <w:name w:val="TOC Heading"/>
    <w:basedOn w:val="Heading1"/>
    <w:next w:val="Normal"/>
    <w:uiPriority w:val="39"/>
    <w:unhideWhenUsed/>
    <w:qFormat/>
    <w:rsid w:val="0035303D"/>
    <w:pPr>
      <w:spacing w:line="259" w:lineRule="auto"/>
      <w:outlineLvl w:val="9"/>
    </w:pPr>
  </w:style>
  <w:style w:type="paragraph" w:styleId="NoSpacing">
    <w:name w:val="No Spacing"/>
    <w:link w:val="NoSpacingChar"/>
    <w:uiPriority w:val="1"/>
    <w:qFormat/>
    <w:rsid w:val="0035303D"/>
    <w:rPr>
      <w:rFonts w:eastAsiaTheme="minorEastAsia"/>
      <w:sz w:val="22"/>
      <w:szCs w:val="22"/>
    </w:rPr>
  </w:style>
  <w:style w:type="character" w:customStyle="1" w:styleId="NoSpacingChar">
    <w:name w:val="No Spacing Char"/>
    <w:basedOn w:val="DefaultParagraphFont"/>
    <w:link w:val="NoSpacing"/>
    <w:uiPriority w:val="1"/>
    <w:rsid w:val="0035303D"/>
    <w:rPr>
      <w:rFonts w:eastAsiaTheme="minorEastAsia"/>
      <w:sz w:val="22"/>
      <w:szCs w:val="22"/>
    </w:rPr>
  </w:style>
  <w:style w:type="paragraph" w:styleId="Revision">
    <w:name w:val="Revision"/>
    <w:hidden/>
    <w:uiPriority w:val="99"/>
    <w:semiHidden/>
    <w:rsid w:val="00CE3835"/>
  </w:style>
  <w:style w:type="paragraph" w:styleId="NormalWeb">
    <w:name w:val="Normal (Web)"/>
    <w:basedOn w:val="Normal"/>
    <w:uiPriority w:val="99"/>
    <w:unhideWhenUsed/>
    <w:rsid w:val="008A1AC3"/>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7B4F63"/>
    <w:pPr>
      <w:tabs>
        <w:tab w:val="center" w:pos="4513"/>
        <w:tab w:val="right" w:pos="9026"/>
      </w:tabs>
    </w:pPr>
    <w:rPr>
      <w:sz w:val="14"/>
    </w:rPr>
  </w:style>
  <w:style w:type="character" w:customStyle="1" w:styleId="HeaderChar">
    <w:name w:val="Header Char"/>
    <w:basedOn w:val="DefaultParagraphFont"/>
    <w:link w:val="Header"/>
    <w:uiPriority w:val="99"/>
    <w:rsid w:val="007B4F63"/>
    <w:rPr>
      <w:sz w:val="14"/>
    </w:rPr>
  </w:style>
  <w:style w:type="paragraph" w:styleId="Footer">
    <w:name w:val="footer"/>
    <w:basedOn w:val="Normal"/>
    <w:link w:val="FooterChar"/>
    <w:uiPriority w:val="99"/>
    <w:unhideWhenUsed/>
    <w:rsid w:val="00A615B7"/>
    <w:pPr>
      <w:tabs>
        <w:tab w:val="center" w:pos="4513"/>
        <w:tab w:val="right" w:pos="9026"/>
      </w:tabs>
    </w:pPr>
  </w:style>
  <w:style w:type="character" w:customStyle="1" w:styleId="FooterChar">
    <w:name w:val="Footer Char"/>
    <w:basedOn w:val="DefaultParagraphFont"/>
    <w:link w:val="Footer"/>
    <w:uiPriority w:val="99"/>
    <w:rsid w:val="00A615B7"/>
  </w:style>
  <w:style w:type="paragraph" w:styleId="Title">
    <w:name w:val="Title"/>
    <w:basedOn w:val="Normal"/>
    <w:next w:val="Normal"/>
    <w:link w:val="TitleChar"/>
    <w:uiPriority w:val="10"/>
    <w:qFormat/>
    <w:rsid w:val="00B44576"/>
    <w:pPr>
      <w:spacing w:before="3000" w:after="6000"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44576"/>
    <w:rPr>
      <w:rFonts w:eastAsiaTheme="majorEastAsia" w:cstheme="majorBidi"/>
      <w:b/>
      <w:spacing w:val="-10"/>
      <w:kern w:val="28"/>
      <w:sz w:val="28"/>
      <w:szCs w:val="56"/>
    </w:rPr>
  </w:style>
  <w:style w:type="paragraph" w:styleId="Quote">
    <w:name w:val="Quote"/>
    <w:basedOn w:val="Normal"/>
    <w:next w:val="Normal"/>
    <w:link w:val="QuoteChar"/>
    <w:uiPriority w:val="29"/>
    <w:qFormat/>
    <w:rsid w:val="001F70B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1F70BA"/>
    <w:rPr>
      <w:i/>
      <w:iCs/>
      <w:color w:val="404040" w:themeColor="text1" w:themeTint="BF"/>
      <w:sz w:val="22"/>
    </w:rPr>
  </w:style>
  <w:style w:type="character" w:customStyle="1" w:styleId="Heading2Char">
    <w:name w:val="Heading 2 Char"/>
    <w:basedOn w:val="DefaultParagraphFont"/>
    <w:link w:val="Heading2"/>
    <w:uiPriority w:val="9"/>
    <w:rsid w:val="000A7011"/>
    <w:rPr>
      <w:rFonts w:eastAsiaTheme="majorEastAsia" w:cstheme="majorBidi"/>
      <w:b/>
      <w:szCs w:val="26"/>
    </w:rPr>
  </w:style>
  <w:style w:type="paragraph" w:styleId="TOC1">
    <w:name w:val="toc 1"/>
    <w:basedOn w:val="Normal"/>
    <w:next w:val="Normal"/>
    <w:autoRedefine/>
    <w:uiPriority w:val="39"/>
    <w:unhideWhenUsed/>
    <w:rsid w:val="003C05F8"/>
    <w:pPr>
      <w:tabs>
        <w:tab w:val="right" w:leader="dot" w:pos="9010"/>
      </w:tabs>
      <w:spacing w:after="100"/>
      <w:ind w:left="567" w:hanging="567"/>
    </w:pPr>
    <w:rPr>
      <w:sz w:val="21"/>
    </w:rPr>
  </w:style>
  <w:style w:type="paragraph" w:styleId="TOC2">
    <w:name w:val="toc 2"/>
    <w:basedOn w:val="Normal"/>
    <w:next w:val="Normal"/>
    <w:autoRedefine/>
    <w:uiPriority w:val="39"/>
    <w:unhideWhenUsed/>
    <w:rsid w:val="003C05F8"/>
    <w:pPr>
      <w:tabs>
        <w:tab w:val="right" w:leader="dot" w:pos="9010"/>
      </w:tabs>
      <w:spacing w:after="100"/>
      <w:ind w:left="1134" w:hanging="567"/>
    </w:pPr>
  </w:style>
  <w:style w:type="character" w:styleId="Hyperlink">
    <w:name w:val="Hyperlink"/>
    <w:basedOn w:val="DefaultParagraphFont"/>
    <w:uiPriority w:val="99"/>
    <w:unhideWhenUsed/>
    <w:rsid w:val="00186FBC"/>
    <w:rPr>
      <w:color w:val="0563C1" w:themeColor="hyperlink"/>
      <w:u w:val="single"/>
    </w:rPr>
  </w:style>
  <w:style w:type="paragraph" w:styleId="TOC3">
    <w:name w:val="toc 3"/>
    <w:basedOn w:val="Normal"/>
    <w:next w:val="Normal"/>
    <w:autoRedefine/>
    <w:uiPriority w:val="39"/>
    <w:unhideWhenUsed/>
    <w:rsid w:val="00AE2D7D"/>
    <w:pPr>
      <w:spacing w:before="0" w:after="100" w:line="259" w:lineRule="auto"/>
      <w:ind w:left="440"/>
      <w:jc w:val="left"/>
    </w:pPr>
    <w:rPr>
      <w:rFonts w:eastAsiaTheme="minorEastAsia" w:cs="Times New Roman"/>
      <w:szCs w:val="22"/>
    </w:rPr>
  </w:style>
  <w:style w:type="character" w:styleId="FollowedHyperlink">
    <w:name w:val="FollowedHyperlink"/>
    <w:basedOn w:val="DefaultParagraphFont"/>
    <w:uiPriority w:val="99"/>
    <w:semiHidden/>
    <w:unhideWhenUsed/>
    <w:rsid w:val="00EF31C2"/>
    <w:rPr>
      <w:color w:val="954F72" w:themeColor="followedHyperlink"/>
      <w:u w:val="single"/>
    </w:rPr>
  </w:style>
  <w:style w:type="character" w:styleId="HTMLCite">
    <w:name w:val="HTML Cite"/>
    <w:basedOn w:val="DefaultParagraphFont"/>
    <w:uiPriority w:val="99"/>
    <w:semiHidden/>
    <w:unhideWhenUsed/>
    <w:rsid w:val="00B642EF"/>
    <w:rPr>
      <w:i/>
      <w:iCs/>
    </w:rPr>
  </w:style>
  <w:style w:type="paragraph" w:customStyle="1" w:styleId="Standard">
    <w:name w:val="Standard"/>
    <w:rsid w:val="006B20F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ftref1">
    <w:name w:val="ftref1"/>
    <w:aliases w:val="ftref2,ftref11,Footnote Reference Char Char Char,Carattere Char Carattere Carattere Char Carattere Char Carattere Char Char Char1 Char,Carattere Carattere Char Char Char Carattere Char,BVI fnr,BVI fnr Car Car,BVI fnr Car"/>
    <w:basedOn w:val="Normal"/>
    <w:link w:val="FootnoteReference"/>
    <w:uiPriority w:val="99"/>
    <w:rsid w:val="006D2F60"/>
    <w:pPr>
      <w:spacing w:before="0" w:after="160" w:line="240" w:lineRule="exact"/>
      <w:jc w:val="left"/>
    </w:pPr>
    <w:rPr>
      <w:sz w:val="24"/>
      <w:vertAlign w:val="superscript"/>
    </w:rPr>
  </w:style>
  <w:style w:type="character" w:styleId="IntenseEmphasis">
    <w:name w:val="Intense Emphasis"/>
    <w:basedOn w:val="DefaultParagraphFont"/>
    <w:uiPriority w:val="21"/>
    <w:qFormat/>
    <w:rsid w:val="00620C03"/>
    <w:rPr>
      <w:i/>
      <w:iCs/>
      <w:color w:val="5B9BD5" w:themeColor="accent1"/>
    </w:rPr>
  </w:style>
  <w:style w:type="character" w:styleId="SubtleEmphasis">
    <w:name w:val="Subtle Emphasis"/>
    <w:basedOn w:val="DefaultParagraphFont"/>
    <w:uiPriority w:val="19"/>
    <w:qFormat/>
    <w:rsid w:val="00620C03"/>
    <w:rPr>
      <w:i/>
      <w:iCs/>
      <w:color w:val="404040" w:themeColor="text1" w:themeTint="BF"/>
    </w:rPr>
  </w:style>
  <w:style w:type="paragraph" w:styleId="EndnoteText">
    <w:name w:val="endnote text"/>
    <w:basedOn w:val="Normal"/>
    <w:link w:val="EndnoteTextChar"/>
    <w:uiPriority w:val="99"/>
    <w:semiHidden/>
    <w:unhideWhenUsed/>
    <w:rsid w:val="00EB5908"/>
    <w:pPr>
      <w:spacing w:before="0" w:after="0"/>
    </w:pPr>
    <w:rPr>
      <w:sz w:val="20"/>
      <w:szCs w:val="20"/>
    </w:rPr>
  </w:style>
  <w:style w:type="character" w:customStyle="1" w:styleId="EndnoteTextChar">
    <w:name w:val="Endnote Text Char"/>
    <w:basedOn w:val="DefaultParagraphFont"/>
    <w:link w:val="EndnoteText"/>
    <w:uiPriority w:val="99"/>
    <w:semiHidden/>
    <w:rsid w:val="00EB5908"/>
    <w:rPr>
      <w:sz w:val="20"/>
      <w:szCs w:val="20"/>
    </w:rPr>
  </w:style>
  <w:style w:type="character" w:styleId="EndnoteReference">
    <w:name w:val="endnote reference"/>
    <w:basedOn w:val="DefaultParagraphFont"/>
    <w:uiPriority w:val="99"/>
    <w:semiHidden/>
    <w:unhideWhenUsed/>
    <w:rsid w:val="00EB5908"/>
    <w:rPr>
      <w:vertAlign w:val="superscript"/>
    </w:rPr>
  </w:style>
  <w:style w:type="character" w:customStyle="1" w:styleId="gmail-il">
    <w:name w:val="gmail-il"/>
    <w:basedOn w:val="DefaultParagraphFont"/>
    <w:rsid w:val="00D26333"/>
  </w:style>
  <w:style w:type="paragraph" w:customStyle="1" w:styleId="p1">
    <w:name w:val="p1"/>
    <w:basedOn w:val="Normal"/>
    <w:rsid w:val="00AF6EF6"/>
    <w:pPr>
      <w:spacing w:before="0" w:after="0"/>
      <w:jc w:val="left"/>
    </w:pPr>
    <w:rPr>
      <w:rFonts w:ascii="Helvetica Neue" w:hAnsi="Helvetica Neue" w:cs="Times New Roman"/>
      <w:color w:val="454545"/>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4288">
      <w:bodyDiv w:val="1"/>
      <w:marLeft w:val="0"/>
      <w:marRight w:val="0"/>
      <w:marTop w:val="0"/>
      <w:marBottom w:val="0"/>
      <w:divBdr>
        <w:top w:val="none" w:sz="0" w:space="0" w:color="auto"/>
        <w:left w:val="none" w:sz="0" w:space="0" w:color="auto"/>
        <w:bottom w:val="none" w:sz="0" w:space="0" w:color="auto"/>
        <w:right w:val="none" w:sz="0" w:space="0" w:color="auto"/>
      </w:divBdr>
    </w:div>
    <w:div w:id="65538171">
      <w:bodyDiv w:val="1"/>
      <w:marLeft w:val="0"/>
      <w:marRight w:val="0"/>
      <w:marTop w:val="0"/>
      <w:marBottom w:val="0"/>
      <w:divBdr>
        <w:top w:val="none" w:sz="0" w:space="0" w:color="auto"/>
        <w:left w:val="none" w:sz="0" w:space="0" w:color="auto"/>
        <w:bottom w:val="none" w:sz="0" w:space="0" w:color="auto"/>
        <w:right w:val="none" w:sz="0" w:space="0" w:color="auto"/>
      </w:divBdr>
    </w:div>
    <w:div w:id="144905030">
      <w:bodyDiv w:val="1"/>
      <w:marLeft w:val="0"/>
      <w:marRight w:val="0"/>
      <w:marTop w:val="0"/>
      <w:marBottom w:val="0"/>
      <w:divBdr>
        <w:top w:val="none" w:sz="0" w:space="0" w:color="auto"/>
        <w:left w:val="none" w:sz="0" w:space="0" w:color="auto"/>
        <w:bottom w:val="none" w:sz="0" w:space="0" w:color="auto"/>
        <w:right w:val="none" w:sz="0" w:space="0" w:color="auto"/>
      </w:divBdr>
    </w:div>
    <w:div w:id="297491187">
      <w:bodyDiv w:val="1"/>
      <w:marLeft w:val="0"/>
      <w:marRight w:val="0"/>
      <w:marTop w:val="0"/>
      <w:marBottom w:val="0"/>
      <w:divBdr>
        <w:top w:val="none" w:sz="0" w:space="0" w:color="auto"/>
        <w:left w:val="none" w:sz="0" w:space="0" w:color="auto"/>
        <w:bottom w:val="none" w:sz="0" w:space="0" w:color="auto"/>
        <w:right w:val="none" w:sz="0" w:space="0" w:color="auto"/>
      </w:divBdr>
    </w:div>
    <w:div w:id="308482687">
      <w:bodyDiv w:val="1"/>
      <w:marLeft w:val="0"/>
      <w:marRight w:val="0"/>
      <w:marTop w:val="0"/>
      <w:marBottom w:val="0"/>
      <w:divBdr>
        <w:top w:val="none" w:sz="0" w:space="0" w:color="auto"/>
        <w:left w:val="none" w:sz="0" w:space="0" w:color="auto"/>
        <w:bottom w:val="none" w:sz="0" w:space="0" w:color="auto"/>
        <w:right w:val="none" w:sz="0" w:space="0" w:color="auto"/>
      </w:divBdr>
      <w:divsChild>
        <w:div w:id="1232932428">
          <w:marLeft w:val="0"/>
          <w:marRight w:val="0"/>
          <w:marTop w:val="0"/>
          <w:marBottom w:val="0"/>
          <w:divBdr>
            <w:top w:val="none" w:sz="0" w:space="0" w:color="auto"/>
            <w:left w:val="none" w:sz="0" w:space="0" w:color="auto"/>
            <w:bottom w:val="none" w:sz="0" w:space="0" w:color="auto"/>
            <w:right w:val="none" w:sz="0" w:space="0" w:color="auto"/>
          </w:divBdr>
          <w:divsChild>
            <w:div w:id="338430945">
              <w:marLeft w:val="0"/>
              <w:marRight w:val="0"/>
              <w:marTop w:val="0"/>
              <w:marBottom w:val="0"/>
              <w:divBdr>
                <w:top w:val="none" w:sz="0" w:space="0" w:color="auto"/>
                <w:left w:val="none" w:sz="0" w:space="0" w:color="auto"/>
                <w:bottom w:val="none" w:sz="0" w:space="0" w:color="auto"/>
                <w:right w:val="none" w:sz="0" w:space="0" w:color="auto"/>
              </w:divBdr>
              <w:divsChild>
                <w:div w:id="798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1983">
      <w:bodyDiv w:val="1"/>
      <w:marLeft w:val="0"/>
      <w:marRight w:val="0"/>
      <w:marTop w:val="0"/>
      <w:marBottom w:val="0"/>
      <w:divBdr>
        <w:top w:val="none" w:sz="0" w:space="0" w:color="auto"/>
        <w:left w:val="none" w:sz="0" w:space="0" w:color="auto"/>
        <w:bottom w:val="none" w:sz="0" w:space="0" w:color="auto"/>
        <w:right w:val="none" w:sz="0" w:space="0" w:color="auto"/>
      </w:divBdr>
    </w:div>
    <w:div w:id="414741798">
      <w:bodyDiv w:val="1"/>
      <w:marLeft w:val="0"/>
      <w:marRight w:val="0"/>
      <w:marTop w:val="0"/>
      <w:marBottom w:val="0"/>
      <w:divBdr>
        <w:top w:val="none" w:sz="0" w:space="0" w:color="auto"/>
        <w:left w:val="none" w:sz="0" w:space="0" w:color="auto"/>
        <w:bottom w:val="none" w:sz="0" w:space="0" w:color="auto"/>
        <w:right w:val="none" w:sz="0" w:space="0" w:color="auto"/>
      </w:divBdr>
    </w:div>
    <w:div w:id="455175633">
      <w:bodyDiv w:val="1"/>
      <w:marLeft w:val="0"/>
      <w:marRight w:val="0"/>
      <w:marTop w:val="0"/>
      <w:marBottom w:val="0"/>
      <w:divBdr>
        <w:top w:val="none" w:sz="0" w:space="0" w:color="auto"/>
        <w:left w:val="none" w:sz="0" w:space="0" w:color="auto"/>
        <w:bottom w:val="none" w:sz="0" w:space="0" w:color="auto"/>
        <w:right w:val="none" w:sz="0" w:space="0" w:color="auto"/>
      </w:divBdr>
    </w:div>
    <w:div w:id="503520076">
      <w:bodyDiv w:val="1"/>
      <w:marLeft w:val="0"/>
      <w:marRight w:val="0"/>
      <w:marTop w:val="0"/>
      <w:marBottom w:val="0"/>
      <w:divBdr>
        <w:top w:val="none" w:sz="0" w:space="0" w:color="auto"/>
        <w:left w:val="none" w:sz="0" w:space="0" w:color="auto"/>
        <w:bottom w:val="none" w:sz="0" w:space="0" w:color="auto"/>
        <w:right w:val="none" w:sz="0" w:space="0" w:color="auto"/>
      </w:divBdr>
    </w:div>
    <w:div w:id="548104814">
      <w:bodyDiv w:val="1"/>
      <w:marLeft w:val="0"/>
      <w:marRight w:val="0"/>
      <w:marTop w:val="0"/>
      <w:marBottom w:val="0"/>
      <w:divBdr>
        <w:top w:val="none" w:sz="0" w:space="0" w:color="auto"/>
        <w:left w:val="none" w:sz="0" w:space="0" w:color="auto"/>
        <w:bottom w:val="none" w:sz="0" w:space="0" w:color="auto"/>
        <w:right w:val="none" w:sz="0" w:space="0" w:color="auto"/>
      </w:divBdr>
      <w:divsChild>
        <w:div w:id="978536213">
          <w:marLeft w:val="0"/>
          <w:marRight w:val="0"/>
          <w:marTop w:val="0"/>
          <w:marBottom w:val="0"/>
          <w:divBdr>
            <w:top w:val="none" w:sz="0" w:space="0" w:color="auto"/>
            <w:left w:val="none" w:sz="0" w:space="0" w:color="auto"/>
            <w:bottom w:val="none" w:sz="0" w:space="0" w:color="auto"/>
            <w:right w:val="none" w:sz="0" w:space="0" w:color="auto"/>
          </w:divBdr>
          <w:divsChild>
            <w:div w:id="1949385501">
              <w:marLeft w:val="0"/>
              <w:marRight w:val="0"/>
              <w:marTop w:val="0"/>
              <w:marBottom w:val="0"/>
              <w:divBdr>
                <w:top w:val="none" w:sz="0" w:space="0" w:color="auto"/>
                <w:left w:val="none" w:sz="0" w:space="0" w:color="auto"/>
                <w:bottom w:val="none" w:sz="0" w:space="0" w:color="auto"/>
                <w:right w:val="none" w:sz="0" w:space="0" w:color="auto"/>
              </w:divBdr>
              <w:divsChild>
                <w:div w:id="128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4">
      <w:bodyDiv w:val="1"/>
      <w:marLeft w:val="0"/>
      <w:marRight w:val="0"/>
      <w:marTop w:val="0"/>
      <w:marBottom w:val="0"/>
      <w:divBdr>
        <w:top w:val="none" w:sz="0" w:space="0" w:color="auto"/>
        <w:left w:val="none" w:sz="0" w:space="0" w:color="auto"/>
        <w:bottom w:val="none" w:sz="0" w:space="0" w:color="auto"/>
        <w:right w:val="none" w:sz="0" w:space="0" w:color="auto"/>
      </w:divBdr>
    </w:div>
    <w:div w:id="653681746">
      <w:bodyDiv w:val="1"/>
      <w:marLeft w:val="0"/>
      <w:marRight w:val="0"/>
      <w:marTop w:val="0"/>
      <w:marBottom w:val="0"/>
      <w:divBdr>
        <w:top w:val="none" w:sz="0" w:space="0" w:color="auto"/>
        <w:left w:val="none" w:sz="0" w:space="0" w:color="auto"/>
        <w:bottom w:val="none" w:sz="0" w:space="0" w:color="auto"/>
        <w:right w:val="none" w:sz="0" w:space="0" w:color="auto"/>
      </w:divBdr>
      <w:divsChild>
        <w:div w:id="107168970">
          <w:marLeft w:val="0"/>
          <w:marRight w:val="0"/>
          <w:marTop w:val="0"/>
          <w:marBottom w:val="0"/>
          <w:divBdr>
            <w:top w:val="none" w:sz="0" w:space="0" w:color="auto"/>
            <w:left w:val="none" w:sz="0" w:space="0" w:color="auto"/>
            <w:bottom w:val="none" w:sz="0" w:space="0" w:color="auto"/>
            <w:right w:val="none" w:sz="0" w:space="0" w:color="auto"/>
          </w:divBdr>
          <w:divsChild>
            <w:div w:id="1458184892">
              <w:marLeft w:val="0"/>
              <w:marRight w:val="0"/>
              <w:marTop w:val="0"/>
              <w:marBottom w:val="0"/>
              <w:divBdr>
                <w:top w:val="none" w:sz="0" w:space="0" w:color="auto"/>
                <w:left w:val="none" w:sz="0" w:space="0" w:color="auto"/>
                <w:bottom w:val="none" w:sz="0" w:space="0" w:color="auto"/>
                <w:right w:val="none" w:sz="0" w:space="0" w:color="auto"/>
              </w:divBdr>
              <w:divsChild>
                <w:div w:id="1676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1949">
      <w:bodyDiv w:val="1"/>
      <w:marLeft w:val="0"/>
      <w:marRight w:val="0"/>
      <w:marTop w:val="0"/>
      <w:marBottom w:val="0"/>
      <w:divBdr>
        <w:top w:val="none" w:sz="0" w:space="0" w:color="auto"/>
        <w:left w:val="none" w:sz="0" w:space="0" w:color="auto"/>
        <w:bottom w:val="none" w:sz="0" w:space="0" w:color="auto"/>
        <w:right w:val="none" w:sz="0" w:space="0" w:color="auto"/>
      </w:divBdr>
    </w:div>
    <w:div w:id="926184693">
      <w:bodyDiv w:val="1"/>
      <w:marLeft w:val="0"/>
      <w:marRight w:val="0"/>
      <w:marTop w:val="0"/>
      <w:marBottom w:val="0"/>
      <w:divBdr>
        <w:top w:val="none" w:sz="0" w:space="0" w:color="auto"/>
        <w:left w:val="none" w:sz="0" w:space="0" w:color="auto"/>
        <w:bottom w:val="none" w:sz="0" w:space="0" w:color="auto"/>
        <w:right w:val="none" w:sz="0" w:space="0" w:color="auto"/>
      </w:divBdr>
      <w:divsChild>
        <w:div w:id="222178408">
          <w:marLeft w:val="0"/>
          <w:marRight w:val="0"/>
          <w:marTop w:val="0"/>
          <w:marBottom w:val="0"/>
          <w:divBdr>
            <w:top w:val="none" w:sz="0" w:space="0" w:color="auto"/>
            <w:left w:val="none" w:sz="0" w:space="0" w:color="auto"/>
            <w:bottom w:val="none" w:sz="0" w:space="0" w:color="auto"/>
            <w:right w:val="none" w:sz="0" w:space="0" w:color="auto"/>
          </w:divBdr>
          <w:divsChild>
            <w:div w:id="3681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9533">
      <w:bodyDiv w:val="1"/>
      <w:marLeft w:val="0"/>
      <w:marRight w:val="0"/>
      <w:marTop w:val="0"/>
      <w:marBottom w:val="0"/>
      <w:divBdr>
        <w:top w:val="none" w:sz="0" w:space="0" w:color="auto"/>
        <w:left w:val="none" w:sz="0" w:space="0" w:color="auto"/>
        <w:bottom w:val="none" w:sz="0" w:space="0" w:color="auto"/>
        <w:right w:val="none" w:sz="0" w:space="0" w:color="auto"/>
      </w:divBdr>
    </w:div>
    <w:div w:id="1148404428">
      <w:bodyDiv w:val="1"/>
      <w:marLeft w:val="0"/>
      <w:marRight w:val="0"/>
      <w:marTop w:val="0"/>
      <w:marBottom w:val="0"/>
      <w:divBdr>
        <w:top w:val="none" w:sz="0" w:space="0" w:color="auto"/>
        <w:left w:val="none" w:sz="0" w:space="0" w:color="auto"/>
        <w:bottom w:val="none" w:sz="0" w:space="0" w:color="auto"/>
        <w:right w:val="none" w:sz="0" w:space="0" w:color="auto"/>
      </w:divBdr>
      <w:divsChild>
        <w:div w:id="1504510614">
          <w:marLeft w:val="0"/>
          <w:marRight w:val="0"/>
          <w:marTop w:val="0"/>
          <w:marBottom w:val="0"/>
          <w:divBdr>
            <w:top w:val="none" w:sz="0" w:space="0" w:color="auto"/>
            <w:left w:val="none" w:sz="0" w:space="0" w:color="auto"/>
            <w:bottom w:val="none" w:sz="0" w:space="0" w:color="auto"/>
            <w:right w:val="none" w:sz="0" w:space="0" w:color="auto"/>
          </w:divBdr>
          <w:divsChild>
            <w:div w:id="890457826">
              <w:marLeft w:val="0"/>
              <w:marRight w:val="0"/>
              <w:marTop w:val="0"/>
              <w:marBottom w:val="0"/>
              <w:divBdr>
                <w:top w:val="none" w:sz="0" w:space="0" w:color="auto"/>
                <w:left w:val="none" w:sz="0" w:space="0" w:color="auto"/>
                <w:bottom w:val="none" w:sz="0" w:space="0" w:color="auto"/>
                <w:right w:val="none" w:sz="0" w:space="0" w:color="auto"/>
              </w:divBdr>
              <w:divsChild>
                <w:div w:id="196161994">
                  <w:marLeft w:val="0"/>
                  <w:marRight w:val="0"/>
                  <w:marTop w:val="0"/>
                  <w:marBottom w:val="0"/>
                  <w:divBdr>
                    <w:top w:val="none" w:sz="0" w:space="0" w:color="auto"/>
                    <w:left w:val="none" w:sz="0" w:space="0" w:color="auto"/>
                    <w:bottom w:val="none" w:sz="0" w:space="0" w:color="auto"/>
                    <w:right w:val="none" w:sz="0" w:space="0" w:color="auto"/>
                  </w:divBdr>
                  <w:divsChild>
                    <w:div w:id="1155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32510">
      <w:bodyDiv w:val="1"/>
      <w:marLeft w:val="0"/>
      <w:marRight w:val="0"/>
      <w:marTop w:val="0"/>
      <w:marBottom w:val="0"/>
      <w:divBdr>
        <w:top w:val="none" w:sz="0" w:space="0" w:color="auto"/>
        <w:left w:val="none" w:sz="0" w:space="0" w:color="auto"/>
        <w:bottom w:val="none" w:sz="0" w:space="0" w:color="auto"/>
        <w:right w:val="none" w:sz="0" w:space="0" w:color="auto"/>
      </w:divBdr>
    </w:div>
    <w:div w:id="1277909022">
      <w:bodyDiv w:val="1"/>
      <w:marLeft w:val="0"/>
      <w:marRight w:val="0"/>
      <w:marTop w:val="0"/>
      <w:marBottom w:val="0"/>
      <w:divBdr>
        <w:top w:val="none" w:sz="0" w:space="0" w:color="auto"/>
        <w:left w:val="none" w:sz="0" w:space="0" w:color="auto"/>
        <w:bottom w:val="none" w:sz="0" w:space="0" w:color="auto"/>
        <w:right w:val="none" w:sz="0" w:space="0" w:color="auto"/>
      </w:divBdr>
      <w:divsChild>
        <w:div w:id="1812559015">
          <w:marLeft w:val="0"/>
          <w:marRight w:val="0"/>
          <w:marTop w:val="0"/>
          <w:marBottom w:val="0"/>
          <w:divBdr>
            <w:top w:val="none" w:sz="0" w:space="0" w:color="auto"/>
            <w:left w:val="none" w:sz="0" w:space="0" w:color="auto"/>
            <w:bottom w:val="none" w:sz="0" w:space="0" w:color="auto"/>
            <w:right w:val="none" w:sz="0" w:space="0" w:color="auto"/>
          </w:divBdr>
          <w:divsChild>
            <w:div w:id="1364672459">
              <w:marLeft w:val="0"/>
              <w:marRight w:val="0"/>
              <w:marTop w:val="0"/>
              <w:marBottom w:val="0"/>
              <w:divBdr>
                <w:top w:val="none" w:sz="0" w:space="0" w:color="auto"/>
                <w:left w:val="none" w:sz="0" w:space="0" w:color="auto"/>
                <w:bottom w:val="none" w:sz="0" w:space="0" w:color="auto"/>
                <w:right w:val="none" w:sz="0" w:space="0" w:color="auto"/>
              </w:divBdr>
              <w:divsChild>
                <w:div w:id="2480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055">
      <w:bodyDiv w:val="1"/>
      <w:marLeft w:val="0"/>
      <w:marRight w:val="0"/>
      <w:marTop w:val="0"/>
      <w:marBottom w:val="0"/>
      <w:divBdr>
        <w:top w:val="none" w:sz="0" w:space="0" w:color="auto"/>
        <w:left w:val="none" w:sz="0" w:space="0" w:color="auto"/>
        <w:bottom w:val="none" w:sz="0" w:space="0" w:color="auto"/>
        <w:right w:val="none" w:sz="0" w:space="0" w:color="auto"/>
      </w:divBdr>
    </w:div>
    <w:div w:id="1373119178">
      <w:bodyDiv w:val="1"/>
      <w:marLeft w:val="0"/>
      <w:marRight w:val="0"/>
      <w:marTop w:val="0"/>
      <w:marBottom w:val="0"/>
      <w:divBdr>
        <w:top w:val="none" w:sz="0" w:space="0" w:color="auto"/>
        <w:left w:val="none" w:sz="0" w:space="0" w:color="auto"/>
        <w:bottom w:val="none" w:sz="0" w:space="0" w:color="auto"/>
        <w:right w:val="none" w:sz="0" w:space="0" w:color="auto"/>
      </w:divBdr>
    </w:div>
    <w:div w:id="1395810656">
      <w:bodyDiv w:val="1"/>
      <w:marLeft w:val="0"/>
      <w:marRight w:val="0"/>
      <w:marTop w:val="0"/>
      <w:marBottom w:val="0"/>
      <w:divBdr>
        <w:top w:val="none" w:sz="0" w:space="0" w:color="auto"/>
        <w:left w:val="none" w:sz="0" w:space="0" w:color="auto"/>
        <w:bottom w:val="none" w:sz="0" w:space="0" w:color="auto"/>
        <w:right w:val="none" w:sz="0" w:space="0" w:color="auto"/>
      </w:divBdr>
      <w:divsChild>
        <w:div w:id="125516823">
          <w:marLeft w:val="0"/>
          <w:marRight w:val="0"/>
          <w:marTop w:val="0"/>
          <w:marBottom w:val="0"/>
          <w:divBdr>
            <w:top w:val="none" w:sz="0" w:space="0" w:color="auto"/>
            <w:left w:val="none" w:sz="0" w:space="0" w:color="auto"/>
            <w:bottom w:val="none" w:sz="0" w:space="0" w:color="auto"/>
            <w:right w:val="none" w:sz="0" w:space="0" w:color="auto"/>
          </w:divBdr>
          <w:divsChild>
            <w:div w:id="1841772728">
              <w:marLeft w:val="0"/>
              <w:marRight w:val="0"/>
              <w:marTop w:val="0"/>
              <w:marBottom w:val="0"/>
              <w:divBdr>
                <w:top w:val="none" w:sz="0" w:space="0" w:color="auto"/>
                <w:left w:val="none" w:sz="0" w:space="0" w:color="auto"/>
                <w:bottom w:val="none" w:sz="0" w:space="0" w:color="auto"/>
                <w:right w:val="none" w:sz="0" w:space="0" w:color="auto"/>
              </w:divBdr>
              <w:divsChild>
                <w:div w:id="629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636">
      <w:bodyDiv w:val="1"/>
      <w:marLeft w:val="0"/>
      <w:marRight w:val="0"/>
      <w:marTop w:val="0"/>
      <w:marBottom w:val="0"/>
      <w:divBdr>
        <w:top w:val="none" w:sz="0" w:space="0" w:color="auto"/>
        <w:left w:val="none" w:sz="0" w:space="0" w:color="auto"/>
        <w:bottom w:val="none" w:sz="0" w:space="0" w:color="auto"/>
        <w:right w:val="none" w:sz="0" w:space="0" w:color="auto"/>
      </w:divBdr>
    </w:div>
    <w:div w:id="1453746631">
      <w:bodyDiv w:val="1"/>
      <w:marLeft w:val="0"/>
      <w:marRight w:val="0"/>
      <w:marTop w:val="0"/>
      <w:marBottom w:val="0"/>
      <w:divBdr>
        <w:top w:val="none" w:sz="0" w:space="0" w:color="auto"/>
        <w:left w:val="none" w:sz="0" w:space="0" w:color="auto"/>
        <w:bottom w:val="none" w:sz="0" w:space="0" w:color="auto"/>
        <w:right w:val="none" w:sz="0" w:space="0" w:color="auto"/>
      </w:divBdr>
      <w:divsChild>
        <w:div w:id="282927675">
          <w:marLeft w:val="0"/>
          <w:marRight w:val="0"/>
          <w:marTop w:val="0"/>
          <w:marBottom w:val="0"/>
          <w:divBdr>
            <w:top w:val="none" w:sz="0" w:space="0" w:color="auto"/>
            <w:left w:val="none" w:sz="0" w:space="0" w:color="auto"/>
            <w:bottom w:val="none" w:sz="0" w:space="0" w:color="auto"/>
            <w:right w:val="none" w:sz="0" w:space="0" w:color="auto"/>
          </w:divBdr>
          <w:divsChild>
            <w:div w:id="413012990">
              <w:marLeft w:val="0"/>
              <w:marRight w:val="0"/>
              <w:marTop w:val="0"/>
              <w:marBottom w:val="0"/>
              <w:divBdr>
                <w:top w:val="none" w:sz="0" w:space="0" w:color="auto"/>
                <w:left w:val="none" w:sz="0" w:space="0" w:color="auto"/>
                <w:bottom w:val="none" w:sz="0" w:space="0" w:color="auto"/>
                <w:right w:val="none" w:sz="0" w:space="0" w:color="auto"/>
              </w:divBdr>
              <w:divsChild>
                <w:div w:id="21231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0596">
      <w:bodyDiv w:val="1"/>
      <w:marLeft w:val="0"/>
      <w:marRight w:val="0"/>
      <w:marTop w:val="0"/>
      <w:marBottom w:val="0"/>
      <w:divBdr>
        <w:top w:val="none" w:sz="0" w:space="0" w:color="auto"/>
        <w:left w:val="none" w:sz="0" w:space="0" w:color="auto"/>
        <w:bottom w:val="none" w:sz="0" w:space="0" w:color="auto"/>
        <w:right w:val="none" w:sz="0" w:space="0" w:color="auto"/>
      </w:divBdr>
    </w:div>
    <w:div w:id="1715690549">
      <w:bodyDiv w:val="1"/>
      <w:marLeft w:val="0"/>
      <w:marRight w:val="0"/>
      <w:marTop w:val="0"/>
      <w:marBottom w:val="0"/>
      <w:divBdr>
        <w:top w:val="none" w:sz="0" w:space="0" w:color="auto"/>
        <w:left w:val="none" w:sz="0" w:space="0" w:color="auto"/>
        <w:bottom w:val="none" w:sz="0" w:space="0" w:color="auto"/>
        <w:right w:val="none" w:sz="0" w:space="0" w:color="auto"/>
      </w:divBdr>
      <w:divsChild>
        <w:div w:id="387384396">
          <w:marLeft w:val="0"/>
          <w:marRight w:val="0"/>
          <w:marTop w:val="0"/>
          <w:marBottom w:val="0"/>
          <w:divBdr>
            <w:top w:val="none" w:sz="0" w:space="0" w:color="auto"/>
            <w:left w:val="none" w:sz="0" w:space="0" w:color="auto"/>
            <w:bottom w:val="none" w:sz="0" w:space="0" w:color="auto"/>
            <w:right w:val="none" w:sz="0" w:space="0" w:color="auto"/>
          </w:divBdr>
          <w:divsChild>
            <w:div w:id="2056810694">
              <w:marLeft w:val="0"/>
              <w:marRight w:val="0"/>
              <w:marTop w:val="0"/>
              <w:marBottom w:val="0"/>
              <w:divBdr>
                <w:top w:val="none" w:sz="0" w:space="0" w:color="auto"/>
                <w:left w:val="none" w:sz="0" w:space="0" w:color="auto"/>
                <w:bottom w:val="none" w:sz="0" w:space="0" w:color="auto"/>
                <w:right w:val="none" w:sz="0" w:space="0" w:color="auto"/>
              </w:divBdr>
              <w:divsChild>
                <w:div w:id="4037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5461">
      <w:bodyDiv w:val="1"/>
      <w:marLeft w:val="0"/>
      <w:marRight w:val="0"/>
      <w:marTop w:val="0"/>
      <w:marBottom w:val="0"/>
      <w:divBdr>
        <w:top w:val="none" w:sz="0" w:space="0" w:color="auto"/>
        <w:left w:val="none" w:sz="0" w:space="0" w:color="auto"/>
        <w:bottom w:val="none" w:sz="0" w:space="0" w:color="auto"/>
        <w:right w:val="none" w:sz="0" w:space="0" w:color="auto"/>
      </w:divBdr>
      <w:divsChild>
        <w:div w:id="60298384">
          <w:marLeft w:val="0"/>
          <w:marRight w:val="0"/>
          <w:marTop w:val="0"/>
          <w:marBottom w:val="0"/>
          <w:divBdr>
            <w:top w:val="none" w:sz="0" w:space="0" w:color="auto"/>
            <w:left w:val="none" w:sz="0" w:space="0" w:color="auto"/>
            <w:bottom w:val="none" w:sz="0" w:space="0" w:color="auto"/>
            <w:right w:val="none" w:sz="0" w:space="0" w:color="auto"/>
          </w:divBdr>
          <w:divsChild>
            <w:div w:id="1373190852">
              <w:marLeft w:val="0"/>
              <w:marRight w:val="0"/>
              <w:marTop w:val="0"/>
              <w:marBottom w:val="0"/>
              <w:divBdr>
                <w:top w:val="none" w:sz="0" w:space="0" w:color="auto"/>
                <w:left w:val="none" w:sz="0" w:space="0" w:color="auto"/>
                <w:bottom w:val="none" w:sz="0" w:space="0" w:color="auto"/>
                <w:right w:val="none" w:sz="0" w:space="0" w:color="auto"/>
              </w:divBdr>
              <w:divsChild>
                <w:div w:id="16298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3409">
      <w:bodyDiv w:val="1"/>
      <w:marLeft w:val="0"/>
      <w:marRight w:val="0"/>
      <w:marTop w:val="0"/>
      <w:marBottom w:val="0"/>
      <w:divBdr>
        <w:top w:val="none" w:sz="0" w:space="0" w:color="auto"/>
        <w:left w:val="none" w:sz="0" w:space="0" w:color="auto"/>
        <w:bottom w:val="none" w:sz="0" w:space="0" w:color="auto"/>
        <w:right w:val="none" w:sz="0" w:space="0" w:color="auto"/>
      </w:divBdr>
    </w:div>
    <w:div w:id="2098020627">
      <w:bodyDiv w:val="1"/>
      <w:marLeft w:val="0"/>
      <w:marRight w:val="0"/>
      <w:marTop w:val="0"/>
      <w:marBottom w:val="0"/>
      <w:divBdr>
        <w:top w:val="none" w:sz="0" w:space="0" w:color="auto"/>
        <w:left w:val="none" w:sz="0" w:space="0" w:color="auto"/>
        <w:bottom w:val="none" w:sz="0" w:space="0" w:color="auto"/>
        <w:right w:val="none" w:sz="0" w:space="0" w:color="auto"/>
      </w:divBdr>
    </w:div>
    <w:div w:id="2103838814">
      <w:bodyDiv w:val="1"/>
      <w:marLeft w:val="0"/>
      <w:marRight w:val="0"/>
      <w:marTop w:val="0"/>
      <w:marBottom w:val="0"/>
      <w:divBdr>
        <w:top w:val="none" w:sz="0" w:space="0" w:color="auto"/>
        <w:left w:val="none" w:sz="0" w:space="0" w:color="auto"/>
        <w:bottom w:val="none" w:sz="0" w:space="0" w:color="auto"/>
        <w:right w:val="none" w:sz="0" w:space="0" w:color="auto"/>
      </w:divBdr>
      <w:divsChild>
        <w:div w:id="766080071">
          <w:marLeft w:val="0"/>
          <w:marRight w:val="0"/>
          <w:marTop w:val="0"/>
          <w:marBottom w:val="0"/>
          <w:divBdr>
            <w:top w:val="none" w:sz="0" w:space="0" w:color="auto"/>
            <w:left w:val="none" w:sz="0" w:space="0" w:color="auto"/>
            <w:bottom w:val="none" w:sz="0" w:space="0" w:color="auto"/>
            <w:right w:val="none" w:sz="0" w:space="0" w:color="auto"/>
          </w:divBdr>
          <w:divsChild>
            <w:div w:id="1450785050">
              <w:marLeft w:val="0"/>
              <w:marRight w:val="0"/>
              <w:marTop w:val="0"/>
              <w:marBottom w:val="0"/>
              <w:divBdr>
                <w:top w:val="none" w:sz="0" w:space="0" w:color="auto"/>
                <w:left w:val="none" w:sz="0" w:space="0" w:color="auto"/>
                <w:bottom w:val="none" w:sz="0" w:space="0" w:color="auto"/>
                <w:right w:val="none" w:sz="0" w:space="0" w:color="auto"/>
              </w:divBdr>
              <w:divsChild>
                <w:div w:id="20643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binternet.ohchr.org/_layouts/treatybodyexternal/Download.aspx?symbolno=INT%2fCESCR%2fGEC%2f4760&amp;Lang=en" TargetMode="External"/><Relationship Id="rId21" Type="http://schemas.openxmlformats.org/officeDocument/2006/relationships/hyperlink" Target="http://dx.doi.org/10.1016/j.alter.2008.10.002" TargetMode="External"/><Relationship Id="rId42" Type="http://schemas.openxmlformats.org/officeDocument/2006/relationships/hyperlink" Target="http://dx.doi.org/10.1016/S0140-6736(11)61851-5" TargetMode="External"/><Relationship Id="rId47" Type="http://schemas.openxmlformats.org/officeDocument/2006/relationships/hyperlink" Target="http://www.ilo.ch/wcmsp5/groups/public/---dgreports/---dcomm/documents/publication/wcms_245201.pdf" TargetMode="External"/><Relationship Id="rId63" Type="http://schemas.openxmlformats.org/officeDocument/2006/relationships/hyperlink" Target="http://documents.worldbank.org/curated/en/501871468326189306/pdf/625640NWP0110900PUBLIC00BOX361487B.pdf" TargetMode="External"/><Relationship Id="rId68" Type="http://schemas.openxmlformats.org/officeDocument/2006/relationships/hyperlink" Target="http://dx.doi.org/10.1016/j.asieco.2012.06.003" TargetMode="External"/><Relationship Id="rId84" Type="http://schemas.openxmlformats.org/officeDocument/2006/relationships/hyperlink" Target="https://www.giz.de/expertise/downloads/giz-en2015-inclusive-social-protection-checklist-bf.pdf" TargetMode="External"/><Relationship Id="rId89" Type="http://schemas.openxmlformats.org/officeDocument/2006/relationships/hyperlink" Target="http://apps.who.int/iris/bitstream/10665/207694/1/WHO_EMP_PHI_2016.01_eng.pdf?ua=1" TargetMode="External"/><Relationship Id="rId7" Type="http://schemas.openxmlformats.org/officeDocument/2006/relationships/numbering" Target="numbering.xml"/><Relationship Id="rId71" Type="http://schemas.openxmlformats.org/officeDocument/2006/relationships/hyperlink" Target="https://www.unicef-irc.org/publications/474" TargetMode="External"/><Relationship Id="rId92" Type="http://schemas.openxmlformats.org/officeDocument/2006/relationships/hyperlink" Target="http://dx.doi.org/10.1111/j.1475-4991.2005.00146.x"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x.doi.org/10.1002/hec.1619" TargetMode="External"/><Relationship Id="rId11" Type="http://schemas.openxmlformats.org/officeDocument/2006/relationships/footnotes" Target="footnotes.xml"/><Relationship Id="rId24" Type="http://schemas.openxmlformats.org/officeDocument/2006/relationships/hyperlink" Target="http://www.ilo.ch/wcmsp5/groups/public/---ed_emp/---ifp_skills/documents/publication/wcms_119305.pdf" TargetMode="External"/><Relationship Id="rId32" Type="http://schemas.openxmlformats.org/officeDocument/2006/relationships/hyperlink" Target="http://www.eurochild.org/fileadmin/public/05_Library/Thematic_priorities/06_Children_in_Alternative_Care/Eurochild/DI_Lessons_Learned_web_use.pdf" TargetMode="External"/><Relationship Id="rId37" Type="http://schemas.openxmlformats.org/officeDocument/2006/relationships/hyperlink" Target="https://www.researchgate.net/profile/Jill_Hanass-Hancock/publication/298410460_Elements_of_the_Financial_and_Economic_Costs_of_Disability_to_Households_in_South_Africa/links/56e93a9508ae3643b4234f07/Elements-of-the-Financial-and-Economic-Costs-of-Disability-to-Households-in-South-Africa.pdf" TargetMode="External"/><Relationship Id="rId40" Type="http://schemas.openxmlformats.org/officeDocument/2006/relationships/hyperlink" Target="http://data.unhcr.org/syrianrefugees/download.php?id=5812" TargetMode="External"/><Relationship Id="rId45" Type="http://schemas.openxmlformats.org/officeDocument/2006/relationships/hyperlink" Target="https://iddcconsortium.net/sites/default/files/resources-tools/files/inclusive_education_in_emergencies_august_18th_2008.pdf" TargetMode="External"/><Relationship Id="rId53" Type="http://schemas.openxmlformats.org/officeDocument/2006/relationships/hyperlink" Target="http://www.ilo.org/wcmsp5/groups/public/---dgreports/---dcomm/---publ/documents/publication/wcms_604882.pdf" TargetMode="External"/><Relationship Id="rId58" Type="http://schemas.openxmlformats.org/officeDocument/2006/relationships/hyperlink" Target="http://documents.worldbank.org/curated/en/443641468140637787/Disability-and-social-safety-nets-in-developing-countries" TargetMode="External"/><Relationship Id="rId66" Type="http://schemas.openxmlformats.org/officeDocument/2006/relationships/hyperlink" Target="http://ilo.org/wcmsp5/groups/public/---dgreports/---dcomm/---publ/documents/publication/wcms_091349.pdf" TargetMode="External"/><Relationship Id="rId74" Type="http://schemas.openxmlformats.org/officeDocument/2006/relationships/hyperlink" Target="https://www.unicef.org/sowc2013/" TargetMode="External"/><Relationship Id="rId79" Type="http://schemas.openxmlformats.org/officeDocument/2006/relationships/hyperlink" Target="http://www.unwomen.org/en/what-we-do/ending-violence-against-women/facts-and-figures" TargetMode="External"/><Relationship Id="rId87" Type="http://schemas.openxmlformats.org/officeDocument/2006/relationships/hyperlink" Target="https://www.who.int/entity/phi/implementation/assistive_technology/concept_note.docx"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dx.doi.org/10.1016/j.worlddev.2010.06.014" TargetMode="External"/><Relationship Id="rId82" Type="http://schemas.openxmlformats.org/officeDocument/2006/relationships/hyperlink" Target="http://www.washingtongroup-disability.com" TargetMode="External"/><Relationship Id="rId90" Type="http://schemas.openxmlformats.org/officeDocument/2006/relationships/hyperlink" Target="http://apps.who.int/iris/bitstream/10665/207694/1/WHO_EMP_PHI_2016.01_eng.pdf?ua=1" TargetMode="External"/><Relationship Id="rId95" Type="http://schemas.openxmlformats.org/officeDocument/2006/relationships/footer" Target="footer4.xml"/><Relationship Id="rId19" Type="http://schemas.openxmlformats.org/officeDocument/2006/relationships/hyperlink" Target="http://www.bettercarenetwork.org/library/principles-of-good-care-practices/transforming-institutional-care/poverty-remains-a-europe-wide-cause-for-children&#8217;s-institutionalisation" TargetMode="External"/><Relationship Id="rId14" Type="http://schemas.openxmlformats.org/officeDocument/2006/relationships/header" Target="header2.xml"/><Relationship Id="rId22" Type="http://schemas.openxmlformats.org/officeDocument/2006/relationships/hyperlink" Target="http://dx.doi.org/10.1016/j.alter.2008.10.002" TargetMode="External"/><Relationship Id="rId27" Type="http://schemas.openxmlformats.org/officeDocument/2006/relationships/hyperlink" Target="http://www.unhcr.org/refworld/type,GENERAL,,,47b17b5b39c,0.html" TargetMode="External"/><Relationship Id="rId30" Type="http://schemas.openxmlformats.org/officeDocument/2006/relationships/hyperlink" Target="https://dx.doi.org/10.1007/s10198-011-0357-4" TargetMode="External"/><Relationship Id="rId35" Type="http://schemas.openxmlformats.org/officeDocument/2006/relationships/hyperlink" Target="http://www.ucl.ac.uk/leonard-cheshire-research/research/publications/documents/working-papers/wp-16.pdf" TargetMode="External"/><Relationship Id="rId43" Type="http://schemas.openxmlformats.org/officeDocument/2006/relationships/hyperlink" Target="http://dx.doi.org/10.1016/S0140-6736(11)61851-5" TargetMode="External"/><Relationship Id="rId48" Type="http://schemas.openxmlformats.org/officeDocument/2006/relationships/hyperlink" Target="http://www.socialsecurityextension.org/gimi/gess/RessourcePDF.action?ressource.ressourceId=53462" TargetMode="External"/><Relationship Id="rId56" Type="http://schemas.openxmlformats.org/officeDocument/2006/relationships/hyperlink" Target="https://dx.doi.org/10.1007/s13524-013-0272-7" TargetMode="External"/><Relationship Id="rId64" Type="http://schemas.openxmlformats.org/officeDocument/2006/relationships/hyperlink" Target="http://elibrary.worldbank.org/doi/pdf/10.1093/wber/lhr019" TargetMode="External"/><Relationship Id="rId69" Type="http://schemas.openxmlformats.org/officeDocument/2006/relationships/hyperlink" Target="http://dx.doi.org/10.1002/j.1839-4655.2007.tb00072.x" TargetMode="External"/><Relationship Id="rId77" Type="http://schemas.openxmlformats.org/officeDocument/2006/relationships/hyperlink" Target="http://unesdoc.unesco.org/images/0018/001866/186606E.pdf" TargetMode="External"/><Relationship Id="rId100" Type="http://schemas.openxmlformats.org/officeDocument/2006/relationships/header" Target="header9.xml"/><Relationship Id="rId8" Type="http://schemas.openxmlformats.org/officeDocument/2006/relationships/styles" Target="styles.xml"/><Relationship Id="rId51" Type="http://schemas.openxmlformats.org/officeDocument/2006/relationships/hyperlink" Target="http://www.social-protection.org/gimi/gess/RessourcePDF.action?ressource.ressourceId=54434" TargetMode="External"/><Relationship Id="rId72" Type="http://schemas.openxmlformats.org/officeDocument/2006/relationships/hyperlink" Target="https://www.unicef-irc.org/publications/474" TargetMode="External"/><Relationship Id="rId80" Type="http://schemas.openxmlformats.org/officeDocument/2006/relationships/hyperlink" Target="http://www.un.org/en/ga/search/view_doc.asp?symbol=A/70/297" TargetMode="External"/><Relationship Id="rId85" Type="http://schemas.openxmlformats.org/officeDocument/2006/relationships/hyperlink" Target="http://whqlibdoc.who.int/publications/2011/9789240685215_eng.pdf?ua=1" TargetMode="External"/><Relationship Id="rId93" Type="http://schemas.openxmlformats.org/officeDocument/2006/relationships/header" Target="header4.xml"/><Relationship Id="rId98"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tbinternet.ohchr.org/_layouts/treatybodyexternal/Download.aspx?symbolno=INT%2fCESCR%2fGEC%2f4758&amp;Lang=en" TargetMode="External"/><Relationship Id="rId33" Type="http://schemas.openxmlformats.org/officeDocument/2006/relationships/hyperlink" Target="http://www.eurochild.org/fileadmin/public/05_Library/Thematic_priorities/06_Children_in_Alternative_Care/Eurochild/DI_Lessons_Learned_web_use.pdf" TargetMode="External"/><Relationship Id="rId38" Type="http://schemas.openxmlformats.org/officeDocument/2006/relationships/hyperlink" Target="http://www.handicap-international.org/fileadmin/2015Disabilityinhumanitariancontext.pdf" TargetMode="External"/><Relationship Id="rId46" Type="http://schemas.openxmlformats.org/officeDocument/2006/relationships/hyperlink" Target="http://www.ilo.ch/wcmsp5/groups/public/---dgreports/---dcomm/documents/publication/wcms_245201.pdf" TargetMode="External"/><Relationship Id="rId59" Type="http://schemas.openxmlformats.org/officeDocument/2006/relationships/hyperlink" Target="http://documents.worldbank.org/curated/en/443641468140637787/Disability-and-social-safety-nets-in-developing-countries" TargetMode="External"/><Relationship Id="rId67" Type="http://schemas.openxmlformats.org/officeDocument/2006/relationships/hyperlink" Target="http://ilo.org/wcmsp5/groups/public/---dgreports/---dcomm/---publ/documents/publication/wcms_091349.pdf" TargetMode="External"/><Relationship Id="rId103" Type="http://schemas.microsoft.com/office/2016/09/relationships/commentsIds" Target="commentsIds.xml"/><Relationship Id="rId20" Type="http://schemas.openxmlformats.org/officeDocument/2006/relationships/hyperlink" Target="http://www.bettercarenetwork.org/library/principles-of-good-care-practices/transforming-institutional-care/poverty-remains-a-europe-wide-cause-for-children's-institutionalisation" TargetMode="External"/><Relationship Id="rId41" Type="http://schemas.openxmlformats.org/officeDocument/2006/relationships/hyperlink" Target="http://data.unhcr.org/syrianrefugees/download.php?id=5812" TargetMode="External"/><Relationship Id="rId54" Type="http://schemas.openxmlformats.org/officeDocument/2006/relationships/hyperlink" Target="http://dx.doi.org/10.1016/S0140-6736(12)60692-8" TargetMode="External"/><Relationship Id="rId62" Type="http://schemas.openxmlformats.org/officeDocument/2006/relationships/hyperlink" Target="http://documents.worldbank.org/curated/en/501871468326189306/pdf/625640NWP0110900PUBLIC00BOX361487B.pdf" TargetMode="External"/><Relationship Id="rId70" Type="http://schemas.openxmlformats.org/officeDocument/2006/relationships/hyperlink" Target="http://dx.doi.org/10.1002/j.1839-4655.2007.tb00072.x" TargetMode="External"/><Relationship Id="rId75" Type="http://schemas.openxmlformats.org/officeDocument/2006/relationships/hyperlink" Target="https://www.unescwa.org/sites/www.unescwa.org/files/page_attachments/strengthening-social-protection-persons-with-disabilities-advance-copy-en.pdf" TargetMode="External"/><Relationship Id="rId83" Type="http://schemas.openxmlformats.org/officeDocument/2006/relationships/hyperlink" Target="https://www.giz.de/expertise/downloads/giz-en2015-inclusive-social-protection-checklist-bf.pdf" TargetMode="External"/><Relationship Id="rId88" Type="http://schemas.openxmlformats.org/officeDocument/2006/relationships/hyperlink" Target="https://www.who.int/entity/phi/implementation/assistive_technology/concept_note.docx" TargetMode="External"/><Relationship Id="rId91" Type="http://schemas.openxmlformats.org/officeDocument/2006/relationships/hyperlink" Target="http://dx.doi.org/10.1111/j.1475-4991.2005.00146.x"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ilo.ch/wcmsp5/groups/public/---ed_emp/---ifp_skills/documents/publication/wcms_119305.pdf" TargetMode="External"/><Relationship Id="rId28" Type="http://schemas.openxmlformats.org/officeDocument/2006/relationships/hyperlink" Target="https://dx.doi.org/10.1002/hec.1619" TargetMode="External"/><Relationship Id="rId36" Type="http://schemas.openxmlformats.org/officeDocument/2006/relationships/hyperlink" Target="http://www.ucl.ac.uk/leonard-cheshire-research/research/publications/documents/working-papers/wp-16.pdf" TargetMode="External"/><Relationship Id="rId49" Type="http://schemas.openxmlformats.org/officeDocument/2006/relationships/hyperlink" Target="http://www.socialsecurityextension.org/gimi/gess/RessourcePDF.action?ressource.ressourceId=53462" TargetMode="External"/><Relationship Id="rId57" Type="http://schemas.openxmlformats.org/officeDocument/2006/relationships/hyperlink" Target="https://dx.doi.org/10.1007/s13524-013-0272-7" TargetMode="External"/><Relationship Id="rId10" Type="http://schemas.openxmlformats.org/officeDocument/2006/relationships/webSettings" Target="webSettings.xml"/><Relationship Id="rId31" Type="http://schemas.openxmlformats.org/officeDocument/2006/relationships/hyperlink" Target="https://dx.doi.org/10.1007/s10198-011-0357-4" TargetMode="External"/><Relationship Id="rId44" Type="http://schemas.openxmlformats.org/officeDocument/2006/relationships/hyperlink" Target="https://iddcconsortium.net/sites/default/files/resources-tools/files/inclusive_education_in_emergencies_august_18th_2008.pdf" TargetMode="External"/><Relationship Id="rId52" Type="http://schemas.openxmlformats.org/officeDocument/2006/relationships/hyperlink" Target="http://www.ilo.org/wcmsp5/groups/public/---dgreports/---dcomm/---publ/documents/publication/wcms_604882.pdf" TargetMode="External"/><Relationship Id="rId60" Type="http://schemas.openxmlformats.org/officeDocument/2006/relationships/hyperlink" Target="http://dx.doi.org/10.1016/j.worlddev.2010.06.014" TargetMode="External"/><Relationship Id="rId65" Type="http://schemas.openxmlformats.org/officeDocument/2006/relationships/hyperlink" Target="http://elibrary.worldbank.org/doi/pdf/10.1093/wber/lhr019" TargetMode="External"/><Relationship Id="rId73" Type="http://schemas.openxmlformats.org/officeDocument/2006/relationships/hyperlink" Target="https://www.unicef.org/sowc2013/" TargetMode="External"/><Relationship Id="rId78" Type="http://schemas.openxmlformats.org/officeDocument/2006/relationships/hyperlink" Target="http://www.unwomen.org/en/what-we-do/ending-violence-against-women/facts-and-figures" TargetMode="External"/><Relationship Id="rId81" Type="http://schemas.openxmlformats.org/officeDocument/2006/relationships/hyperlink" Target="http://www.un.org/en/ga/search/view_doc.asp?symbol=A/70/297" TargetMode="External"/><Relationship Id="rId86" Type="http://schemas.openxmlformats.org/officeDocument/2006/relationships/hyperlink" Target="http://whqlibdoc.who.int/publications/2011/9789240685215_eng.pdf?ua=1" TargetMode="External"/><Relationship Id="rId94" Type="http://schemas.openxmlformats.org/officeDocument/2006/relationships/header" Target="header5.xml"/><Relationship Id="rId99" Type="http://schemas.openxmlformats.org/officeDocument/2006/relationships/footer" Target="footer5.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handicap-international.org/fileadmin/2015Disabilityinhumanitariancontext.pdf" TargetMode="External"/><Relationship Id="rId34" Type="http://schemas.openxmlformats.org/officeDocument/2006/relationships/hyperlink" Target="http://unesdoc.unesco.org/images/0023/002348/234809E.pdf" TargetMode="External"/><Relationship Id="rId50" Type="http://schemas.openxmlformats.org/officeDocument/2006/relationships/hyperlink" Target="http://www.social-protection.org/gimi/gess/RessourcePDF.action?ressource.ressourceId=54434" TargetMode="External"/><Relationship Id="rId55" Type="http://schemas.openxmlformats.org/officeDocument/2006/relationships/hyperlink" Target="http://dx.doi.org/10.1016/S0140-6736(12)60692-8" TargetMode="External"/><Relationship Id="rId76" Type="http://schemas.openxmlformats.org/officeDocument/2006/relationships/hyperlink" Target="http://unesdoc.unesco.org/images/0018/001866/186606E.pdf" TargetMode="External"/><Relationship Id="rId97" Type="http://schemas.openxmlformats.org/officeDocument/2006/relationships/header" Target="header7.xml"/></Relationships>
</file>

<file path=word/_rels/end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2fC%2fLTU%2fCO%2f1&amp;Lang=en" TargetMode="External"/><Relationship Id="rId3" Type="http://schemas.openxmlformats.org/officeDocument/2006/relationships/hyperlink" Target="http://tbinternet.ohchr.org/_layouts/treatybodyexternal/Download.aspx?symbolno=CRPD%2fC%2fEU%2fCO%2f1&amp;Lang=en" TargetMode="External"/><Relationship Id="rId7" Type="http://schemas.openxmlformats.org/officeDocument/2006/relationships/hyperlink" Target="http://tbinternet.ohchr.org/Treaties/CRPD/Shared%20Documents/SRB/CRPD_C_SRB_CO_1_23689_E.doc" TargetMode="External"/><Relationship Id="rId2" Type="http://schemas.openxmlformats.org/officeDocument/2006/relationships/hyperlink" Target="http://tbinternet.ohchr.org/_layouts/treatybodyexternal/Download.aspx?symbolno=CRPD%2fC%2fTHA%2fCO%2f1&amp;Lang=en" TargetMode="External"/><Relationship Id="rId1" Type="http://schemas.openxmlformats.org/officeDocument/2006/relationships/hyperlink" Target="http://www.ilo.org/dyn/normlex/en/f?p=NORMLEXPUB:12100:0::NO::P12100_ILO_CODE:R202" TargetMode="External"/><Relationship Id="rId6" Type="http://schemas.openxmlformats.org/officeDocument/2006/relationships/hyperlink" Target="http://www.ohchr.org/Documents/HRBodies/CRPD/7thsession/CRPD.C.PER.CO.1-ENG.doc" TargetMode="External"/><Relationship Id="rId5" Type="http://schemas.openxmlformats.org/officeDocument/2006/relationships/hyperlink" Target="http://www.ohchr.org/Documents/HRBodies/CRPD/8thSession/CRPD-C-CHN-CO-1_en.doc" TargetMode="External"/><Relationship Id="rId10" Type="http://schemas.openxmlformats.org/officeDocument/2006/relationships/hyperlink" Target="https://www.giz.de/expertise/html/16762.html" TargetMode="External"/><Relationship Id="rId4" Type="http://schemas.openxmlformats.org/officeDocument/2006/relationships/hyperlink" Target="http://tbinternet.ohchr.org/Treaties/CRPD/Shared%20Documents/SLV/CRPD_C_SLV_CO_1_15177_E.doc" TargetMode="External"/><Relationship Id="rId9" Type="http://schemas.openxmlformats.org/officeDocument/2006/relationships/hyperlink" Target="http://tbinternet.ohchr.org/Treaties/CRPD/Shared%20Documents/TKM/CRPD_C_TKM_CO_1_20188_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FA53-3CD8-481E-A044-A12805C83AA1}">
  <ds:schemaRefs>
    <ds:schemaRef ds:uri="http://schemas.openxmlformats.org/officeDocument/2006/bibliography"/>
  </ds:schemaRefs>
</ds:datastoreItem>
</file>

<file path=customXml/itemProps2.xml><?xml version="1.0" encoding="utf-8"?>
<ds:datastoreItem xmlns:ds="http://schemas.openxmlformats.org/officeDocument/2006/customXml" ds:itemID="{C07A075D-D0B9-484A-8BE9-61AD6C508D4B}">
  <ds:schemaRefs>
    <ds:schemaRef ds:uri="http://schemas.openxmlformats.org/officeDocument/2006/bibliography"/>
  </ds:schemaRefs>
</ds:datastoreItem>
</file>

<file path=customXml/itemProps3.xml><?xml version="1.0" encoding="utf-8"?>
<ds:datastoreItem xmlns:ds="http://schemas.openxmlformats.org/officeDocument/2006/customXml" ds:itemID="{6B12D13E-3D62-4E37-A463-B7450448DE3E}">
  <ds:schemaRefs>
    <ds:schemaRef ds:uri="http://schemas.openxmlformats.org/officeDocument/2006/bibliography"/>
  </ds:schemaRefs>
</ds:datastoreItem>
</file>

<file path=customXml/itemProps4.xml><?xml version="1.0" encoding="utf-8"?>
<ds:datastoreItem xmlns:ds="http://schemas.openxmlformats.org/officeDocument/2006/customXml" ds:itemID="{FEEFED60-4B30-44EA-8A48-2123665909BE}">
  <ds:schemaRefs>
    <ds:schemaRef ds:uri="http://schemas.openxmlformats.org/officeDocument/2006/bibliography"/>
  </ds:schemaRefs>
</ds:datastoreItem>
</file>

<file path=customXml/itemProps5.xml><?xml version="1.0" encoding="utf-8"?>
<ds:datastoreItem xmlns:ds="http://schemas.openxmlformats.org/officeDocument/2006/customXml" ds:itemID="{A219C698-608A-4C97-9668-FD6A3E045BE8}">
  <ds:schemaRefs>
    <ds:schemaRef ds:uri="http://schemas.openxmlformats.org/officeDocument/2006/bibliography"/>
  </ds:schemaRefs>
</ds:datastoreItem>
</file>

<file path=customXml/itemProps6.xml><?xml version="1.0" encoding="utf-8"?>
<ds:datastoreItem xmlns:ds="http://schemas.openxmlformats.org/officeDocument/2006/customXml" ds:itemID="{375970D2-DF4E-46FD-A16E-09C17B0B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JOINT STATEMENT ON TOWARDS INCLUSIVE SOCIAL PROTECTION SYSTEM SUPPORTING FULL AND EFFECTIVE PARTICIPATION OF PERSONS WITH DISABILITIES</vt:lpstr>
    </vt:vector>
  </TitlesOfParts>
  <Company>ILO</Company>
  <LinksUpToDate>false</LinksUpToDate>
  <CharactersWithSpaces>65066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TOWARDS INCLUSIVE SOCIAL PROTECTION SYSTEM SUPPORTING FULL AND EFFECTIVE PARTICIPATION OF PERSONS WITH DISABILITIES</dc:title>
  <dc:subject/>
  <dc:creator>alex siempre</dc:creator>
  <cp:keywords/>
  <dc:description/>
  <cp:lastModifiedBy>Behrendt, Christina</cp:lastModifiedBy>
  <cp:revision>3</cp:revision>
  <cp:lastPrinted>2018-01-25T08:41:00Z</cp:lastPrinted>
  <dcterms:created xsi:type="dcterms:W3CDTF">2018-01-25T08:41:00Z</dcterms:created>
  <dcterms:modified xsi:type="dcterms:W3CDTF">2018-01-25T08:51:00Z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