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DBE33" w14:textId="3B728C6D" w:rsidR="00604855" w:rsidRDefault="00604855" w:rsidP="00604855">
      <w:pPr>
        <w:rPr>
          <w:rFonts w:ascii="Arial" w:hAnsi="Arial" w:cs="Arial"/>
          <w:b/>
          <w:color w:val="0A77B3"/>
          <w:sz w:val="24"/>
        </w:rPr>
      </w:pPr>
      <w:r>
        <w:br/>
      </w:r>
      <w:r w:rsidR="00861353" w:rsidRPr="00861353">
        <w:rPr>
          <w:rFonts w:ascii="Arial" w:hAnsi="Arial" w:cs="Arial"/>
          <w:b/>
          <w:color w:val="0A77B3"/>
          <w:sz w:val="24"/>
        </w:rPr>
        <w:t>Brussels, 8 November 2018 - IMMEDIATE RELEASE</w:t>
      </w:r>
    </w:p>
    <w:p w14:paraId="3481F7CE" w14:textId="77777777" w:rsidR="00861353" w:rsidRPr="00E702F6" w:rsidRDefault="00861353" w:rsidP="00604855">
      <w:pPr>
        <w:rPr>
          <w:rFonts w:ascii="Arial" w:hAnsi="Arial" w:cs="Arial"/>
          <w:b/>
        </w:rPr>
      </w:pPr>
    </w:p>
    <w:p w14:paraId="2791F87D" w14:textId="790C7B3D" w:rsidR="00BF0FA0" w:rsidRDefault="00861353" w:rsidP="00C53357">
      <w:pPr>
        <w:pStyle w:val="Heading2"/>
        <w:rPr>
          <w:rFonts w:ascii="Arial" w:hAnsi="Arial" w:cs="Arial"/>
          <w:b w:val="0"/>
          <w:noProof/>
          <w:color w:val="0A77B3"/>
          <w:sz w:val="32"/>
          <w:szCs w:val="32"/>
        </w:rPr>
      </w:pPr>
      <w:r w:rsidRPr="00861353">
        <w:rPr>
          <w:rFonts w:ascii="Arial" w:hAnsi="Arial" w:cs="Arial"/>
          <w:noProof/>
          <w:color w:val="0A77B3"/>
          <w:sz w:val="32"/>
          <w:szCs w:val="32"/>
        </w:rPr>
        <w:t>Disappointing compromise on EU Accessibility Act </w:t>
      </w:r>
    </w:p>
    <w:p w14:paraId="6EE0D874" w14:textId="77777777" w:rsidR="00861353" w:rsidRPr="00861353" w:rsidRDefault="00861353" w:rsidP="00861353"/>
    <w:p w14:paraId="31CA95B9" w14:textId="58ECA13E" w:rsidR="00224A19" w:rsidRDefault="00861353" w:rsidP="00BF0FA0">
      <w:pPr>
        <w:jc w:val="both"/>
      </w:pPr>
      <w:r w:rsidRPr="00861353">
        <w:rPr>
          <w:rFonts w:ascii="Arial" w:eastAsiaTheme="majorEastAsia" w:hAnsi="Arial" w:cs="Arial"/>
          <w:color w:val="0A77B3"/>
          <w:sz w:val="26"/>
          <w:szCs w:val="26"/>
        </w:rPr>
        <w:t>We have political agreement on the European Accessibility Act. It doesn't live up to its name.</w:t>
      </w:r>
    </w:p>
    <w:p w14:paraId="1ADB6317" w14:textId="2CE8DDA0" w:rsidR="002B7BD4" w:rsidRDefault="00E310C0" w:rsidP="00BF0FA0">
      <w:pPr>
        <w:jc w:val="both"/>
      </w:pPr>
      <w:r>
        <w:rPr>
          <w:noProof/>
        </w:rPr>
        <w:drawing>
          <wp:inline distT="0" distB="0" distL="0" distR="0" wp14:anchorId="26C3B006" wp14:editId="3C448D2D">
            <wp:extent cx="5979954" cy="36671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5"/>
                    <a:stretch/>
                  </pic:blipFill>
                  <pic:spPr bwMode="auto">
                    <a:xfrm>
                      <a:off x="0" y="0"/>
                      <a:ext cx="5980430" cy="366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2F3F9" w14:textId="77777777" w:rsidR="00861353" w:rsidRDefault="00861353" w:rsidP="00BF0FA0">
      <w:pPr>
        <w:jc w:val="both"/>
      </w:pPr>
      <w:r w:rsidRPr="00861353">
        <w:t xml:space="preserve">Many products and services will remain inaccessible to persons with disabilities. Credits: </w:t>
      </w:r>
      <w:proofErr w:type="spellStart"/>
      <w:r w:rsidRPr="00861353">
        <w:t>Benni</w:t>
      </w:r>
      <w:proofErr w:type="spellEnd"/>
      <w:r w:rsidRPr="00861353">
        <w:t xml:space="preserve"> de </w:t>
      </w:r>
      <w:proofErr w:type="spellStart"/>
      <w:r w:rsidRPr="00861353">
        <w:t>Muelder</w:t>
      </w:r>
      <w:proofErr w:type="spellEnd"/>
    </w:p>
    <w:p w14:paraId="724F3967" w14:textId="77777777" w:rsidR="00861353" w:rsidRDefault="00861353" w:rsidP="00833B10">
      <w:pPr>
        <w:pStyle w:val="Heading2"/>
      </w:pPr>
      <w:r w:rsidRPr="00861353">
        <w:rPr>
          <w:rFonts w:ascii="Arial" w:eastAsiaTheme="minorHAnsi" w:hAnsi="Arial" w:cs="Arial"/>
          <w:color w:val="auto"/>
          <w:sz w:val="22"/>
          <w:szCs w:val="22"/>
        </w:rPr>
        <w:t xml:space="preserve">A provisional agreement on the European Accessibility Act was reached today by the EU Institutions. The Act failed persons with disabilities. It only covers digital accessibility and leaves out the </w:t>
      </w:r>
      <w:proofErr w:type="gramStart"/>
      <w:r w:rsidRPr="00861353">
        <w:rPr>
          <w:rFonts w:ascii="Arial" w:eastAsiaTheme="minorHAnsi" w:hAnsi="Arial" w:cs="Arial"/>
          <w:color w:val="auto"/>
          <w:sz w:val="22"/>
          <w:szCs w:val="22"/>
        </w:rPr>
        <w:t>real world</w:t>
      </w:r>
      <w:proofErr w:type="gramEnd"/>
      <w:r w:rsidRPr="00861353">
        <w:rPr>
          <w:rFonts w:ascii="Arial" w:eastAsiaTheme="minorHAnsi" w:hAnsi="Arial" w:cs="Arial"/>
          <w:color w:val="auto"/>
          <w:sz w:val="22"/>
          <w:szCs w:val="22"/>
        </w:rPr>
        <w:t xml:space="preserve"> environment where persons with disabilities live.</w:t>
      </w:r>
    </w:p>
    <w:p w14:paraId="50382171" w14:textId="0E4B1AC9" w:rsidR="00833B10" w:rsidRPr="00833B10" w:rsidRDefault="00833B10" w:rsidP="00833B10">
      <w:pPr>
        <w:pStyle w:val="Heading2"/>
      </w:pPr>
      <w:r>
        <w:t xml:space="preserve"> </w:t>
      </w:r>
    </w:p>
    <w:p w14:paraId="7197B376" w14:textId="135C5575" w:rsidR="00861353" w:rsidRDefault="00D503BC" w:rsidP="00D503BC">
      <w:pPr>
        <w:rPr>
          <w:rFonts w:ascii="Arial" w:hAnsi="Arial" w:cs="Arial"/>
        </w:rPr>
      </w:pPr>
      <w:r>
        <w:t>The European Accessibility Act will add new EU-wide minimum requirements on accessibility on a limited range of products and services. It was proposed by the European Commission in 2015, following more than 10 years of campaigning by the disability movement.</w:t>
      </w:r>
      <w:r>
        <w:br/>
      </w:r>
      <w:r>
        <w:br/>
        <w:t>A range of products and services will need to be accessible to and usable by millions of persons with disabilities in the EU; such as computers, smartphones, TVs, ATMs, payment terminals, e-books, e-readers, websites and mobile applications of private companies and ticket machines. The 112-emergency number and telephony services will also have to be accessible to all Europeans.</w:t>
      </w:r>
      <w:r w:rsidR="00861353">
        <w:rPr>
          <w:rFonts w:ascii="Arial" w:hAnsi="Arial" w:cs="Arial"/>
        </w:rPr>
        <w:br w:type="page"/>
      </w:r>
    </w:p>
    <w:p w14:paraId="70148E76" w14:textId="77777777" w:rsidR="00861353" w:rsidRDefault="00861353" w:rsidP="00833B10">
      <w:pPr>
        <w:pStyle w:val="Heading2"/>
        <w:rPr>
          <w:rFonts w:ascii="Arial" w:eastAsiaTheme="minorHAnsi" w:hAnsi="Arial" w:cs="Arial"/>
          <w:color w:val="auto"/>
          <w:sz w:val="22"/>
          <w:szCs w:val="22"/>
        </w:rPr>
      </w:pPr>
    </w:p>
    <w:p w14:paraId="34DF41EB" w14:textId="25D6D25E" w:rsidR="00861353" w:rsidRDefault="00861353" w:rsidP="00861353">
      <w:pPr>
        <w:pStyle w:val="Heading2"/>
      </w:pPr>
      <w:r w:rsidRPr="00861353">
        <w:t>Expectations not met</w:t>
      </w:r>
    </w:p>
    <w:p w14:paraId="5D9D47B0" w14:textId="57453567" w:rsidR="00D503BC" w:rsidRPr="00D503BC" w:rsidRDefault="00D503BC" w:rsidP="00D503BC">
      <w:pPr>
        <w:pStyle w:val="Heading2"/>
        <w:rPr>
          <w:rFonts w:ascii="Arial" w:eastAsiaTheme="minorHAnsi" w:hAnsi="Arial" w:cs="Arial"/>
          <w:b w:val="0"/>
          <w:color w:val="auto"/>
          <w:sz w:val="22"/>
          <w:szCs w:val="22"/>
        </w:rPr>
      </w:pPr>
    </w:p>
    <w:p w14:paraId="75D41329" w14:textId="2D5E5C17" w:rsidR="00D503BC" w:rsidRPr="00D503BC" w:rsidRDefault="00D503BC" w:rsidP="00D503BC">
      <w:pPr>
        <w:pStyle w:val="Heading2"/>
        <w:rPr>
          <w:rFonts w:ascii="Arial" w:eastAsiaTheme="minorHAnsi" w:hAnsi="Arial" w:cs="Arial"/>
          <w:b w:val="0"/>
          <w:color w:val="auto"/>
          <w:sz w:val="22"/>
          <w:szCs w:val="22"/>
        </w:rPr>
      </w:pPr>
      <w:r w:rsidRPr="00D503BC">
        <w:rPr>
          <w:rFonts w:ascii="Arial" w:eastAsiaTheme="minorHAnsi" w:hAnsi="Arial" w:cs="Arial"/>
          <w:b w:val="0"/>
          <w:color w:val="auto"/>
          <w:sz w:val="22"/>
          <w:szCs w:val="22"/>
        </w:rPr>
        <w:t xml:space="preserve">Despite these, the Act lacks essential aspects. It excludes transport. It excludes microenterprises that provide </w:t>
      </w:r>
      <w:r w:rsidRPr="00D503BC">
        <w:rPr>
          <w:rFonts w:ascii="Arial" w:eastAsiaTheme="minorHAnsi" w:hAnsi="Arial" w:cs="Arial"/>
          <w:b w:val="0"/>
          <w:color w:val="auto"/>
          <w:sz w:val="22"/>
          <w:szCs w:val="22"/>
        </w:rPr>
        <w:t>services.</w:t>
      </w:r>
      <w:r w:rsidRPr="00D503BC">
        <w:rPr>
          <w:rFonts w:ascii="Arial" w:eastAsiaTheme="minorHAnsi" w:hAnsi="Arial" w:cs="Arial"/>
          <w:b w:val="0"/>
          <w:color w:val="auto"/>
          <w:sz w:val="22"/>
          <w:szCs w:val="22"/>
        </w:rPr>
        <w:t>  It excludes household appliances. It excludes any obligation on accessible buildings and infrastructure. It excludes the real environment where people spend most of their time.</w:t>
      </w:r>
    </w:p>
    <w:p w14:paraId="63EFFF22" w14:textId="77777777" w:rsidR="00D503BC" w:rsidRPr="00D503BC" w:rsidRDefault="00D503BC" w:rsidP="00D503BC">
      <w:pPr>
        <w:pStyle w:val="Heading2"/>
        <w:rPr>
          <w:rFonts w:ascii="Arial" w:eastAsiaTheme="minorHAnsi" w:hAnsi="Arial" w:cs="Arial"/>
          <w:b w:val="0"/>
          <w:color w:val="auto"/>
          <w:sz w:val="22"/>
          <w:szCs w:val="22"/>
        </w:rPr>
      </w:pPr>
    </w:p>
    <w:p w14:paraId="091BA348" w14:textId="77777777" w:rsidR="00D503BC" w:rsidRPr="00D503BC" w:rsidRDefault="00D503BC" w:rsidP="00D503BC">
      <w:pPr>
        <w:pStyle w:val="Heading2"/>
        <w:rPr>
          <w:rFonts w:ascii="Arial" w:eastAsiaTheme="minorHAnsi" w:hAnsi="Arial" w:cs="Arial"/>
          <w:b w:val="0"/>
          <w:color w:val="auto"/>
          <w:sz w:val="22"/>
          <w:szCs w:val="22"/>
        </w:rPr>
      </w:pPr>
      <w:r w:rsidRPr="00D503BC">
        <w:rPr>
          <w:rFonts w:ascii="Arial" w:eastAsiaTheme="minorHAnsi" w:hAnsi="Arial" w:cs="Arial"/>
          <w:color w:val="auto"/>
          <w:sz w:val="22"/>
          <w:szCs w:val="22"/>
        </w:rPr>
        <w:t>Yannis Vardakastanis, President of the European Disability Forum</w:t>
      </w:r>
      <w:r w:rsidRPr="00D503BC">
        <w:rPr>
          <w:rFonts w:ascii="Arial" w:eastAsiaTheme="minorHAnsi" w:hAnsi="Arial" w:cs="Arial"/>
          <w:b w:val="0"/>
          <w:color w:val="auto"/>
          <w:sz w:val="22"/>
          <w:szCs w:val="22"/>
        </w:rPr>
        <w:t xml:space="preserve"> stated “EU Member States failed its citizens with disabilities. It seems more like a European Union of businesses than a European Union of people."</w:t>
      </w:r>
    </w:p>
    <w:p w14:paraId="0453B22A" w14:textId="77777777" w:rsidR="00D503BC" w:rsidRPr="00D503BC" w:rsidRDefault="00D503BC" w:rsidP="00D503BC">
      <w:pPr>
        <w:pStyle w:val="Heading2"/>
        <w:rPr>
          <w:rFonts w:ascii="Arial" w:eastAsiaTheme="minorHAnsi" w:hAnsi="Arial" w:cs="Arial"/>
          <w:b w:val="0"/>
          <w:color w:val="auto"/>
          <w:sz w:val="22"/>
          <w:szCs w:val="22"/>
        </w:rPr>
      </w:pPr>
    </w:p>
    <w:p w14:paraId="19E6A0CB" w14:textId="77777777" w:rsidR="00D503BC" w:rsidRPr="00D503BC" w:rsidRDefault="00D503BC" w:rsidP="00D503BC">
      <w:pPr>
        <w:pStyle w:val="Heading2"/>
        <w:rPr>
          <w:rFonts w:ascii="Arial" w:eastAsiaTheme="minorHAnsi" w:hAnsi="Arial" w:cs="Arial"/>
          <w:b w:val="0"/>
          <w:color w:val="auto"/>
          <w:sz w:val="22"/>
          <w:szCs w:val="22"/>
        </w:rPr>
      </w:pPr>
      <w:r w:rsidRPr="00D503BC">
        <w:rPr>
          <w:rFonts w:ascii="Arial" w:eastAsiaTheme="minorHAnsi" w:hAnsi="Arial" w:cs="Arial"/>
          <w:b w:val="0"/>
          <w:color w:val="auto"/>
          <w:sz w:val="22"/>
          <w:szCs w:val="22"/>
        </w:rPr>
        <w:t>He added "EU Member States need to go above and beyond the scope of the Act if they want it to make a difference. They need to assure that persons with disabilities must have the same access to places, products and services as everybody else.”</w:t>
      </w:r>
    </w:p>
    <w:p w14:paraId="3FB353AD" w14:textId="77777777" w:rsidR="00D503BC" w:rsidRPr="00D503BC" w:rsidRDefault="00D503BC" w:rsidP="00D503BC">
      <w:pPr>
        <w:pStyle w:val="Heading2"/>
        <w:rPr>
          <w:rFonts w:ascii="Arial" w:eastAsiaTheme="minorHAnsi" w:hAnsi="Arial" w:cs="Arial"/>
          <w:b w:val="0"/>
          <w:color w:val="auto"/>
          <w:sz w:val="22"/>
          <w:szCs w:val="22"/>
        </w:rPr>
      </w:pPr>
    </w:p>
    <w:p w14:paraId="5D9DFC12" w14:textId="77777777" w:rsidR="00D503BC" w:rsidRPr="00D503BC" w:rsidRDefault="00D503BC" w:rsidP="00D503BC">
      <w:pPr>
        <w:pStyle w:val="Heading2"/>
        <w:rPr>
          <w:rFonts w:ascii="Arial" w:eastAsiaTheme="minorHAnsi" w:hAnsi="Arial" w:cs="Arial"/>
          <w:b w:val="0"/>
          <w:color w:val="auto"/>
          <w:sz w:val="22"/>
          <w:szCs w:val="22"/>
        </w:rPr>
      </w:pPr>
      <w:r w:rsidRPr="00D503BC">
        <w:rPr>
          <w:rFonts w:ascii="Arial" w:eastAsiaTheme="minorHAnsi" w:hAnsi="Arial" w:cs="Arial"/>
          <w:b w:val="0"/>
          <w:color w:val="auto"/>
          <w:sz w:val="22"/>
          <w:szCs w:val="22"/>
        </w:rPr>
        <w:t>The European Disability Forum will now analyse this agreement and issue a statement on the next steps of the campaign. </w:t>
      </w:r>
    </w:p>
    <w:p w14:paraId="10DC31C8" w14:textId="77777777" w:rsidR="00D503BC" w:rsidRPr="00D503BC" w:rsidRDefault="00D503BC" w:rsidP="00D503BC">
      <w:pPr>
        <w:pStyle w:val="Heading2"/>
        <w:rPr>
          <w:rFonts w:ascii="Arial" w:eastAsiaTheme="minorHAnsi" w:hAnsi="Arial" w:cs="Arial"/>
          <w:b w:val="0"/>
          <w:color w:val="auto"/>
          <w:sz w:val="22"/>
          <w:szCs w:val="22"/>
        </w:rPr>
      </w:pPr>
    </w:p>
    <w:p w14:paraId="31CD03D8" w14:textId="17FFAE15" w:rsidR="00861353" w:rsidRDefault="00D503BC" w:rsidP="00D503BC">
      <w:pPr>
        <w:pStyle w:val="Heading2"/>
        <w:rPr>
          <w:rFonts w:ascii="Arial" w:eastAsiaTheme="minorHAnsi" w:hAnsi="Arial" w:cs="Arial"/>
          <w:b w:val="0"/>
          <w:color w:val="auto"/>
          <w:sz w:val="22"/>
          <w:szCs w:val="22"/>
        </w:rPr>
      </w:pPr>
      <w:r w:rsidRPr="00D503BC">
        <w:rPr>
          <w:rFonts w:ascii="Arial" w:eastAsiaTheme="minorHAnsi" w:hAnsi="Arial" w:cs="Arial"/>
          <w:b w:val="0"/>
          <w:color w:val="auto"/>
          <w:sz w:val="22"/>
          <w:szCs w:val="22"/>
        </w:rPr>
        <w:t>The institutions will now finalise the technical details of the text and will vote to ratify today’s agreement. </w:t>
      </w:r>
    </w:p>
    <w:p w14:paraId="46C6194B" w14:textId="77777777" w:rsidR="00D503BC" w:rsidRPr="00D503BC" w:rsidRDefault="00D503BC" w:rsidP="00D503BC"/>
    <w:p w14:paraId="32A69930" w14:textId="6B916B6C" w:rsidR="00004860" w:rsidRDefault="00004860" w:rsidP="00861353">
      <w:pPr>
        <w:pStyle w:val="Heading1"/>
        <w:shd w:val="clear" w:color="auto" w:fill="FFFFFF"/>
        <w:spacing w:before="0" w:line="338" w:lineRule="atLeast"/>
        <w:rPr>
          <w:rFonts w:ascii="Helvetica" w:hAnsi="Helvetica"/>
          <w:color w:val="0A77B3"/>
          <w:sz w:val="27"/>
          <w:szCs w:val="27"/>
        </w:rPr>
      </w:pPr>
      <w:r w:rsidRPr="00861353">
        <w:rPr>
          <w:rFonts w:ascii="Helvetica" w:hAnsi="Helvetica"/>
          <w:color w:val="0A77B3"/>
          <w:sz w:val="27"/>
          <w:szCs w:val="27"/>
        </w:rPr>
        <w:t>Notes to editors</w:t>
      </w:r>
    </w:p>
    <w:p w14:paraId="44D2F928" w14:textId="6CAD5529" w:rsidR="0087087C" w:rsidRPr="0087087C" w:rsidRDefault="0087087C" w:rsidP="0087087C">
      <w:r>
        <w:rPr>
          <w:noProof/>
        </w:rPr>
        <w:drawing>
          <wp:inline distT="0" distB="0" distL="0" distR="0" wp14:anchorId="50A8F9BC" wp14:editId="7D81743D">
            <wp:extent cx="589623" cy="7334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35" cy="74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F70A88" w14:textId="38E690BD" w:rsidR="00067EBD" w:rsidRDefault="002B7BD4" w:rsidP="005316EE">
      <w:pPr>
        <w:rPr>
          <w:rFonts w:ascii="Verdana" w:hAnsi="Verdana"/>
          <w:color w:val="111111"/>
          <w:sz w:val="21"/>
          <w:szCs w:val="21"/>
        </w:rPr>
      </w:pPr>
      <w:r>
        <w:rPr>
          <w:rFonts w:ascii="Verdana" w:hAnsi="Verdana"/>
          <w:color w:val="111111"/>
          <w:sz w:val="21"/>
          <w:szCs w:val="21"/>
        </w:rPr>
        <w:t>The </w:t>
      </w:r>
      <w:hyperlink r:id="rId10" w:tgtFrame="_blank" w:history="1">
        <w:r>
          <w:rPr>
            <w:rStyle w:val="Hyperlink"/>
            <w:rFonts w:ascii="Verdana" w:hAnsi="Verdana"/>
            <w:color w:val="0477B3"/>
            <w:sz w:val="21"/>
            <w:szCs w:val="21"/>
          </w:rPr>
          <w:t>European Disability Forum</w:t>
        </w:r>
      </w:hyperlink>
      <w:r>
        <w:rPr>
          <w:rFonts w:ascii="Verdana" w:hAnsi="Verdana"/>
          <w:color w:val="111111"/>
          <w:sz w:val="21"/>
          <w:szCs w:val="21"/>
        </w:rPr>
        <w:t> is an independent NGO that defends the interests of 80 million Europeans with disabilities. EDF is a unique platform which brings together representative organisations of persons with disabilities from across Europe. It is run by persons with disabilities and their families. EDF is a strong, united voice of persons with disabilities in Europe</w:t>
      </w:r>
    </w:p>
    <w:p w14:paraId="6A3C1472" w14:textId="77777777" w:rsidR="002B7BD4" w:rsidRPr="00A82413" w:rsidRDefault="002B7BD4" w:rsidP="002B7BD4">
      <w:pPr>
        <w:pStyle w:val="Heading1"/>
        <w:shd w:val="clear" w:color="auto" w:fill="FFFFFF"/>
        <w:spacing w:before="0" w:line="338" w:lineRule="atLeast"/>
        <w:rPr>
          <w:rFonts w:ascii="Helvetica" w:hAnsi="Helvetica"/>
          <w:color w:val="0A77B3"/>
          <w:sz w:val="27"/>
          <w:szCs w:val="27"/>
        </w:rPr>
      </w:pPr>
      <w:r w:rsidRPr="00A82413">
        <w:rPr>
          <w:rFonts w:ascii="Helvetica" w:hAnsi="Helvetica"/>
          <w:color w:val="0A77B3"/>
          <w:sz w:val="27"/>
          <w:szCs w:val="27"/>
        </w:rPr>
        <w:t>Related information </w:t>
      </w:r>
    </w:p>
    <w:p w14:paraId="3998E14C" w14:textId="77777777" w:rsidR="00861353" w:rsidRDefault="0087087C" w:rsidP="00861353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1" w:history="1">
        <w:r w:rsidR="00861353">
          <w:rPr>
            <w:rStyle w:val="Hyperlink"/>
          </w:rPr>
          <w:t>European Accessibility Act Campaign page</w:t>
        </w:r>
      </w:hyperlink>
    </w:p>
    <w:p w14:paraId="390801A4" w14:textId="77777777" w:rsidR="00861353" w:rsidRDefault="0087087C" w:rsidP="00861353">
      <w:pPr>
        <w:numPr>
          <w:ilvl w:val="0"/>
          <w:numId w:val="10"/>
        </w:numPr>
        <w:spacing w:before="100" w:beforeAutospacing="1" w:after="100" w:afterAutospacing="1" w:line="240" w:lineRule="auto"/>
      </w:pPr>
      <w:hyperlink r:id="rId12" w:tgtFrame="_blank" w:history="1">
        <w:r w:rsidR="00861353">
          <w:rPr>
            <w:rStyle w:val="Hyperlink"/>
          </w:rPr>
          <w:t>Illustrative photos</w:t>
        </w:r>
      </w:hyperlink>
    </w:p>
    <w:p w14:paraId="4516725E" w14:textId="461D9999" w:rsidR="00861353" w:rsidRPr="00D503BC" w:rsidRDefault="00861353" w:rsidP="002B7BD4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Press Release in Word | PDF</w:t>
      </w:r>
    </w:p>
    <w:p w14:paraId="37031E68" w14:textId="17DE4554" w:rsidR="002B7BD4" w:rsidRPr="00A82413" w:rsidRDefault="002B7BD4" w:rsidP="00D503BC">
      <w:pPr>
        <w:pStyle w:val="Heading1"/>
        <w:rPr>
          <w:b/>
        </w:rPr>
      </w:pPr>
      <w:r w:rsidRPr="00A82413">
        <w:t>For more information, please contact</w:t>
      </w:r>
    </w:p>
    <w:p w14:paraId="3A70F341" w14:textId="60CB83E4" w:rsidR="00E84C6E" w:rsidRPr="00D503BC" w:rsidRDefault="002B7BD4" w:rsidP="005316EE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111111"/>
          <w:sz w:val="21"/>
          <w:szCs w:val="21"/>
          <w:shd w:val="clear" w:color="auto" w:fill="FFFFFF"/>
        </w:rPr>
        <w:t> 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Style w:val="Strong"/>
          <w:rFonts w:ascii="Verdana" w:hAnsi="Verdana"/>
          <w:color w:val="111111"/>
          <w:sz w:val="21"/>
          <w:szCs w:val="21"/>
          <w:shd w:val="clear" w:color="auto" w:fill="FFFFFF"/>
        </w:rPr>
        <w:t>André Félix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Fonts w:ascii="Verdana" w:hAnsi="Verdana"/>
          <w:color w:val="111111"/>
          <w:sz w:val="21"/>
          <w:szCs w:val="21"/>
          <w:shd w:val="clear" w:color="auto" w:fill="FFFFFF"/>
        </w:rPr>
        <w:t>External Communications Officer</w:t>
      </w:r>
      <w:r>
        <w:rPr>
          <w:rFonts w:ascii="Verdana" w:hAnsi="Verdana"/>
          <w:color w:val="111111"/>
          <w:sz w:val="21"/>
          <w:szCs w:val="21"/>
        </w:rPr>
        <w:br/>
      </w:r>
      <w:r>
        <w:rPr>
          <w:rStyle w:val="Strong"/>
          <w:rFonts w:ascii="Verdana" w:hAnsi="Verdana"/>
          <w:color w:val="111111"/>
          <w:sz w:val="21"/>
          <w:szCs w:val="21"/>
          <w:shd w:val="clear" w:color="auto" w:fill="FFFFFF"/>
        </w:rPr>
        <w:t>European Disability Forum</w:t>
      </w:r>
      <w:r>
        <w:rPr>
          <w:rFonts w:ascii="Verdana" w:hAnsi="Verdana"/>
          <w:color w:val="111111"/>
          <w:sz w:val="21"/>
          <w:szCs w:val="21"/>
        </w:rPr>
        <w:br/>
      </w:r>
      <w:proofErr w:type="spellStart"/>
      <w:r>
        <w:rPr>
          <w:rFonts w:ascii="Verdana" w:hAnsi="Verdana"/>
          <w:color w:val="111111"/>
          <w:sz w:val="21"/>
          <w:szCs w:val="21"/>
          <w:shd w:val="clear" w:color="auto" w:fill="FFFFFF"/>
        </w:rPr>
        <w:t>tel</w:t>
      </w:r>
      <w:proofErr w:type="spellEnd"/>
      <w:r>
        <w:rPr>
          <w:rFonts w:ascii="Verdana" w:hAnsi="Verdana"/>
          <w:color w:val="111111"/>
          <w:sz w:val="21"/>
          <w:szCs w:val="21"/>
          <w:shd w:val="clear" w:color="auto" w:fill="FFFFFF"/>
        </w:rPr>
        <w:t xml:space="preserve"> +32 2 282 46 04 | Mobile +32 4 831 18 71 80 </w:t>
      </w:r>
      <w:r>
        <w:rPr>
          <w:rFonts w:ascii="Verdana" w:hAnsi="Verdana"/>
          <w:color w:val="111111"/>
          <w:sz w:val="21"/>
          <w:szCs w:val="21"/>
        </w:rPr>
        <w:br/>
      </w:r>
      <w:hyperlink r:id="rId13" w:history="1">
        <w:r w:rsidR="00D503BC" w:rsidRPr="00B178EA">
          <w:rPr>
            <w:rStyle w:val="Hyperlink"/>
            <w:rFonts w:ascii="Verdana" w:hAnsi="Verdana"/>
            <w:sz w:val="21"/>
            <w:szCs w:val="21"/>
            <w:shd w:val="clear" w:color="auto" w:fill="FFFFFF"/>
          </w:rPr>
          <w:t>andre.felix@edf-feph.org</w:t>
        </w:r>
      </w:hyperlink>
    </w:p>
    <w:sectPr w:rsidR="00E84C6E" w:rsidRPr="00D503BC" w:rsidSect="00604855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270" w:right="1411" w:bottom="360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4F98" w14:textId="77777777" w:rsidR="006B6D19" w:rsidRDefault="006B6D19" w:rsidP="0059569C">
      <w:pPr>
        <w:spacing w:after="0" w:line="240" w:lineRule="auto"/>
      </w:pPr>
      <w:r>
        <w:separator/>
      </w:r>
    </w:p>
  </w:endnote>
  <w:endnote w:type="continuationSeparator" w:id="0">
    <w:p w14:paraId="53287827" w14:textId="77777777" w:rsidR="006B6D19" w:rsidRDefault="006B6D19" w:rsidP="0059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9"/>
      <w:gridCol w:w="3139"/>
      <w:gridCol w:w="3139"/>
    </w:tblGrid>
    <w:tr w:rsidR="018B0ABC" w14:paraId="1A90718C" w14:textId="77777777" w:rsidTr="018B0ABC">
      <w:tc>
        <w:tcPr>
          <w:tcW w:w="3139" w:type="dxa"/>
        </w:tcPr>
        <w:p w14:paraId="63023BFF" w14:textId="184A90E8" w:rsidR="018B0ABC" w:rsidRDefault="018B0ABC" w:rsidP="018B0ABC">
          <w:pPr>
            <w:pStyle w:val="Header"/>
            <w:ind w:left="-115"/>
          </w:pPr>
        </w:p>
      </w:tc>
      <w:tc>
        <w:tcPr>
          <w:tcW w:w="3139" w:type="dxa"/>
        </w:tcPr>
        <w:p w14:paraId="1AE53503" w14:textId="28EE077F" w:rsidR="018B0ABC" w:rsidRDefault="018B0ABC" w:rsidP="018B0ABC">
          <w:pPr>
            <w:pStyle w:val="Header"/>
            <w:jc w:val="center"/>
          </w:pPr>
        </w:p>
      </w:tc>
      <w:tc>
        <w:tcPr>
          <w:tcW w:w="3139" w:type="dxa"/>
        </w:tcPr>
        <w:p w14:paraId="7A3C1865" w14:textId="0CFD14FE" w:rsidR="018B0ABC" w:rsidRDefault="018B0ABC" w:rsidP="018B0ABC">
          <w:pPr>
            <w:pStyle w:val="Header"/>
            <w:ind w:right="-115"/>
            <w:jc w:val="right"/>
          </w:pPr>
        </w:p>
      </w:tc>
    </w:tr>
  </w:tbl>
  <w:p w14:paraId="7F0CE9E9" w14:textId="07DE3AEF" w:rsidR="018B0ABC" w:rsidRDefault="018B0ABC" w:rsidP="018B0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39"/>
      <w:gridCol w:w="3139"/>
      <w:gridCol w:w="3139"/>
    </w:tblGrid>
    <w:tr w:rsidR="018B0ABC" w14:paraId="602D0432" w14:textId="77777777" w:rsidTr="018B0ABC">
      <w:tc>
        <w:tcPr>
          <w:tcW w:w="3139" w:type="dxa"/>
        </w:tcPr>
        <w:p w14:paraId="79B586D3" w14:textId="3E164E52" w:rsidR="018B0ABC" w:rsidRDefault="018B0ABC" w:rsidP="018B0ABC">
          <w:pPr>
            <w:pStyle w:val="Header"/>
            <w:ind w:left="-115"/>
          </w:pPr>
        </w:p>
      </w:tc>
      <w:tc>
        <w:tcPr>
          <w:tcW w:w="3139" w:type="dxa"/>
        </w:tcPr>
        <w:p w14:paraId="2F8769A5" w14:textId="58F857F6" w:rsidR="018B0ABC" w:rsidRDefault="018B0ABC" w:rsidP="018B0ABC">
          <w:pPr>
            <w:pStyle w:val="Header"/>
            <w:jc w:val="center"/>
          </w:pPr>
        </w:p>
      </w:tc>
      <w:tc>
        <w:tcPr>
          <w:tcW w:w="3139" w:type="dxa"/>
        </w:tcPr>
        <w:p w14:paraId="7EE24A59" w14:textId="199EDCD8" w:rsidR="018B0ABC" w:rsidRDefault="018B0ABC" w:rsidP="018B0ABC">
          <w:pPr>
            <w:pStyle w:val="Header"/>
            <w:ind w:right="-115"/>
            <w:jc w:val="right"/>
          </w:pPr>
        </w:p>
      </w:tc>
    </w:tr>
  </w:tbl>
  <w:p w14:paraId="2BC58377" w14:textId="540BE10A" w:rsidR="018B0ABC" w:rsidRDefault="018B0ABC" w:rsidP="018B0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FA8F3" w14:textId="77777777" w:rsidR="006B6D19" w:rsidRDefault="006B6D19" w:rsidP="0059569C">
      <w:pPr>
        <w:spacing w:after="0" w:line="240" w:lineRule="auto"/>
      </w:pPr>
      <w:r>
        <w:separator/>
      </w:r>
    </w:p>
  </w:footnote>
  <w:footnote w:type="continuationSeparator" w:id="0">
    <w:p w14:paraId="6918FC16" w14:textId="77777777" w:rsidR="006B6D19" w:rsidRDefault="006B6D19" w:rsidP="0059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6AC8" w14:textId="1620345B" w:rsidR="0059569C" w:rsidRDefault="0059569C">
    <w:pPr>
      <w:pStyle w:val="Header"/>
      <w:rPr>
        <w:noProof/>
      </w:rPr>
    </w:pPr>
  </w:p>
  <w:p w14:paraId="5949DFAC" w14:textId="497887CB" w:rsidR="0059569C" w:rsidRDefault="00595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5369" w14:textId="1D2B375B" w:rsidR="0059569C" w:rsidRDefault="0059569C">
    <w:pPr>
      <w:pStyle w:val="Header"/>
      <w:rPr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6FF33D3E" wp14:editId="64208636">
          <wp:simplePos x="0" y="0"/>
          <wp:positionH relativeFrom="column">
            <wp:posOffset>1132840</wp:posOffset>
          </wp:positionH>
          <wp:positionV relativeFrom="paragraph">
            <wp:posOffset>-447675</wp:posOffset>
          </wp:positionV>
          <wp:extent cx="5805488" cy="863600"/>
          <wp:effectExtent l="0" t="0" r="5080" b="0"/>
          <wp:wrapTight wrapText="bothSides">
            <wp:wrapPolygon edited="0">
              <wp:start x="0" y="0"/>
              <wp:lineTo x="0" y="20965"/>
              <wp:lineTo x="21548" y="20965"/>
              <wp:lineTo x="21548" y="0"/>
              <wp:lineTo x="0" y="0"/>
            </wp:wrapPolygon>
          </wp:wrapTight>
          <wp:docPr id="14" name="Picture 14" descr="EDF_HEADER_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F_HEADER_MEDIARELEA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07"/>
                  <a:stretch/>
                </pic:blipFill>
                <pic:spPr bwMode="auto">
                  <a:xfrm>
                    <a:off x="0" y="0"/>
                    <a:ext cx="5805488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230BEE9" w14:textId="02C365F6" w:rsidR="0059569C" w:rsidRDefault="00595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BE1"/>
    <w:multiLevelType w:val="multilevel"/>
    <w:tmpl w:val="7EF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F48F6"/>
    <w:multiLevelType w:val="multilevel"/>
    <w:tmpl w:val="A24A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166B6"/>
    <w:multiLevelType w:val="multilevel"/>
    <w:tmpl w:val="5006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617D7"/>
    <w:multiLevelType w:val="hybridMultilevel"/>
    <w:tmpl w:val="96108F16"/>
    <w:lvl w:ilvl="0" w:tplc="487ACB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color w:val="2020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035F"/>
    <w:multiLevelType w:val="hybridMultilevel"/>
    <w:tmpl w:val="C8EA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AEE"/>
    <w:multiLevelType w:val="hybridMultilevel"/>
    <w:tmpl w:val="3B801D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B2759"/>
    <w:multiLevelType w:val="hybridMultilevel"/>
    <w:tmpl w:val="4F6C39C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5580"/>
    <w:multiLevelType w:val="multilevel"/>
    <w:tmpl w:val="CB0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F047F"/>
    <w:multiLevelType w:val="multilevel"/>
    <w:tmpl w:val="73E0E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8432743"/>
    <w:multiLevelType w:val="hybridMultilevel"/>
    <w:tmpl w:val="5E041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F2"/>
    <w:rsid w:val="00004860"/>
    <w:rsid w:val="000216AC"/>
    <w:rsid w:val="00067EBD"/>
    <w:rsid w:val="00085BC4"/>
    <w:rsid w:val="0008682A"/>
    <w:rsid w:val="00097D04"/>
    <w:rsid w:val="000A6F6A"/>
    <w:rsid w:val="000C4768"/>
    <w:rsid w:val="00107A46"/>
    <w:rsid w:val="00127A12"/>
    <w:rsid w:val="0013257D"/>
    <w:rsid w:val="001521CE"/>
    <w:rsid w:val="00157652"/>
    <w:rsid w:val="00164883"/>
    <w:rsid w:val="00224A19"/>
    <w:rsid w:val="00244C1A"/>
    <w:rsid w:val="00252492"/>
    <w:rsid w:val="002A2D02"/>
    <w:rsid w:val="002B7BD4"/>
    <w:rsid w:val="002F5C51"/>
    <w:rsid w:val="003A192C"/>
    <w:rsid w:val="003A31D1"/>
    <w:rsid w:val="003F0842"/>
    <w:rsid w:val="003F0F2B"/>
    <w:rsid w:val="0040449E"/>
    <w:rsid w:val="004271A1"/>
    <w:rsid w:val="00446933"/>
    <w:rsid w:val="00453018"/>
    <w:rsid w:val="004A1518"/>
    <w:rsid w:val="004C6002"/>
    <w:rsid w:val="004D1384"/>
    <w:rsid w:val="004E1EB5"/>
    <w:rsid w:val="00510A07"/>
    <w:rsid w:val="005316EE"/>
    <w:rsid w:val="00551219"/>
    <w:rsid w:val="005654FA"/>
    <w:rsid w:val="0059569C"/>
    <w:rsid w:val="005E3E27"/>
    <w:rsid w:val="00604855"/>
    <w:rsid w:val="00632CAB"/>
    <w:rsid w:val="00642D10"/>
    <w:rsid w:val="00652E23"/>
    <w:rsid w:val="00674047"/>
    <w:rsid w:val="00682088"/>
    <w:rsid w:val="006A2156"/>
    <w:rsid w:val="006B6D19"/>
    <w:rsid w:val="006C49D1"/>
    <w:rsid w:val="006D2381"/>
    <w:rsid w:val="006D5F57"/>
    <w:rsid w:val="00740C7D"/>
    <w:rsid w:val="00751142"/>
    <w:rsid w:val="00766EFB"/>
    <w:rsid w:val="00776EB8"/>
    <w:rsid w:val="00790A51"/>
    <w:rsid w:val="007B607C"/>
    <w:rsid w:val="007F4318"/>
    <w:rsid w:val="008237B1"/>
    <w:rsid w:val="00833B10"/>
    <w:rsid w:val="00861353"/>
    <w:rsid w:val="0087087C"/>
    <w:rsid w:val="0087486F"/>
    <w:rsid w:val="008A54A3"/>
    <w:rsid w:val="008B6BFA"/>
    <w:rsid w:val="008D149A"/>
    <w:rsid w:val="0090394D"/>
    <w:rsid w:val="00966852"/>
    <w:rsid w:val="0096763F"/>
    <w:rsid w:val="00982492"/>
    <w:rsid w:val="009853A0"/>
    <w:rsid w:val="009D5AAE"/>
    <w:rsid w:val="00A2035C"/>
    <w:rsid w:val="00A236AD"/>
    <w:rsid w:val="00A354C9"/>
    <w:rsid w:val="00A37C39"/>
    <w:rsid w:val="00A63568"/>
    <w:rsid w:val="00A82413"/>
    <w:rsid w:val="00A900D4"/>
    <w:rsid w:val="00AA2A5F"/>
    <w:rsid w:val="00AD2B11"/>
    <w:rsid w:val="00AE4680"/>
    <w:rsid w:val="00AF3CF2"/>
    <w:rsid w:val="00B16A87"/>
    <w:rsid w:val="00B66F93"/>
    <w:rsid w:val="00BA5FEE"/>
    <w:rsid w:val="00BB0747"/>
    <w:rsid w:val="00BC62BA"/>
    <w:rsid w:val="00BD79B9"/>
    <w:rsid w:val="00BE267D"/>
    <w:rsid w:val="00BF0FA0"/>
    <w:rsid w:val="00C13143"/>
    <w:rsid w:val="00C16C75"/>
    <w:rsid w:val="00C3363E"/>
    <w:rsid w:val="00C53357"/>
    <w:rsid w:val="00C710E2"/>
    <w:rsid w:val="00CF66C0"/>
    <w:rsid w:val="00D503BC"/>
    <w:rsid w:val="00D77251"/>
    <w:rsid w:val="00DC318D"/>
    <w:rsid w:val="00DD564C"/>
    <w:rsid w:val="00DF54E6"/>
    <w:rsid w:val="00E01F50"/>
    <w:rsid w:val="00E169BD"/>
    <w:rsid w:val="00E17329"/>
    <w:rsid w:val="00E310C0"/>
    <w:rsid w:val="00E430B6"/>
    <w:rsid w:val="00E702F6"/>
    <w:rsid w:val="00E77891"/>
    <w:rsid w:val="00E82113"/>
    <w:rsid w:val="00E84C6E"/>
    <w:rsid w:val="00EF6DA7"/>
    <w:rsid w:val="00F17158"/>
    <w:rsid w:val="00F4637E"/>
    <w:rsid w:val="00F85ED3"/>
    <w:rsid w:val="00FA06B0"/>
    <w:rsid w:val="00FB2C57"/>
    <w:rsid w:val="00FC0F40"/>
    <w:rsid w:val="018B0ABC"/>
    <w:rsid w:val="368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73F6A8E0"/>
  <w15:docId w15:val="{EA87A850-B16D-4660-8ED7-58F4E534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CF2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C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13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C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3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F2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F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82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F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65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9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5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C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61353"/>
    <w:rPr>
      <w:rFonts w:asciiTheme="majorHAnsi" w:eastAsiaTheme="majorEastAsia" w:hAnsiTheme="majorHAnsi" w:cstheme="majorBidi"/>
      <w:b/>
      <w:color w:val="FF0000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824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0A0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A19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03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dre.felix@edf-fep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142358707@N04/albums/7215769745012343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f-feph.org/european-accessibility-act-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df-feph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BF9D-FBC5-4D96-BFCE-18A029E3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Felix</dc:creator>
  <cp:keywords/>
  <dc:description/>
  <cp:lastModifiedBy>Andre Felix</cp:lastModifiedBy>
  <cp:revision>4</cp:revision>
  <cp:lastPrinted>2018-11-08T14:57:00Z</cp:lastPrinted>
  <dcterms:created xsi:type="dcterms:W3CDTF">2018-11-08T14:48:00Z</dcterms:created>
  <dcterms:modified xsi:type="dcterms:W3CDTF">2018-11-08T15:07:00Z</dcterms:modified>
</cp:coreProperties>
</file>