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D8" w:rsidRDefault="006450D8" w:rsidP="006450D8">
      <w:pPr>
        <w:pStyle w:val="Heading2"/>
        <w:spacing w:before="0" w:beforeAutospacing="0" w:after="315" w:afterAutospacing="0" w:line="480" w:lineRule="atLeast"/>
        <w:jc w:val="center"/>
        <w:rPr>
          <w:rFonts w:ascii="Georgia" w:hAnsi="Georgia"/>
          <w:b w:val="0"/>
          <w:bCs w:val="0"/>
          <w:color w:val="3E3D3C"/>
          <w:sz w:val="42"/>
          <w:szCs w:val="42"/>
        </w:rPr>
      </w:pPr>
      <w:r>
        <w:rPr>
          <w:rFonts w:ascii="Georgia" w:hAnsi="Georgia"/>
          <w:b w:val="0"/>
          <w:bCs w:val="0"/>
          <w:noProof/>
          <w:color w:val="3E3D3C"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393700</wp:posOffset>
            </wp:positionV>
            <wp:extent cx="59436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531" y="21330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0D8" w:rsidRPr="003951E0" w:rsidRDefault="006450D8" w:rsidP="006450D8">
      <w:pPr>
        <w:pStyle w:val="Heading2"/>
        <w:spacing w:before="0" w:beforeAutospacing="0" w:after="315" w:afterAutospacing="0" w:line="480" w:lineRule="atLeast"/>
        <w:jc w:val="center"/>
        <w:rPr>
          <w:rFonts w:ascii="Georgia" w:hAnsi="Georgia"/>
          <w:b w:val="0"/>
          <w:bCs w:val="0"/>
          <w:color w:val="171717" w:themeColor="background2" w:themeShade="1A"/>
          <w:sz w:val="42"/>
          <w:szCs w:val="42"/>
        </w:rPr>
      </w:pPr>
      <w:r w:rsidRPr="003951E0">
        <w:rPr>
          <w:rFonts w:ascii="Georgia" w:hAnsi="Georgia"/>
          <w:b w:val="0"/>
          <w:bCs w:val="0"/>
          <w:color w:val="171717" w:themeColor="background2" w:themeShade="1A"/>
          <w:sz w:val="42"/>
          <w:szCs w:val="42"/>
        </w:rPr>
        <w:t>Call for Applications</w:t>
      </w:r>
    </w:p>
    <w:p w:rsidR="006450D8" w:rsidRPr="003951E0" w:rsidRDefault="006450D8" w:rsidP="006450D8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171717" w:themeColor="background2" w:themeShade="1A"/>
          <w:sz w:val="20"/>
          <w:szCs w:val="20"/>
        </w:rPr>
      </w:pP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The J&amp;K Wonderland Foundation and Syracuse University College of Law </w:t>
      </w:r>
      <w:r w:rsidR="002E0D51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are </w:t>
      </w:r>
      <w:proofErr w:type="gramStart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partner</w:t>
      </w:r>
      <w:r w:rsidR="002E0D51" w:rsidRPr="003951E0">
        <w:rPr>
          <w:rFonts w:ascii="Trebuchet MS" w:hAnsi="Trebuchet MS"/>
          <w:color w:val="171717" w:themeColor="background2" w:themeShade="1A"/>
          <w:sz w:val="20"/>
          <w:szCs w:val="20"/>
        </w:rPr>
        <w:t>ing</w:t>
      </w:r>
      <w:proofErr w:type="gramEnd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to offer </w:t>
      </w:r>
      <w:r w:rsidR="00673DEE">
        <w:rPr>
          <w:rFonts w:ascii="Trebuchet MS" w:hAnsi="Trebuchet MS"/>
          <w:color w:val="171717" w:themeColor="background2" w:themeShade="1A"/>
          <w:sz w:val="20"/>
          <w:szCs w:val="20"/>
        </w:rPr>
        <w:t xml:space="preserve">full 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scholarship award</w:t>
      </w:r>
      <w:r w:rsidR="00673DEE">
        <w:rPr>
          <w:rFonts w:ascii="Trebuchet MS" w:hAnsi="Trebuchet MS"/>
          <w:color w:val="171717" w:themeColor="background2" w:themeShade="1A"/>
          <w:sz w:val="20"/>
          <w:szCs w:val="20"/>
        </w:rPr>
        <w:t>s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to qualified candidates seeking to pursue a Master of Laws (LL.M.) degree with a concentration in international, comparative, and domestic disability law.</w:t>
      </w: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</w:pPr>
      <w:r w:rsidRPr="003951E0"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  <w:t>Eligibility Criteria:</w:t>
      </w: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450D8" w:rsidRPr="003951E0" w:rsidRDefault="006450D8" w:rsidP="003951E0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Preference </w:t>
      </w:r>
      <w:proofErr w:type="gramStart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will be given</w:t>
      </w:r>
      <w:proofErr w:type="gramEnd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to </w:t>
      </w:r>
      <w:r w:rsidR="002E0D51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qualified 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hearing-impaired candidates from China and Taiwan</w:t>
      </w:r>
      <w:r w:rsidR="0092512C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. 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Applicants should have an outstanding academic record (a Bachelor’s in law or other law degree), professional aptitude, leadership potential, </w:t>
      </w:r>
      <w:r w:rsidR="002E0D51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English proficiency, 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and a demonstrated commitment to advancing the rights of persons with disabilities.</w:t>
      </w:r>
      <w:r w:rsidR="0092512C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</w:t>
      </w:r>
      <w:r w:rsidR="003951E0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It is the policy of Syracuse University not to discriminate </w:t>
      </w:r>
      <w:proofErr w:type="gramStart"/>
      <w:r w:rsidR="003951E0" w:rsidRPr="003951E0">
        <w:rPr>
          <w:rFonts w:ascii="Trebuchet MS" w:hAnsi="Trebuchet MS"/>
          <w:color w:val="171717" w:themeColor="background2" w:themeShade="1A"/>
          <w:sz w:val="20"/>
          <w:szCs w:val="20"/>
        </w:rPr>
        <w:t>on the basis of</w:t>
      </w:r>
      <w:proofErr w:type="gramEnd"/>
      <w:r w:rsidR="003951E0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race, creed, color, sex, national origin, religion, marital status, age, disability, sexual orientation, status as a disabled veteran, or as a veteran of the Vietnam Era in its educational programs, admissions policies, employment practices, and other University-administered programs.</w:t>
      </w: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  <w:u w:val="single"/>
        </w:rPr>
      </w:pPr>
      <w:r w:rsidRPr="003951E0"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  <w:t>Funding Details:</w:t>
      </w: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  <w:sectPr w:rsidR="006450D8" w:rsidRPr="003951E0" w:rsidSect="006450D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D44500"/>
            <w:left w:val="single" w:sz="18" w:space="24" w:color="D44500"/>
            <w:bottom w:val="single" w:sz="18" w:space="24" w:color="D44500"/>
            <w:right w:val="single" w:sz="18" w:space="24" w:color="D44500"/>
          </w:pgBorders>
          <w:cols w:space="720"/>
          <w:docGrid w:linePitch="360"/>
        </w:sectPr>
      </w:pP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The scholarship provides funding </w:t>
      </w:r>
      <w:proofErr w:type="gramStart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for</w:t>
      </w:r>
      <w:proofErr w:type="gramEnd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:</w:t>
      </w:r>
    </w:p>
    <w:p w:rsidR="00673DEE" w:rsidRDefault="00673DEE" w:rsidP="0092512C">
      <w:pPr>
        <w:numPr>
          <w:ilvl w:val="0"/>
          <w:numId w:val="1"/>
        </w:numPr>
        <w:ind w:left="375"/>
        <w:rPr>
          <w:rFonts w:ascii="Trebuchet MS" w:hAnsi="Trebuchet MS"/>
          <w:color w:val="171717" w:themeColor="background2" w:themeShade="1A"/>
          <w:sz w:val="20"/>
          <w:szCs w:val="20"/>
        </w:rPr>
      </w:pPr>
      <w:r>
        <w:rPr>
          <w:rFonts w:ascii="Trebuchet MS" w:hAnsi="Trebuchet MS"/>
          <w:color w:val="171717" w:themeColor="background2" w:themeShade="1A"/>
          <w:sz w:val="20"/>
          <w:szCs w:val="20"/>
        </w:rPr>
        <w:t xml:space="preserve">Tuition </w:t>
      </w:r>
    </w:p>
    <w:p w:rsidR="006450D8" w:rsidRPr="003951E0" w:rsidRDefault="006450D8" w:rsidP="0092512C">
      <w:pPr>
        <w:numPr>
          <w:ilvl w:val="0"/>
          <w:numId w:val="1"/>
        </w:numPr>
        <w:ind w:left="375"/>
        <w:rPr>
          <w:rFonts w:ascii="Trebuchet MS" w:hAnsi="Trebuchet MS"/>
          <w:color w:val="171717" w:themeColor="background2" w:themeShade="1A"/>
          <w:sz w:val="20"/>
          <w:szCs w:val="20"/>
        </w:rPr>
      </w:pP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fees;</w:t>
      </w:r>
      <w:r w:rsidR="00673DEE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and</w:t>
      </w:r>
    </w:p>
    <w:p w:rsidR="006450D8" w:rsidRPr="003951E0" w:rsidRDefault="00673DEE" w:rsidP="006450D8">
      <w:pPr>
        <w:numPr>
          <w:ilvl w:val="0"/>
          <w:numId w:val="1"/>
        </w:numPr>
        <w:ind w:left="375"/>
        <w:rPr>
          <w:rFonts w:ascii="Trebuchet MS" w:hAnsi="Trebuchet MS"/>
          <w:color w:val="171717" w:themeColor="background2" w:themeShade="1A"/>
          <w:sz w:val="20"/>
          <w:szCs w:val="20"/>
        </w:rPr>
      </w:pPr>
      <w:proofErr w:type="gramStart"/>
      <w:r>
        <w:rPr>
          <w:rFonts w:ascii="Trebuchet MS" w:hAnsi="Trebuchet MS"/>
          <w:color w:val="171717" w:themeColor="background2" w:themeShade="1A"/>
          <w:sz w:val="20"/>
          <w:szCs w:val="20"/>
        </w:rPr>
        <w:t>student</w:t>
      </w:r>
      <w:proofErr w:type="gramEnd"/>
      <w:r>
        <w:rPr>
          <w:rFonts w:ascii="Trebuchet MS" w:hAnsi="Trebuchet MS"/>
          <w:color w:val="171717" w:themeColor="background2" w:themeShade="1A"/>
          <w:sz w:val="20"/>
          <w:szCs w:val="20"/>
        </w:rPr>
        <w:t xml:space="preserve"> health insurance.</w:t>
      </w:r>
    </w:p>
    <w:p w:rsidR="0092512C" w:rsidRDefault="0092512C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73DEE" w:rsidRPr="003951E0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73DEE" w:rsidRDefault="00673DEE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450D8" w:rsidRPr="003951E0" w:rsidRDefault="0092512C" w:rsidP="006450D8">
      <w:pPr>
        <w:rPr>
          <w:rFonts w:ascii="Trebuchet MS" w:hAnsi="Trebuchet MS"/>
          <w:color w:val="171717" w:themeColor="background2" w:themeShade="1A"/>
          <w:sz w:val="20"/>
          <w:szCs w:val="20"/>
        </w:rPr>
      </w:pP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T</w:t>
      </w:r>
      <w:r w:rsidR="006450D8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he scholarship does not provide funding </w:t>
      </w:r>
      <w:proofErr w:type="gramStart"/>
      <w:r w:rsidR="006450D8" w:rsidRPr="003951E0">
        <w:rPr>
          <w:rFonts w:ascii="Trebuchet MS" w:hAnsi="Trebuchet MS"/>
          <w:color w:val="171717" w:themeColor="background2" w:themeShade="1A"/>
          <w:sz w:val="20"/>
          <w:szCs w:val="20"/>
        </w:rPr>
        <w:t>for</w:t>
      </w:r>
      <w:proofErr w:type="gramEnd"/>
      <w:r w:rsidR="006450D8" w:rsidRPr="003951E0">
        <w:rPr>
          <w:rFonts w:ascii="Trebuchet MS" w:hAnsi="Trebuchet MS"/>
          <w:color w:val="171717" w:themeColor="background2" w:themeShade="1A"/>
          <w:sz w:val="20"/>
          <w:szCs w:val="20"/>
        </w:rPr>
        <w:t>:</w:t>
      </w:r>
    </w:p>
    <w:p w:rsidR="00673DEE" w:rsidRPr="003951E0" w:rsidRDefault="00673DEE" w:rsidP="00673D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rebuchet MS" w:hAnsi="Trebuchet MS"/>
          <w:color w:val="171717" w:themeColor="background2" w:themeShade="1A"/>
          <w:sz w:val="20"/>
          <w:szCs w:val="20"/>
        </w:rPr>
      </w:pPr>
      <w:proofErr w:type="gramStart"/>
      <w:r>
        <w:rPr>
          <w:rFonts w:ascii="Trebuchet MS" w:hAnsi="Trebuchet MS"/>
          <w:color w:val="171717" w:themeColor="background2" w:themeShade="1A"/>
          <w:sz w:val="20"/>
          <w:szCs w:val="20"/>
        </w:rPr>
        <w:t>personal</w:t>
      </w:r>
      <w:proofErr w:type="gramEnd"/>
      <w:r>
        <w:rPr>
          <w:rFonts w:ascii="Trebuchet MS" w:hAnsi="Trebuchet MS"/>
          <w:color w:val="171717" w:themeColor="background2" w:themeShade="1A"/>
          <w:sz w:val="20"/>
          <w:szCs w:val="20"/>
        </w:rPr>
        <w:t xml:space="preserve"> expenses (visa fees, 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books, housing, meals, local transportation, personal allowance</w:t>
      </w:r>
      <w:r>
        <w:rPr>
          <w:rFonts w:ascii="Trebuchet MS" w:hAnsi="Trebuchet MS"/>
          <w:color w:val="171717" w:themeColor="background2" w:themeShade="1A"/>
          <w:sz w:val="20"/>
          <w:szCs w:val="20"/>
        </w:rPr>
        <w:t>, etc.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); </w:t>
      </w:r>
    </w:p>
    <w:p w:rsidR="006450D8" w:rsidRPr="003951E0" w:rsidRDefault="002E0D51" w:rsidP="00673D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rebuchet MS" w:hAnsi="Trebuchet MS"/>
          <w:color w:val="171717" w:themeColor="background2" w:themeShade="1A"/>
          <w:sz w:val="20"/>
          <w:szCs w:val="20"/>
        </w:rPr>
      </w:pP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academic</w:t>
      </w:r>
      <w:r w:rsidR="006450D8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study in</w:t>
      </w:r>
      <w:bookmarkStart w:id="0" w:name="_GoBack"/>
      <w:bookmarkEnd w:id="0"/>
      <w:r w:rsidR="006450D8"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fields other than law;</w:t>
      </w:r>
    </w:p>
    <w:p w:rsidR="006450D8" w:rsidRPr="003951E0" w:rsidRDefault="006450D8" w:rsidP="00673D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rebuchet MS" w:hAnsi="Trebuchet MS"/>
          <w:color w:val="171717" w:themeColor="background2" w:themeShade="1A"/>
          <w:sz w:val="20"/>
          <w:szCs w:val="20"/>
        </w:rPr>
      </w:pP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funding for dependent family members;</w:t>
      </w:r>
      <w:r w:rsidR="00673DEE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and</w:t>
      </w:r>
    </w:p>
    <w:p w:rsidR="006450D8" w:rsidRPr="003951E0" w:rsidRDefault="006450D8" w:rsidP="00673D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rebuchet MS" w:hAnsi="Trebuchet MS"/>
          <w:color w:val="171717" w:themeColor="background2" w:themeShade="1A"/>
          <w:sz w:val="20"/>
          <w:szCs w:val="20"/>
        </w:rPr>
      </w:pPr>
      <w:proofErr w:type="gramStart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funding</w:t>
      </w:r>
      <w:proofErr w:type="gramEnd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for employees of Syracuse University involved in the administration of scholarships and admissions</w:t>
      </w:r>
      <w:r w:rsidR="00673DEE">
        <w:rPr>
          <w:rFonts w:ascii="Trebuchet MS" w:hAnsi="Trebuchet MS"/>
          <w:color w:val="171717" w:themeColor="background2" w:themeShade="1A"/>
          <w:sz w:val="20"/>
          <w:szCs w:val="20"/>
        </w:rPr>
        <w:t>.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 </w:t>
      </w:r>
    </w:p>
    <w:p w:rsidR="006450D8" w:rsidRPr="003951E0" w:rsidRDefault="006450D8" w:rsidP="006450D8">
      <w:pPr>
        <w:ind w:left="375"/>
        <w:rPr>
          <w:rFonts w:ascii="Trebuchet MS" w:hAnsi="Trebuchet MS"/>
          <w:color w:val="171717" w:themeColor="background2" w:themeShade="1A"/>
          <w:sz w:val="20"/>
          <w:szCs w:val="20"/>
        </w:rPr>
        <w:sectPr w:rsidR="006450D8" w:rsidRPr="003951E0" w:rsidSect="006450D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D44500"/>
            <w:left w:val="single" w:sz="18" w:space="24" w:color="D44500"/>
            <w:bottom w:val="single" w:sz="18" w:space="24" w:color="D44500"/>
            <w:right w:val="single" w:sz="18" w:space="24" w:color="D44500"/>
          </w:pgBorders>
          <w:cols w:num="2" w:space="720"/>
          <w:docGrid w:linePitch="360"/>
        </w:sectPr>
      </w:pP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</w:pPr>
      <w:r w:rsidRPr="003951E0">
        <w:rPr>
          <w:rStyle w:val="Strong"/>
          <w:rFonts w:ascii="Trebuchet MS" w:hAnsi="Trebuchet MS"/>
          <w:color w:val="171717" w:themeColor="background2" w:themeShade="1A"/>
          <w:sz w:val="20"/>
          <w:szCs w:val="20"/>
          <w:u w:val="single"/>
        </w:rPr>
        <w:t>Application Instructions:</w:t>
      </w: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6450D8" w:rsidRPr="003951E0" w:rsidRDefault="006450D8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Interested candidates should submit an application with supporting materials online through our web-based application system</w:t>
      </w:r>
      <w:r w:rsidRPr="006450D8">
        <w:rPr>
          <w:rFonts w:ascii="Trebuchet MS" w:hAnsi="Trebuchet MS"/>
          <w:color w:val="3E3D3C"/>
          <w:sz w:val="20"/>
          <w:szCs w:val="20"/>
        </w:rPr>
        <w:t xml:space="preserve"> [</w:t>
      </w:r>
      <w:hyperlink r:id="rId11" w:tgtFrame="_blank" w:history="1">
        <w:r w:rsidRPr="006450D8">
          <w:rPr>
            <w:rStyle w:val="Hyperlink"/>
            <w:rFonts w:ascii="Trebuchet MS" w:hAnsi="Trebuchet MS"/>
            <w:b/>
            <w:bCs/>
            <w:color w:val="D44500"/>
            <w:sz w:val="20"/>
            <w:szCs w:val="20"/>
          </w:rPr>
          <w:t>link</w:t>
        </w:r>
      </w:hyperlink>
      <w:r w:rsidRPr="006450D8">
        <w:rPr>
          <w:rFonts w:ascii="Trebuchet MS" w:hAnsi="Trebuchet MS"/>
          <w:color w:val="3E3D3C"/>
          <w:sz w:val="20"/>
          <w:szCs w:val="20"/>
        </w:rPr>
        <w:t xml:space="preserve">]. 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An ADA-accessible application form </w:t>
      </w:r>
      <w:proofErr w:type="gramStart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can be found</w:t>
      </w:r>
      <w:proofErr w:type="gramEnd"/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here</w:t>
      </w:r>
      <w:r w:rsidRPr="006450D8">
        <w:rPr>
          <w:rFonts w:ascii="Trebuchet MS" w:hAnsi="Trebuchet MS"/>
          <w:color w:val="3E3D3C"/>
          <w:sz w:val="20"/>
          <w:szCs w:val="20"/>
        </w:rPr>
        <w:t xml:space="preserve"> [</w:t>
      </w:r>
      <w:hyperlink r:id="rId12" w:tgtFrame="_blank" w:history="1">
        <w:r w:rsidRPr="006450D8">
          <w:rPr>
            <w:rStyle w:val="Hyperlink"/>
            <w:rFonts w:ascii="Trebuchet MS" w:hAnsi="Trebuchet MS"/>
            <w:b/>
            <w:bCs/>
            <w:color w:val="D44500"/>
            <w:sz w:val="20"/>
            <w:szCs w:val="20"/>
          </w:rPr>
          <w:t>link</w:t>
        </w:r>
      </w:hyperlink>
      <w:r w:rsidRPr="006450D8">
        <w:rPr>
          <w:rFonts w:ascii="Trebuchet MS" w:hAnsi="Trebuchet MS"/>
          <w:color w:val="3E3D3C"/>
          <w:sz w:val="20"/>
          <w:szCs w:val="20"/>
        </w:rPr>
        <w:t xml:space="preserve">]. 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Complete applications are due no later than </w:t>
      </w:r>
      <w:r w:rsidRPr="003951E0">
        <w:rPr>
          <w:rStyle w:val="Strong"/>
          <w:rFonts w:ascii="Trebuchet MS" w:hAnsi="Trebuchet MS"/>
          <w:color w:val="171717" w:themeColor="background2" w:themeShade="1A"/>
          <w:sz w:val="20"/>
          <w:szCs w:val="20"/>
        </w:rPr>
        <w:t>April 15, 2019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>.</w:t>
      </w:r>
      <w:r w:rsidR="00673DEE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All LL.M. candidates should plan to </w:t>
      </w:r>
      <w:r w:rsidR="002E0D51" w:rsidRPr="003951E0">
        <w:rPr>
          <w:rFonts w:ascii="Trebuchet MS" w:hAnsi="Trebuchet MS"/>
          <w:color w:val="171717" w:themeColor="background2" w:themeShade="1A"/>
          <w:sz w:val="20"/>
          <w:szCs w:val="20"/>
        </w:rPr>
        <w:t>participate in</w:t>
      </w:r>
      <w:r w:rsidRPr="003951E0">
        <w:rPr>
          <w:rFonts w:ascii="Trebuchet MS" w:hAnsi="Trebuchet MS"/>
          <w:color w:val="171717" w:themeColor="background2" w:themeShade="1A"/>
          <w:sz w:val="20"/>
          <w:szCs w:val="20"/>
        </w:rPr>
        <w:t xml:space="preserve"> an admissions interview via Skype or telephone. </w:t>
      </w:r>
    </w:p>
    <w:p w:rsidR="0092512C" w:rsidRPr="003951E0" w:rsidRDefault="0092512C" w:rsidP="006450D8">
      <w:pPr>
        <w:pStyle w:val="NormalWeb"/>
        <w:spacing w:before="0" w:beforeAutospacing="0" w:after="0" w:afterAutospacing="0"/>
        <w:rPr>
          <w:rFonts w:ascii="Trebuchet MS" w:hAnsi="Trebuchet MS"/>
          <w:color w:val="171717" w:themeColor="background2" w:themeShade="1A"/>
          <w:sz w:val="20"/>
          <w:szCs w:val="20"/>
        </w:rPr>
      </w:pPr>
    </w:p>
    <w:p w:rsidR="00206CB7" w:rsidRPr="00380F74" w:rsidRDefault="006450D8">
      <w:pPr>
        <w:rPr>
          <w:rFonts w:ascii="Trebuchet MS" w:hAnsi="Trebuchet MS"/>
        </w:rPr>
      </w:pPr>
      <w:r w:rsidRPr="003951E0">
        <w:rPr>
          <w:rStyle w:val="Emphasis"/>
          <w:rFonts w:ascii="Trebuchet MS" w:hAnsi="Trebuchet MS"/>
          <w:color w:val="171717" w:themeColor="background2" w:themeShade="1A"/>
          <w:sz w:val="20"/>
          <w:szCs w:val="20"/>
        </w:rPr>
        <w:t>Contact Andrew S. Horsfall, Assistant Dean of International Programs, with questions at </w:t>
      </w:r>
      <w:hyperlink r:id="rId13" w:tgtFrame="_blank" w:history="1">
        <w:r w:rsidRPr="006450D8">
          <w:rPr>
            <w:rStyle w:val="Hyperlink"/>
            <w:rFonts w:ascii="Trebuchet MS" w:hAnsi="Trebuchet MS"/>
            <w:b/>
            <w:bCs/>
            <w:i/>
            <w:iCs/>
            <w:color w:val="D44500"/>
            <w:sz w:val="20"/>
            <w:szCs w:val="20"/>
          </w:rPr>
          <w:t>ashorsfa@syr.edu</w:t>
        </w:r>
      </w:hyperlink>
      <w:r w:rsidRPr="006450D8">
        <w:rPr>
          <w:rStyle w:val="Emphasis"/>
          <w:rFonts w:ascii="Trebuchet MS" w:hAnsi="Trebuchet MS"/>
          <w:color w:val="3E3D3C"/>
          <w:sz w:val="20"/>
          <w:szCs w:val="20"/>
        </w:rPr>
        <w:t>.</w:t>
      </w:r>
    </w:p>
    <w:sectPr w:rsidR="00206CB7" w:rsidRPr="00380F74" w:rsidSect="006450D8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D44500"/>
        <w:left w:val="single" w:sz="18" w:space="24" w:color="D44500"/>
        <w:bottom w:val="single" w:sz="18" w:space="24" w:color="D44500"/>
        <w:right w:val="single" w:sz="18" w:space="24" w:color="D445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74" w:rsidRDefault="00380F74" w:rsidP="00380F74">
      <w:r>
        <w:separator/>
      </w:r>
    </w:p>
  </w:endnote>
  <w:endnote w:type="continuationSeparator" w:id="0">
    <w:p w:rsidR="00380F74" w:rsidRDefault="00380F74" w:rsidP="0038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74" w:rsidRPr="007D5EC0" w:rsidRDefault="00380F74" w:rsidP="00380F74">
    <w:pPr>
      <w:pStyle w:val="Footer"/>
      <w:jc w:val="center"/>
      <w:rPr>
        <w:rFonts w:ascii="Trebuchet MS" w:hAnsi="Trebuchet MS"/>
        <w:b/>
        <w:color w:val="595959"/>
        <w:sz w:val="16"/>
        <w:szCs w:val="16"/>
      </w:rPr>
    </w:pPr>
    <w:r w:rsidRPr="007D5EC0">
      <w:rPr>
        <w:rFonts w:ascii="Trebuchet MS" w:hAnsi="Trebuchet MS"/>
        <w:color w:val="595959"/>
        <w:sz w:val="16"/>
        <w:szCs w:val="16"/>
      </w:rPr>
      <w:t>Office of International Programs | Dineen Hall | 950 Irving Ave. | Ste. 217 | Syracuse, NY 13244 | P: 315.443.1962 |</w:t>
    </w:r>
    <w:r w:rsidRPr="007D5EC0">
      <w:rPr>
        <w:rFonts w:ascii="Trebuchet MS" w:hAnsi="Trebuchet MS"/>
        <w:b/>
        <w:color w:val="595959"/>
        <w:sz w:val="16"/>
        <w:szCs w:val="16"/>
      </w:rPr>
      <w:t>law.syr.edu</w:t>
    </w:r>
  </w:p>
  <w:p w:rsidR="00380F74" w:rsidRDefault="00380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74" w:rsidRDefault="00380F74" w:rsidP="00380F74">
      <w:r>
        <w:separator/>
      </w:r>
    </w:p>
  </w:footnote>
  <w:footnote w:type="continuationSeparator" w:id="0">
    <w:p w:rsidR="00380F74" w:rsidRDefault="00380F74" w:rsidP="0038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74" w:rsidRDefault="00BE7139" w:rsidP="00E271E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940C36" wp14:editId="35A5652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47725" cy="850900"/>
          <wp:effectExtent l="0" t="0" r="9525" b="6350"/>
          <wp:wrapThrough wrapText="bothSides">
            <wp:wrapPolygon edited="0">
              <wp:start x="6796" y="0"/>
              <wp:lineTo x="3398" y="1451"/>
              <wp:lineTo x="0" y="5803"/>
              <wp:lineTo x="0" y="13057"/>
              <wp:lineTo x="485" y="16442"/>
              <wp:lineTo x="5339" y="20794"/>
              <wp:lineTo x="6310" y="21278"/>
              <wp:lineTo x="14562" y="21278"/>
              <wp:lineTo x="16018" y="20794"/>
              <wp:lineTo x="20872" y="16442"/>
              <wp:lineTo x="21357" y="9672"/>
              <wp:lineTo x="21357" y="5803"/>
              <wp:lineTo x="17474" y="1934"/>
              <wp:lineTo x="13591" y="0"/>
              <wp:lineTo x="679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R_SEAL_DARK_GRY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1E0" w:rsidRPr="00E271E0">
      <w:rPr>
        <w:noProof/>
      </w:rPr>
      <w:drawing>
        <wp:inline distT="0" distB="0" distL="0" distR="0">
          <wp:extent cx="3133725" cy="730923"/>
          <wp:effectExtent l="0" t="0" r="0" b="0"/>
          <wp:docPr id="1" name="Picture 1" descr="\\hd.ad.syr.edu\01\8dc735\Documents\Desktop\International\Popular Docs\O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d.ad.syr.edu\01\8dc735\Documents\Desktop\International\Popular Docs\OI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314" cy="732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F74" w:rsidRDefault="00380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5818"/>
    <w:multiLevelType w:val="multilevel"/>
    <w:tmpl w:val="CEB0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7A27"/>
    <w:multiLevelType w:val="multilevel"/>
    <w:tmpl w:val="E0E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74"/>
    <w:rsid w:val="00120704"/>
    <w:rsid w:val="002E0D51"/>
    <w:rsid w:val="00380F74"/>
    <w:rsid w:val="003951E0"/>
    <w:rsid w:val="006450D8"/>
    <w:rsid w:val="00673DEE"/>
    <w:rsid w:val="00884700"/>
    <w:rsid w:val="0092126A"/>
    <w:rsid w:val="0092512C"/>
    <w:rsid w:val="00BE7139"/>
    <w:rsid w:val="00C72B64"/>
    <w:rsid w:val="00E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69DAF6"/>
  <w15:chartTrackingRefBased/>
  <w15:docId w15:val="{EF47AFCF-B2D1-49FE-A2A1-4BEC143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450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F74"/>
  </w:style>
  <w:style w:type="paragraph" w:styleId="Footer">
    <w:name w:val="footer"/>
    <w:basedOn w:val="Normal"/>
    <w:link w:val="FooterChar"/>
    <w:uiPriority w:val="99"/>
    <w:unhideWhenUsed/>
    <w:rsid w:val="00380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F74"/>
  </w:style>
  <w:style w:type="character" w:styleId="Hyperlink">
    <w:name w:val="Hyperlink"/>
    <w:basedOn w:val="DefaultParagraphFont"/>
    <w:uiPriority w:val="99"/>
    <w:unhideWhenUsed/>
    <w:rsid w:val="00380F7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0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50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0D8"/>
    <w:rPr>
      <w:b/>
      <w:bCs/>
    </w:rPr>
  </w:style>
  <w:style w:type="character" w:styleId="Emphasis">
    <w:name w:val="Emphasis"/>
    <w:basedOn w:val="DefaultParagraphFont"/>
    <w:uiPriority w:val="20"/>
    <w:qFormat/>
    <w:rsid w:val="00645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shorsfa@sy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syr.edu/uploads/docs/academics/LL.M._Applic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syr.edu/admissions/llm-admissions/ll.m.-admission-appli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21CF-6090-4A7D-8D7A-205160DC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 Horsfall</dc:creator>
  <cp:keywords/>
  <dc:description/>
  <cp:lastModifiedBy>Andrew S Horsfall</cp:lastModifiedBy>
  <cp:revision>2</cp:revision>
  <dcterms:created xsi:type="dcterms:W3CDTF">2019-02-08T21:44:00Z</dcterms:created>
  <dcterms:modified xsi:type="dcterms:W3CDTF">2019-02-08T21:44:00Z</dcterms:modified>
</cp:coreProperties>
</file>