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8411F4" w:rsidP="00761B70">
            <w:pPr>
              <w:jc w:val="right"/>
            </w:pPr>
            <w:r w:rsidRPr="008411F4">
              <w:rPr>
                <w:sz w:val="40"/>
              </w:rPr>
              <w:t>CRPD</w:t>
            </w:r>
            <w:r>
              <w:t>/C/16/D/7/2012</w:t>
            </w:r>
            <w:bookmarkStart w:id="0" w:name="_GoBack"/>
            <w:bookmarkEnd w:id="0"/>
          </w:p>
        </w:tc>
      </w:tr>
      <w:tr w:rsidR="00B56E9C" w:rsidTr="00B6553F">
        <w:trPr>
          <w:cantSplit/>
          <w:trHeight w:hRule="exact" w:val="2835"/>
        </w:trPr>
        <w:tc>
          <w:tcPr>
            <w:tcW w:w="1276" w:type="dxa"/>
            <w:tcBorders>
              <w:top w:val="single" w:sz="4" w:space="0" w:color="auto"/>
              <w:bottom w:val="single" w:sz="12" w:space="0" w:color="auto"/>
            </w:tcBorders>
          </w:tcPr>
          <w:p w:rsidR="00B56E9C" w:rsidRDefault="00F71242" w:rsidP="00B06775">
            <w:pPr>
              <w:spacing w:before="120"/>
              <w:jc w:val="center"/>
            </w:pPr>
            <w:r>
              <w:rPr>
                <w:noProof/>
                <w:lang w:eastAsia="en-GB"/>
              </w:rPr>
              <w:drawing>
                <wp:inline distT="0" distB="0" distL="0" distR="0" wp14:anchorId="18D2245B" wp14:editId="50C9892E">
                  <wp:extent cx="714375" cy="591185"/>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p w:rsidR="00AA66EF" w:rsidRDefault="00AA66EF" w:rsidP="00B6553F">
            <w:pPr>
              <w:spacing w:before="120" w:line="420" w:lineRule="exact"/>
            </w:pPr>
          </w:p>
          <w:p w:rsidR="00AA66EF" w:rsidRDefault="00AA66EF" w:rsidP="00B6553F">
            <w:pPr>
              <w:spacing w:before="120" w:line="420" w:lineRule="exact"/>
            </w:pPr>
            <w:r w:rsidRPr="00AA66EF">
              <w:rPr>
                <w:color w:val="000000" w:themeColor="text1"/>
                <w:sz w:val="34"/>
                <w:szCs w:val="40"/>
              </w:rPr>
              <w:t>ADVANCED UNEDITED VERSION</w:t>
            </w:r>
          </w:p>
        </w:tc>
        <w:tc>
          <w:tcPr>
            <w:tcW w:w="2835" w:type="dxa"/>
            <w:tcBorders>
              <w:top w:val="single" w:sz="4" w:space="0" w:color="auto"/>
              <w:bottom w:val="single" w:sz="12" w:space="0" w:color="auto"/>
            </w:tcBorders>
          </w:tcPr>
          <w:p w:rsidR="00B56E9C" w:rsidRDefault="008411F4" w:rsidP="008411F4">
            <w:pPr>
              <w:spacing w:before="240" w:line="240" w:lineRule="exact"/>
            </w:pPr>
            <w:r>
              <w:t xml:space="preserve">Distr.: </w:t>
            </w:r>
            <w:r w:rsidR="0009043C">
              <w:t>General</w:t>
            </w:r>
          </w:p>
          <w:p w:rsidR="008411F4" w:rsidRDefault="00131834" w:rsidP="008411F4">
            <w:pPr>
              <w:spacing w:line="240" w:lineRule="exact"/>
            </w:pPr>
            <w:r>
              <w:t>23 August</w:t>
            </w:r>
            <w:r w:rsidR="008411F4">
              <w:t xml:space="preserve"> 2016</w:t>
            </w:r>
          </w:p>
          <w:p w:rsidR="008411F4" w:rsidRDefault="008411F4" w:rsidP="008411F4">
            <w:pPr>
              <w:spacing w:line="240" w:lineRule="exact"/>
            </w:pPr>
          </w:p>
          <w:p w:rsidR="008411F4" w:rsidRDefault="008411F4" w:rsidP="008411F4">
            <w:pPr>
              <w:spacing w:line="240" w:lineRule="exact"/>
            </w:pPr>
            <w:r>
              <w:t>Original: English</w:t>
            </w:r>
          </w:p>
          <w:p w:rsidR="004C1B50" w:rsidRDefault="004C1B50" w:rsidP="008411F4">
            <w:pPr>
              <w:spacing w:line="240" w:lineRule="exact"/>
            </w:pPr>
            <w:r>
              <w:t>En</w:t>
            </w:r>
            <w:r w:rsidR="00F71242">
              <w:rPr>
                <w:noProof/>
                <w:lang w:eastAsia="en-GB"/>
              </w:rPr>
              <w:drawing>
                <wp:anchor distT="0" distB="0" distL="114300" distR="114300" simplePos="0" relativeHeight="251659264" behindDoc="0" locked="0" layoutInCell="1" allowOverlap="0" wp14:anchorId="32EEBDA0" wp14:editId="0BED849C">
                  <wp:simplePos x="0" y="0"/>
                  <wp:positionH relativeFrom="margin">
                    <wp:posOffset>5489575</wp:posOffset>
                  </wp:positionH>
                  <wp:positionV relativeFrom="margin">
                    <wp:posOffset>8027670</wp:posOffset>
                  </wp:positionV>
                  <wp:extent cx="636905" cy="636905"/>
                  <wp:effectExtent l="0" t="0" r="0" b="0"/>
                  <wp:wrapNone/>
                  <wp:docPr id="2" name="Picture 2" descr="http://undocs.org/m2/QRCode.ashx?DS=CRPD/C/15/DR/11/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PD/C/15/DR/11/201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pic:spPr>
                      </pic:pic>
                    </a:graphicData>
                  </a:graphic>
                  <wp14:sizeRelH relativeFrom="page">
                    <wp14:pctWidth>0</wp14:pctWidth>
                  </wp14:sizeRelH>
                  <wp14:sizeRelV relativeFrom="page">
                    <wp14:pctHeight>0</wp14:pctHeight>
                  </wp14:sizeRelV>
                </wp:anchor>
              </w:drawing>
            </w:r>
            <w:r>
              <w:t>glish, French and Spanish only</w:t>
            </w:r>
          </w:p>
        </w:tc>
      </w:tr>
    </w:tbl>
    <w:p w:rsidR="00F85F17" w:rsidRPr="00685859" w:rsidRDefault="00F85F17" w:rsidP="00F85F17">
      <w:pPr>
        <w:rPr>
          <w:b/>
          <w:sz w:val="24"/>
          <w:szCs w:val="24"/>
        </w:rPr>
      </w:pPr>
      <w:r w:rsidRPr="00685859">
        <w:rPr>
          <w:b/>
          <w:sz w:val="24"/>
          <w:szCs w:val="24"/>
        </w:rPr>
        <w:t>Committee on the Rights of Persons with Disabilities</w:t>
      </w:r>
    </w:p>
    <w:p w:rsidR="00F85F17" w:rsidRPr="00AA66EF" w:rsidRDefault="00F85F17" w:rsidP="00AA66EF">
      <w:pPr>
        <w:pStyle w:val="HChG"/>
      </w:pPr>
      <w:r w:rsidRPr="002230FC">
        <w:tab/>
      </w:r>
      <w:r w:rsidRPr="002230FC">
        <w:tab/>
      </w:r>
      <w:r w:rsidR="00644131">
        <w:t xml:space="preserve">Views </w:t>
      </w:r>
      <w:r w:rsidR="00644131" w:rsidRPr="00420977">
        <w:t>a</w:t>
      </w:r>
      <w:r w:rsidR="00644131">
        <w:t xml:space="preserve">dopted by the Committee </w:t>
      </w:r>
      <w:r w:rsidR="00644131" w:rsidRPr="00324427">
        <w:t>under article 5 of the Optional Protocol</w:t>
      </w:r>
      <w:r w:rsidR="00644131">
        <w:t>,</w:t>
      </w:r>
      <w:r w:rsidR="00644131" w:rsidRPr="00FB3457">
        <w:t xml:space="preserve"> </w:t>
      </w:r>
      <w:r w:rsidR="00644131">
        <w:t xml:space="preserve">concerning </w:t>
      </w:r>
      <w:r w:rsidR="00644131" w:rsidRPr="005B4A9C">
        <w:rPr>
          <w:spacing w:val="-2"/>
        </w:rPr>
        <w:t>communication No.</w:t>
      </w:r>
      <w:r w:rsidRPr="002230FC">
        <w:t xml:space="preserve"> 7/2012</w:t>
      </w:r>
      <w:r w:rsidR="00644131" w:rsidRPr="005B4A9C">
        <w:rPr>
          <w:rStyle w:val="FootnoteReference"/>
          <w:b w:val="0"/>
          <w:bCs/>
          <w:spacing w:val="-2"/>
          <w:sz w:val="20"/>
          <w:vertAlign w:val="baseline"/>
        </w:rPr>
        <w:footnoteReference w:customMarkFollows="1" w:id="2"/>
        <w:t>*</w:t>
      </w:r>
      <w:r w:rsidR="00644131" w:rsidRPr="005B4A9C">
        <w:rPr>
          <w:b w:val="0"/>
          <w:bCs/>
          <w:spacing w:val="-2"/>
          <w:position w:val="4"/>
          <w:sz w:val="20"/>
        </w:rPr>
        <w:t>,</w:t>
      </w:r>
      <w:r w:rsidR="00644131" w:rsidRPr="005B4A9C">
        <w:rPr>
          <w:rStyle w:val="FootnoteReference"/>
          <w:b w:val="0"/>
          <w:bCs/>
          <w:spacing w:val="-2"/>
          <w:sz w:val="20"/>
          <w:vertAlign w:val="baseline"/>
        </w:rPr>
        <w:t xml:space="preserve"> </w:t>
      </w:r>
      <w:r w:rsidR="00644131" w:rsidRPr="005B4A9C">
        <w:rPr>
          <w:rStyle w:val="FootnoteReference"/>
          <w:b w:val="0"/>
          <w:bCs/>
          <w:spacing w:val="-2"/>
          <w:sz w:val="20"/>
          <w:vertAlign w:val="baseline"/>
        </w:rPr>
        <w:footnoteReference w:customMarkFollows="1" w:id="3"/>
        <w:t>**</w:t>
      </w:r>
      <w:r w:rsidRPr="002230FC">
        <w:rPr>
          <w:vertAlign w:val="superscript"/>
        </w:rPr>
        <w:t xml:space="preserve"> </w:t>
      </w:r>
    </w:p>
    <w:p w:rsidR="00D655F6" w:rsidRPr="00CF30A3" w:rsidRDefault="00D655F6" w:rsidP="00D655F6">
      <w:pPr>
        <w:pStyle w:val="HChG"/>
        <w:spacing w:before="0" w:after="100" w:line="240" w:lineRule="atLeast"/>
        <w:ind w:left="4536" w:hanging="3402"/>
        <w:rPr>
          <w:b w:val="0"/>
          <w:sz w:val="22"/>
          <w:szCs w:val="22"/>
        </w:rPr>
      </w:pPr>
      <w:r w:rsidRPr="00CF30A3">
        <w:rPr>
          <w:b w:val="0"/>
          <w:i/>
          <w:sz w:val="20"/>
        </w:rPr>
        <w:t>Submitted by:</w:t>
      </w:r>
      <w:r w:rsidRPr="00CF30A3">
        <w:rPr>
          <w:b w:val="0"/>
          <w:sz w:val="22"/>
          <w:szCs w:val="22"/>
        </w:rPr>
        <w:tab/>
      </w:r>
      <w:r w:rsidRPr="00D655F6">
        <w:rPr>
          <w:b w:val="0"/>
          <w:sz w:val="20"/>
        </w:rPr>
        <w:t>Marlon James Noble (represented by counsel, Philip French)</w:t>
      </w:r>
    </w:p>
    <w:p w:rsidR="00D655F6" w:rsidRPr="00CF30A3" w:rsidRDefault="00D655F6" w:rsidP="00D655F6">
      <w:pPr>
        <w:pStyle w:val="SingleTxtG"/>
        <w:spacing w:after="100"/>
        <w:ind w:left="4536" w:hanging="3402"/>
        <w:jc w:val="left"/>
        <w:rPr>
          <w:sz w:val="22"/>
          <w:szCs w:val="22"/>
        </w:rPr>
      </w:pPr>
      <w:r w:rsidRPr="00CF30A3">
        <w:rPr>
          <w:i/>
        </w:rPr>
        <w:t>Alleged victim:</w:t>
      </w:r>
      <w:r w:rsidRPr="00CF30A3">
        <w:rPr>
          <w:sz w:val="22"/>
          <w:szCs w:val="22"/>
        </w:rPr>
        <w:tab/>
      </w:r>
      <w:r w:rsidRPr="00CF30A3">
        <w:t>The author</w:t>
      </w:r>
    </w:p>
    <w:p w:rsidR="00D655F6" w:rsidRPr="00CF30A3" w:rsidRDefault="00D655F6" w:rsidP="00D655F6">
      <w:pPr>
        <w:pStyle w:val="SingleTxtG"/>
        <w:spacing w:after="100"/>
        <w:ind w:left="4536" w:hanging="3402"/>
        <w:jc w:val="left"/>
        <w:rPr>
          <w:sz w:val="22"/>
          <w:szCs w:val="22"/>
          <w:lang w:val="en-US"/>
        </w:rPr>
      </w:pPr>
      <w:r w:rsidRPr="00CF30A3">
        <w:rPr>
          <w:i/>
        </w:rPr>
        <w:t>State Party:</w:t>
      </w:r>
      <w:r w:rsidRPr="00CF30A3">
        <w:rPr>
          <w:sz w:val="22"/>
          <w:szCs w:val="22"/>
        </w:rPr>
        <w:tab/>
      </w:r>
      <w:r w:rsidRPr="00CF30A3">
        <w:t>Australia</w:t>
      </w:r>
    </w:p>
    <w:p w:rsidR="00D655F6" w:rsidRPr="00CF30A3" w:rsidRDefault="00D655F6" w:rsidP="00D655F6">
      <w:pPr>
        <w:pStyle w:val="SingleTxtG"/>
        <w:spacing w:after="100"/>
        <w:ind w:left="4536" w:hanging="3402"/>
        <w:jc w:val="left"/>
        <w:rPr>
          <w:sz w:val="22"/>
          <w:szCs w:val="22"/>
        </w:rPr>
      </w:pPr>
      <w:r w:rsidRPr="00CF30A3">
        <w:rPr>
          <w:i/>
        </w:rPr>
        <w:t>Date of communication:</w:t>
      </w:r>
      <w:r w:rsidRPr="00CF30A3">
        <w:rPr>
          <w:sz w:val="22"/>
          <w:szCs w:val="22"/>
        </w:rPr>
        <w:tab/>
      </w:r>
      <w:r w:rsidRPr="00D655F6">
        <w:t>12 April 2012 (initial submission)</w:t>
      </w:r>
    </w:p>
    <w:p w:rsidR="00D655F6" w:rsidRPr="00CF30A3" w:rsidRDefault="00D655F6" w:rsidP="00D655F6">
      <w:pPr>
        <w:pStyle w:val="SingleTxtG"/>
        <w:spacing w:after="100"/>
        <w:ind w:left="4536" w:hanging="3402"/>
        <w:jc w:val="left"/>
        <w:rPr>
          <w:sz w:val="22"/>
          <w:szCs w:val="22"/>
        </w:rPr>
      </w:pPr>
      <w:r w:rsidRPr="00CF30A3">
        <w:rPr>
          <w:i/>
        </w:rPr>
        <w:t>Document references:</w:t>
      </w:r>
      <w:r w:rsidRPr="00CF30A3">
        <w:rPr>
          <w:sz w:val="22"/>
          <w:szCs w:val="22"/>
        </w:rPr>
        <w:tab/>
      </w:r>
      <w:r w:rsidR="00993133" w:rsidRPr="00993133">
        <w:t>Special Rapporteur’s rule 70 decision, transmitted to the State party on 9 August 2012 (not issued in document form)</w:t>
      </w:r>
    </w:p>
    <w:p w:rsidR="00D655F6" w:rsidRPr="00CF30A3" w:rsidRDefault="00D655F6" w:rsidP="00D655F6">
      <w:pPr>
        <w:pStyle w:val="SingleTxtG"/>
        <w:spacing w:after="100"/>
        <w:ind w:left="4536" w:hanging="3402"/>
        <w:jc w:val="left"/>
        <w:rPr>
          <w:sz w:val="22"/>
          <w:szCs w:val="22"/>
        </w:rPr>
      </w:pPr>
      <w:r w:rsidRPr="00CF30A3">
        <w:rPr>
          <w:i/>
        </w:rPr>
        <w:t>Date of adoption of the decision</w:t>
      </w:r>
      <w:r w:rsidRPr="00CF30A3">
        <w:rPr>
          <w:sz w:val="22"/>
          <w:szCs w:val="22"/>
        </w:rPr>
        <w:t>:</w:t>
      </w:r>
      <w:r w:rsidRPr="00CF30A3">
        <w:rPr>
          <w:sz w:val="22"/>
          <w:szCs w:val="22"/>
        </w:rPr>
        <w:tab/>
      </w:r>
      <w:r w:rsidR="00644131">
        <w:t>2 September</w:t>
      </w:r>
      <w:r w:rsidR="00993133">
        <w:t xml:space="preserve"> </w:t>
      </w:r>
      <w:r w:rsidRPr="00CF30A3">
        <w:t>2016</w:t>
      </w:r>
    </w:p>
    <w:p w:rsidR="00D655F6" w:rsidRPr="00CF30A3" w:rsidRDefault="00D655F6" w:rsidP="00D655F6">
      <w:pPr>
        <w:pStyle w:val="SingleTxtG"/>
        <w:spacing w:after="100"/>
        <w:jc w:val="left"/>
        <w:rPr>
          <w:sz w:val="22"/>
          <w:szCs w:val="22"/>
          <w:lang w:val="en-US"/>
        </w:rPr>
      </w:pPr>
      <w:r w:rsidRPr="00CF30A3">
        <w:rPr>
          <w:i/>
        </w:rPr>
        <w:t>Procedural issues:</w:t>
      </w:r>
      <w:r w:rsidRPr="00CF30A3">
        <w:rPr>
          <w:sz w:val="22"/>
          <w:szCs w:val="22"/>
          <w:lang w:val="en-US"/>
        </w:rPr>
        <w:t xml:space="preserve"> </w:t>
      </w:r>
      <w:r w:rsidRPr="00CF30A3">
        <w:rPr>
          <w:sz w:val="22"/>
          <w:szCs w:val="22"/>
          <w:lang w:val="en-US"/>
        </w:rPr>
        <w:tab/>
      </w:r>
      <w:r w:rsidRPr="00CF30A3">
        <w:rPr>
          <w:sz w:val="22"/>
          <w:szCs w:val="22"/>
          <w:lang w:val="en-US"/>
        </w:rPr>
        <w:tab/>
      </w:r>
      <w:r w:rsidRPr="00CF30A3">
        <w:rPr>
          <w:sz w:val="22"/>
          <w:szCs w:val="22"/>
          <w:lang w:val="en-US"/>
        </w:rPr>
        <w:tab/>
      </w:r>
      <w:r w:rsidRPr="00CF30A3">
        <w:rPr>
          <w:sz w:val="22"/>
          <w:szCs w:val="22"/>
          <w:lang w:val="en-US"/>
        </w:rPr>
        <w:tab/>
      </w:r>
      <w:r w:rsidR="00AA66EF">
        <w:rPr>
          <w:color w:val="000000"/>
        </w:rPr>
        <w:t>Admissibility</w:t>
      </w:r>
      <w:r w:rsidR="00993133" w:rsidRPr="00993133">
        <w:rPr>
          <w:color w:val="000000"/>
        </w:rPr>
        <w:t xml:space="preserve"> </w:t>
      </w:r>
      <w:proofErr w:type="spellStart"/>
      <w:r w:rsidR="00993133" w:rsidRPr="00993133">
        <w:rPr>
          <w:color w:val="000000"/>
        </w:rPr>
        <w:t>ratione</w:t>
      </w:r>
      <w:proofErr w:type="spellEnd"/>
      <w:r w:rsidR="00993133" w:rsidRPr="00993133">
        <w:rPr>
          <w:color w:val="000000"/>
        </w:rPr>
        <w:t xml:space="preserve"> </w:t>
      </w:r>
      <w:proofErr w:type="spellStart"/>
      <w:r w:rsidR="00993133" w:rsidRPr="00993133">
        <w:rPr>
          <w:color w:val="000000"/>
        </w:rPr>
        <w:t>temporis</w:t>
      </w:r>
      <w:proofErr w:type="spellEnd"/>
      <w:r w:rsidR="00993133" w:rsidRPr="00993133">
        <w:rPr>
          <w:color w:val="000000"/>
        </w:rPr>
        <w:t xml:space="preserve">, exhaustion of </w:t>
      </w:r>
      <w:r w:rsidR="00993133">
        <w:rPr>
          <w:color w:val="000000"/>
        </w:rPr>
        <w:tab/>
      </w:r>
      <w:r w:rsidR="00993133">
        <w:rPr>
          <w:color w:val="000000"/>
        </w:rPr>
        <w:tab/>
      </w:r>
      <w:r w:rsidR="00993133">
        <w:rPr>
          <w:color w:val="000000"/>
        </w:rPr>
        <w:tab/>
      </w:r>
      <w:r w:rsidR="00993133">
        <w:rPr>
          <w:color w:val="000000"/>
        </w:rPr>
        <w:tab/>
      </w:r>
      <w:r w:rsidR="00993133">
        <w:rPr>
          <w:color w:val="000000"/>
        </w:rPr>
        <w:tab/>
      </w:r>
      <w:r w:rsidR="00993133">
        <w:rPr>
          <w:color w:val="000000"/>
        </w:rPr>
        <w:tab/>
      </w:r>
      <w:r w:rsidR="00993133" w:rsidRPr="00993133">
        <w:rPr>
          <w:color w:val="000000"/>
        </w:rPr>
        <w:t>domestic remedies; victim status</w:t>
      </w:r>
    </w:p>
    <w:p w:rsidR="00D655F6" w:rsidRPr="00CF30A3" w:rsidRDefault="00D655F6" w:rsidP="00D655F6">
      <w:pPr>
        <w:pStyle w:val="SingleTxtG"/>
        <w:spacing w:after="100"/>
        <w:ind w:left="4536" w:hanging="3402"/>
        <w:jc w:val="left"/>
      </w:pPr>
      <w:r w:rsidRPr="00CF30A3">
        <w:rPr>
          <w:i/>
        </w:rPr>
        <w:t>Subject matter:</w:t>
      </w:r>
      <w:r w:rsidRPr="00CF30A3">
        <w:rPr>
          <w:i/>
          <w:iCs/>
          <w:sz w:val="22"/>
          <w:szCs w:val="22"/>
        </w:rPr>
        <w:t xml:space="preserve"> </w:t>
      </w:r>
      <w:r w:rsidRPr="00CF30A3">
        <w:rPr>
          <w:i/>
          <w:iCs/>
          <w:sz w:val="22"/>
          <w:szCs w:val="22"/>
        </w:rPr>
        <w:tab/>
      </w:r>
      <w:r w:rsidRPr="00CF30A3">
        <w:tab/>
      </w:r>
      <w:r w:rsidR="00993133" w:rsidRPr="00993133">
        <w:t>Right to enjoy legal capacity on an equal basis with others in the context of a criminal procedure against a person with intellectual impairment</w:t>
      </w:r>
    </w:p>
    <w:p w:rsidR="00D655F6" w:rsidRPr="00CF30A3" w:rsidRDefault="00D655F6" w:rsidP="00D655F6">
      <w:pPr>
        <w:pStyle w:val="SingleTxtG"/>
        <w:spacing w:after="100"/>
        <w:ind w:left="4536" w:hanging="3402"/>
        <w:jc w:val="left"/>
        <w:rPr>
          <w:sz w:val="22"/>
          <w:szCs w:val="22"/>
          <w:lang w:val="en-US"/>
        </w:rPr>
      </w:pPr>
      <w:r w:rsidRPr="00CF30A3">
        <w:rPr>
          <w:i/>
        </w:rPr>
        <w:t>Substantive issues:</w:t>
      </w:r>
      <w:r w:rsidRPr="00CF30A3">
        <w:rPr>
          <w:i/>
          <w:lang w:val="en-US"/>
        </w:rPr>
        <w:tab/>
      </w:r>
      <w:r w:rsidR="00993133" w:rsidRPr="00993133">
        <w:t>Access to court, intellectual impairment, exercise of legal capacity, deprivation of liberty, discrimination on the ground of disability, restrictions of rights</w:t>
      </w:r>
    </w:p>
    <w:p w:rsidR="00D655F6" w:rsidRPr="00CF30A3" w:rsidRDefault="00D655F6" w:rsidP="00D655F6">
      <w:pPr>
        <w:pStyle w:val="SingleTxtG"/>
        <w:spacing w:after="100"/>
        <w:ind w:left="4536" w:hanging="3402"/>
        <w:jc w:val="left"/>
        <w:rPr>
          <w:sz w:val="22"/>
          <w:szCs w:val="22"/>
        </w:rPr>
      </w:pPr>
      <w:r w:rsidRPr="00CF30A3">
        <w:rPr>
          <w:i/>
        </w:rPr>
        <w:t>Articles of the Convention:</w:t>
      </w:r>
      <w:r w:rsidRPr="00CF30A3">
        <w:rPr>
          <w:i/>
          <w:iCs/>
          <w:sz w:val="22"/>
          <w:szCs w:val="22"/>
        </w:rPr>
        <w:t xml:space="preserve">  </w:t>
      </w:r>
      <w:r w:rsidRPr="00CF30A3">
        <w:rPr>
          <w:i/>
          <w:iCs/>
          <w:sz w:val="22"/>
          <w:szCs w:val="22"/>
        </w:rPr>
        <w:tab/>
      </w:r>
      <w:r w:rsidR="00993133" w:rsidRPr="00993133">
        <w:t>5(1), 12, 13, 14(1)</w:t>
      </w:r>
      <w:r w:rsidR="00EE0A34">
        <w:t xml:space="preserve"> </w:t>
      </w:r>
      <w:r w:rsidR="00993133" w:rsidRPr="00993133">
        <w:t>(b), 14(2) and 15</w:t>
      </w:r>
    </w:p>
    <w:p w:rsidR="00D655F6" w:rsidRDefault="00D655F6" w:rsidP="00993133">
      <w:pPr>
        <w:ind w:firstLine="1134"/>
        <w:rPr>
          <w:iCs/>
        </w:rPr>
      </w:pPr>
      <w:r w:rsidRPr="00CF30A3">
        <w:rPr>
          <w:i/>
        </w:rPr>
        <w:t>Articles of the Optional Protocol:</w:t>
      </w:r>
      <w:r w:rsidR="00993133">
        <w:rPr>
          <w:i/>
          <w:iCs/>
          <w:sz w:val="22"/>
          <w:szCs w:val="22"/>
        </w:rPr>
        <w:t xml:space="preserve"> </w:t>
      </w:r>
      <w:r w:rsidR="00993133">
        <w:rPr>
          <w:i/>
          <w:iCs/>
          <w:sz w:val="22"/>
          <w:szCs w:val="22"/>
        </w:rPr>
        <w:tab/>
      </w:r>
      <w:r w:rsidR="00993133">
        <w:rPr>
          <w:i/>
          <w:iCs/>
          <w:sz w:val="22"/>
          <w:szCs w:val="22"/>
        </w:rPr>
        <w:tab/>
      </w:r>
      <w:r w:rsidR="00993133" w:rsidRPr="00993133">
        <w:rPr>
          <w:iCs/>
        </w:rPr>
        <w:t>Articles 1, 2</w:t>
      </w:r>
    </w:p>
    <w:p w:rsidR="00A6682E" w:rsidRDefault="00A6682E" w:rsidP="00993133">
      <w:pPr>
        <w:ind w:firstLine="1134"/>
        <w:rPr>
          <w:iCs/>
        </w:rPr>
      </w:pPr>
    </w:p>
    <w:p w:rsidR="00F85F17" w:rsidRPr="002230FC" w:rsidRDefault="00F85F17" w:rsidP="00B12226">
      <w:pPr>
        <w:pStyle w:val="SingleTxtG"/>
      </w:pPr>
      <w:r w:rsidRPr="002230FC">
        <w:lastRenderedPageBreak/>
        <w:t>1.</w:t>
      </w:r>
      <w:r w:rsidRPr="002230FC">
        <w:tab/>
        <w:t xml:space="preserve">The author of the communication, dated 12 April 2012, is Mr. Marlon James Noble, an </w:t>
      </w:r>
      <w:r w:rsidRPr="00D655F6">
        <w:t>Aboriginal</w:t>
      </w:r>
      <w:r w:rsidRPr="002230FC">
        <w:t xml:space="preserve"> national of Australia, born on 11 February 1982. </w:t>
      </w:r>
      <w:r>
        <w:t xml:space="preserve">He has </w:t>
      </w:r>
      <w:r w:rsidR="00A6682E">
        <w:t>a mental and</w:t>
      </w:r>
      <w:r w:rsidR="00A6682E" w:rsidRPr="002230FC">
        <w:t xml:space="preserve"> </w:t>
      </w:r>
      <w:r w:rsidRPr="002230FC">
        <w:t xml:space="preserve">intellectual </w:t>
      </w:r>
      <w:r w:rsidR="00A6682E">
        <w:t xml:space="preserve">disability </w:t>
      </w:r>
      <w:r>
        <w:t>and</w:t>
      </w:r>
      <w:r w:rsidRPr="002230FC">
        <w:rPr>
          <w:lang w:val="en-US"/>
        </w:rPr>
        <w:t xml:space="preserve"> </w:t>
      </w:r>
      <w:r w:rsidRPr="002230FC">
        <w:t>claims to be a victim of violations by Australia of his rights under articles 5(1), 12, 13, 14(1</w:t>
      </w:r>
      <w:proofErr w:type="gramStart"/>
      <w:r w:rsidRPr="002230FC">
        <w:t>)(</w:t>
      </w:r>
      <w:proofErr w:type="gramEnd"/>
      <w:r w:rsidRPr="002230FC">
        <w:t>b), 14(2) and 15 of the Convention on the Rights of Persons with Disabilities (the Convention). The Optional Protocol to the Convention entered into force for Australia on 19 September 2009. The author is represented by counsel, Phillip French.</w:t>
      </w:r>
    </w:p>
    <w:p w:rsidR="00F85F17" w:rsidRPr="002230FC" w:rsidRDefault="00A25B89" w:rsidP="00993133">
      <w:pPr>
        <w:pStyle w:val="H1G"/>
      </w:pPr>
      <w:r>
        <w:tab/>
      </w:r>
      <w:r w:rsidR="00F85F17" w:rsidRPr="002230FC">
        <w:t>A.</w:t>
      </w:r>
      <w:r w:rsidR="00F85F17" w:rsidRPr="002230FC">
        <w:tab/>
        <w:t xml:space="preserve">Summary of the </w:t>
      </w:r>
      <w:r w:rsidR="00F85F17" w:rsidRPr="00993133">
        <w:t>information</w:t>
      </w:r>
      <w:r w:rsidR="00F85F17" w:rsidRPr="002230FC">
        <w:t xml:space="preserve"> and arguments submitted by the parties</w:t>
      </w:r>
    </w:p>
    <w:p w:rsidR="00F85F17" w:rsidRPr="002230FC" w:rsidRDefault="00F85F17" w:rsidP="00993133">
      <w:pPr>
        <w:pStyle w:val="H23G"/>
      </w:pPr>
      <w:r w:rsidRPr="002230FC">
        <w:tab/>
      </w:r>
      <w:r w:rsidRPr="002230FC">
        <w:tab/>
        <w:t>The facts as submitted by the author</w:t>
      </w:r>
    </w:p>
    <w:p w:rsidR="00F85F17" w:rsidRPr="002230FC" w:rsidRDefault="00F85F17" w:rsidP="00993133">
      <w:pPr>
        <w:pStyle w:val="SingleTxtG"/>
      </w:pPr>
      <w:r w:rsidRPr="002230FC">
        <w:t>2.1</w:t>
      </w:r>
      <w:r w:rsidRPr="002230FC">
        <w:tab/>
        <w:t xml:space="preserve">In October 2001, when he was 19 year old, </w:t>
      </w:r>
      <w:r>
        <w:t>the author</w:t>
      </w:r>
      <w:r w:rsidRPr="002230FC">
        <w:t xml:space="preserve"> was charged with two counts of </w:t>
      </w:r>
      <w:r>
        <w:t>s</w:t>
      </w:r>
      <w:r w:rsidRPr="002230FC">
        <w:t xml:space="preserve">exual penetration of a child under 13 years, and three counts of “Indecent dealing with a child 13 to 16 years”, pursuant to sections 320 and 321 of the Western Australian Criminal Code 1913. These offences respectively </w:t>
      </w:r>
      <w:r w:rsidRPr="00993133">
        <w:t>carried</w:t>
      </w:r>
      <w:r w:rsidRPr="002230FC">
        <w:t xml:space="preserve"> a maximum penalty of 20 and 7 years imprisonment. The author was arrested, taken into custody at </w:t>
      </w:r>
      <w:proofErr w:type="spellStart"/>
      <w:r w:rsidRPr="002230FC">
        <w:t>Hakea</w:t>
      </w:r>
      <w:proofErr w:type="spellEnd"/>
      <w:r w:rsidRPr="002230FC">
        <w:t xml:space="preserve"> Prison (a correctional centre operated by the Western Australian Department of Corrective Services), and he was refused bail. </w:t>
      </w:r>
    </w:p>
    <w:p w:rsidR="00F85F17" w:rsidRPr="005F3281" w:rsidRDefault="00F85F17" w:rsidP="00993133">
      <w:pPr>
        <w:pStyle w:val="SingleTxtG"/>
      </w:pPr>
      <w:r w:rsidRPr="002230FC">
        <w:t>2.2</w:t>
      </w:r>
      <w:r w:rsidRPr="002230FC">
        <w:tab/>
        <w:t>Early 2002, the author appeared in the Court of Petty Sessions in Perth. He was remanded in custody for assessment of his intellectual impairment.</w:t>
      </w:r>
      <w:r w:rsidRPr="002230FC">
        <w:rPr>
          <w:vertAlign w:val="superscript"/>
        </w:rPr>
        <w:t xml:space="preserve"> </w:t>
      </w:r>
      <w:r w:rsidRPr="002230FC">
        <w:t xml:space="preserve">On 18 July 2002, </w:t>
      </w:r>
      <w:r>
        <w:t>he</w:t>
      </w:r>
      <w:r w:rsidRPr="005F3281">
        <w:t xml:space="preserve"> appeared in the District Court of Western Australia on indictments for both charges. The Prosecution put be</w:t>
      </w:r>
      <w:r>
        <w:t>fore the Court an expert report</w:t>
      </w:r>
      <w:r w:rsidRPr="005F3281">
        <w:t xml:space="preserve"> </w:t>
      </w:r>
      <w:r>
        <w:t>indicating</w:t>
      </w:r>
      <w:r w:rsidRPr="005F3281">
        <w:t xml:space="preserve"> that the author may be unfit to plead to these charges. The Prosecutor viewed this report as inconclusive. The prosecution and the defence joined in an application to the Court for an Order for a further psychiatric</w:t>
      </w:r>
      <w:r w:rsidRPr="002230FC">
        <w:t xml:space="preserve"> assessment of the author to be conducted pursuant to section 12 of the Criminal Law (Mentally Impaired Defendants) Act 1996 </w:t>
      </w:r>
      <w:r>
        <w:t>(WA)</w:t>
      </w:r>
      <w:r w:rsidRPr="002230FC">
        <w:t xml:space="preserve"> (the MID Act). The Prosecutor submitted to the Court </w:t>
      </w:r>
      <w:r w:rsidRPr="005F3281">
        <w:t xml:space="preserve">that the order for assessment should be made under this section </w:t>
      </w:r>
      <w:r w:rsidR="00CB578D">
        <w:t>so that it</w:t>
      </w:r>
      <w:r w:rsidRPr="005F3281">
        <w:t xml:space="preserve"> could be conducted without the consent of </w:t>
      </w:r>
      <w:r>
        <w:t>the author</w:t>
      </w:r>
      <w:r w:rsidRPr="005F3281">
        <w:t xml:space="preserve">. The application was granted, and at the end of the hearing, the author was remanded in custody at </w:t>
      </w:r>
      <w:proofErr w:type="spellStart"/>
      <w:r w:rsidRPr="005F3281">
        <w:t>Hakea</w:t>
      </w:r>
      <w:proofErr w:type="spellEnd"/>
      <w:r w:rsidRPr="005F3281">
        <w:t xml:space="preserve"> Prison.</w:t>
      </w:r>
    </w:p>
    <w:p w:rsidR="00F85F17" w:rsidRPr="002230FC" w:rsidRDefault="00F85F17" w:rsidP="00993133">
      <w:pPr>
        <w:pStyle w:val="SingleTxtG"/>
      </w:pPr>
      <w:r w:rsidRPr="005F3281">
        <w:t>2.3</w:t>
      </w:r>
      <w:r w:rsidRPr="005F3281">
        <w:tab/>
      </w:r>
      <w:r>
        <w:t>At a further hearing o</w:t>
      </w:r>
      <w:r w:rsidRPr="005F3281">
        <w:t>n 2 September</w:t>
      </w:r>
      <w:r>
        <w:t xml:space="preserve"> 2002 </w:t>
      </w:r>
      <w:r w:rsidRPr="002230FC">
        <w:t>before the District Court of Western Australia</w:t>
      </w:r>
      <w:r>
        <w:t xml:space="preserve">, </w:t>
      </w:r>
      <w:r w:rsidR="00CB578D">
        <w:t>t</w:t>
      </w:r>
      <w:r w:rsidRPr="002230FC">
        <w:t xml:space="preserve">he </w:t>
      </w:r>
      <w:r w:rsidRPr="00993133">
        <w:t>Prosecutor</w:t>
      </w:r>
      <w:r w:rsidRPr="002230FC">
        <w:t xml:space="preserve"> advised the Court that the author had been </w:t>
      </w:r>
      <w:r w:rsidRPr="005F3281">
        <w:t xml:space="preserve">assessed by a psychiatrist, but that only a preliminary report had been received. The Prosecution therefore sought an adjournment, which was granted. The author was remanded in custody at </w:t>
      </w:r>
      <w:proofErr w:type="spellStart"/>
      <w:r w:rsidRPr="005F3281">
        <w:t>Hakea</w:t>
      </w:r>
      <w:proofErr w:type="spellEnd"/>
      <w:r w:rsidRPr="005F3281">
        <w:t xml:space="preserve"> Prison. </w:t>
      </w:r>
      <w:r>
        <w:t>The author</w:t>
      </w:r>
      <w:r w:rsidRPr="005F3281">
        <w:t xml:space="preserve"> next appeared before the District Court on 25 October 2002, and it was decided to conduct a fitness to plead hearing on 24 January 2003. On that date, reports of three psychiatrists were presented: two concluded that the author was unfit to plead, and one recommended further assessment. This last report noted that </w:t>
      </w:r>
      <w:r>
        <w:t>the author</w:t>
      </w:r>
      <w:r w:rsidRPr="005F3281">
        <w:t xml:space="preserve"> appeared to understand the nature of the charges against him, and that he had expressed the intention to plead not guilty. While the Prosecution and the Defence did not formally concede that </w:t>
      </w:r>
      <w:r>
        <w:t>the author</w:t>
      </w:r>
      <w:r w:rsidRPr="005F3281">
        <w:t xml:space="preserve"> was not fit to plead, both advised the court that such a finding was possible. The Court reserved its decision. In the meantime, the author was remanded in custody at </w:t>
      </w:r>
      <w:proofErr w:type="spellStart"/>
      <w:r w:rsidRPr="005F3281">
        <w:t>Hakea</w:t>
      </w:r>
      <w:proofErr w:type="spellEnd"/>
      <w:r w:rsidRPr="005F3281">
        <w:t xml:space="preserve"> prison.</w:t>
      </w:r>
      <w:r w:rsidRPr="002230FC">
        <w:t xml:space="preserve"> </w:t>
      </w:r>
    </w:p>
    <w:p w:rsidR="00F85F17" w:rsidRPr="005F3281" w:rsidRDefault="00F85F17" w:rsidP="00993133">
      <w:pPr>
        <w:pStyle w:val="SingleTxtG"/>
      </w:pPr>
      <w:r w:rsidRPr="002230FC">
        <w:t>2.4</w:t>
      </w:r>
      <w:r w:rsidRPr="002230FC">
        <w:tab/>
        <w:t xml:space="preserve">The author appeared </w:t>
      </w:r>
      <w:r w:rsidRPr="00993133">
        <w:t>again</w:t>
      </w:r>
      <w:r w:rsidRPr="002230FC">
        <w:t xml:space="preserve"> before the District Court of Western Australia, around 7 March </w:t>
      </w:r>
      <w:r w:rsidRPr="005F3281">
        <w:t xml:space="preserve">2003. He </w:t>
      </w:r>
      <w:r>
        <w:t>submits</w:t>
      </w:r>
      <w:r w:rsidRPr="005F3281">
        <w:t xml:space="preserve"> that all court records of this appearance were lost or destroyed.</w:t>
      </w:r>
      <w:r w:rsidR="00993133">
        <w:rPr>
          <w:rStyle w:val="FootnoteReference"/>
        </w:rPr>
        <w:footnoteReference w:id="4"/>
      </w:r>
      <w:r w:rsidRPr="005F3281">
        <w:t xml:space="preserve"> The court found that the author was unfit to plead and was made subject to a custody order pursuant to sections 16 and 19 of the MID Act. The author therefore did not have the opportunity to plead not </w:t>
      </w:r>
      <w:r w:rsidRPr="00993133">
        <w:t>guilty</w:t>
      </w:r>
      <w:r w:rsidRPr="005F3281">
        <w:t xml:space="preserve">, and the Court made no finding of guilt. Responsibility for </w:t>
      </w:r>
      <w:r w:rsidRPr="005F3281">
        <w:lastRenderedPageBreak/>
        <w:t xml:space="preserve">oversight of the author’s custody order was vested in the “Mentally Impaired Accused Review Board” (the Review Board). The Board determined that the author was to be detained in custody at the correctional centre of </w:t>
      </w:r>
      <w:proofErr w:type="spellStart"/>
      <w:r w:rsidRPr="005F3281">
        <w:t>Greenough</w:t>
      </w:r>
      <w:proofErr w:type="spellEnd"/>
      <w:r w:rsidRPr="005F3281">
        <w:t xml:space="preserve"> Regional Prison.</w:t>
      </w:r>
      <w:r w:rsidR="00993133">
        <w:rPr>
          <w:rStyle w:val="FootnoteReference"/>
        </w:rPr>
        <w:footnoteReference w:id="5"/>
      </w:r>
      <w:r w:rsidRPr="005F3281">
        <w:t xml:space="preserve"> He remained there from March 2003 to 10 January 2012, when he was released on a Conditional Release Order. Taking into account the 17 months he served on remand, the author was detained </w:t>
      </w:r>
      <w:r>
        <w:t>together with convicted detainees</w:t>
      </w:r>
      <w:r w:rsidRPr="005F3281">
        <w:t xml:space="preserve"> during 10 years and 3 months</w:t>
      </w:r>
      <w:r>
        <w:t xml:space="preserve">. </w:t>
      </w:r>
      <w:r w:rsidRPr="005F3281">
        <w:t>Although the maximum period of imprisonment for the offences he was originally charged with was 20 and 7 years respectively, the author argues that under the general procedure, he would probably have been sentenced to a term of imprisonment not exceeding 2 to 3 years.</w:t>
      </w:r>
      <w:r w:rsidR="00993133">
        <w:rPr>
          <w:rStyle w:val="FootnoteReference"/>
        </w:rPr>
        <w:footnoteReference w:id="6"/>
      </w:r>
      <w:r w:rsidRPr="005F3281">
        <w:t xml:space="preserve"> Additionally, the time he served in custody prior to sentencing would have been taken into account in the calculation of his time in prison.</w:t>
      </w:r>
    </w:p>
    <w:p w:rsidR="00F85F17" w:rsidRPr="005F3281" w:rsidRDefault="00F85F17" w:rsidP="00993133">
      <w:pPr>
        <w:pStyle w:val="SingleTxtG"/>
      </w:pPr>
      <w:r w:rsidRPr="005F3281">
        <w:t>2.5</w:t>
      </w:r>
      <w:r w:rsidRPr="005F3281">
        <w:tab/>
      </w:r>
      <w:r w:rsidR="000531EB">
        <w:t>I</w:t>
      </w:r>
      <w:r w:rsidRPr="005F3281">
        <w:t xml:space="preserve">n 2009, the Review Board permitted </w:t>
      </w:r>
      <w:r w:rsidR="000531EB">
        <w:t>the author</w:t>
      </w:r>
      <w:r w:rsidR="000531EB" w:rsidRPr="005F3281">
        <w:t xml:space="preserve"> </w:t>
      </w:r>
      <w:r w:rsidRPr="005F3281">
        <w:t xml:space="preserve">overnight stays outside prison, subject to full supervision. On 3 September 2010, the author returned from a leave, and the prison authorities required him to undertake a urine drug screening test. The initial screen was reported as positive for amphetamine. However, a later Gas Chromatograph Mass </w:t>
      </w:r>
      <w:r w:rsidRPr="00993133">
        <w:t>Spectrometry</w:t>
      </w:r>
      <w:r w:rsidRPr="005F3281">
        <w:t xml:space="preserve"> Test certified that no illicit drugs were detected. Despite these contradictory results, the author was charged on 7 October 2010 with using an illicit drug, and his “home leave” was suspended. This incident was subject to an independent inquiry, conducted on behalf of the Premier of Western Australia. As a result, the author’s home leave was reinstated, but he received no apology or compensation.</w:t>
      </w:r>
      <w:r w:rsidR="00993133">
        <w:rPr>
          <w:rStyle w:val="FootnoteReference"/>
        </w:rPr>
        <w:footnoteReference w:id="7"/>
      </w:r>
      <w:r w:rsidRPr="005F3281">
        <w:rPr>
          <w:vertAlign w:val="superscript"/>
        </w:rPr>
        <w:t xml:space="preserve"> </w:t>
      </w:r>
    </w:p>
    <w:p w:rsidR="00F85F17" w:rsidRPr="005F3281" w:rsidRDefault="00F85F17" w:rsidP="00993133">
      <w:pPr>
        <w:pStyle w:val="SingleTxtG"/>
      </w:pPr>
      <w:r w:rsidRPr="005F3281">
        <w:t>2.6</w:t>
      </w:r>
      <w:r w:rsidRPr="005F3281">
        <w:tab/>
        <w:t xml:space="preserve">On 20 June 2010, a forensic psychologist undertook a further assessment of </w:t>
      </w:r>
      <w:r>
        <w:t>the author’s</w:t>
      </w:r>
      <w:r w:rsidRPr="005F3281">
        <w:t xml:space="preserve"> intellectual functioning. </w:t>
      </w:r>
      <w:r>
        <w:t>He</w:t>
      </w:r>
      <w:r w:rsidRPr="005F3281">
        <w:t xml:space="preserve"> concluded that the author was capable of standing trial, under the condition that he would have access to appropriate assistance. </w:t>
      </w:r>
      <w:r>
        <w:t>T</w:t>
      </w:r>
      <w:r w:rsidRPr="005F3281">
        <w:t>he author’s legal representative</w:t>
      </w:r>
      <w:r>
        <w:t xml:space="preserve"> therefore</w:t>
      </w:r>
      <w:r w:rsidRPr="005F3281">
        <w:t xml:space="preserve"> sought orders from the District Court of Western Australia to the effect that the author was fit to plead, and that within 42 days, an indictment or a </w:t>
      </w:r>
      <w:r w:rsidRPr="00993133">
        <w:t>discontinuance</w:t>
      </w:r>
      <w:r w:rsidRPr="005F3281">
        <w:t xml:space="preserve"> be presented by the Prosecution for the offences he was originally charged with. Hearing took place on 20 September 2010. The Western Australian Director of Public Prosecutions advised the Court that he did not intend to proceed with any further prosecution of the author </w:t>
      </w:r>
      <w:r w:rsidR="000531EB">
        <w:t>because</w:t>
      </w:r>
      <w:r w:rsidRPr="005F3281">
        <w:t xml:space="preserve">: a) the substantial time he had already spent in custody far exceeded any reasonable term of imprisonment should he be convicted of all charges; b) there were very limited prospects of securing a conviction on these charges because of the low quality of the evidence available. </w:t>
      </w:r>
      <w:r>
        <w:t>T</w:t>
      </w:r>
      <w:r w:rsidRPr="005F3281">
        <w:t>he legal representative of the author pressed his application for an Order that he was fit to plead. On 5 November 2010, the Court dismissed the application on the basis that it did not have jurisdiction. Formal reasons for this decision were published by the Court, but they have allegedly been lost or destroyed.</w:t>
      </w:r>
      <w:r w:rsidR="00993133">
        <w:rPr>
          <w:rStyle w:val="FootnoteReference"/>
        </w:rPr>
        <w:footnoteReference w:id="8"/>
      </w:r>
    </w:p>
    <w:p w:rsidR="00F85F17" w:rsidRPr="002230FC" w:rsidRDefault="00F85F17" w:rsidP="00993133">
      <w:pPr>
        <w:pStyle w:val="SingleTxtG"/>
      </w:pPr>
      <w:r w:rsidRPr="005F3281">
        <w:t>2.7</w:t>
      </w:r>
      <w:r w:rsidRPr="005F3281">
        <w:tab/>
        <w:t>On 22 November 2011, the Review Board recommended to the Western Australian Attorney-General that the author be</w:t>
      </w:r>
      <w:r>
        <w:t xml:space="preserve"> conditionally</w:t>
      </w:r>
      <w:r w:rsidRPr="005F3281">
        <w:t xml:space="preserve"> released into an accommodation support service. The Western Australian Governor adopted the recommendation of the Board and </w:t>
      </w:r>
      <w:r w:rsidR="00632048">
        <w:t>on</w:t>
      </w:r>
      <w:r w:rsidR="00632048" w:rsidRPr="005F3281">
        <w:t xml:space="preserve"> 10 January 2012</w:t>
      </w:r>
      <w:r w:rsidR="00632048">
        <w:t xml:space="preserve"> </w:t>
      </w:r>
      <w:r w:rsidRPr="005F3281">
        <w:t>the author was released from custody</w:t>
      </w:r>
      <w:r>
        <w:t xml:space="preserve"> </w:t>
      </w:r>
      <w:r w:rsidR="00632048">
        <w:t>subject to ten conditions</w:t>
      </w:r>
      <w:r w:rsidRPr="005F3281">
        <w:t>.</w:t>
      </w:r>
      <w:r w:rsidR="00632048">
        <w:rPr>
          <w:rStyle w:val="FootnoteReference"/>
        </w:rPr>
        <w:footnoteReference w:id="9"/>
      </w:r>
      <w:r w:rsidRPr="002230FC">
        <w:t xml:space="preserve"> </w:t>
      </w:r>
    </w:p>
    <w:p w:rsidR="00F85F17" w:rsidRPr="002230FC" w:rsidRDefault="00F85F17" w:rsidP="00993133">
      <w:pPr>
        <w:pStyle w:val="SingleTxtG"/>
      </w:pPr>
      <w:r w:rsidRPr="002230FC">
        <w:lastRenderedPageBreak/>
        <w:t>2.8</w:t>
      </w:r>
      <w:r w:rsidRPr="002230FC">
        <w:tab/>
        <w:t xml:space="preserve">The author </w:t>
      </w:r>
      <w:r>
        <w:t>submits</w:t>
      </w:r>
      <w:r w:rsidRPr="002230FC">
        <w:t xml:space="preserve"> that his communication relates to facts that continued after </w:t>
      </w:r>
      <w:r>
        <w:t>the entry into force of the Optional Protoco</w:t>
      </w:r>
      <w:r w:rsidRPr="00E0787B">
        <w:t xml:space="preserve">l </w:t>
      </w:r>
      <w:r>
        <w:t>for</w:t>
      </w:r>
      <w:r w:rsidRPr="00E0787B">
        <w:t xml:space="preserve"> the State party. In </w:t>
      </w:r>
      <w:r w:rsidRPr="00993133">
        <w:t>particular</w:t>
      </w:r>
      <w:r w:rsidRPr="00E0787B">
        <w:t xml:space="preserve">, he remained subject to civil detention; he was incarcerated in </w:t>
      </w:r>
      <w:proofErr w:type="spellStart"/>
      <w:r w:rsidRPr="00E0787B">
        <w:t>Greenough</w:t>
      </w:r>
      <w:proofErr w:type="spellEnd"/>
      <w:r w:rsidRPr="00E0787B">
        <w:t xml:space="preserve"> Regional Prison from 19 September 2009 to 10 January 2012; and since 10 January 2012, he has been subject to civil detention in the community. </w:t>
      </w:r>
      <w:r>
        <w:t>H</w:t>
      </w:r>
      <w:r w:rsidRPr="00E0787B">
        <w:t xml:space="preserve">e </w:t>
      </w:r>
      <w:r>
        <w:t xml:space="preserve">is </w:t>
      </w:r>
      <w:r w:rsidRPr="00E0787B">
        <w:t>also</w:t>
      </w:r>
      <w:r>
        <w:t xml:space="preserve"> still</w:t>
      </w:r>
      <w:r w:rsidRPr="00E0787B">
        <w:t xml:space="preserve"> deprived of the opportunity to enter a plea of not guilty and to test the evidence that </w:t>
      </w:r>
      <w:r>
        <w:t>was</w:t>
      </w:r>
      <w:r w:rsidRPr="00E0787B">
        <w:t xml:space="preserve"> presented against him, and therefore </w:t>
      </w:r>
      <w:r>
        <w:t>remains</w:t>
      </w:r>
      <w:r w:rsidRPr="00E0787B">
        <w:t xml:space="preserve"> presumed guilty.</w:t>
      </w:r>
    </w:p>
    <w:p w:rsidR="00F85F17" w:rsidRPr="002230FC" w:rsidRDefault="00F85F17" w:rsidP="00993133">
      <w:pPr>
        <w:pStyle w:val="SingleTxtG"/>
      </w:pPr>
      <w:r w:rsidRPr="002230FC">
        <w:t>2.9</w:t>
      </w:r>
      <w:r w:rsidRPr="002230FC">
        <w:tab/>
        <w:t xml:space="preserve">The author contends that he has exhausted all available and </w:t>
      </w:r>
      <w:r w:rsidRPr="00AB2427">
        <w:t xml:space="preserve">effective domestic remedies. In March 2003, the District Court of Western Australia determined that he was unfit to plead to the charges against him. In </w:t>
      </w:r>
      <w:r w:rsidRPr="00993133">
        <w:t>August</w:t>
      </w:r>
      <w:r w:rsidRPr="00AB2427">
        <w:t xml:space="preserve"> 2010, the author applied to the Court to enter a plea</w:t>
      </w:r>
      <w:r w:rsidRPr="002230FC">
        <w:t xml:space="preserve"> of not guilty, but the Court determined it did not have jurisdiction to deal with that application. In September 2010, the Western Australian Director of Public Prosecutions determined that he would not instigate further prosecution against the author</w:t>
      </w:r>
      <w:r>
        <w:t>, who</w:t>
      </w:r>
      <w:r w:rsidRPr="002230FC">
        <w:t xml:space="preserve"> can therefore not bring his case before any other court. The Review Board periodically conducted reviews of </w:t>
      </w:r>
      <w:r>
        <w:t>the author’s</w:t>
      </w:r>
      <w:r w:rsidRPr="002230FC">
        <w:t xml:space="preserve"> case and could have recommended to the Governor of Western Australia to release him unconditionally. It did not do so, despite of the evidence that the author has been subjected to a gross miscarriage of justice. The author finally contends that the High Court has determined that</w:t>
      </w:r>
      <w:r>
        <w:t xml:space="preserve"> the</w:t>
      </w:r>
      <w:r w:rsidRPr="002230FC">
        <w:t xml:space="preserve"> Australian legislation </w:t>
      </w:r>
      <w:r>
        <w:t>providing</w:t>
      </w:r>
      <w:r w:rsidRPr="002230FC">
        <w:t xml:space="preserve"> for preventive detention</w:t>
      </w:r>
      <w:r>
        <w:t xml:space="preserve"> under the MID Act</w:t>
      </w:r>
      <w:r w:rsidRPr="002230FC">
        <w:t xml:space="preserve"> is constitutionally valid.</w:t>
      </w:r>
      <w:r w:rsidR="00993133">
        <w:rPr>
          <w:rStyle w:val="FootnoteReference"/>
        </w:rPr>
        <w:footnoteReference w:id="10"/>
      </w:r>
      <w:r w:rsidRPr="002230FC">
        <w:t xml:space="preserve"> </w:t>
      </w:r>
      <w:r>
        <w:t>A</w:t>
      </w:r>
      <w:r w:rsidRPr="002230FC">
        <w:t xml:space="preserve"> claim that the MID Act is constitutionally invalid </w:t>
      </w:r>
      <w:r>
        <w:t xml:space="preserve">therefore </w:t>
      </w:r>
      <w:r w:rsidRPr="002230FC">
        <w:t>has no chance of success</w:t>
      </w:r>
      <w:r>
        <w:t xml:space="preserve"> before national jurisdictions</w:t>
      </w:r>
      <w:r w:rsidRPr="002230FC">
        <w:t>.</w:t>
      </w:r>
    </w:p>
    <w:p w:rsidR="00F85F17" w:rsidRPr="002230FC" w:rsidRDefault="00993133" w:rsidP="00993133">
      <w:pPr>
        <w:pStyle w:val="H23G"/>
      </w:pPr>
      <w:r>
        <w:tab/>
      </w:r>
      <w:r>
        <w:tab/>
      </w:r>
      <w:r w:rsidR="00F85F17" w:rsidRPr="002230FC">
        <w:t>Complaint</w:t>
      </w:r>
    </w:p>
    <w:p w:rsidR="00F85F17" w:rsidRPr="002230FC" w:rsidRDefault="00F85F17" w:rsidP="00993133">
      <w:pPr>
        <w:pStyle w:val="SingleTxtG"/>
      </w:pPr>
      <w:r w:rsidRPr="002230FC">
        <w:t>3.1</w:t>
      </w:r>
      <w:r w:rsidRPr="002230FC">
        <w:tab/>
      </w:r>
      <w:r w:rsidRPr="00993133">
        <w:t>The</w:t>
      </w:r>
      <w:r w:rsidRPr="002230FC">
        <w:t xml:space="preserve"> author submits that the State party violated his rights under article</w:t>
      </w:r>
      <w:r>
        <w:t>s</w:t>
      </w:r>
      <w:r w:rsidRPr="002230FC">
        <w:t xml:space="preserve"> 5(1), 12, 13, 14(1</w:t>
      </w:r>
      <w:proofErr w:type="gramStart"/>
      <w:r w:rsidRPr="002230FC">
        <w:t>)(</w:t>
      </w:r>
      <w:proofErr w:type="gramEnd"/>
      <w:r w:rsidRPr="002230FC">
        <w:t>b), 14(2) and 15 of the Convention.</w:t>
      </w:r>
    </w:p>
    <w:p w:rsidR="00F85F17" w:rsidRPr="002230FC" w:rsidRDefault="00F85F17" w:rsidP="00993133">
      <w:pPr>
        <w:pStyle w:val="SingleTxtG"/>
      </w:pPr>
      <w:r w:rsidRPr="0056379B">
        <w:t>3.2</w:t>
      </w:r>
      <w:r w:rsidRPr="0056379B">
        <w:tab/>
      </w:r>
      <w:r w:rsidR="00FE555C">
        <w:t>T</w:t>
      </w:r>
      <w:r w:rsidRPr="0056379B">
        <w:t xml:space="preserve">he author submits that the MID Act constitutes a discriminatory status-based law in violation of </w:t>
      </w:r>
      <w:r w:rsidRPr="00993133">
        <w:t>article</w:t>
      </w:r>
      <w:r w:rsidRPr="0056379B">
        <w:t xml:space="preserve"> 5(1) of the Convention. </w:t>
      </w:r>
      <w:r w:rsidR="00FE555C">
        <w:t>He considers</w:t>
      </w:r>
      <w:r w:rsidRPr="0056379B">
        <w:t xml:space="preserve"> that o</w:t>
      </w:r>
      <w:r w:rsidRPr="0056379B">
        <w:rPr>
          <w:color w:val="000000"/>
          <w:lang w:eastAsia="en-GB"/>
        </w:rPr>
        <w:t>nce a person is found unfit to plead, and if the presiding judicial</w:t>
      </w:r>
      <w:r>
        <w:rPr>
          <w:color w:val="000000"/>
          <w:lang w:eastAsia="en-GB"/>
        </w:rPr>
        <w:t xml:space="preserve"> officer is satisfied that the accused person will not become mentally fit to stand trial within 6 months after that finding, the judge must make an order either quashing the indictment or dismissing the charge without deciding the guilt of the accused. The judge then has the possibility to release the accused or, as in the author’s case, to make a custody order in his/her respect. The decision to make a custody order will be taken having regard to the following factors: (a) the strength of the evidence against the accused, (b) the nature of the alleged offence and the alleged circumstances of its commission; (c) the accused’s character, antecedents, age, health and mental condition; and (d) the public interest.</w:t>
      </w:r>
      <w:r w:rsidR="00993133">
        <w:rPr>
          <w:rStyle w:val="FootnoteReference"/>
          <w:color w:val="000000"/>
          <w:lang w:eastAsia="en-GB"/>
        </w:rPr>
        <w:footnoteReference w:id="11"/>
      </w:r>
      <w:r>
        <w:rPr>
          <w:color w:val="000000"/>
          <w:lang w:eastAsia="en-GB"/>
        </w:rPr>
        <w:t xml:space="preserve"> </w:t>
      </w:r>
      <w:r>
        <w:t>No limits exist as to the duration of the Custody order,</w:t>
      </w:r>
      <w:r w:rsidR="00EB6761">
        <w:rPr>
          <w:rStyle w:val="FootnoteReference"/>
        </w:rPr>
        <w:footnoteReference w:id="12"/>
      </w:r>
      <w:r>
        <w:t xml:space="preserve"> and </w:t>
      </w:r>
      <w:r>
        <w:rPr>
          <w:color w:val="000000"/>
          <w:lang w:eastAsia="en-GB"/>
        </w:rPr>
        <w:t>the accused declared unfit to plead has no possibility to exercise his/her legal capacity before the courts. He/she is therefore prevented from pleading not guilty and from testing the evidence presented against him/her.</w:t>
      </w:r>
      <w:r w:rsidRPr="002230FC">
        <w:t xml:space="preserve"> </w:t>
      </w:r>
      <w:r w:rsidR="00FE555C">
        <w:t>P</w:t>
      </w:r>
      <w:r w:rsidRPr="002230FC">
        <w:t>ersons who do not have cognitive impairments are protected from such conduct.</w:t>
      </w:r>
    </w:p>
    <w:p w:rsidR="00F85F17" w:rsidRPr="002230FC" w:rsidRDefault="00F85F17" w:rsidP="0092400B">
      <w:pPr>
        <w:pStyle w:val="SingleTxtG"/>
      </w:pPr>
      <w:r w:rsidRPr="002230FC">
        <w:t>3.3</w:t>
      </w:r>
      <w:r w:rsidRPr="002230FC">
        <w:tab/>
        <w:t xml:space="preserve">The author submits that he has continued to be dealt with as “unfit to plead”, in </w:t>
      </w:r>
      <w:r w:rsidRPr="0092400B">
        <w:t>violation</w:t>
      </w:r>
      <w:r w:rsidRPr="002230FC">
        <w:t xml:space="preserve"> of his right to enjoy legal capacity on an equal basis with others. He </w:t>
      </w:r>
      <w:r>
        <w:t xml:space="preserve">submits that </w:t>
      </w:r>
      <w:r>
        <w:lastRenderedPageBreak/>
        <w:t>he</w:t>
      </w:r>
      <w:r w:rsidRPr="002230FC">
        <w:t xml:space="preserve"> continues to be deprived of the support measures of reasonable accommodation he requires to exercise his legal capacity</w:t>
      </w:r>
      <w:r>
        <w:t xml:space="preserve"> </w:t>
      </w:r>
      <w:r w:rsidRPr="002230FC">
        <w:t>and to</w:t>
      </w:r>
      <w:r>
        <w:t xml:space="preserve"> effectively</w:t>
      </w:r>
      <w:r w:rsidRPr="002230FC">
        <w:t xml:space="preserve"> enter a plea of not guilty and to have </w:t>
      </w:r>
      <w:r>
        <w:t>the evidence against him tested, in violation of</w:t>
      </w:r>
      <w:r w:rsidRPr="002230FC">
        <w:t xml:space="preserve"> article</w:t>
      </w:r>
      <w:r>
        <w:t>s</w:t>
      </w:r>
      <w:r w:rsidRPr="002230FC">
        <w:t xml:space="preserve"> 12(3)</w:t>
      </w:r>
      <w:r>
        <w:t xml:space="preserve"> and 13(1)</w:t>
      </w:r>
      <w:r w:rsidRPr="002230FC">
        <w:t xml:space="preserve"> of the Convention</w:t>
      </w:r>
      <w:r>
        <w:t>.</w:t>
      </w:r>
      <w:r w:rsidRPr="002230FC">
        <w:t xml:space="preserve"> </w:t>
      </w:r>
    </w:p>
    <w:p w:rsidR="00F85F17" w:rsidRPr="00E0787B" w:rsidRDefault="00F85F17" w:rsidP="0092400B">
      <w:pPr>
        <w:pStyle w:val="SingleTxtG"/>
      </w:pPr>
      <w:r w:rsidRPr="002230FC">
        <w:t>3.</w:t>
      </w:r>
      <w:r w:rsidR="00BD44FD">
        <w:t>4</w:t>
      </w:r>
      <w:r w:rsidRPr="002230FC">
        <w:tab/>
        <w:t xml:space="preserve">He also </w:t>
      </w:r>
      <w:r>
        <w:t xml:space="preserve">submits that he has been deprived of his liberty pursuant to the MID Act, while </w:t>
      </w:r>
      <w:r w:rsidRPr="00E0787B">
        <w:t xml:space="preserve">in the view of the state of the evidence in his </w:t>
      </w:r>
      <w:proofErr w:type="gramStart"/>
      <w:r w:rsidRPr="00E0787B">
        <w:t>case</w:t>
      </w:r>
      <w:r>
        <w:t>,</w:t>
      </w:r>
      <w:proofErr w:type="gramEnd"/>
      <w:r>
        <w:t xml:space="preserve"> it </w:t>
      </w:r>
      <w:r w:rsidRPr="00E0787B">
        <w:t xml:space="preserve">is unlikely </w:t>
      </w:r>
      <w:r>
        <w:t xml:space="preserve">that he would have been </w:t>
      </w:r>
      <w:r w:rsidRPr="00E0787B">
        <w:t>convicted for the offences with which he was charged</w:t>
      </w:r>
      <w:r>
        <w:t>. In case he would have been convicted</w:t>
      </w:r>
      <w:r w:rsidRPr="00E0787B">
        <w:t xml:space="preserve">, he would probably have been released from prison within 3 years. Instead, he was imprisoned </w:t>
      </w:r>
      <w:r>
        <w:t xml:space="preserve">together with convicted criminals </w:t>
      </w:r>
      <w:r w:rsidRPr="00E0787B">
        <w:t>for more than 10 years</w:t>
      </w:r>
      <w:r>
        <w:t>,</w:t>
      </w:r>
      <w:r w:rsidRPr="00E0787B">
        <w:t xml:space="preserve"> and now remains subject to very restrictive civil detention in the community. The author </w:t>
      </w:r>
      <w:r w:rsidR="00255159">
        <w:t>concludes</w:t>
      </w:r>
      <w:r w:rsidR="00255159" w:rsidRPr="00E0787B">
        <w:t xml:space="preserve"> </w:t>
      </w:r>
      <w:r w:rsidRPr="00E0787B">
        <w:t>that he has been deprived of his liberty on the basis of his disability</w:t>
      </w:r>
      <w:r>
        <w:t>, and that this situation amounts to a violation</w:t>
      </w:r>
      <w:r w:rsidRPr="00E0787B">
        <w:t xml:space="preserve"> of article 14(1</w:t>
      </w:r>
      <w:proofErr w:type="gramStart"/>
      <w:r w:rsidRPr="00E0787B">
        <w:t>)(</w:t>
      </w:r>
      <w:proofErr w:type="gramEnd"/>
      <w:r w:rsidRPr="00E0787B">
        <w:t>b) of the Convention.</w:t>
      </w:r>
    </w:p>
    <w:p w:rsidR="00F85F17" w:rsidRPr="002230FC" w:rsidRDefault="00F85F17" w:rsidP="0092400B">
      <w:pPr>
        <w:pStyle w:val="SingleTxtG"/>
      </w:pPr>
      <w:r w:rsidRPr="00E0787B">
        <w:t>3.</w:t>
      </w:r>
      <w:r w:rsidR="00BD44FD">
        <w:t>5</w:t>
      </w:r>
      <w:r w:rsidRPr="00E0787B">
        <w:tab/>
        <w:t xml:space="preserve">The author </w:t>
      </w:r>
      <w:r>
        <w:t xml:space="preserve">further </w:t>
      </w:r>
      <w:r w:rsidRPr="00E0787B">
        <w:t xml:space="preserve">submits that he </w:t>
      </w:r>
      <w:r w:rsidRPr="002230FC">
        <w:t>remains deprived of his liberty while he has n</w:t>
      </w:r>
      <w:r>
        <w:t>ot been convicted for any offenc</w:t>
      </w:r>
      <w:r w:rsidRPr="002230FC">
        <w:t xml:space="preserve">e, in violation of </w:t>
      </w:r>
      <w:r>
        <w:t>article 14(2) of the Convention.</w:t>
      </w:r>
      <w:r w:rsidRPr="002230FC">
        <w:t xml:space="preserve"> </w:t>
      </w:r>
    </w:p>
    <w:p w:rsidR="00F85F17" w:rsidRPr="002230FC" w:rsidRDefault="00F85F17" w:rsidP="0092400B">
      <w:pPr>
        <w:pStyle w:val="SingleTxtG"/>
      </w:pPr>
      <w:r w:rsidRPr="002230FC">
        <w:t>3.</w:t>
      </w:r>
      <w:r w:rsidR="00BD44FD">
        <w:t>6</w:t>
      </w:r>
      <w:r w:rsidRPr="002230FC">
        <w:tab/>
        <w:t xml:space="preserve">He </w:t>
      </w:r>
      <w:r>
        <w:t>also</w:t>
      </w:r>
      <w:r w:rsidRPr="002230FC">
        <w:t xml:space="preserve"> alleges that whilst he was in prison, he was at significant risk of harm from other </w:t>
      </w:r>
      <w:r w:rsidRPr="0092400B">
        <w:t>prisoners</w:t>
      </w:r>
      <w:r w:rsidRPr="002230FC">
        <w:t>, and that he now remains subjected to conditions which impose unjustifiable restrictions on his liberty</w:t>
      </w:r>
      <w:r>
        <w:t>, in</w:t>
      </w:r>
      <w:r w:rsidRPr="002230FC">
        <w:t xml:space="preserve"> violation of his rights under articles 14 (2) and 15 of the Convention.</w:t>
      </w:r>
    </w:p>
    <w:p w:rsidR="00F85F17" w:rsidRPr="002230FC" w:rsidRDefault="00F85F17" w:rsidP="0092400B">
      <w:pPr>
        <w:pStyle w:val="H23G"/>
      </w:pPr>
      <w:r w:rsidRPr="002230FC">
        <w:tab/>
      </w:r>
      <w:r w:rsidRPr="002230FC">
        <w:tab/>
        <w:t xml:space="preserve">State party’s observations on admissibility and merits </w:t>
      </w:r>
    </w:p>
    <w:p w:rsidR="00F85F17" w:rsidRPr="005F3281" w:rsidRDefault="00F85F17" w:rsidP="0092400B">
      <w:pPr>
        <w:pStyle w:val="SingleTxtG"/>
      </w:pPr>
      <w:r w:rsidRPr="002230FC">
        <w:t>4.1</w:t>
      </w:r>
      <w:r w:rsidRPr="002230FC">
        <w:tab/>
        <w:t xml:space="preserve">On 4 April 2014, the State party submitted its observations on the admissibility and merits of the communication. It </w:t>
      </w:r>
      <w:r>
        <w:t>considers</w:t>
      </w:r>
      <w:r w:rsidRPr="002230FC">
        <w:t xml:space="preserve"> that under article 2(f) of the </w:t>
      </w:r>
      <w:r w:rsidRPr="0092400B">
        <w:t>Optional</w:t>
      </w:r>
      <w:r w:rsidRPr="002230FC">
        <w:t xml:space="preserve"> Protocol, the </w:t>
      </w:r>
      <w:r w:rsidRPr="005F3281">
        <w:t>temporal mandate of the Committee is enlivened only in respect of events that occurred on or after 19 September 2009, when the Optional Protocol entered into force for Australia.</w:t>
      </w:r>
      <w:r w:rsidRPr="005F3281">
        <w:rPr>
          <w:vertAlign w:val="superscript"/>
        </w:rPr>
        <w:footnoteReference w:id="13"/>
      </w:r>
      <w:r w:rsidRPr="005F3281">
        <w:t xml:space="preserve"> </w:t>
      </w:r>
      <w:r>
        <w:t>It therefore considers</w:t>
      </w:r>
      <w:r w:rsidRPr="005F3281">
        <w:t xml:space="preserve"> that facts prior to 19 September 2009 are referred to by way of background information only</w:t>
      </w:r>
      <w:r>
        <w:t>.</w:t>
      </w:r>
    </w:p>
    <w:p w:rsidR="00F85F17" w:rsidRPr="005F3281" w:rsidRDefault="00F85F17" w:rsidP="0092400B">
      <w:pPr>
        <w:pStyle w:val="SingleTxtG"/>
      </w:pPr>
      <w:r w:rsidRPr="005F3281">
        <w:t>4.2</w:t>
      </w:r>
      <w:r w:rsidRPr="005F3281">
        <w:tab/>
        <w:t xml:space="preserve">The State party accepts the facts as stated by the author. Nonetheless, it reports that copies of the </w:t>
      </w:r>
      <w:r w:rsidRPr="0092400B">
        <w:t>transcripts</w:t>
      </w:r>
      <w:r w:rsidRPr="005F3281">
        <w:t xml:space="preserve"> of the 2003 proceedings have been retained by the WA Department of Corrective Services.</w:t>
      </w:r>
      <w:r w:rsidR="0092400B">
        <w:rPr>
          <w:rStyle w:val="FootnoteReference"/>
        </w:rPr>
        <w:footnoteReference w:id="14"/>
      </w:r>
      <w:r w:rsidRPr="005F3281">
        <w:rPr>
          <w:vertAlign w:val="superscript"/>
        </w:rPr>
        <w:t xml:space="preserve"> </w:t>
      </w:r>
      <w:r w:rsidRPr="005F3281">
        <w:t xml:space="preserve"> </w:t>
      </w:r>
    </w:p>
    <w:p w:rsidR="00F85F17" w:rsidRPr="005F3281" w:rsidRDefault="00F85F17" w:rsidP="0092400B">
      <w:pPr>
        <w:pStyle w:val="SingleTxtG"/>
      </w:pPr>
      <w:r w:rsidRPr="005F3281">
        <w:t>4.3</w:t>
      </w:r>
      <w:r w:rsidRPr="005F3281">
        <w:tab/>
        <w:t>The State party further reports that the author was declared unfit to stand trial on 7 March 2003 by the District Court of Western Australia, pursuant to section 9 of the MID Act. On 11 March 2003, the court decided to make a custody order under section 19 of the Act, resulting into the transfer of the author to prison, under the supervision of the Review Board. No formal written reasons for these decisions were published</w:t>
      </w:r>
      <w:bookmarkStart w:id="1" w:name="_Ref349294843"/>
      <w:r w:rsidRPr="005F3281">
        <w:t xml:space="preserve">, but the transcripts reveal that neither </w:t>
      </w:r>
      <w:r w:rsidRPr="0092400B">
        <w:t>decision</w:t>
      </w:r>
      <w:r w:rsidRPr="005F3281">
        <w:t xml:space="preserve"> was made lightly. The judge stat</w:t>
      </w:r>
      <w:r w:rsidR="00750B6B">
        <w:t>ed</w:t>
      </w:r>
      <w:r w:rsidRPr="005F3281">
        <w:t xml:space="preserve"> that the author ‘</w:t>
      </w:r>
      <w:r>
        <w:t>[</w:t>
      </w:r>
      <w:r w:rsidRPr="005F3281">
        <w:t>fit</w:t>
      </w:r>
      <w:r>
        <w:t>]</w:t>
      </w:r>
      <w:r w:rsidRPr="005F3281">
        <w:t xml:space="preserve"> </w:t>
      </w:r>
      <w:r w:rsidRPr="00D929E3">
        <w:t>practically</w:t>
      </w:r>
      <w:r w:rsidRPr="005F3281">
        <w:t xml:space="preserve"> all of the criteria’ of section 9 of the MID Act, namely that </w:t>
      </w:r>
      <w:r>
        <w:t>he</w:t>
      </w:r>
      <w:r w:rsidRPr="005F3281">
        <w:t xml:space="preserve"> is</w:t>
      </w:r>
      <w:r>
        <w:t xml:space="preserve"> unable</w:t>
      </w:r>
      <w:bookmarkEnd w:id="1"/>
      <w:r>
        <w:t xml:space="preserve"> to understand</w:t>
      </w:r>
      <w:r w:rsidRPr="005F3281">
        <w:t xml:space="preserve"> </w:t>
      </w:r>
      <w:r>
        <w:t xml:space="preserve">(a) </w:t>
      </w:r>
      <w:r w:rsidRPr="005F3281">
        <w:t>the nature of the charge</w:t>
      </w:r>
      <w:r>
        <w:t>,</w:t>
      </w:r>
      <w:r w:rsidRPr="005F3281">
        <w:t xml:space="preserve"> </w:t>
      </w:r>
      <w:r>
        <w:t xml:space="preserve">(b) </w:t>
      </w:r>
      <w:r w:rsidRPr="005F3281">
        <w:t>the requirement to plead to the charge or the effect of the plea</w:t>
      </w:r>
      <w:r>
        <w:t>,</w:t>
      </w:r>
      <w:r w:rsidRPr="005F3281">
        <w:t xml:space="preserve"> </w:t>
      </w:r>
      <w:r>
        <w:t xml:space="preserve">(c) </w:t>
      </w:r>
      <w:r w:rsidRPr="005F3281">
        <w:t>the purpose of a trial</w:t>
      </w:r>
      <w:r>
        <w:t>,</w:t>
      </w:r>
      <w:r w:rsidRPr="005F3281">
        <w:t xml:space="preserve"> </w:t>
      </w:r>
      <w:r>
        <w:t xml:space="preserve">and (d) </w:t>
      </w:r>
      <w:r w:rsidRPr="005F3281">
        <w:t>the right to challenge jurors</w:t>
      </w:r>
      <w:r>
        <w:t>. He is also</w:t>
      </w:r>
      <w:r w:rsidRPr="005F3281">
        <w:t xml:space="preserve"> unable to follow the course of the trial</w:t>
      </w:r>
      <w:r>
        <w:t xml:space="preserve"> and</w:t>
      </w:r>
      <w:r w:rsidRPr="005F3281">
        <w:t xml:space="preserve"> to understand the substantial effect of evidence presented by the prosecution in the trial, or to properly defend the charge. </w:t>
      </w:r>
    </w:p>
    <w:p w:rsidR="00F85F17" w:rsidRPr="005F3281" w:rsidRDefault="00F85F17" w:rsidP="0092400B">
      <w:pPr>
        <w:pStyle w:val="SingleTxtG"/>
      </w:pPr>
      <w:r w:rsidRPr="005F3281">
        <w:t>4.4</w:t>
      </w:r>
      <w:r w:rsidRPr="005F3281">
        <w:tab/>
        <w:t>Having reached this conclusion, the court</w:t>
      </w:r>
      <w:r>
        <w:t xml:space="preserve"> had</w:t>
      </w:r>
      <w:r w:rsidRPr="005F3281">
        <w:t xml:space="preserve"> to quash the indictment and determine whether a custody order should be made. The District court heard detailed argument from the Crown </w:t>
      </w:r>
      <w:r w:rsidRPr="0092400B">
        <w:t>and</w:t>
      </w:r>
      <w:r w:rsidRPr="005F3281">
        <w:t xml:space="preserve"> from the author’s legal representative. </w:t>
      </w:r>
      <w:r w:rsidR="00255159">
        <w:t>T</w:t>
      </w:r>
      <w:r w:rsidRPr="005F3281">
        <w:t xml:space="preserve">he judge noted certain discrepancies in accounts from the complainants and other witnesses. Nonetheless, he concluded that such inconsistencies are not unusual in child sexual abuse cases, and that the evidence </w:t>
      </w:r>
      <w:r w:rsidRPr="005F3281">
        <w:lastRenderedPageBreak/>
        <w:t>disclosed a prima facie case.</w:t>
      </w:r>
      <w:r w:rsidR="006223D2">
        <w:rPr>
          <w:rStyle w:val="FootnoteReference"/>
        </w:rPr>
        <w:footnoteReference w:id="15"/>
      </w:r>
      <w:r w:rsidRPr="005F3281">
        <w:t xml:space="preserve">  The </w:t>
      </w:r>
      <w:r>
        <w:t>judge</w:t>
      </w:r>
      <w:r w:rsidRPr="005F3281">
        <w:t xml:space="preserve"> observed that all the alleged offences involved young children and were serious</w:t>
      </w:r>
      <w:r>
        <w:t>. He</w:t>
      </w:r>
      <w:r w:rsidRPr="005F3281">
        <w:t xml:space="preserve"> regarded </w:t>
      </w:r>
      <w:r>
        <w:t>the author’s case</w:t>
      </w:r>
      <w:r w:rsidRPr="005F3281">
        <w:t xml:space="preserve"> as a matter of concern given expert psychiatric evidence </w:t>
      </w:r>
      <w:r>
        <w:t>reflecting that</w:t>
      </w:r>
      <w:r w:rsidRPr="005F3281">
        <w:t xml:space="preserve"> </w:t>
      </w:r>
      <w:r w:rsidR="00255159">
        <w:t>he</w:t>
      </w:r>
      <w:r w:rsidRPr="005F3281">
        <w:t xml:space="preserve"> lacked the ability to control his impulses.</w:t>
      </w:r>
      <w:r w:rsidR="006223D2">
        <w:rPr>
          <w:rStyle w:val="FootnoteReference"/>
        </w:rPr>
        <w:footnoteReference w:id="16"/>
      </w:r>
      <w:r w:rsidRPr="005F3281">
        <w:t xml:space="preserve"> The judge noted that the author had a prior record of numerous criminal convictions for offenses that had gradually become more serious.</w:t>
      </w:r>
      <w:r w:rsidR="006223D2">
        <w:rPr>
          <w:rStyle w:val="FootnoteReference"/>
        </w:rPr>
        <w:footnoteReference w:id="17"/>
      </w:r>
      <w:r w:rsidRPr="005F3281">
        <w:t xml:space="preserve"> He described the author’s situation in his home town as ‘chaotic’ and highlighted that the previous attempts by government agencies to provide management and care for the author had failed.</w:t>
      </w:r>
      <w:r w:rsidR="006223D2">
        <w:rPr>
          <w:rStyle w:val="FootnoteReference"/>
        </w:rPr>
        <w:footnoteReference w:id="18"/>
      </w:r>
    </w:p>
    <w:p w:rsidR="00F85F17" w:rsidRPr="005F3281" w:rsidRDefault="00BD44FD" w:rsidP="0092400B">
      <w:pPr>
        <w:pStyle w:val="SingleTxtG"/>
      </w:pPr>
      <w:r>
        <w:t>4.5</w:t>
      </w:r>
      <w:r w:rsidR="00F85F17" w:rsidRPr="005F3281">
        <w:tab/>
        <w:t>In this context, the judge acknowledged that an assessment of the public interest was a difficult task, especially since in the absence of ‘declared places’</w:t>
      </w:r>
      <w:r w:rsidR="006223D2">
        <w:rPr>
          <w:rStyle w:val="FootnoteReference"/>
        </w:rPr>
        <w:footnoteReference w:id="19"/>
      </w:r>
      <w:r w:rsidR="00F85F17" w:rsidRPr="005F3281">
        <w:t xml:space="preserve"> under the MID Act, the only options were to release the author or imprison him. He considered that the public interest criterion fell to be determined by the seriousness of the alleged offences and by the level of risk that the type of behaviour alleged occur ag</w:t>
      </w:r>
      <w:r w:rsidR="00F85F17" w:rsidRPr="00B77D7C">
        <w:t>ain.</w:t>
      </w:r>
      <w:r w:rsidR="006223D2">
        <w:rPr>
          <w:rStyle w:val="FootnoteReference"/>
        </w:rPr>
        <w:footnoteReference w:id="20"/>
      </w:r>
      <w:r w:rsidR="00F85F17" w:rsidRPr="00B77D7C">
        <w:t xml:space="preserve"> The judge concluded that public safety must be put first, notwithstanding his ‘deep concern’ that prison was not the appropriate environment for the author.</w:t>
      </w:r>
      <w:r w:rsidR="006223D2">
        <w:rPr>
          <w:rStyle w:val="FootnoteReference"/>
        </w:rPr>
        <w:footnoteReference w:id="21"/>
      </w:r>
      <w:r w:rsidR="00F85F17" w:rsidRPr="00B77D7C">
        <w:t xml:space="preserve"> He accordingly made a custody order, following which the</w:t>
      </w:r>
      <w:r w:rsidR="00F85F17" w:rsidRPr="005F3281">
        <w:t xml:space="preserve"> indictment was quashed, meaning that the charges against the author were dismissed. </w:t>
      </w:r>
    </w:p>
    <w:p w:rsidR="00F85F17" w:rsidRPr="005F3281" w:rsidRDefault="00F85F17" w:rsidP="0092400B">
      <w:pPr>
        <w:pStyle w:val="SingleTxtG"/>
      </w:pPr>
      <w:r w:rsidRPr="005F3281">
        <w:t>4.</w:t>
      </w:r>
      <w:r w:rsidR="00BD44FD">
        <w:t>6</w:t>
      </w:r>
      <w:r w:rsidRPr="005F3281">
        <w:tab/>
        <w:t xml:space="preserve">The author was initially remanded in custody at </w:t>
      </w:r>
      <w:proofErr w:type="spellStart"/>
      <w:r w:rsidRPr="005F3281">
        <w:t>Hakea</w:t>
      </w:r>
      <w:proofErr w:type="spellEnd"/>
      <w:r w:rsidRPr="005F3281">
        <w:t xml:space="preserve"> Prison on 18 February 2003. He was transferred to </w:t>
      </w:r>
      <w:proofErr w:type="spellStart"/>
      <w:r w:rsidRPr="005F3281">
        <w:t>Greenough</w:t>
      </w:r>
      <w:proofErr w:type="spellEnd"/>
      <w:r w:rsidRPr="005F3281">
        <w:t xml:space="preserve"> Regional Prison on 26 May 2003, </w:t>
      </w:r>
      <w:r w:rsidRPr="005F3281">
        <w:rPr>
          <w:vertAlign w:val="superscript"/>
        </w:rPr>
        <w:t>“</w:t>
      </w:r>
      <w:r w:rsidRPr="005F3281">
        <w:t xml:space="preserve">closer to his support networks and to enhance his relationship and cultural links with the Aboriginal community in the region”. He remained there until his release on 10 January 2012, with the exception of two short placements at </w:t>
      </w:r>
      <w:proofErr w:type="spellStart"/>
      <w:r w:rsidRPr="005F3281">
        <w:t>Casuarina</w:t>
      </w:r>
      <w:proofErr w:type="spellEnd"/>
      <w:r w:rsidRPr="005F3281">
        <w:t xml:space="preserve"> Prison</w:t>
      </w:r>
      <w:r>
        <w:t xml:space="preserve"> to facilitate</w:t>
      </w:r>
      <w:r w:rsidRPr="005F3281">
        <w:t xml:space="preserve"> his participation in prison programs. </w:t>
      </w:r>
    </w:p>
    <w:p w:rsidR="00F85F17" w:rsidRPr="005F3281" w:rsidRDefault="00F85F17" w:rsidP="00C23DF4">
      <w:pPr>
        <w:pStyle w:val="SingleTxtG"/>
      </w:pPr>
      <w:r w:rsidRPr="005F3281">
        <w:t>4.</w:t>
      </w:r>
      <w:r w:rsidR="00BD44FD">
        <w:t>7</w:t>
      </w:r>
      <w:r w:rsidRPr="005F3281">
        <w:tab/>
        <w:t xml:space="preserve">The State party also recalls that in 2010, the author unsuccessfully sought orders from the District Court that he was fit to plead. After an initial directions hearing on 20 September 2010, the author’s application was examined on 4 November 2010. </w:t>
      </w:r>
    </w:p>
    <w:p w:rsidR="00F85F17" w:rsidRPr="005F3281" w:rsidRDefault="00F85F17" w:rsidP="00C23DF4">
      <w:pPr>
        <w:pStyle w:val="SingleTxtG"/>
      </w:pPr>
      <w:r w:rsidRPr="005F3281">
        <w:t>4.</w:t>
      </w:r>
      <w:r w:rsidR="00BD44FD">
        <w:t>8</w:t>
      </w:r>
      <w:r w:rsidRPr="005F3281">
        <w:tab/>
        <w:t xml:space="preserve">The orders sought by the author turned on the question as to how the Court’s powers under the MID Act should be construed once an accused was made subject to a custody order. </w:t>
      </w:r>
      <w:r w:rsidRPr="005F3281">
        <w:rPr>
          <w:bCs/>
        </w:rPr>
        <w:t xml:space="preserve">The argumentation presented required the Court to find that </w:t>
      </w:r>
      <w:r>
        <w:rPr>
          <w:bCs/>
        </w:rPr>
        <w:t>the author</w:t>
      </w:r>
      <w:r w:rsidRPr="005F3281">
        <w:rPr>
          <w:bCs/>
        </w:rPr>
        <w:t xml:space="preserve"> was still ‘committed’ to the Court despite </w:t>
      </w:r>
      <w:r w:rsidRPr="00C23DF4">
        <w:t>the</w:t>
      </w:r>
      <w:r w:rsidRPr="005F3281">
        <w:rPr>
          <w:bCs/>
        </w:rPr>
        <w:t xml:space="preserve"> indictments against him being quashed.</w:t>
      </w:r>
      <w:r w:rsidR="00DC72A5">
        <w:rPr>
          <w:rStyle w:val="FootnoteReference"/>
          <w:bCs/>
        </w:rPr>
        <w:footnoteReference w:id="22"/>
      </w:r>
      <w:r w:rsidRPr="005F3281">
        <w:rPr>
          <w:bCs/>
        </w:rPr>
        <w:t xml:space="preserve"> </w:t>
      </w:r>
      <w:r w:rsidRPr="005F3281">
        <w:t>In a written decision dated 5 November 2010, the judge concluded that the Court did not have the jurisdiction to make the orders sought, because the author was not a person committed to the Court on a charge.</w:t>
      </w:r>
    </w:p>
    <w:p w:rsidR="00F85F17" w:rsidRPr="005F3281" w:rsidRDefault="00F85F17" w:rsidP="00C23DF4">
      <w:pPr>
        <w:pStyle w:val="SingleTxtG"/>
        <w:rPr>
          <w:vertAlign w:val="superscript"/>
        </w:rPr>
      </w:pPr>
      <w:r w:rsidRPr="005F3281">
        <w:t>4.</w:t>
      </w:r>
      <w:r w:rsidR="00BD44FD">
        <w:t>9</w:t>
      </w:r>
      <w:r w:rsidRPr="005F3281">
        <w:tab/>
        <w:t>The State party informs that the Review Board has a statutory obligation to report to the Western Australian Attorney General about an accused in custody pursuant to the MID Act within eight weeks of the making of a custody order. It must also do so upon written request from the Attorney General and, in any case, annually.</w:t>
      </w:r>
      <w:r w:rsidR="00DC72A5">
        <w:rPr>
          <w:rStyle w:val="FootnoteReference"/>
        </w:rPr>
        <w:footnoteReference w:id="23"/>
      </w:r>
      <w:r w:rsidRPr="005F3281">
        <w:rPr>
          <w:vertAlign w:val="superscript"/>
        </w:rPr>
        <w:t xml:space="preserve"> </w:t>
      </w:r>
      <w:r w:rsidRPr="005F3281">
        <w:t xml:space="preserve">When reporting to the </w:t>
      </w:r>
      <w:r w:rsidRPr="005F3281">
        <w:lastRenderedPageBreak/>
        <w:t>Attorney General, the Review Board must recommend whether an accused should be released.</w:t>
      </w:r>
      <w:r w:rsidR="00DC72A5">
        <w:rPr>
          <w:rStyle w:val="FootnoteReference"/>
        </w:rPr>
        <w:footnoteReference w:id="24"/>
      </w:r>
    </w:p>
    <w:p w:rsidR="00F85F17" w:rsidRPr="005F3281" w:rsidRDefault="00F85F17" w:rsidP="00C23DF4">
      <w:pPr>
        <w:pStyle w:val="SingleTxtG"/>
      </w:pPr>
      <w:r w:rsidRPr="005F3281">
        <w:t>4.1</w:t>
      </w:r>
      <w:r w:rsidR="00BD44FD">
        <w:t>0</w:t>
      </w:r>
      <w:r w:rsidRPr="005F3281">
        <w:tab/>
        <w:t>Statutory reviews and reports into the author’s case were undertaken on eight occasions during his detention.</w:t>
      </w:r>
      <w:r w:rsidR="00DC72A5">
        <w:rPr>
          <w:rStyle w:val="FootnoteReference"/>
        </w:rPr>
        <w:footnoteReference w:id="25"/>
      </w:r>
      <w:r w:rsidRPr="005F3281">
        <w:t xml:space="preserve"> </w:t>
      </w:r>
      <w:r>
        <w:t>I</w:t>
      </w:r>
      <w:r w:rsidRPr="005F3281">
        <w:t xml:space="preserve">nterim reviews were conducted, relying on expert medical reports which all outline reasons to recommend </w:t>
      </w:r>
      <w:r w:rsidRPr="00C23DF4">
        <w:t>against</w:t>
      </w:r>
      <w:r w:rsidRPr="005F3281">
        <w:t xml:space="preserve"> the author’s release, including his vulnerability, the risk to the community and the lack of available support services. The reports instead recommended a gradual release program for the author.</w:t>
      </w:r>
    </w:p>
    <w:p w:rsidR="00F85F17" w:rsidRPr="005F3281" w:rsidRDefault="00F85F17" w:rsidP="00C23DF4">
      <w:pPr>
        <w:pStyle w:val="SingleTxtG"/>
      </w:pPr>
      <w:r w:rsidRPr="005F3281">
        <w:t>4.1</w:t>
      </w:r>
      <w:r w:rsidR="00BD44FD">
        <w:t>1</w:t>
      </w:r>
      <w:r w:rsidRPr="005F3281">
        <w:tab/>
        <w:t xml:space="preserve">The medical reports state that the author resided in </w:t>
      </w:r>
      <w:proofErr w:type="spellStart"/>
      <w:r w:rsidRPr="005F3281">
        <w:t>Greenough</w:t>
      </w:r>
      <w:proofErr w:type="spellEnd"/>
      <w:r w:rsidRPr="005F3281">
        <w:t xml:space="preserve"> Regional Prison largely without incident and engaged in a variety of </w:t>
      </w:r>
      <w:r>
        <w:t>education and training programs</w:t>
      </w:r>
      <w:r w:rsidRPr="005F3281">
        <w:t xml:space="preserve">. </w:t>
      </w:r>
      <w:r w:rsidRPr="00C23DF4">
        <w:t>However</w:t>
      </w:r>
      <w:r w:rsidRPr="005F3281">
        <w:t xml:space="preserve">, several clinical psychologists’ reports </w:t>
      </w:r>
      <w:r>
        <w:t>expressed</w:t>
      </w:r>
      <w:r w:rsidRPr="005F3281">
        <w:t xml:space="preserve"> ongoing concern about the author’s ‘eagerness to please’ </w:t>
      </w:r>
      <w:r>
        <w:t>leaving</w:t>
      </w:r>
      <w:r w:rsidRPr="005F3281">
        <w:t xml:space="preserve"> him ‘potentially vulnerable to coercion in the presence of negative peer influences’</w:t>
      </w:r>
      <w:r w:rsidR="00DC72A5">
        <w:rPr>
          <w:rStyle w:val="FootnoteReference"/>
        </w:rPr>
        <w:footnoteReference w:id="26"/>
      </w:r>
      <w:r w:rsidRPr="005F3281">
        <w:t xml:space="preserve"> and “to manipulation and exploitation.”</w:t>
      </w:r>
      <w:r w:rsidR="00D411BF">
        <w:rPr>
          <w:rStyle w:val="FootnoteReference"/>
        </w:rPr>
        <w:footnoteReference w:id="27"/>
      </w:r>
      <w:r w:rsidRPr="005F3281">
        <w:t xml:space="preserve"> </w:t>
      </w:r>
      <w:r>
        <w:t>T</w:t>
      </w:r>
      <w:r w:rsidRPr="005F3281">
        <w:t>his conclusion prompted concern among medical experts that “the author’s intellectual disability is such that he will need continual 24-hour care and support while in the community.”</w:t>
      </w:r>
      <w:r w:rsidR="00D411BF">
        <w:rPr>
          <w:rStyle w:val="FootnoteReference"/>
        </w:rPr>
        <w:footnoteReference w:id="28"/>
      </w:r>
      <w:r w:rsidRPr="005F3281">
        <w:t xml:space="preserve"> The reports </w:t>
      </w:r>
      <w:r>
        <w:t xml:space="preserve">further </w:t>
      </w:r>
      <w:r w:rsidRPr="005F3281">
        <w:t>express concern about the author’s ‘impulsive and opportunistic’</w:t>
      </w:r>
      <w:r w:rsidR="00D411BF">
        <w:rPr>
          <w:rStyle w:val="FootnoteReference"/>
        </w:rPr>
        <w:footnoteReference w:id="29"/>
      </w:r>
      <w:r w:rsidRPr="005F3281">
        <w:t xml:space="preserve"> behaviour and ‘aggressive, unpredictable o</w:t>
      </w:r>
      <w:r>
        <w:t>utbursts</w:t>
      </w:r>
      <w:r w:rsidRPr="005F3281">
        <w:t>’</w:t>
      </w:r>
      <w:r>
        <w:t>.</w:t>
      </w:r>
      <w:r w:rsidR="00D411BF">
        <w:rPr>
          <w:rStyle w:val="FootnoteReference"/>
        </w:rPr>
        <w:footnoteReference w:id="30"/>
      </w:r>
      <w:r w:rsidRPr="005F3281">
        <w:t xml:space="preserve"> </w:t>
      </w:r>
    </w:p>
    <w:p w:rsidR="00F85F17" w:rsidRPr="005F3281" w:rsidRDefault="00F85F17" w:rsidP="00C328DD">
      <w:pPr>
        <w:pStyle w:val="SingleTxtG"/>
        <w:rPr>
          <w:lang w:eastAsia="en-AU"/>
        </w:rPr>
      </w:pPr>
      <w:r>
        <w:t>4.1</w:t>
      </w:r>
      <w:r w:rsidR="00BD44FD">
        <w:t>2</w:t>
      </w:r>
      <w:r w:rsidRPr="005F3281">
        <w:tab/>
        <w:t>Several medical experts concluded that, if released, the author was at high risk of committing an offence</w:t>
      </w:r>
      <w:r w:rsidR="00C328DD">
        <w:rPr>
          <w:rStyle w:val="FootnoteReference"/>
        </w:rPr>
        <w:footnoteReference w:id="31"/>
      </w:r>
      <w:r>
        <w:t>.</w:t>
      </w:r>
      <w:r w:rsidRPr="005F3281">
        <w:t xml:space="preserve"> The Review Board suggested that “the gradual extension of the author’s home leave is also considered an essential aspect of his rehabilitation as it avoids pl</w:t>
      </w:r>
      <w:r>
        <w:t>acing him under too much stress</w:t>
      </w:r>
      <w:r w:rsidRPr="005F3281">
        <w:t>”.</w:t>
      </w:r>
      <w:r w:rsidR="00C328DD">
        <w:rPr>
          <w:rStyle w:val="FootnoteReference"/>
        </w:rPr>
        <w:footnoteReference w:id="32"/>
      </w:r>
      <w:r w:rsidRPr="005F3281">
        <w:t xml:space="preserve"> </w:t>
      </w:r>
      <w:r w:rsidRPr="005F3281">
        <w:rPr>
          <w:lang w:eastAsia="en-AU"/>
        </w:rPr>
        <w:t xml:space="preserve">However, </w:t>
      </w:r>
      <w:r>
        <w:rPr>
          <w:lang w:eastAsia="en-AU"/>
        </w:rPr>
        <w:t>it</w:t>
      </w:r>
      <w:r w:rsidRPr="005F3281">
        <w:rPr>
          <w:lang w:eastAsia="en-AU"/>
        </w:rPr>
        <w:t xml:space="preserve"> considered it could not </w:t>
      </w:r>
      <w:r w:rsidRPr="00C328DD">
        <w:t>recommend</w:t>
      </w:r>
      <w:r>
        <w:rPr>
          <w:lang w:eastAsia="en-AU"/>
        </w:rPr>
        <w:t xml:space="preserve"> his</w:t>
      </w:r>
      <w:r w:rsidRPr="005F3281">
        <w:rPr>
          <w:lang w:eastAsia="en-AU"/>
        </w:rPr>
        <w:t xml:space="preserve"> immediate conditional release because of the limited availability of trained supervisors and carers to support him.</w:t>
      </w:r>
      <w:r w:rsidR="00C328DD">
        <w:rPr>
          <w:rStyle w:val="FootnoteReference"/>
          <w:lang w:eastAsia="en-AU"/>
        </w:rPr>
        <w:footnoteReference w:id="33"/>
      </w:r>
    </w:p>
    <w:p w:rsidR="00F85F17" w:rsidRPr="007526C9" w:rsidRDefault="00F85F17" w:rsidP="00C328DD">
      <w:pPr>
        <w:pStyle w:val="SingleTxtG"/>
      </w:pPr>
      <w:r>
        <w:t>4.1</w:t>
      </w:r>
      <w:r w:rsidR="00BD44FD">
        <w:t>3</w:t>
      </w:r>
      <w:r w:rsidRPr="005F3281">
        <w:tab/>
        <w:t xml:space="preserve">The author was released on 10 January 2012, subject to ten conditions. Since the communication was formally lodged in July 2012, the author’s case has been reviewed three times. On 11 January 2013, the Review Board conducted a progress review. It recommended that there be a relaxation of the author’s conditions to allow attendance at cafes and restaurants, which was accepted by the Governor in Executive </w:t>
      </w:r>
      <w:r w:rsidRPr="00C328DD">
        <w:t>Council</w:t>
      </w:r>
      <w:r w:rsidRPr="005F3281">
        <w:t xml:space="preserve">. An overnight absence from his primary residence was also approved. On 23 April 2013, the author’s annual statutory review took place. The Review Board recommended that the condition requiring the author to attend all programs mandated by his supervising officer be removed, and that </w:t>
      </w:r>
      <w:r>
        <w:t>he</w:t>
      </w:r>
      <w:r w:rsidRPr="005F3281">
        <w:t xml:space="preserve"> be permitted overnight stays away from his primary residence if supported by a carer, without a need for the Review Board’s pre-approval. </w:t>
      </w:r>
      <w:r>
        <w:t>T</w:t>
      </w:r>
      <w:r w:rsidRPr="005F3281">
        <w:t>he Governor endorsed these recommendations</w:t>
      </w:r>
      <w:r>
        <w:t xml:space="preserve"> in July 2013</w:t>
      </w:r>
      <w:r w:rsidRPr="005F3281">
        <w:t xml:space="preserve">. On 14 January 2014, a further statutory review took place. No change was introduced. </w:t>
      </w:r>
      <w:r w:rsidRPr="005F3281">
        <w:rPr>
          <w:i/>
        </w:rPr>
        <w:t xml:space="preserve"> </w:t>
      </w:r>
    </w:p>
    <w:p w:rsidR="00F85F17" w:rsidRPr="005F3281" w:rsidRDefault="00F85F17" w:rsidP="00C328DD">
      <w:pPr>
        <w:pStyle w:val="SingleTxtG"/>
      </w:pPr>
      <w:r w:rsidRPr="005F3281">
        <w:lastRenderedPageBreak/>
        <w:t>4.1</w:t>
      </w:r>
      <w:r w:rsidR="00BD44FD">
        <w:t>4</w:t>
      </w:r>
      <w:r w:rsidRPr="005F3281">
        <w:tab/>
        <w:t xml:space="preserve">As regards the author’s allegations under article 14(2) of the Convention, the State party considers that since his release into the community, </w:t>
      </w:r>
      <w:r>
        <w:t xml:space="preserve">he </w:t>
      </w:r>
      <w:r w:rsidRPr="005F3281">
        <w:t xml:space="preserve">is not in detention anymore. To the extent that the author’s claim relates to his circumstances prior to his release in January 2012, the State party submits that </w:t>
      </w:r>
      <w:r>
        <w:t xml:space="preserve">it </w:t>
      </w:r>
      <w:r w:rsidRPr="005F3281">
        <w:t xml:space="preserve">is inadmissible for failure to exhaust domestic remedies. The author’s detention was mandated </w:t>
      </w:r>
      <w:r w:rsidRPr="00C328DD">
        <w:t>by</w:t>
      </w:r>
      <w:r w:rsidRPr="005F3281">
        <w:t xml:space="preserve"> decision of the Governor in Executive Council, acting on recommendations of the Review Board, under the MID Act. The decisions of the Review Board are amenable to judicial review, by application to the WA Supreme Court. Decisions of similar statutory bodies have been challenged under WA law to determine whether </w:t>
      </w:r>
      <w:r>
        <w:t>they</w:t>
      </w:r>
      <w:r w:rsidRPr="005F3281">
        <w:t xml:space="preserve"> w</w:t>
      </w:r>
      <w:r>
        <w:t>ere</w:t>
      </w:r>
      <w:r w:rsidRPr="005F3281">
        <w:t xml:space="preserve"> taken according to law. Since guarantees related to article 14(2) </w:t>
      </w:r>
      <w:r>
        <w:t>are</w:t>
      </w:r>
      <w:r w:rsidRPr="005F3281">
        <w:t xml:space="preserve"> directed exclusively to the lawfulness of detention as a matter of domestic law, judicial review of the author’s detention would have been an effective remedy. The possibility of an application for judicial review of the Review Board’s decisions in relation to the author was specifically discussed </w:t>
      </w:r>
      <w:r w:rsidR="00987B76">
        <w:t>during</w:t>
      </w:r>
      <w:r w:rsidRPr="005F3281">
        <w:t xml:space="preserve"> the 2010 District Court proceedings. The author’s legal representative responded that an application for judicial review was being prepared, but that the author preferred to have the issues of his fitness to plead dealt with by a court. The State party is not aware that any </w:t>
      </w:r>
      <w:r>
        <w:t xml:space="preserve">such </w:t>
      </w:r>
      <w:r w:rsidRPr="005F3281">
        <w:t>application has been lodged</w:t>
      </w:r>
      <w:r>
        <w:t xml:space="preserve">, </w:t>
      </w:r>
      <w:r w:rsidR="00987B76">
        <w:t xml:space="preserve">and the author </w:t>
      </w:r>
      <w:r>
        <w:t>therefore failed to exhaust available domestic remedies</w:t>
      </w:r>
      <w:r w:rsidRPr="005F3281">
        <w:t xml:space="preserve">. It further submits that no breach of article 14(2) arise because at all times that the author was detained, he was entitled to bring an application for judicial review, seeking to determine the lawfulness of his detention on the basis of the Review Board’s recommendations. </w:t>
      </w:r>
    </w:p>
    <w:p w:rsidR="00F85F17" w:rsidRPr="005F3281" w:rsidRDefault="00F85F17" w:rsidP="00C328DD">
      <w:pPr>
        <w:pStyle w:val="SingleTxtG"/>
      </w:pPr>
      <w:r w:rsidRPr="005F3281">
        <w:t>4.1</w:t>
      </w:r>
      <w:r w:rsidR="00BD44FD">
        <w:t>5</w:t>
      </w:r>
      <w:r w:rsidRPr="005F3281">
        <w:tab/>
        <w:t xml:space="preserve">The State party considers that the author’s allegations relating to access to justice are inadmissible because they lack substantiation and are without merits. </w:t>
      </w:r>
      <w:r w:rsidR="00987B76">
        <w:t>N</w:t>
      </w:r>
      <w:r w:rsidRPr="005F3281">
        <w:t>o civil or criminal proceedings are on foot against the author. He is not charged with any offences because the indictment against him was quashed “without deciding the guilt or otherwise of the accused”. He is therefore not presumed guilty</w:t>
      </w:r>
      <w:r w:rsidR="00987B76">
        <w:t>, a</w:t>
      </w:r>
      <w:r w:rsidRPr="005F3281">
        <w:t xml:space="preserve">nd there are no witnesses to examine, or evidence to test, since no criminal charge </w:t>
      </w:r>
      <w:r>
        <w:t xml:space="preserve">remain against </w:t>
      </w:r>
      <w:r w:rsidR="00987B76">
        <w:t>him</w:t>
      </w:r>
      <w:r w:rsidRPr="005F3281">
        <w:t xml:space="preserve">.  </w:t>
      </w:r>
    </w:p>
    <w:p w:rsidR="00F85F17" w:rsidRDefault="00F85F17" w:rsidP="00C328DD">
      <w:pPr>
        <w:pStyle w:val="SingleTxtG"/>
      </w:pPr>
      <w:r w:rsidRPr="005F3281">
        <w:t>4.</w:t>
      </w:r>
      <w:r>
        <w:t>1</w:t>
      </w:r>
      <w:r w:rsidR="00BD44FD">
        <w:t>6</w:t>
      </w:r>
      <w:r w:rsidRPr="005F3281">
        <w:tab/>
        <w:t xml:space="preserve">The State </w:t>
      </w:r>
      <w:r w:rsidRPr="00C328DD">
        <w:t>party</w:t>
      </w:r>
      <w:r w:rsidRPr="005F3281">
        <w:t xml:space="preserve"> considers that the author’s allegations in relation to his treatment in prison are inadmissible or lack merit</w:t>
      </w:r>
      <w:r>
        <w:t xml:space="preserve"> because the</w:t>
      </w:r>
      <w:r w:rsidRPr="005F3281">
        <w:t xml:space="preserve"> author makes a general assertion that he was at risk of harm</w:t>
      </w:r>
      <w:r>
        <w:t>, without</w:t>
      </w:r>
      <w:r w:rsidRPr="005F3281">
        <w:t xml:space="preserve"> specific claims. The Western Australian Department of Corrective Services (DCS) records indicate two minor altercation</w:t>
      </w:r>
      <w:r>
        <w:t>s between the author and</w:t>
      </w:r>
      <w:r w:rsidRPr="005F3281">
        <w:t xml:space="preserve"> other prisoners (on 7 October 2005 and 21 September 2007). Both incidents were successfully mediated and neither resulted in serious injury to the author. Prison authorities</w:t>
      </w:r>
      <w:r>
        <w:t xml:space="preserve"> also</w:t>
      </w:r>
      <w:r w:rsidRPr="005F3281">
        <w:t xml:space="preserve"> identified that the author required additional support and monitoring on account of his status as an Aboriginal person with an intellectual disability. He was accordingly managed under the Support and Monitoring System</w:t>
      </w:r>
      <w:r>
        <w:t>, and</w:t>
      </w:r>
      <w:r w:rsidRPr="005F3281">
        <w:t xml:space="preserve"> participated in the Prisoner Risk Assessment Group. As a Disability Services client, the author was also placed on the Total Offender Management System and received one-on-one counselling. He also had culturally-specific counselling</w:t>
      </w:r>
      <w:r>
        <w:t xml:space="preserve"> and</w:t>
      </w:r>
      <w:r w:rsidRPr="005F3281">
        <w:t xml:space="preserve"> completed a cognitive skills intervention </w:t>
      </w:r>
      <w:r w:rsidRPr="007526C9">
        <w:t xml:space="preserve">and an intellectual disability program in 2003 and 2004. </w:t>
      </w:r>
    </w:p>
    <w:p w:rsidR="00F85F17" w:rsidRPr="002230FC" w:rsidRDefault="00F85F17" w:rsidP="00C328DD">
      <w:pPr>
        <w:pStyle w:val="SingleTxtG"/>
      </w:pPr>
      <w:r>
        <w:t>4.</w:t>
      </w:r>
      <w:r w:rsidR="00BD44FD">
        <w:t>17</w:t>
      </w:r>
      <w:r>
        <w:tab/>
      </w:r>
      <w:r w:rsidRPr="007526C9">
        <w:t xml:space="preserve">As to the </w:t>
      </w:r>
      <w:r w:rsidRPr="00965636">
        <w:t xml:space="preserve">author’s allegations under article 14(2) of the Convention, the State party submits that </w:t>
      </w:r>
      <w:r w:rsidR="00987B76">
        <w:t>he</w:t>
      </w:r>
      <w:r w:rsidRPr="00965636">
        <w:t xml:space="preserve"> is not an ‘accused’ person and therefore the obligation of separation from convicted persons does not arise</w:t>
      </w:r>
      <w:r w:rsidRPr="007526C9">
        <w:t xml:space="preserve">. In the alternative, </w:t>
      </w:r>
      <w:r>
        <w:t xml:space="preserve">the State </w:t>
      </w:r>
      <w:r w:rsidRPr="00C328DD">
        <w:t>party</w:t>
      </w:r>
      <w:r w:rsidRPr="007526C9">
        <w:t xml:space="preserve"> submits that it has fulfilled the obligation of separation to the extent required, taking into account </w:t>
      </w:r>
      <w:r>
        <w:t>its</w:t>
      </w:r>
      <w:r w:rsidRPr="007526C9">
        <w:t xml:space="preserve"> reservation to article 10(2) of the ICCPR, which provides that the principle of segregation is accepted as an objective to be achieved progressively.</w:t>
      </w:r>
      <w:bookmarkStart w:id="2" w:name="_Toc347418926"/>
      <w:bookmarkStart w:id="3" w:name="_Toc353377425"/>
    </w:p>
    <w:p w:rsidR="00F85F17" w:rsidRPr="002230FC" w:rsidRDefault="00F85F17" w:rsidP="00C328DD">
      <w:pPr>
        <w:pStyle w:val="SingleTxtG"/>
      </w:pPr>
      <w:r w:rsidRPr="002230FC">
        <w:t>4.</w:t>
      </w:r>
      <w:r w:rsidR="00BD44FD">
        <w:t>18</w:t>
      </w:r>
      <w:r w:rsidR="00BD44FD">
        <w:tab/>
      </w:r>
      <w:r w:rsidRPr="002230FC">
        <w:t xml:space="preserve">The State party does not contest the admissibility of the author’s allegation related to his wrongful conviction of a prison offence. </w:t>
      </w:r>
      <w:r w:rsidR="00987B76">
        <w:t>W</w:t>
      </w:r>
      <w:r w:rsidRPr="002230FC">
        <w:t xml:space="preserve">hen the error was </w:t>
      </w:r>
      <w:r w:rsidRPr="00C328DD">
        <w:t>discovered</w:t>
      </w:r>
      <w:r w:rsidRPr="002230FC">
        <w:t xml:space="preserve">, the author’s home leave was immediately reinstated and upgraded, allowing two 48 hours overnight stays per week. The conviction was also administratively set aside. Following this incident, the Special Counsel to the Premier conducted an independent inquiry and </w:t>
      </w:r>
      <w:r w:rsidR="00F1234D">
        <w:t>acknowledged</w:t>
      </w:r>
      <w:r w:rsidRPr="002230FC">
        <w:t xml:space="preserve"> that the author’s conviction was wrongful. The DCS also conducted an internal review and </w:t>
      </w:r>
      <w:r w:rsidRPr="002230FC">
        <w:lastRenderedPageBreak/>
        <w:t xml:space="preserve">made seven recommendations to modify the testing procedures for prison offences. Six of these recommendations are being implemented, and training programmes on prison offence prosecutions are developed. The State party acknowledges that the error clearly caused the author frustration and distress, but </w:t>
      </w:r>
      <w:r>
        <w:t xml:space="preserve">it </w:t>
      </w:r>
      <w:r w:rsidRPr="002230FC">
        <w:t>considers that it does not amount to degrading treatment and punishment.</w:t>
      </w:r>
    </w:p>
    <w:bookmarkEnd w:id="2"/>
    <w:bookmarkEnd w:id="3"/>
    <w:p w:rsidR="00F85F17" w:rsidRPr="008C26DF" w:rsidRDefault="00F85F17" w:rsidP="00C328DD">
      <w:pPr>
        <w:pStyle w:val="SingleTxtG"/>
      </w:pPr>
      <w:r w:rsidRPr="008173EE">
        <w:t>4.</w:t>
      </w:r>
      <w:r w:rsidR="00BD44FD">
        <w:t>19</w:t>
      </w:r>
      <w:r w:rsidRPr="008173EE">
        <w:tab/>
      </w:r>
      <w:r w:rsidR="00A9758F">
        <w:t xml:space="preserve">The State party considers that </w:t>
      </w:r>
      <w:r w:rsidRPr="008173EE">
        <w:t xml:space="preserve">the author’s allegations that the conditions imposed upon his release amount to arbitrary </w:t>
      </w:r>
      <w:r w:rsidRPr="00965636">
        <w:t>detention or degrading treatment are inadmissible, because the author is no longer detained, and he has failed to exhaust domestic remedies that could result in an alteration of the conditions to which he objects. In the alternative, Australia submits that these allegations lack merit, as the conditions imposed to the author are reasonable and appropriate to permit his</w:t>
      </w:r>
      <w:r w:rsidRPr="008C26DF">
        <w:t xml:space="preserve"> reintegration, while protecting the safety of the community.</w:t>
      </w:r>
    </w:p>
    <w:p w:rsidR="00F85F17" w:rsidRPr="002230FC" w:rsidRDefault="00BD44FD" w:rsidP="00C328DD">
      <w:pPr>
        <w:pStyle w:val="SingleTxtG"/>
      </w:pPr>
      <w:r>
        <w:t>4.20</w:t>
      </w:r>
      <w:r w:rsidR="00F85F17" w:rsidRPr="008C26DF">
        <w:tab/>
      </w:r>
      <w:r w:rsidR="00F85F17">
        <w:t>Regarding</w:t>
      </w:r>
      <w:r w:rsidR="00F85F17" w:rsidRPr="008C26DF">
        <w:t xml:space="preserve"> th</w:t>
      </w:r>
      <w:r w:rsidR="00F85F17" w:rsidRPr="002230FC">
        <w:t xml:space="preserve">e author’s allegation that the MID Act violates article 5 of the Convention, the State party submits that the Act does not treat persons any differently because of their disability, but provides for the differential treatment </w:t>
      </w:r>
      <w:r w:rsidR="00A9758F">
        <w:t>of people</w:t>
      </w:r>
      <w:r w:rsidR="00F85F17" w:rsidRPr="002230FC">
        <w:t xml:space="preserve"> found ‘unfit to stand trial’. The State party acknowledges that the Act is likely to disproportionately affect </w:t>
      </w:r>
      <w:r w:rsidR="00F85F17">
        <w:t xml:space="preserve">those </w:t>
      </w:r>
      <w:r w:rsidR="00F85F17" w:rsidRPr="002230FC">
        <w:t>who may meet those criteria for reasons as</w:t>
      </w:r>
      <w:r w:rsidR="00F85F17" w:rsidRPr="00CD7E8B">
        <w:t xml:space="preserve">sociated with a disability. However, it considers that </w:t>
      </w:r>
      <w:r w:rsidR="00F85F17">
        <w:t xml:space="preserve">such a </w:t>
      </w:r>
      <w:r w:rsidR="00F85F17" w:rsidRPr="00CD7E8B">
        <w:t xml:space="preserve">differential treatment </w:t>
      </w:r>
      <w:r w:rsidR="00F85F17">
        <w:t>is legitimate, as</w:t>
      </w:r>
      <w:r w:rsidR="00F85F17" w:rsidRPr="002230FC">
        <w:t xml:space="preserve"> endorsed </w:t>
      </w:r>
      <w:r w:rsidR="00F85F17">
        <w:t>by</w:t>
      </w:r>
      <w:r w:rsidR="00F85F17" w:rsidRPr="002230FC">
        <w:t xml:space="preserve"> many UN treaty bodies</w:t>
      </w:r>
      <w:r w:rsidR="00A9758F">
        <w:t>,</w:t>
      </w:r>
      <w:r w:rsidR="00C328DD">
        <w:rPr>
          <w:rStyle w:val="FootnoteReference"/>
        </w:rPr>
        <w:footnoteReference w:id="34"/>
      </w:r>
      <w:r w:rsidR="00F85F17" w:rsidRPr="002230FC">
        <w:t xml:space="preserve"> </w:t>
      </w:r>
      <w:r w:rsidR="00A9758F">
        <w:t>and</w:t>
      </w:r>
      <w:r w:rsidR="00F85F17" w:rsidRPr="002230FC">
        <w:t xml:space="preserve"> that article 5 of the Convention should be interpreted consistently with this approach. </w:t>
      </w:r>
    </w:p>
    <w:p w:rsidR="00F85F17" w:rsidRPr="002230FC" w:rsidRDefault="00F85F17" w:rsidP="00BD44FD">
      <w:pPr>
        <w:pStyle w:val="SingleTxtG"/>
      </w:pPr>
      <w:r w:rsidRPr="002230FC">
        <w:t>4.2</w:t>
      </w:r>
      <w:r w:rsidR="00BD44FD">
        <w:t>1</w:t>
      </w:r>
      <w:r w:rsidRPr="002230FC">
        <w:tab/>
        <w:t>The State party submits that the MID Act also aims at protecting the community.</w:t>
      </w:r>
      <w:r w:rsidRPr="002230FC">
        <w:rPr>
          <w:vertAlign w:val="superscript"/>
        </w:rPr>
        <w:footnoteReference w:id="35"/>
      </w:r>
      <w:r w:rsidRPr="002230FC">
        <w:rPr>
          <w:vertAlign w:val="superscript"/>
        </w:rPr>
        <w:t xml:space="preserve"> </w:t>
      </w:r>
      <w:r w:rsidRPr="002230FC">
        <w:t xml:space="preserve"> </w:t>
      </w:r>
      <w:bookmarkStart w:id="4" w:name="_Ref349294587"/>
      <w:r w:rsidRPr="002230FC">
        <w:t>Legislation providing for specific procedures, including custody orders for those who are found unfit to plead, is a standard feature of other jurisdictions within Australia</w:t>
      </w:r>
      <w:r w:rsidR="00C328DD">
        <w:rPr>
          <w:rStyle w:val="FootnoteReference"/>
          <w:szCs w:val="24"/>
        </w:rPr>
        <w:footnoteReference w:id="36"/>
      </w:r>
      <w:r w:rsidRPr="002230FC">
        <w:rPr>
          <w:vertAlign w:val="superscript"/>
        </w:rPr>
        <w:t xml:space="preserve"> </w:t>
      </w:r>
      <w:r w:rsidRPr="002230FC">
        <w:t>and in other countries</w:t>
      </w:r>
      <w:r w:rsidRPr="002230FC">
        <w:rPr>
          <w:vertAlign w:val="superscript"/>
        </w:rPr>
        <w:footnoteReference w:id="37"/>
      </w:r>
      <w:r>
        <w:t>.</w:t>
      </w:r>
      <w:r w:rsidRPr="002230FC">
        <w:t xml:space="preserve"> </w:t>
      </w:r>
      <w:bookmarkEnd w:id="4"/>
      <w:r w:rsidRPr="002230FC">
        <w:t>Once an individual has been made subject to a custody order pursuant to the MID Act, periodic reviews are conducted by the Review Board</w:t>
      </w:r>
      <w:r>
        <w:t>.</w:t>
      </w:r>
      <w:r w:rsidRPr="002230FC">
        <w:rPr>
          <w:vertAlign w:val="superscript"/>
        </w:rPr>
        <w:footnoteReference w:id="38"/>
      </w:r>
      <w:r>
        <w:t xml:space="preserve"> Detailed reports are </w:t>
      </w:r>
      <w:r w:rsidRPr="002230FC">
        <w:t>prepared by a Senior Advisory Officer</w:t>
      </w:r>
      <w:r>
        <w:t>, including</w:t>
      </w:r>
      <w:r w:rsidRPr="002230FC">
        <w:t xml:space="preserve"> a recommendation as to whether the </w:t>
      </w:r>
      <w:r>
        <w:t>person</w:t>
      </w:r>
      <w:r w:rsidRPr="002230FC">
        <w:t xml:space="preserve"> should be released</w:t>
      </w:r>
      <w:r w:rsidRPr="002230FC">
        <w:rPr>
          <w:vertAlign w:val="superscript"/>
        </w:rPr>
        <w:footnoteReference w:id="39"/>
      </w:r>
      <w:r w:rsidRPr="002230FC">
        <w:t xml:space="preserve">. </w:t>
      </w:r>
    </w:p>
    <w:p w:rsidR="00F85F17" w:rsidRPr="002230FC" w:rsidRDefault="00F85F17" w:rsidP="00C328DD">
      <w:pPr>
        <w:pStyle w:val="SingleTxtG"/>
      </w:pPr>
      <w:r w:rsidRPr="002230FC">
        <w:t>4.2</w:t>
      </w:r>
      <w:r w:rsidR="00BD44FD">
        <w:t>2</w:t>
      </w:r>
      <w:r w:rsidRPr="002230FC">
        <w:tab/>
        <w:t>The MID Act also provides safeguards to ensure that decisions are made by an independent</w:t>
      </w:r>
      <w:r w:rsidR="00C22B2D">
        <w:t xml:space="preserve"> and well informed</w:t>
      </w:r>
      <w:r w:rsidRPr="002230FC">
        <w:t xml:space="preserve"> judicial body; that </w:t>
      </w:r>
      <w:r>
        <w:t xml:space="preserve">an accused </w:t>
      </w:r>
      <w:r w:rsidRPr="002230FC">
        <w:t>found unfit to stand trial</w:t>
      </w:r>
      <w:r>
        <w:t xml:space="preserve"> can still be released at the court’s discretion</w:t>
      </w:r>
      <w:r w:rsidRPr="002230FC">
        <w:t xml:space="preserve">; </w:t>
      </w:r>
      <w:r w:rsidR="00DC0CF1">
        <w:t xml:space="preserve">and </w:t>
      </w:r>
      <w:r w:rsidRPr="002230FC">
        <w:t xml:space="preserve">that decisions under the MID Act can be </w:t>
      </w:r>
      <w:r w:rsidRPr="002230FC">
        <w:lastRenderedPageBreak/>
        <w:t xml:space="preserve">appealed. The </w:t>
      </w:r>
      <w:r w:rsidRPr="00C328DD">
        <w:t>framework</w:t>
      </w:r>
      <w:r w:rsidRPr="002230FC">
        <w:t xml:space="preserve"> therefore provides a reasonable and proportionate method to achieve the MID Act’s objectives</w:t>
      </w:r>
      <w:bookmarkStart w:id="5" w:name="_Ref349294776"/>
      <w:r w:rsidRPr="002230FC">
        <w:t xml:space="preserve"> relying on reasonable and objective criteria that are not linked to disability.</w:t>
      </w:r>
      <w:bookmarkEnd w:id="5"/>
    </w:p>
    <w:p w:rsidR="00F85F17" w:rsidRPr="002230FC" w:rsidRDefault="00F85F17" w:rsidP="00C328DD">
      <w:pPr>
        <w:pStyle w:val="H23G"/>
      </w:pPr>
      <w:r w:rsidRPr="002230FC">
        <w:tab/>
      </w:r>
      <w:r w:rsidRPr="002230FC">
        <w:tab/>
        <w:t xml:space="preserve">Additional information </w:t>
      </w:r>
      <w:r w:rsidRPr="00C328DD">
        <w:t>submitted</w:t>
      </w:r>
      <w:r w:rsidRPr="002230FC">
        <w:t xml:space="preserve"> by the author</w:t>
      </w:r>
    </w:p>
    <w:p w:rsidR="00F85F17" w:rsidRPr="002230FC" w:rsidRDefault="00F85F17" w:rsidP="00C328DD">
      <w:pPr>
        <w:pStyle w:val="SingleTxtG"/>
      </w:pPr>
      <w:r w:rsidRPr="002230FC">
        <w:t>5.1</w:t>
      </w:r>
      <w:r w:rsidRPr="002230FC">
        <w:tab/>
        <w:t xml:space="preserve">On 25 June 2015, the author submitted additional information. He </w:t>
      </w:r>
      <w:r w:rsidR="004C0B6E">
        <w:t>submits</w:t>
      </w:r>
      <w:r w:rsidR="004C0B6E" w:rsidRPr="002230FC">
        <w:t xml:space="preserve"> </w:t>
      </w:r>
      <w:r w:rsidRPr="002230FC">
        <w:t xml:space="preserve">that he has now been in civil detention for more than 13 years and </w:t>
      </w:r>
      <w:r>
        <w:t>remains</w:t>
      </w:r>
      <w:r w:rsidRPr="002230FC">
        <w:t xml:space="preserve"> subjected to restrictions and to deprivation of liberty. </w:t>
      </w:r>
    </w:p>
    <w:p w:rsidR="00F85F17" w:rsidRPr="002230FC" w:rsidRDefault="00F85F17" w:rsidP="00C328DD">
      <w:pPr>
        <w:pStyle w:val="SingleTxtG"/>
      </w:pPr>
      <w:r w:rsidRPr="002230FC">
        <w:t>5.2</w:t>
      </w:r>
      <w:r w:rsidRPr="002230FC">
        <w:tab/>
        <w:t xml:space="preserve">The author rejects the State party’s characterization of the temporal scope of the Committee’s mandate. He refers to the </w:t>
      </w:r>
      <w:r w:rsidRPr="00C328DD">
        <w:t>jurisprudence</w:t>
      </w:r>
      <w:r w:rsidRPr="002230FC">
        <w:t xml:space="preserve"> of the Human Rights Committee, according to which: “the Committee […] cannot consider alleged violations of the Covenant which occurred before the entry into force of the Optional Protocol for the State party, unless the violations complained of continue after the entry into force of the Optional Protocol. A continuing violation is to be interpreted as an affirmation, after the entry into force of the Optional Protocol, by act or by clear implication, of the previous violations”.</w:t>
      </w:r>
      <w:r w:rsidRPr="002230FC">
        <w:rPr>
          <w:rStyle w:val="FootnoteReference"/>
          <w:sz w:val="24"/>
          <w:szCs w:val="24"/>
        </w:rPr>
        <w:footnoteReference w:id="40"/>
      </w:r>
      <w:r w:rsidRPr="002230FC">
        <w:t xml:space="preserve"> The author considers that the same interpretation should apply to his case. </w:t>
      </w:r>
    </w:p>
    <w:p w:rsidR="00F85F17" w:rsidRPr="002230FC" w:rsidRDefault="00F85F17" w:rsidP="00C328DD">
      <w:pPr>
        <w:pStyle w:val="SingleTxtG"/>
      </w:pPr>
      <w:r>
        <w:t>5.3</w:t>
      </w:r>
      <w:r w:rsidRPr="002230FC">
        <w:tab/>
        <w:t>The author considers that his detention is arbitrary because it is based on his disability, in violation of article 14(1</w:t>
      </w:r>
      <w:proofErr w:type="gramStart"/>
      <w:r w:rsidRPr="002230FC">
        <w:t>)(</w:t>
      </w:r>
      <w:proofErr w:type="gramEnd"/>
      <w:r w:rsidRPr="002230FC">
        <w:t xml:space="preserve">b). In case he would not have a disability, he could not have been </w:t>
      </w:r>
      <w:r w:rsidRPr="00C328DD">
        <w:t>placed</w:t>
      </w:r>
      <w:r w:rsidRPr="002230FC">
        <w:t xml:space="preserve"> in indefinite detention. If acquitted, he would have been released from custody immediately and unconditionally.</w:t>
      </w:r>
    </w:p>
    <w:p w:rsidR="00F85F17" w:rsidRPr="002230FC" w:rsidRDefault="00F85F17" w:rsidP="00C328DD">
      <w:pPr>
        <w:pStyle w:val="SingleTxtG"/>
      </w:pPr>
      <w:r w:rsidRPr="002230FC">
        <w:t>5.</w:t>
      </w:r>
      <w:r>
        <w:t>4</w:t>
      </w:r>
      <w:r w:rsidRPr="002230FC">
        <w:tab/>
        <w:t xml:space="preserve">The author submits that his detention is arbitrary </w:t>
      </w:r>
      <w:r w:rsidR="00A9758F">
        <w:t>because</w:t>
      </w:r>
      <w:r w:rsidRPr="002230FC">
        <w:t xml:space="preserve">: (a) it is subject to the discretion of the Executive Government: pursuant to sections 24 and 35 of the MID Act, once a custodial supervision order is made, the affected person is detained until released by an Order of the Governor of Western Australia. The Governor exercises this discretion in accordance with the </w:t>
      </w:r>
      <w:r w:rsidRPr="00C328DD">
        <w:t>recommendations</w:t>
      </w:r>
      <w:r w:rsidRPr="002230FC">
        <w:t xml:space="preserve"> of the Executive Council, which in turn acts on the advice of the Minister of Health; (b) it is unjust: the author has not been convicted for the offences with which he was charged and has not had the opportunity to properly test the evidence upon which those charges were based</w:t>
      </w:r>
      <w:r w:rsidRPr="00E63C07">
        <w:t>; (c) it is disproportionate: if the author h</w:t>
      </w:r>
      <w:r w:rsidRPr="002230FC">
        <w:t>ad been found guilty of the offences he was charged with, he would have been sentenced to two to three year imprisonment, after which he would have been released unconditionally; (d) it is punitive: the author required and continues to require social support and assistance. However, his incarceration and his continuing civil detention do not reflect the “least invasive” or “least restrictive” options of dealing with his needs.</w:t>
      </w:r>
    </w:p>
    <w:p w:rsidR="00F85F17" w:rsidRPr="002230FC" w:rsidRDefault="00F85F17" w:rsidP="00C328DD">
      <w:pPr>
        <w:pStyle w:val="SingleTxtG"/>
      </w:pPr>
      <w:r w:rsidRPr="002230FC">
        <w:t>5.</w:t>
      </w:r>
      <w:r>
        <w:t>5</w:t>
      </w:r>
      <w:r w:rsidRPr="002230FC">
        <w:tab/>
        <w:t xml:space="preserve">The author submits that his conditions of detention at </w:t>
      </w:r>
      <w:proofErr w:type="spellStart"/>
      <w:r w:rsidRPr="002230FC">
        <w:t>Greenough</w:t>
      </w:r>
      <w:proofErr w:type="spellEnd"/>
      <w:r w:rsidRPr="002230FC">
        <w:t xml:space="preserve"> prison were exactly the same as those of convicted prisoners, while he was supposed to be detained solely for the purpose of treatment, care and rehabilitation. </w:t>
      </w:r>
      <w:r>
        <w:t>T</w:t>
      </w:r>
      <w:r w:rsidRPr="002230FC">
        <w:t xml:space="preserve">his punitive perspective was also reflected in the intervention of the Review Board: it recommended to the Minister for Health the continuation of the author’s detention for nine years from the time the Court made him subject to a Custodial Supervision Order on 11 March 2003, up to the </w:t>
      </w:r>
      <w:r w:rsidRPr="00EE6B23">
        <w:t>time he was made subject to a conditional release order on 10 January 2012, while the alleged victims of the offences had publicly withdrawn their</w:t>
      </w:r>
      <w:r w:rsidRPr="002230FC">
        <w:t xml:space="preserve"> initial statements against the author. </w:t>
      </w:r>
    </w:p>
    <w:p w:rsidR="00F85F17" w:rsidRPr="002230FC" w:rsidRDefault="00F85F17" w:rsidP="00C328DD">
      <w:pPr>
        <w:pStyle w:val="SingleTxtG"/>
      </w:pPr>
      <w:r w:rsidRPr="002230FC">
        <w:t>5.</w:t>
      </w:r>
      <w:r>
        <w:t>6</w:t>
      </w:r>
      <w:r w:rsidRPr="002230FC">
        <w:tab/>
        <w:t xml:space="preserve">The author further considers that according to the State party, his detention was temporary, pending the availability of a place in a specialised facility. This </w:t>
      </w:r>
      <w:r w:rsidRPr="00C328DD">
        <w:t>did</w:t>
      </w:r>
      <w:r w:rsidRPr="002230FC">
        <w:t xml:space="preserve"> not happen and his prolonged incarceration with convicted persons was humiliating and degrading. The author informs that the Western Australian Government suspended its decision to build two so-called “disability justice centres”. It instead builds one such facility to incarcerate 10 </w:t>
      </w:r>
      <w:r w:rsidRPr="002230FC">
        <w:lastRenderedPageBreak/>
        <w:t>people with a high level of security. The author fears that once this facility is operational, the Review Board will detain him there.</w:t>
      </w:r>
      <w:r w:rsidRPr="002230FC">
        <w:rPr>
          <w:rStyle w:val="FootnoteReference"/>
          <w:sz w:val="24"/>
          <w:szCs w:val="24"/>
        </w:rPr>
        <w:footnoteReference w:id="41"/>
      </w:r>
      <w:r w:rsidRPr="002230FC">
        <w:t xml:space="preserve"> </w:t>
      </w:r>
    </w:p>
    <w:p w:rsidR="00F85F17" w:rsidRPr="002230FC" w:rsidRDefault="00F85F17" w:rsidP="00C328DD">
      <w:pPr>
        <w:pStyle w:val="SingleTxtG"/>
      </w:pPr>
      <w:r w:rsidRPr="002230FC">
        <w:t>5.</w:t>
      </w:r>
      <w:r>
        <w:t>7</w:t>
      </w:r>
      <w:r w:rsidRPr="002230FC">
        <w:tab/>
        <w:t xml:space="preserve">With respect to the State party’s reference to the programs available to support individuals with cognitive impairments in the criminal justice system, the author submits that none have been made available to him and that their existence is irrelevant to the human rights violations he alleges. </w:t>
      </w:r>
    </w:p>
    <w:p w:rsidR="00F85F17" w:rsidRPr="002230FC" w:rsidRDefault="00F85F17" w:rsidP="00C328DD">
      <w:pPr>
        <w:pStyle w:val="SingleTxtG"/>
      </w:pPr>
      <w:r w:rsidRPr="002230FC">
        <w:t>5.</w:t>
      </w:r>
      <w:r>
        <w:t>8</w:t>
      </w:r>
      <w:r w:rsidRPr="002230FC">
        <w:tab/>
        <w:t>As regards the State party’s contentions related to the law reform, the author informs that the MID Act 1996 has not been reformed since he submitted his communication. He reiterates that the MID Act treats persons with disability differently to other accused persons on the basis of disability</w:t>
      </w:r>
      <w:r>
        <w:t>, and</w:t>
      </w:r>
      <w:r w:rsidRPr="002230FC">
        <w:t xml:space="preserve"> that his treatment </w:t>
      </w:r>
      <w:r>
        <w:t>never</w:t>
      </w:r>
      <w:r w:rsidRPr="002230FC">
        <w:t xml:space="preserve"> constituted a legitimate differential treatment, but an aggravated illegitimate detrimental one.</w:t>
      </w:r>
    </w:p>
    <w:p w:rsidR="00F85F17" w:rsidRPr="002230FC" w:rsidRDefault="00F85F17" w:rsidP="00C328DD">
      <w:pPr>
        <w:pStyle w:val="SingleTxtG"/>
      </w:pPr>
      <w:r w:rsidRPr="002230FC">
        <w:t>5.</w:t>
      </w:r>
      <w:r>
        <w:t>9</w:t>
      </w:r>
      <w:r w:rsidRPr="002230FC">
        <w:tab/>
        <w:t xml:space="preserve">The author also argues that State party’s submissions are based on the assumption that he committed </w:t>
      </w:r>
      <w:r w:rsidRPr="00C328DD">
        <w:t>the</w:t>
      </w:r>
      <w:r w:rsidRPr="002230FC">
        <w:t xml:space="preserve"> offences he was charged</w:t>
      </w:r>
      <w:r>
        <w:t xml:space="preserve"> with</w:t>
      </w:r>
      <w:r w:rsidRPr="002230FC">
        <w:t xml:space="preserve">, while he did not. </w:t>
      </w:r>
      <w:r>
        <w:t>I</w:t>
      </w:r>
      <w:r w:rsidRPr="002230FC">
        <w:t>t could not be established that he presents a continuing danger to the public, but he has been stigmatised and dealt with as if he would.</w:t>
      </w:r>
    </w:p>
    <w:p w:rsidR="00F85F17" w:rsidRPr="002230FC" w:rsidRDefault="00F85F17" w:rsidP="00C328DD">
      <w:pPr>
        <w:pStyle w:val="SingleTxtG"/>
      </w:pPr>
      <w:r w:rsidRPr="002230FC">
        <w:t>5.</w:t>
      </w:r>
      <w:r>
        <w:t>1</w:t>
      </w:r>
      <w:r w:rsidR="00BD44FD">
        <w:t>0</w:t>
      </w:r>
      <w:r w:rsidRPr="002230FC">
        <w:tab/>
        <w:t xml:space="preserve">With respect to the State party’s contention that legislation similar to the MID Act exists in other jurisdictions, the author considers that this does not indicate that such legislation serves a </w:t>
      </w:r>
      <w:r w:rsidRPr="00C328DD">
        <w:t>legitimate</w:t>
      </w:r>
      <w:r w:rsidRPr="002230FC">
        <w:t xml:space="preserve"> purpose. </w:t>
      </w:r>
      <w:r>
        <w:t>It</w:t>
      </w:r>
      <w:r w:rsidRPr="002230FC">
        <w:t xml:space="preserve"> is</w:t>
      </w:r>
      <w:r>
        <w:t xml:space="preserve"> rather</w:t>
      </w:r>
      <w:r w:rsidRPr="002230FC">
        <w:t xml:space="preserve"> one of the most serious and pervasive forms of violation of the rights of persons with disability and should be urgently reformed. </w:t>
      </w:r>
    </w:p>
    <w:p w:rsidR="00F85F17" w:rsidRPr="002230FC" w:rsidRDefault="00F85F17" w:rsidP="00C328DD">
      <w:pPr>
        <w:pStyle w:val="SingleTxtG"/>
      </w:pPr>
      <w:r w:rsidRPr="002230FC">
        <w:t>5.1</w:t>
      </w:r>
      <w:r w:rsidR="00BD44FD">
        <w:t>1</w:t>
      </w:r>
      <w:r w:rsidRPr="002230FC">
        <w:t xml:space="preserve"> The author </w:t>
      </w:r>
      <w:r w:rsidR="00775B72">
        <w:t>further submits that f</w:t>
      </w:r>
      <w:r w:rsidRPr="002230FC">
        <w:t xml:space="preserve">ollowing the quashing of his indictment, he applied to the District Court of Western </w:t>
      </w:r>
      <w:r w:rsidRPr="00C328DD">
        <w:t>Australia</w:t>
      </w:r>
      <w:r w:rsidRPr="002230FC">
        <w:t xml:space="preserve"> for the determination of his mental fitness. This application was heard by the Court on 4 November 201</w:t>
      </w:r>
      <w:r>
        <w:t>0</w:t>
      </w:r>
      <w:r w:rsidRPr="002230FC">
        <w:t>, and was rejected on 5 November 201</w:t>
      </w:r>
      <w:r>
        <w:t>0</w:t>
      </w:r>
      <w:r w:rsidRPr="002230FC">
        <w:t>.</w:t>
      </w:r>
      <w:r w:rsidR="00C328DD">
        <w:rPr>
          <w:rStyle w:val="FootnoteReference"/>
        </w:rPr>
        <w:footnoteReference w:id="42"/>
      </w:r>
      <w:r w:rsidRPr="002230FC">
        <w:t xml:space="preserve"> As to the State party’s submission that </w:t>
      </w:r>
      <w:r w:rsidR="00775B72">
        <w:t>he</w:t>
      </w:r>
      <w:r w:rsidRPr="002230FC">
        <w:t xml:space="preserve"> could have appealed the District Court’s decision to the Western Australian Court of Appeal, </w:t>
      </w:r>
      <w:r w:rsidR="00775B72">
        <w:t>the author</w:t>
      </w:r>
      <w:r w:rsidR="00775B72" w:rsidRPr="002230FC">
        <w:t xml:space="preserve"> </w:t>
      </w:r>
      <w:r w:rsidRPr="002230FC">
        <w:t>considers that this would have been futile: he would have needed to demonstrate that the District Court’s decision was in error, while it was legally correct</w:t>
      </w:r>
      <w:r w:rsidR="00775B72">
        <w:t xml:space="preserve"> under</w:t>
      </w:r>
      <w:r w:rsidRPr="0031026F">
        <w:t xml:space="preserve"> the MID Act. </w:t>
      </w:r>
      <w:r>
        <w:t>As to a possible</w:t>
      </w:r>
      <w:r w:rsidRPr="0031026F">
        <w:t xml:space="preserve"> arguable claim for judicial review, it would have been limited to challenging the exercise of the Review Board’s discretion to make recommendations to the Minister of Health or Governor of Western Australia regarding his release. As </w:t>
      </w:r>
      <w:r>
        <w:t>these</w:t>
      </w:r>
      <w:r w:rsidRPr="0031026F">
        <w:t xml:space="preserve"> are not required to accept the recommendations of the Review Board, the referred judicial review could not provide the author with an enforceable domestic remedy.</w:t>
      </w:r>
      <w:r w:rsidRPr="002230FC">
        <w:t xml:space="preserve"> </w:t>
      </w:r>
    </w:p>
    <w:p w:rsidR="00F85F17" w:rsidRPr="00F263CA" w:rsidRDefault="00F85F17" w:rsidP="00C328DD">
      <w:pPr>
        <w:pStyle w:val="SingleTxtG"/>
      </w:pPr>
      <w:r w:rsidRPr="002230FC">
        <w:t>5.1</w:t>
      </w:r>
      <w:r w:rsidR="00BD44FD">
        <w:t>2</w:t>
      </w:r>
      <w:r w:rsidRPr="002230FC">
        <w:tab/>
      </w:r>
      <w:r>
        <w:t>T</w:t>
      </w:r>
      <w:r w:rsidRPr="002230FC">
        <w:t>he author</w:t>
      </w:r>
      <w:r>
        <w:t xml:space="preserve"> further</w:t>
      </w:r>
      <w:r w:rsidRPr="002230FC">
        <w:t xml:space="preserve"> considers that the MID Act does not impose any obligation on the Court to contemplate the reasonable accommodations that could enable an accused person w</w:t>
      </w:r>
      <w:r w:rsidRPr="00F263CA">
        <w:t xml:space="preserve">ith </w:t>
      </w:r>
      <w:r w:rsidRPr="00C328DD">
        <w:t>intellectual</w:t>
      </w:r>
      <w:r w:rsidRPr="00F263CA">
        <w:t xml:space="preserve"> disability or mental illness to stand trial and receive a fair trial. The author </w:t>
      </w:r>
      <w:r w:rsidR="00775B72">
        <w:t>considers</w:t>
      </w:r>
      <w:r w:rsidRPr="00F263CA">
        <w:t xml:space="preserve"> that due to the failure to accord him fair guarantees as regards the offences he was charged with in October 2002, he continues to be treated as if he had committed them, without capacity to challenge that assumption.</w:t>
      </w:r>
    </w:p>
    <w:p w:rsidR="00F85F17" w:rsidRPr="00F263CA" w:rsidRDefault="00F85F17" w:rsidP="00C328DD">
      <w:pPr>
        <w:pStyle w:val="SingleTxtG"/>
      </w:pPr>
      <w:r w:rsidRPr="00F263CA">
        <w:t>5.1</w:t>
      </w:r>
      <w:r w:rsidR="00BD44FD">
        <w:t>3</w:t>
      </w:r>
      <w:r w:rsidRPr="00F263CA">
        <w:tab/>
        <w:t xml:space="preserve">In relation to the risk of harm in prison, the author submits that the assaults he faced were serious. He was subject to frequent incidents of violence and abuse from other prisoners, apparently not recorded by prison authorities. </w:t>
      </w:r>
      <w:r w:rsidR="00775B72">
        <w:t>B</w:t>
      </w:r>
      <w:r w:rsidRPr="00F263CA">
        <w:t xml:space="preserve">ecause of their frequency, these offenses made him more </w:t>
      </w:r>
      <w:r w:rsidRPr="00C328DD">
        <w:t>vulnerable</w:t>
      </w:r>
      <w:r w:rsidRPr="00F263CA">
        <w:t>: his disability prevented him from protecting himself, and this situation amounted to inhumane and degrading treatment.</w:t>
      </w:r>
    </w:p>
    <w:p w:rsidR="00F85F17" w:rsidRPr="00F263CA" w:rsidRDefault="00F85F17" w:rsidP="00C328DD">
      <w:pPr>
        <w:pStyle w:val="SingleTxtG"/>
      </w:pPr>
      <w:r w:rsidRPr="00F263CA">
        <w:lastRenderedPageBreak/>
        <w:t>5.1</w:t>
      </w:r>
      <w:r w:rsidR="00BD44FD">
        <w:t>4</w:t>
      </w:r>
      <w:r w:rsidRPr="00F263CA">
        <w:tab/>
        <w:t xml:space="preserve">The author considers that as a result of his wrongful conviction for an alleged use of drugs, he was confined to prison and deprived of leave for a period of six months. He was </w:t>
      </w:r>
      <w:r w:rsidRPr="00C328DD">
        <w:t>subsequently</w:t>
      </w:r>
      <w:r w:rsidRPr="00F263CA">
        <w:t xml:space="preserve"> exonerated, but he received no apology or other remedy, and was instead referred to the Australian National Child Offender Register, which he considers particularly degrading and humiliating. </w:t>
      </w:r>
    </w:p>
    <w:p w:rsidR="00F85F17" w:rsidRPr="002230FC" w:rsidRDefault="00F85F17" w:rsidP="00C328DD">
      <w:pPr>
        <w:pStyle w:val="SingleTxtG"/>
      </w:pPr>
      <w:r w:rsidRPr="00F263CA">
        <w:t>5.</w:t>
      </w:r>
      <w:r w:rsidR="00BD44FD">
        <w:t>15</w:t>
      </w:r>
      <w:r w:rsidRPr="00F263CA">
        <w:tab/>
        <w:t xml:space="preserve">The author argues that at all material times, he remained in custody, and that the conditions of his conditional release amount to a deprivation of liberty. Additionally, a new </w:t>
      </w:r>
      <w:r w:rsidRPr="00C328DD">
        <w:t>Custodial</w:t>
      </w:r>
      <w:r w:rsidRPr="00F263CA">
        <w:t xml:space="preserve"> Supervision Order with immediate effect could be imposed by the Review Board under section 37 of the MID Act, in case it would consider that the author breached any of the conditions of his release, bypassing the usual legal processes applicable to persons without disability.</w:t>
      </w:r>
      <w:r w:rsidRPr="002230FC">
        <w:t xml:space="preserve"> </w:t>
      </w:r>
    </w:p>
    <w:p w:rsidR="00F85F17" w:rsidRPr="002230FC" w:rsidRDefault="00F85F17" w:rsidP="00C328DD">
      <w:pPr>
        <w:pStyle w:val="H23G"/>
      </w:pPr>
      <w:r w:rsidRPr="002230FC">
        <w:tab/>
      </w:r>
      <w:r w:rsidRPr="002230FC">
        <w:tab/>
        <w:t xml:space="preserve">Additional observations </w:t>
      </w:r>
      <w:r w:rsidRPr="00C328DD">
        <w:t>by</w:t>
      </w:r>
      <w:r w:rsidRPr="002230FC">
        <w:t xml:space="preserve"> the State party</w:t>
      </w:r>
    </w:p>
    <w:p w:rsidR="00F85F17" w:rsidRPr="002230FC" w:rsidRDefault="00F85F17" w:rsidP="00C328DD">
      <w:pPr>
        <w:pStyle w:val="SingleTxtG"/>
      </w:pPr>
      <w:r w:rsidRPr="002230FC">
        <w:t>6.1</w:t>
      </w:r>
      <w:r w:rsidRPr="002230FC">
        <w:tab/>
        <w:t>On 23 February</w:t>
      </w:r>
      <w:r w:rsidR="00DC0CF1">
        <w:t xml:space="preserve"> 2016</w:t>
      </w:r>
      <w:r w:rsidRPr="002230FC">
        <w:t>, the State party submitted additional observations on the author’s comments, reiterating its view that the Committee’s temporal mandate applies in respect of events occurring on or after 19 September 2009</w:t>
      </w:r>
      <w:r>
        <w:t xml:space="preserve">. </w:t>
      </w:r>
      <w:r w:rsidRPr="002230FC">
        <w:t>The State party does not consider that the facts of this communication constitute a continuing violation.</w:t>
      </w:r>
      <w:r w:rsidR="00C328DD">
        <w:rPr>
          <w:rStyle w:val="FootnoteReference"/>
        </w:rPr>
        <w:footnoteReference w:id="43"/>
      </w:r>
    </w:p>
    <w:p w:rsidR="00F85F17" w:rsidRPr="002230FC" w:rsidRDefault="00F85F17" w:rsidP="00C328DD">
      <w:pPr>
        <w:pStyle w:val="SingleTxtG"/>
      </w:pPr>
      <w:r w:rsidRPr="002230FC">
        <w:t>6.2</w:t>
      </w:r>
      <w:r w:rsidRPr="002230FC">
        <w:tab/>
        <w:t xml:space="preserve">The State party further </w:t>
      </w:r>
      <w:r w:rsidRPr="00523BA1">
        <w:t>submits that the author has never been in civil detention since his release from custody on 10 January 2012, and that he resides in the community since then. The author’s Conditional Release Order is subject to regular reviews by the</w:t>
      </w:r>
      <w:r w:rsidRPr="002230FC">
        <w:t xml:space="preserve"> Review Board, which </w:t>
      </w:r>
      <w:r>
        <w:t>has been</w:t>
      </w:r>
      <w:r w:rsidRPr="002230FC">
        <w:t xml:space="preserve"> satisfied with the author’s compliance. The State party does not have any plans to cancel the author’s </w:t>
      </w:r>
      <w:r>
        <w:t>Release Order</w:t>
      </w:r>
      <w:r w:rsidRPr="002230FC">
        <w:t xml:space="preserve"> or to place him in custody.</w:t>
      </w:r>
    </w:p>
    <w:p w:rsidR="00F85F17" w:rsidRPr="002230FC" w:rsidRDefault="00F85F17" w:rsidP="002248B7">
      <w:pPr>
        <w:pStyle w:val="SingleTxtG"/>
      </w:pPr>
      <w:r w:rsidRPr="002230FC">
        <w:t>6.3</w:t>
      </w:r>
      <w:r w:rsidRPr="002230FC">
        <w:tab/>
        <w:t xml:space="preserve">The State party </w:t>
      </w:r>
      <w:r>
        <w:t>informs</w:t>
      </w:r>
      <w:r w:rsidRPr="002230FC">
        <w:t xml:space="preserve"> that in 2015, Western Australia opened a disability justice centre to provide additional detention options for persons with disabilities, who have been found unfit to stand trial. On 30 November 2015, the Mental Health Act </w:t>
      </w:r>
      <w:r w:rsidRPr="00C328DD">
        <w:t>2014</w:t>
      </w:r>
      <w:r w:rsidRPr="002230FC">
        <w:t xml:space="preserve"> came into force. </w:t>
      </w:r>
      <w:r w:rsidR="00CB578D">
        <w:t>It</w:t>
      </w:r>
      <w:r w:rsidRPr="002230FC">
        <w:t xml:space="preserve"> introduced protections in relation to the use of involuntary treatment powers, and new rights for families and carers. The Western Australian Government has also concluded the review of the MID Act and intends to table the final report</w:t>
      </w:r>
      <w:r>
        <w:t xml:space="preserve"> and </w:t>
      </w:r>
      <w:r w:rsidRPr="002248B7">
        <w:t>recommendations</w:t>
      </w:r>
      <w:r w:rsidRPr="002230FC">
        <w:t xml:space="preserve"> in 2016.  </w:t>
      </w:r>
    </w:p>
    <w:p w:rsidR="00F85F17" w:rsidRPr="002230FC" w:rsidRDefault="00F85F17" w:rsidP="002248B7">
      <w:pPr>
        <w:pStyle w:val="H1G"/>
        <w:rPr>
          <w:lang w:val="en-US"/>
        </w:rPr>
      </w:pPr>
      <w:r w:rsidRPr="002230FC">
        <w:rPr>
          <w:lang w:val="en-US"/>
        </w:rPr>
        <w:tab/>
      </w:r>
      <w:r w:rsidRPr="002230FC">
        <w:t>B.</w:t>
      </w:r>
      <w:r w:rsidRPr="002230FC">
        <w:tab/>
        <w:t xml:space="preserve">Committee’s consideration of </w:t>
      </w:r>
      <w:r w:rsidRPr="002248B7">
        <w:t>admissibility</w:t>
      </w:r>
      <w:r w:rsidRPr="002230FC">
        <w:t xml:space="preserve"> and the merits</w:t>
      </w:r>
    </w:p>
    <w:p w:rsidR="00F85F17" w:rsidRPr="002230FC" w:rsidRDefault="00F85F17" w:rsidP="00C328DD">
      <w:pPr>
        <w:pStyle w:val="H23G"/>
      </w:pPr>
      <w:r w:rsidRPr="002230FC">
        <w:rPr>
          <w:lang w:val="en-US"/>
        </w:rPr>
        <w:tab/>
      </w:r>
      <w:r w:rsidRPr="002230FC">
        <w:rPr>
          <w:lang w:val="en-US"/>
        </w:rPr>
        <w:tab/>
      </w:r>
      <w:r w:rsidRPr="002230FC">
        <w:t xml:space="preserve">Issues and proceedings </w:t>
      </w:r>
      <w:r w:rsidRPr="00C328DD">
        <w:t>before</w:t>
      </w:r>
      <w:r w:rsidRPr="002230FC">
        <w:t xml:space="preserve"> the Committee</w:t>
      </w:r>
    </w:p>
    <w:p w:rsidR="00F85F17" w:rsidRPr="002230FC" w:rsidRDefault="00F85F17" w:rsidP="00C328DD">
      <w:pPr>
        <w:pStyle w:val="H4G"/>
      </w:pPr>
      <w:r w:rsidRPr="002230FC">
        <w:tab/>
      </w:r>
      <w:r w:rsidRPr="002230FC">
        <w:tab/>
        <w:t xml:space="preserve">Consideration of </w:t>
      </w:r>
      <w:r w:rsidRPr="00C328DD">
        <w:t>admissibility</w:t>
      </w:r>
    </w:p>
    <w:p w:rsidR="00F85F17" w:rsidRPr="002230FC" w:rsidRDefault="00F85F17" w:rsidP="00C328DD">
      <w:pPr>
        <w:pStyle w:val="SingleTxtG"/>
      </w:pPr>
      <w:r w:rsidRPr="002230FC">
        <w:t>7.1</w:t>
      </w:r>
      <w:r w:rsidRPr="002230FC">
        <w:tab/>
        <w:t>Before considering any claims contained in a communication, the Committee on the Rights of Persons with Disabilities must decide, in accordance with article 2 of the Optional Protocol and rule 65 of the Committee’s rules of procedure, whether or not it is admissible under the Optional Protocol.</w:t>
      </w:r>
    </w:p>
    <w:p w:rsidR="00F85F17" w:rsidRPr="00C7088F" w:rsidRDefault="00F85F17" w:rsidP="00A25B89">
      <w:pPr>
        <w:pStyle w:val="SingleTxtG"/>
      </w:pPr>
      <w:r w:rsidRPr="002230FC">
        <w:t>7.2</w:t>
      </w:r>
      <w:r w:rsidRPr="002230FC">
        <w:tab/>
        <w:t xml:space="preserve">The Committee has ascertained, as required under article 2 (c) of the Optional Protocol, that the same matter has not already been examined by the Committee </w:t>
      </w:r>
      <w:r w:rsidRPr="00A25B89">
        <w:t>or</w:t>
      </w:r>
      <w:r w:rsidRPr="002230FC">
        <w:t xml:space="preserve"> has been or is being examined under another procedure of </w:t>
      </w:r>
      <w:r w:rsidRPr="00C7088F">
        <w:t>international investigation or settlement.</w:t>
      </w:r>
    </w:p>
    <w:p w:rsidR="00F85F17" w:rsidRDefault="00F85F17" w:rsidP="00A25B89">
      <w:pPr>
        <w:pStyle w:val="SingleTxtG"/>
      </w:pPr>
      <w:r w:rsidRPr="00C7088F">
        <w:t>7.3</w:t>
      </w:r>
      <w:r w:rsidRPr="00C7088F">
        <w:tab/>
        <w:t>The Committee notes the State party</w:t>
      </w:r>
      <w:r>
        <w:t xml:space="preserve"> submits four sets of arguments related to the admissibility of the author’s </w:t>
      </w:r>
      <w:r w:rsidRPr="00A25B89">
        <w:t>claims</w:t>
      </w:r>
      <w:r>
        <w:t xml:space="preserve"> under articles 1 and 2(e), (d), and (f) of the Optional Protocol, that it will examine separately. </w:t>
      </w:r>
    </w:p>
    <w:p w:rsidR="00F85F17" w:rsidRPr="00C7088F" w:rsidRDefault="00F85F17" w:rsidP="00A25B89">
      <w:pPr>
        <w:pStyle w:val="SingleTxtG"/>
      </w:pPr>
      <w:r>
        <w:lastRenderedPageBreak/>
        <w:t>7.4</w:t>
      </w:r>
      <w:r>
        <w:tab/>
      </w:r>
      <w:r w:rsidR="00F92E89">
        <w:t>Firstly</w:t>
      </w:r>
      <w:r>
        <w:t xml:space="preserve">, the Committee notes </w:t>
      </w:r>
      <w:r w:rsidR="0059492B">
        <w:t>that</w:t>
      </w:r>
      <w:r>
        <w:t xml:space="preserve"> according to the State party,</w:t>
      </w:r>
      <w:r w:rsidRPr="00C7088F">
        <w:t xml:space="preserve"> the author’s claims relating to the </w:t>
      </w:r>
      <w:r>
        <w:t>events</w:t>
      </w:r>
      <w:r w:rsidRPr="00C7088F">
        <w:t xml:space="preserve"> </w:t>
      </w:r>
      <w:r w:rsidRPr="00A25B89">
        <w:t>occurring</w:t>
      </w:r>
      <w:r w:rsidRPr="00C7088F">
        <w:t xml:space="preserve"> before the entry into force of the Optional Protocol </w:t>
      </w:r>
      <w:r>
        <w:t>should be held</w:t>
      </w:r>
      <w:r w:rsidRPr="00C7088F">
        <w:t xml:space="preserve"> inadmissible </w:t>
      </w:r>
      <w:proofErr w:type="spellStart"/>
      <w:r w:rsidRPr="00C7088F">
        <w:t>ratione</w:t>
      </w:r>
      <w:proofErr w:type="spellEnd"/>
      <w:r w:rsidRPr="00C7088F">
        <w:t xml:space="preserve"> </w:t>
      </w:r>
      <w:proofErr w:type="spellStart"/>
      <w:r w:rsidRPr="00C7088F">
        <w:t>temporis</w:t>
      </w:r>
      <w:proofErr w:type="spellEnd"/>
      <w:r w:rsidRPr="00C7088F">
        <w:t>. The Committee also notes the author’s argument that some of the facts which occurred before</w:t>
      </w:r>
      <w:r>
        <w:t xml:space="preserve"> the entry into force of the Optional Protocol </w:t>
      </w:r>
      <w:r w:rsidRPr="00C7088F">
        <w:t>fall within the competence of the Committee in so far as they constitute a continuing violation. The Committee recalls that under article 2 (f) of the Optional Protocol, the Committee shall consider a communication inadmissible when “the facts that are the subject of the communication occurred prior to the entry into force of the Optional Protocol for the State Party concerned unless those facts continued after that date”. The Committee further recalls that a continuing violation is to be interpreted as an affirmation, after the entry into force of the Optional Protocol, by act or by clear implication, of the previous violations.</w:t>
      </w:r>
      <w:r w:rsidR="00A25B89">
        <w:rPr>
          <w:rStyle w:val="FootnoteReference"/>
        </w:rPr>
        <w:footnoteReference w:id="44"/>
      </w:r>
      <w:r w:rsidRPr="00C7088F">
        <w:t xml:space="preserve"> </w:t>
      </w:r>
    </w:p>
    <w:p w:rsidR="00F85F17" w:rsidRDefault="00F85F17" w:rsidP="00A25B89">
      <w:pPr>
        <w:pStyle w:val="SingleTxtG"/>
      </w:pPr>
      <w:r>
        <w:t>7.5</w:t>
      </w:r>
      <w:r>
        <w:tab/>
      </w:r>
      <w:r w:rsidRPr="00C7088F">
        <w:t xml:space="preserve">In the present case, the Optional Protocol entered into force for the State party on 19 September 2009. The Committee notes that the author was first </w:t>
      </w:r>
      <w:r w:rsidRPr="00C7088F">
        <w:rPr>
          <w:lang w:eastAsia="en-GB"/>
        </w:rPr>
        <w:t xml:space="preserve">detained in October 2001 on the account of the charges of sexual </w:t>
      </w:r>
      <w:r w:rsidRPr="00C7088F">
        <w:rPr>
          <w:color w:val="000000"/>
          <w:lang w:eastAsia="en-GB"/>
        </w:rPr>
        <w:t>assault offences</w:t>
      </w:r>
      <w:r w:rsidRPr="00C7088F">
        <w:rPr>
          <w:lang w:eastAsia="en-GB"/>
        </w:rPr>
        <w:t xml:space="preserve">. From 2002, the author was maintained in custody during the assessment of his </w:t>
      </w:r>
      <w:r w:rsidRPr="00A25B89">
        <w:t>intellectual</w:t>
      </w:r>
      <w:r w:rsidRPr="00C7088F">
        <w:rPr>
          <w:lang w:eastAsia="en-GB"/>
        </w:rPr>
        <w:t xml:space="preserve"> impairment, which lasted until March 2003, when the District Court of Western Australia found that the author was unfit to plead and was made subject to a custody order. </w:t>
      </w:r>
      <w:r w:rsidRPr="00C7088F">
        <w:t xml:space="preserve">After that date and until January 2012, the author </w:t>
      </w:r>
      <w:r>
        <w:t>remained</w:t>
      </w:r>
      <w:r w:rsidRPr="00C7088F">
        <w:t xml:space="preserve"> detained. The author’s detention therefore clearly continued after the entry into force of the Optional </w:t>
      </w:r>
      <w:r>
        <w:t>P</w:t>
      </w:r>
      <w:r w:rsidRPr="00C7088F">
        <w:t>rotocol for the State party, and</w:t>
      </w:r>
      <w:r>
        <w:t xml:space="preserve"> the related author’s claim under article 14(1</w:t>
      </w:r>
      <w:proofErr w:type="gramStart"/>
      <w:r>
        <w:t>)(</w:t>
      </w:r>
      <w:proofErr w:type="gramEnd"/>
      <w:r>
        <w:t xml:space="preserve">b) </w:t>
      </w:r>
      <w:r w:rsidRPr="00C7088F">
        <w:t>enters within the competenc</w:t>
      </w:r>
      <w:r>
        <w:t>e</w:t>
      </w:r>
      <w:r w:rsidRPr="00C7088F">
        <w:t xml:space="preserve"> </w:t>
      </w:r>
      <w:proofErr w:type="spellStart"/>
      <w:r w:rsidRPr="00C7088F">
        <w:t>ratione</w:t>
      </w:r>
      <w:proofErr w:type="spellEnd"/>
      <w:r w:rsidRPr="00C7088F">
        <w:t xml:space="preserve"> </w:t>
      </w:r>
      <w:proofErr w:type="spellStart"/>
      <w:r w:rsidRPr="00C7088F">
        <w:t>temporis</w:t>
      </w:r>
      <w:proofErr w:type="spellEnd"/>
      <w:r w:rsidRPr="00C7088F">
        <w:t xml:space="preserve"> of the Committee. </w:t>
      </w:r>
    </w:p>
    <w:p w:rsidR="00F85F17" w:rsidRDefault="00F85F17" w:rsidP="00A25B89">
      <w:pPr>
        <w:pStyle w:val="SingleTxtG"/>
      </w:pPr>
      <w:r>
        <w:t>7.6</w:t>
      </w:r>
      <w:r w:rsidRPr="00C7088F">
        <w:tab/>
        <w:t>As regards the</w:t>
      </w:r>
      <w:r>
        <w:t xml:space="preserve"> Committee’s competence </w:t>
      </w:r>
      <w:proofErr w:type="spellStart"/>
      <w:r>
        <w:t>ratione</w:t>
      </w:r>
      <w:proofErr w:type="spellEnd"/>
      <w:r>
        <w:t xml:space="preserve"> </w:t>
      </w:r>
      <w:proofErr w:type="spellStart"/>
      <w:r>
        <w:t>temporis</w:t>
      </w:r>
      <w:proofErr w:type="spellEnd"/>
      <w:r>
        <w:t xml:space="preserve"> to examine</w:t>
      </w:r>
      <w:r w:rsidR="00DD3CD6">
        <w:t xml:space="preserve"> the</w:t>
      </w:r>
      <w:r w:rsidRPr="00C7088F">
        <w:t xml:space="preserve"> author’s allegations </w:t>
      </w:r>
      <w:r>
        <w:t>under articles 12 and 13 in relation to the consequences of the declaration that he was</w:t>
      </w:r>
      <w:r w:rsidRPr="00C7088F">
        <w:t xml:space="preserve"> unfit to plead, the Committee notes that the District court of Western Australia first adopted this decision in March 2003. </w:t>
      </w:r>
      <w:r w:rsidR="00F92E89">
        <w:t>The Committee also notes that</w:t>
      </w:r>
      <w:r w:rsidR="00F92E89" w:rsidRPr="00E51EB0">
        <w:t xml:space="preserve"> this decision was reiterated de facto by the authorities of the State party, including through the decision of the District Court of Western Australia of 5 November 2010</w:t>
      </w:r>
      <w:r w:rsidR="00F92E89">
        <w:t>:</w:t>
      </w:r>
      <w:r w:rsidR="00F92E89" w:rsidRPr="00E51EB0">
        <w:t xml:space="preserve"> while the Court dismissed the application of the author’s legal representative for an order that he was fit to plead not on the merits, but on lacking jurisdiction, it left no option for the author to exercise his legal capacity before the courts. The author has therefore continued to be deprived of the opportunity to plead not guilty and to have the evidence against him tested after the entry into force of the Optional Protocol for the State party. In view thereof, the Committee concludes that it is competent </w:t>
      </w:r>
      <w:proofErr w:type="spellStart"/>
      <w:r w:rsidR="00F92E89" w:rsidRPr="00E51EB0">
        <w:t>ratione</w:t>
      </w:r>
      <w:proofErr w:type="spellEnd"/>
      <w:r w:rsidR="00F92E89" w:rsidRPr="00E51EB0">
        <w:t xml:space="preserve"> </w:t>
      </w:r>
      <w:proofErr w:type="spellStart"/>
      <w:r w:rsidR="00F92E89" w:rsidRPr="00E51EB0">
        <w:t>temporis</w:t>
      </w:r>
      <w:proofErr w:type="spellEnd"/>
      <w:r w:rsidR="00F92E89" w:rsidRPr="00E51EB0">
        <w:t xml:space="preserve"> to consider this part of the communication.</w:t>
      </w:r>
    </w:p>
    <w:p w:rsidR="00F85F17" w:rsidRDefault="00F85F17" w:rsidP="00A25B89">
      <w:pPr>
        <w:pStyle w:val="SingleTxtG"/>
      </w:pPr>
      <w:r>
        <w:rPr>
          <w:color w:val="000000"/>
          <w:lang w:eastAsia="en-GB"/>
        </w:rPr>
        <w:t>7.7</w:t>
      </w:r>
      <w:r>
        <w:rPr>
          <w:color w:val="000000"/>
          <w:lang w:eastAsia="en-GB"/>
        </w:rPr>
        <w:tab/>
      </w:r>
      <w:r w:rsidR="00777157">
        <w:rPr>
          <w:color w:val="000000"/>
          <w:lang w:eastAsia="en-GB"/>
        </w:rPr>
        <w:t>Secondly</w:t>
      </w:r>
      <w:r>
        <w:rPr>
          <w:color w:val="000000"/>
          <w:lang w:eastAsia="en-GB"/>
        </w:rPr>
        <w:t xml:space="preserve">, </w:t>
      </w:r>
      <w:r>
        <w:t>the Committee notes the State party</w:t>
      </w:r>
      <w:r w:rsidRPr="00C7088F">
        <w:t>’s argument</w:t>
      </w:r>
      <w:r>
        <w:t>s related to the lack of exhaustion of domestic remedies. In this regard, t</w:t>
      </w:r>
      <w:r>
        <w:rPr>
          <w:color w:val="000000"/>
          <w:lang w:eastAsia="en-GB"/>
        </w:rPr>
        <w:t xml:space="preserve">he Committee first </w:t>
      </w:r>
      <w:r>
        <w:t xml:space="preserve">notes that according to the State party, the author’s allegations related to the fact that he was not able to exercise his legal capacity (article 12(2)-(3)), and that </w:t>
      </w:r>
      <w:r w:rsidR="00632048">
        <w:t xml:space="preserve">he </w:t>
      </w:r>
      <w:r>
        <w:t>did not have access to justice (article 13(1)) should be held inadmissible because</w:t>
      </w:r>
      <w:r w:rsidRPr="002230FC">
        <w:rPr>
          <w:color w:val="000000"/>
          <w:lang w:eastAsia="en-GB"/>
        </w:rPr>
        <w:t xml:space="preserve"> the author could have appealed the District Court’s decision</w:t>
      </w:r>
      <w:r>
        <w:rPr>
          <w:color w:val="000000"/>
          <w:lang w:eastAsia="en-GB"/>
        </w:rPr>
        <w:t xml:space="preserve"> of </w:t>
      </w:r>
      <w:r w:rsidRPr="002230FC">
        <w:t>5 November 201</w:t>
      </w:r>
      <w:r>
        <w:t>0</w:t>
      </w:r>
      <w:r w:rsidRPr="002230FC">
        <w:rPr>
          <w:color w:val="000000"/>
          <w:lang w:eastAsia="en-GB"/>
        </w:rPr>
        <w:t xml:space="preserve"> to the Western Australian Court of Appeal</w:t>
      </w:r>
      <w:r>
        <w:rPr>
          <w:color w:val="000000"/>
          <w:lang w:eastAsia="en-GB"/>
        </w:rPr>
        <w:t>, but did not do so</w:t>
      </w:r>
      <w:r w:rsidRPr="002230FC">
        <w:rPr>
          <w:color w:val="000000"/>
          <w:lang w:eastAsia="en-GB"/>
        </w:rPr>
        <w:t xml:space="preserve">. </w:t>
      </w:r>
      <w:r>
        <w:rPr>
          <w:color w:val="000000"/>
          <w:lang w:eastAsia="en-GB"/>
        </w:rPr>
        <w:t>The Committee</w:t>
      </w:r>
      <w:r w:rsidRPr="002230FC">
        <w:rPr>
          <w:color w:val="000000"/>
          <w:lang w:eastAsia="en-GB"/>
        </w:rPr>
        <w:t xml:space="preserve"> also notes the author’s argument that for his appeal to </w:t>
      </w:r>
      <w:r w:rsidRPr="00A25B89">
        <w:t>have</w:t>
      </w:r>
      <w:r w:rsidRPr="002230FC">
        <w:rPr>
          <w:color w:val="000000"/>
          <w:lang w:eastAsia="en-GB"/>
        </w:rPr>
        <w:t xml:space="preserve"> any chance of success, he </w:t>
      </w:r>
      <w:r>
        <w:rPr>
          <w:color w:val="000000"/>
          <w:lang w:eastAsia="en-GB"/>
        </w:rPr>
        <w:t>should have demonstrated</w:t>
      </w:r>
      <w:r w:rsidRPr="002230FC">
        <w:rPr>
          <w:color w:val="000000"/>
          <w:lang w:eastAsia="en-GB"/>
        </w:rPr>
        <w:t xml:space="preserve"> that the District Court’s decision was in error, while it was </w:t>
      </w:r>
      <w:r>
        <w:rPr>
          <w:color w:val="000000"/>
          <w:lang w:eastAsia="en-GB"/>
        </w:rPr>
        <w:t xml:space="preserve">adopted in compliance </w:t>
      </w:r>
      <w:r w:rsidRPr="002230FC">
        <w:rPr>
          <w:color w:val="000000"/>
          <w:lang w:eastAsia="en-GB"/>
        </w:rPr>
        <w:t xml:space="preserve">with the MID Act. </w:t>
      </w:r>
      <w:r>
        <w:rPr>
          <w:color w:val="000000"/>
          <w:lang w:eastAsia="en-GB"/>
        </w:rPr>
        <w:t>T</w:t>
      </w:r>
      <w:r w:rsidRPr="002230FC">
        <w:rPr>
          <w:color w:val="000000"/>
          <w:lang w:eastAsia="en-GB"/>
        </w:rPr>
        <w:t>he Committee recalls that domestic remedies need not be exhausted if they objectively have no prospect of success.</w:t>
      </w:r>
      <w:r w:rsidR="00A25B89">
        <w:rPr>
          <w:rStyle w:val="FootnoteReference"/>
          <w:color w:val="000000"/>
          <w:lang w:eastAsia="en-GB"/>
        </w:rPr>
        <w:footnoteReference w:id="45"/>
      </w:r>
      <w:r>
        <w:rPr>
          <w:color w:val="000000"/>
          <w:lang w:eastAsia="en-GB"/>
        </w:rPr>
        <w:t xml:space="preserve"> </w:t>
      </w:r>
      <w:r w:rsidRPr="002230FC">
        <w:rPr>
          <w:color w:val="000000"/>
          <w:lang w:eastAsia="en-GB"/>
        </w:rPr>
        <w:t xml:space="preserve">Taking into account the clear wording of the sections of the MID Act in question, the Committee concludes that </w:t>
      </w:r>
      <w:r>
        <w:rPr>
          <w:color w:val="000000"/>
          <w:lang w:eastAsia="en-GB"/>
        </w:rPr>
        <w:t>no additional</w:t>
      </w:r>
      <w:r w:rsidRPr="002230FC">
        <w:rPr>
          <w:color w:val="000000"/>
          <w:lang w:eastAsia="en-GB"/>
        </w:rPr>
        <w:t xml:space="preserve"> effective remedies </w:t>
      </w:r>
      <w:r>
        <w:rPr>
          <w:color w:val="000000"/>
          <w:lang w:eastAsia="en-GB"/>
        </w:rPr>
        <w:t xml:space="preserve">were available for the author </w:t>
      </w:r>
      <w:r>
        <w:rPr>
          <w:color w:val="000000"/>
          <w:lang w:eastAsia="en-GB"/>
        </w:rPr>
        <w:lastRenderedPageBreak/>
        <w:t>and</w:t>
      </w:r>
      <w:r>
        <w:t xml:space="preserve"> that the author’s claims under articles 12(2)-(3) and 13(1) are admissible</w:t>
      </w:r>
      <w:r w:rsidR="00777157" w:rsidRPr="00777157">
        <w:t xml:space="preserve"> </w:t>
      </w:r>
      <w:r w:rsidR="00777157">
        <w:t>under article 2(d) of the Optional Protocol</w:t>
      </w:r>
      <w:r>
        <w:t>.</w:t>
      </w:r>
    </w:p>
    <w:p w:rsidR="00F85F17" w:rsidRDefault="00F85F17" w:rsidP="00A25B89">
      <w:pPr>
        <w:pStyle w:val="SingleTxtG"/>
        <w:rPr>
          <w:lang w:eastAsia="en-GB"/>
        </w:rPr>
      </w:pPr>
      <w:r>
        <w:rPr>
          <w:lang w:eastAsia="en-GB"/>
        </w:rPr>
        <w:t>7.8</w:t>
      </w:r>
      <w:r>
        <w:rPr>
          <w:lang w:eastAsia="en-GB"/>
        </w:rPr>
        <w:tab/>
        <w:t xml:space="preserve">The </w:t>
      </w:r>
      <w:r w:rsidRPr="009727BB">
        <w:rPr>
          <w:lang w:eastAsia="en-GB"/>
        </w:rPr>
        <w:t xml:space="preserve">Committee then notes the State party’s argument that the author’s claim under article 14(2) related to his conditions of detention should be held inadmissible in so far as he </w:t>
      </w:r>
      <w:r w:rsidRPr="009727BB">
        <w:t xml:space="preserve">failed to exhaust domestic remedies that could </w:t>
      </w:r>
      <w:r>
        <w:t xml:space="preserve">have </w:t>
      </w:r>
      <w:r w:rsidRPr="009727BB">
        <w:t>result</w:t>
      </w:r>
      <w:r>
        <w:t>ed</w:t>
      </w:r>
      <w:r w:rsidRPr="009727BB">
        <w:t xml:space="preserve"> in an alteration of the conditions to which he objects. The Committee further notes that the author does not contest this statement and that the information </w:t>
      </w:r>
      <w:r w:rsidRPr="00A25B89">
        <w:t>provided</w:t>
      </w:r>
      <w:r w:rsidRPr="009727BB">
        <w:t xml:space="preserve"> does not reflect</w:t>
      </w:r>
      <w:r>
        <w:t xml:space="preserve"> that he has submitted any complaint to the competent national jurisdictions to that regard. The Committee therefore concludes that this part of the author’s communication is inadmissible under article 2(f) of the Optional Protocol. </w:t>
      </w:r>
    </w:p>
    <w:p w:rsidR="00F85F17" w:rsidRDefault="00F85F17" w:rsidP="00A25B89">
      <w:pPr>
        <w:pStyle w:val="SingleTxtG"/>
        <w:rPr>
          <w:lang w:eastAsia="en-GB"/>
        </w:rPr>
      </w:pPr>
      <w:r>
        <w:rPr>
          <w:lang w:eastAsia="en-GB"/>
        </w:rPr>
        <w:t>7.9</w:t>
      </w:r>
      <w:r>
        <w:rPr>
          <w:lang w:eastAsia="en-GB"/>
        </w:rPr>
        <w:tab/>
      </w:r>
      <w:r w:rsidR="00D735F2">
        <w:rPr>
          <w:lang w:eastAsia="en-GB"/>
        </w:rPr>
        <w:t>Thirdly</w:t>
      </w:r>
      <w:r>
        <w:rPr>
          <w:lang w:eastAsia="en-GB"/>
        </w:rPr>
        <w:t xml:space="preserve">, the Committee notes State party’s submission that part of the author’s allegations should be held inadmissible under article 1 of the Optional Protocol. In this regard, the Committee notes the State party’s argument that </w:t>
      </w:r>
      <w:r w:rsidRPr="002230FC">
        <w:rPr>
          <w:lang w:eastAsia="en-GB"/>
        </w:rPr>
        <w:t xml:space="preserve">the author’s allegation </w:t>
      </w:r>
      <w:r>
        <w:rPr>
          <w:lang w:eastAsia="en-GB"/>
        </w:rPr>
        <w:t>according to which</w:t>
      </w:r>
      <w:r w:rsidRPr="002230FC">
        <w:rPr>
          <w:lang w:eastAsia="en-GB"/>
        </w:rPr>
        <w:t xml:space="preserve"> the MID Act violates article 5 of the Convention</w:t>
      </w:r>
      <w:r>
        <w:t xml:space="preserve"> should be held inadmissible because it relates to the general legal framework </w:t>
      </w:r>
      <w:r>
        <w:rPr>
          <w:lang w:eastAsia="en-GB"/>
        </w:rPr>
        <w:t>and should therefore</w:t>
      </w:r>
      <w:r w:rsidRPr="002230FC">
        <w:rPr>
          <w:lang w:eastAsia="en-GB"/>
        </w:rPr>
        <w:t xml:space="preserve"> be undertaken through a</w:t>
      </w:r>
      <w:r>
        <w:rPr>
          <w:lang w:eastAsia="en-GB"/>
        </w:rPr>
        <w:t xml:space="preserve"> general comment</w:t>
      </w:r>
      <w:r w:rsidRPr="002230FC">
        <w:rPr>
          <w:lang w:eastAsia="en-GB"/>
        </w:rPr>
        <w:t xml:space="preserve"> or in its consideration of State parties’ reports. The Committee recalls that</w:t>
      </w:r>
      <w:r>
        <w:rPr>
          <w:lang w:eastAsia="en-GB"/>
        </w:rPr>
        <w:t xml:space="preserve"> an individual complaint</w:t>
      </w:r>
      <w:r w:rsidRPr="002230FC">
        <w:rPr>
          <w:lang w:eastAsia="en-GB"/>
        </w:rPr>
        <w:t xml:space="preserve"> may not contest a law or </w:t>
      </w:r>
      <w:r w:rsidRPr="00D97005">
        <w:rPr>
          <w:lang w:eastAsia="en-GB"/>
        </w:rPr>
        <w:t xml:space="preserve">practice in theoretical terms by </w:t>
      </w:r>
      <w:proofErr w:type="spellStart"/>
      <w:r w:rsidRPr="00D97005">
        <w:rPr>
          <w:lang w:eastAsia="en-GB"/>
        </w:rPr>
        <w:t>actio</w:t>
      </w:r>
      <w:proofErr w:type="spellEnd"/>
      <w:r w:rsidRPr="00D97005">
        <w:rPr>
          <w:lang w:eastAsia="en-GB"/>
        </w:rPr>
        <w:t xml:space="preserve"> </w:t>
      </w:r>
      <w:proofErr w:type="spellStart"/>
      <w:r w:rsidRPr="00D97005">
        <w:rPr>
          <w:lang w:eastAsia="en-GB"/>
        </w:rPr>
        <w:t>popularis</w:t>
      </w:r>
      <w:proofErr w:type="spellEnd"/>
      <w:r w:rsidRPr="00D97005">
        <w:rPr>
          <w:lang w:eastAsia="en-GB"/>
        </w:rPr>
        <w:t>.</w:t>
      </w:r>
      <w:r w:rsidR="00A25B89">
        <w:rPr>
          <w:rStyle w:val="FootnoteReference"/>
          <w:lang w:eastAsia="en-GB"/>
        </w:rPr>
        <w:footnoteReference w:id="46"/>
      </w:r>
      <w:r w:rsidRPr="00D97005">
        <w:rPr>
          <w:lang w:eastAsia="en-GB"/>
        </w:rPr>
        <w:t xml:space="preserve"> However, in the present case, the Committee finds that the author has sufficiently substantiated that the MID Act has had a direct impact on the enjoyment of his rights </w:t>
      </w:r>
      <w:r>
        <w:rPr>
          <w:lang w:eastAsia="en-GB"/>
        </w:rPr>
        <w:t xml:space="preserve">and therefore considers </w:t>
      </w:r>
      <w:r w:rsidRPr="00D97005">
        <w:rPr>
          <w:lang w:eastAsia="en-GB"/>
        </w:rPr>
        <w:t xml:space="preserve">his claim </w:t>
      </w:r>
      <w:r>
        <w:rPr>
          <w:lang w:eastAsia="en-GB"/>
        </w:rPr>
        <w:t xml:space="preserve">under article 5(1) of the Convention </w:t>
      </w:r>
      <w:r w:rsidRPr="00D97005">
        <w:rPr>
          <w:lang w:eastAsia="en-GB"/>
        </w:rPr>
        <w:t>admissible.</w:t>
      </w:r>
    </w:p>
    <w:p w:rsidR="00F85F17" w:rsidRPr="002230FC" w:rsidRDefault="00F85F17" w:rsidP="00A25B89">
      <w:pPr>
        <w:pStyle w:val="SingleTxtG"/>
      </w:pPr>
      <w:r>
        <w:rPr>
          <w:lang w:eastAsia="en-GB"/>
        </w:rPr>
        <w:t>7.10</w:t>
      </w:r>
      <w:r>
        <w:rPr>
          <w:lang w:eastAsia="en-GB"/>
        </w:rPr>
        <w:tab/>
      </w:r>
      <w:r w:rsidR="00D735F2">
        <w:rPr>
          <w:lang w:eastAsia="en-GB"/>
        </w:rPr>
        <w:t>Fourthly</w:t>
      </w:r>
      <w:r>
        <w:rPr>
          <w:lang w:eastAsia="en-GB"/>
        </w:rPr>
        <w:t xml:space="preserve">, the Committee notes the State party’s argument that some of the author’s allegations should be held inadmissible for lack of substantiation and lack of merits under article 2(e) of the Optional Protocol. </w:t>
      </w:r>
      <w:r w:rsidR="001C0016">
        <w:rPr>
          <w:lang w:eastAsia="en-GB"/>
        </w:rPr>
        <w:t>T</w:t>
      </w:r>
      <w:r w:rsidRPr="002230FC">
        <w:t xml:space="preserve">he Committee </w:t>
      </w:r>
      <w:r>
        <w:rPr>
          <w:lang w:eastAsia="en-GB"/>
        </w:rPr>
        <w:t>notes</w:t>
      </w:r>
      <w:r w:rsidRPr="002230FC">
        <w:rPr>
          <w:lang w:eastAsia="en-GB"/>
        </w:rPr>
        <w:t xml:space="preserve"> the</w:t>
      </w:r>
      <w:r>
        <w:rPr>
          <w:lang w:eastAsia="en-GB"/>
        </w:rPr>
        <w:t xml:space="preserve"> State party’s argument that the</w:t>
      </w:r>
      <w:r w:rsidRPr="002230FC">
        <w:rPr>
          <w:lang w:eastAsia="en-GB"/>
        </w:rPr>
        <w:t xml:space="preserve"> author</w:t>
      </w:r>
      <w:r>
        <w:rPr>
          <w:lang w:eastAsia="en-GB"/>
        </w:rPr>
        <w:t>’s</w:t>
      </w:r>
      <w:r w:rsidRPr="002230FC">
        <w:rPr>
          <w:lang w:eastAsia="en-GB"/>
        </w:rPr>
        <w:t xml:space="preserve"> </w:t>
      </w:r>
      <w:proofErr w:type="gramStart"/>
      <w:r w:rsidRPr="002230FC">
        <w:rPr>
          <w:lang w:eastAsia="en-GB"/>
        </w:rPr>
        <w:t>claim</w:t>
      </w:r>
      <w:r>
        <w:rPr>
          <w:lang w:eastAsia="en-GB"/>
        </w:rPr>
        <w:t xml:space="preserve"> related to the alleged</w:t>
      </w:r>
      <w:r w:rsidRPr="002230FC">
        <w:rPr>
          <w:lang w:eastAsia="en-GB"/>
        </w:rPr>
        <w:t xml:space="preserve"> violation of his rights under article 15 of the </w:t>
      </w:r>
      <w:r w:rsidRPr="00C7088F">
        <w:rPr>
          <w:lang w:eastAsia="en-GB"/>
        </w:rPr>
        <w:t>Convention</w:t>
      </w:r>
      <w:r>
        <w:rPr>
          <w:lang w:eastAsia="en-GB"/>
        </w:rPr>
        <w:t xml:space="preserve"> are</w:t>
      </w:r>
      <w:proofErr w:type="gramEnd"/>
      <w:r>
        <w:rPr>
          <w:lang w:eastAsia="en-GB"/>
        </w:rPr>
        <w:t xml:space="preserve"> not substantiated. </w:t>
      </w:r>
      <w:r w:rsidR="007C7FA7">
        <w:rPr>
          <w:lang w:eastAsia="en-GB"/>
        </w:rPr>
        <w:t>T</w:t>
      </w:r>
      <w:r>
        <w:rPr>
          <w:lang w:eastAsia="en-GB"/>
        </w:rPr>
        <w:t xml:space="preserve">he Committee </w:t>
      </w:r>
      <w:r w:rsidR="007C7FA7">
        <w:rPr>
          <w:lang w:eastAsia="en-GB"/>
        </w:rPr>
        <w:t xml:space="preserve">also </w:t>
      </w:r>
      <w:r>
        <w:rPr>
          <w:lang w:eastAsia="en-GB"/>
        </w:rPr>
        <w:t xml:space="preserve">notes the author’s submission </w:t>
      </w:r>
      <w:r w:rsidR="001C0016">
        <w:rPr>
          <w:lang w:eastAsia="en-GB"/>
        </w:rPr>
        <w:t xml:space="preserve">that his detention during more than 10 years amounted to inhuman and degrading treatment. In this connection, he submits that, under the MID Act, his detention was deemed indefinite; that </w:t>
      </w:r>
      <w:r w:rsidR="001C0016" w:rsidRPr="00C7088F">
        <w:rPr>
          <w:lang w:eastAsia="en-GB"/>
        </w:rPr>
        <w:t xml:space="preserve">while </w:t>
      </w:r>
      <w:r w:rsidR="001C0016" w:rsidRPr="00C7088F">
        <w:t>he was in prison, he was at significant risk of harm from other prisoners who subjected him to “frequent incidents of violence and abuse”</w:t>
      </w:r>
      <w:r w:rsidR="001C0016">
        <w:t xml:space="preserve">; </w:t>
      </w:r>
      <w:r w:rsidR="001C0016" w:rsidRPr="00F263CA">
        <w:t>that the assaults he faced were serious</w:t>
      </w:r>
      <w:r w:rsidR="001C0016">
        <w:t xml:space="preserve">; </w:t>
      </w:r>
      <w:r w:rsidR="001C0016" w:rsidRPr="00F263CA">
        <w:t xml:space="preserve">that because of their frequency, </w:t>
      </w:r>
      <w:r w:rsidR="001C0016">
        <w:t>they</w:t>
      </w:r>
      <w:r w:rsidR="001C0016" w:rsidRPr="00F263CA">
        <w:t xml:space="preserve"> made him more </w:t>
      </w:r>
      <w:r w:rsidR="001C0016" w:rsidRPr="00C328DD">
        <w:t>vulnerable</w:t>
      </w:r>
      <w:r w:rsidR="001C0016">
        <w:t>; and that</w:t>
      </w:r>
      <w:r w:rsidR="001C0016" w:rsidRPr="00F263CA">
        <w:t xml:space="preserve"> his disability prevented him from protecting himself</w:t>
      </w:r>
      <w:r w:rsidR="001C0016">
        <w:t xml:space="preserve">. </w:t>
      </w:r>
      <w:proofErr w:type="gramStart"/>
      <w:r w:rsidR="001C0016">
        <w:t>The Committee further notes that, according to the author, these offenses remained un</w:t>
      </w:r>
      <w:r w:rsidR="001C0016" w:rsidRPr="00F263CA">
        <w:t>recorded by prison authorities</w:t>
      </w:r>
      <w:r>
        <w:t>.</w:t>
      </w:r>
      <w:proofErr w:type="gramEnd"/>
      <w:r>
        <w:t xml:space="preserve"> </w:t>
      </w:r>
      <w:r w:rsidR="003735EF">
        <w:t>In view thereof</w:t>
      </w:r>
      <w:r w:rsidR="00A0575A">
        <w:t xml:space="preserve"> and taking into account the specific circumstances of the case</w:t>
      </w:r>
      <w:r w:rsidR="007C7FA7">
        <w:t>, the Committee considers that the author</w:t>
      </w:r>
      <w:r w:rsidR="003735EF">
        <w:t xml:space="preserve"> sufficiently substantiated his</w:t>
      </w:r>
      <w:r w:rsidR="007C7FA7">
        <w:t xml:space="preserve"> allegations</w:t>
      </w:r>
      <w:r w:rsidR="0012785E" w:rsidRPr="0012785E">
        <w:rPr>
          <w:lang w:eastAsia="en-GB"/>
        </w:rPr>
        <w:t xml:space="preserve"> </w:t>
      </w:r>
      <w:r w:rsidR="0012785E">
        <w:rPr>
          <w:lang w:eastAsia="en-GB"/>
        </w:rPr>
        <w:t>under article 15</w:t>
      </w:r>
      <w:r w:rsidR="003735EF">
        <w:t xml:space="preserve"> for the purpose of admissibility</w:t>
      </w:r>
      <w:r>
        <w:t xml:space="preserve"> </w:t>
      </w:r>
      <w:r w:rsidR="0012785E">
        <w:rPr>
          <w:lang w:eastAsia="en-GB"/>
        </w:rPr>
        <w:t xml:space="preserve">and concludes that they </w:t>
      </w:r>
      <w:r>
        <w:rPr>
          <w:lang w:eastAsia="en-GB"/>
        </w:rPr>
        <w:t>are</w:t>
      </w:r>
      <w:r w:rsidRPr="00C7088F">
        <w:rPr>
          <w:lang w:eastAsia="en-GB"/>
        </w:rPr>
        <w:t xml:space="preserve"> admissible under article 2</w:t>
      </w:r>
      <w:r>
        <w:rPr>
          <w:lang w:eastAsia="en-GB"/>
        </w:rPr>
        <w:t>(e)</w:t>
      </w:r>
      <w:r w:rsidRPr="00C7088F">
        <w:rPr>
          <w:lang w:eastAsia="en-GB"/>
        </w:rPr>
        <w:t xml:space="preserve"> of the Optional Protocol.</w:t>
      </w:r>
      <w:r w:rsidRPr="002230FC">
        <w:t xml:space="preserve"> </w:t>
      </w:r>
    </w:p>
    <w:p w:rsidR="00F85F17" w:rsidRPr="002230FC" w:rsidRDefault="00F85F17" w:rsidP="00A25B89">
      <w:pPr>
        <w:pStyle w:val="SingleTxtG"/>
        <w:rPr>
          <w:lang w:eastAsia="en-GB"/>
        </w:rPr>
      </w:pPr>
      <w:r w:rsidRPr="002230FC">
        <w:rPr>
          <w:lang w:eastAsia="en-GB"/>
        </w:rPr>
        <w:t>7.</w:t>
      </w:r>
      <w:r>
        <w:rPr>
          <w:lang w:eastAsia="en-GB"/>
        </w:rPr>
        <w:t>1</w:t>
      </w:r>
      <w:r w:rsidR="00BD44FD">
        <w:rPr>
          <w:lang w:eastAsia="en-GB"/>
        </w:rPr>
        <w:t>1</w:t>
      </w:r>
      <w:r w:rsidRPr="002230FC">
        <w:rPr>
          <w:lang w:eastAsia="en-GB"/>
        </w:rPr>
        <w:tab/>
        <w:t xml:space="preserve">Accordingly, and in the absence of other obstacles to </w:t>
      </w:r>
      <w:r>
        <w:rPr>
          <w:lang w:eastAsia="en-GB"/>
        </w:rPr>
        <w:t xml:space="preserve">the </w:t>
      </w:r>
      <w:r w:rsidRPr="002230FC">
        <w:rPr>
          <w:lang w:eastAsia="en-GB"/>
        </w:rPr>
        <w:t xml:space="preserve">admissibility, the Committee declares the </w:t>
      </w:r>
      <w:r w:rsidRPr="00A25B89">
        <w:t>communication</w:t>
      </w:r>
      <w:r w:rsidRPr="002230FC">
        <w:rPr>
          <w:lang w:eastAsia="en-GB"/>
        </w:rPr>
        <w:t xml:space="preserve"> admissible</w:t>
      </w:r>
      <w:r>
        <w:rPr>
          <w:lang w:eastAsia="en-GB"/>
        </w:rPr>
        <w:t xml:space="preserve"> as far as it concerns </w:t>
      </w:r>
      <w:r w:rsidR="00463283" w:rsidRPr="003177FE">
        <w:rPr>
          <w:lang w:eastAsia="en-GB"/>
        </w:rPr>
        <w:t>the author’s claims under articles 5(1) and (2), 12(2) and (3), 13(1), 14(1)(b), and 15</w:t>
      </w:r>
      <w:r>
        <w:rPr>
          <w:lang w:eastAsia="en-GB"/>
        </w:rPr>
        <w:t xml:space="preserve">. The Committee therefore </w:t>
      </w:r>
      <w:r w:rsidRPr="002230FC">
        <w:rPr>
          <w:lang w:eastAsia="en-GB"/>
        </w:rPr>
        <w:t xml:space="preserve">proceeds to </w:t>
      </w:r>
      <w:r>
        <w:rPr>
          <w:lang w:eastAsia="en-GB"/>
        </w:rPr>
        <w:t>the</w:t>
      </w:r>
      <w:r w:rsidRPr="002230FC">
        <w:rPr>
          <w:lang w:eastAsia="en-GB"/>
        </w:rPr>
        <w:t xml:space="preserve"> consideration</w:t>
      </w:r>
      <w:r>
        <w:rPr>
          <w:lang w:eastAsia="en-GB"/>
        </w:rPr>
        <w:t xml:space="preserve"> of these allegations</w:t>
      </w:r>
      <w:r w:rsidRPr="002230FC">
        <w:rPr>
          <w:lang w:eastAsia="en-GB"/>
        </w:rPr>
        <w:t xml:space="preserve"> on the merits.</w:t>
      </w:r>
    </w:p>
    <w:p w:rsidR="00F85F17" w:rsidRDefault="00F85F17" w:rsidP="00D27732">
      <w:pPr>
        <w:pStyle w:val="H4G"/>
        <w:rPr>
          <w:lang w:eastAsia="en-GB"/>
        </w:rPr>
      </w:pPr>
      <w:r w:rsidRPr="001D5DEE">
        <w:rPr>
          <w:lang w:eastAsia="en-GB"/>
        </w:rPr>
        <w:tab/>
      </w:r>
      <w:r w:rsidRPr="001D5DEE">
        <w:rPr>
          <w:lang w:eastAsia="en-GB"/>
        </w:rPr>
        <w:tab/>
      </w:r>
      <w:r w:rsidRPr="00D27732">
        <w:t>Consideration</w:t>
      </w:r>
      <w:r w:rsidRPr="001D5DEE">
        <w:rPr>
          <w:lang w:eastAsia="en-GB"/>
        </w:rPr>
        <w:t xml:space="preserve"> of the merits</w:t>
      </w:r>
    </w:p>
    <w:p w:rsidR="00F85F17" w:rsidRPr="002230FC" w:rsidRDefault="00F85F17" w:rsidP="00D27732">
      <w:pPr>
        <w:pStyle w:val="SingleTxtG"/>
        <w:rPr>
          <w:lang w:eastAsia="en-GB"/>
        </w:rPr>
      </w:pPr>
      <w:r w:rsidRPr="002230FC">
        <w:rPr>
          <w:lang w:eastAsia="en-GB"/>
        </w:rPr>
        <w:t>8.1</w:t>
      </w:r>
      <w:r w:rsidRPr="002230FC">
        <w:rPr>
          <w:lang w:eastAsia="en-GB"/>
        </w:rPr>
        <w:tab/>
        <w:t>The Committee on the Rights of Persons with Disabilities has considered this communication in the light of all the information that it has received, in accordance with article 5 of the</w:t>
      </w:r>
      <w:r>
        <w:rPr>
          <w:lang w:eastAsia="en-GB"/>
        </w:rPr>
        <w:t xml:space="preserve"> Optional Protocol and rule 73(</w:t>
      </w:r>
      <w:r w:rsidRPr="002230FC">
        <w:rPr>
          <w:lang w:eastAsia="en-GB"/>
        </w:rPr>
        <w:t>1</w:t>
      </w:r>
      <w:r>
        <w:rPr>
          <w:lang w:eastAsia="en-GB"/>
        </w:rPr>
        <w:t>)</w:t>
      </w:r>
      <w:r w:rsidRPr="002230FC">
        <w:rPr>
          <w:lang w:eastAsia="en-GB"/>
        </w:rPr>
        <w:t>, of the Committee’s rules of procedure.</w:t>
      </w:r>
    </w:p>
    <w:p w:rsidR="00F85F17" w:rsidRDefault="00F85F17" w:rsidP="00D27732">
      <w:pPr>
        <w:pStyle w:val="SingleTxtG"/>
        <w:rPr>
          <w:color w:val="000000"/>
          <w:lang w:eastAsia="en-GB"/>
        </w:rPr>
      </w:pPr>
      <w:r w:rsidRPr="002230FC">
        <w:rPr>
          <w:color w:val="000000"/>
          <w:lang w:eastAsia="en-GB"/>
        </w:rPr>
        <w:lastRenderedPageBreak/>
        <w:t>8.2</w:t>
      </w:r>
      <w:r w:rsidRPr="002230FC">
        <w:rPr>
          <w:color w:val="000000"/>
          <w:lang w:eastAsia="en-GB"/>
        </w:rPr>
        <w:tab/>
      </w:r>
      <w:r>
        <w:rPr>
          <w:color w:val="000000"/>
          <w:lang w:eastAsia="en-GB"/>
        </w:rPr>
        <w:t>As regards the author’s complaint under article 5 of the Convention, the Committee notes his submission</w:t>
      </w:r>
      <w:r w:rsidRPr="002230FC">
        <w:t xml:space="preserve"> that the MID Act</w:t>
      </w:r>
      <w:r>
        <w:t xml:space="preserve"> is discriminatory as it</w:t>
      </w:r>
      <w:r w:rsidRPr="002230FC">
        <w:t xml:space="preserve"> only applies to persons with cognitive impairment, </w:t>
      </w:r>
      <w:r>
        <w:t xml:space="preserve">and </w:t>
      </w:r>
      <w:r w:rsidRPr="002230FC">
        <w:t>provides for their indefinite detention without any finding of guilt when they are charged with criminal offences</w:t>
      </w:r>
      <w:r>
        <w:t>, while p</w:t>
      </w:r>
      <w:r w:rsidRPr="002230FC">
        <w:t xml:space="preserve">ersons </w:t>
      </w:r>
      <w:r>
        <w:t>without</w:t>
      </w:r>
      <w:r w:rsidRPr="002230FC">
        <w:t xml:space="preserve"> cognitive impairments are protected from such conduct</w:t>
      </w:r>
      <w:r w:rsidR="00E664D1">
        <w:t xml:space="preserve"> through the application of the rules of </w:t>
      </w:r>
      <w:r w:rsidR="00EC6C87">
        <w:t>due process and</w:t>
      </w:r>
      <w:r w:rsidR="00E664D1">
        <w:t xml:space="preserve"> fair trial</w:t>
      </w:r>
      <w:r>
        <w:t xml:space="preserve">. </w:t>
      </w:r>
      <w:r w:rsidRPr="002230FC">
        <w:rPr>
          <w:color w:val="000000"/>
          <w:lang w:eastAsia="en-GB"/>
        </w:rPr>
        <w:t>The Committee also notes</w:t>
      </w:r>
      <w:r>
        <w:rPr>
          <w:color w:val="000000"/>
          <w:lang w:eastAsia="en-GB"/>
        </w:rPr>
        <w:t xml:space="preserve"> that, according to </w:t>
      </w:r>
      <w:r w:rsidRPr="002230FC">
        <w:rPr>
          <w:color w:val="000000"/>
          <w:lang w:eastAsia="en-GB"/>
        </w:rPr>
        <w:t>the State party</w:t>
      </w:r>
      <w:r>
        <w:rPr>
          <w:color w:val="000000"/>
          <w:lang w:eastAsia="en-GB"/>
        </w:rPr>
        <w:t>,</w:t>
      </w:r>
      <w:r w:rsidRPr="002230FC">
        <w:rPr>
          <w:color w:val="000000"/>
          <w:lang w:eastAsia="en-GB"/>
        </w:rPr>
        <w:t xml:space="preserve"> the MID Act is not discriminatory, but entails legitimate differential treatment of certain persons with disabilities, subject to safeguards to ensure that </w:t>
      </w:r>
      <w:r>
        <w:rPr>
          <w:color w:val="000000"/>
          <w:lang w:eastAsia="en-GB"/>
        </w:rPr>
        <w:t>it is proportionate to its aims.</w:t>
      </w:r>
    </w:p>
    <w:p w:rsidR="00F85F17" w:rsidRDefault="00F85F17" w:rsidP="00D27732">
      <w:pPr>
        <w:pStyle w:val="SingleTxtG"/>
        <w:rPr>
          <w:lang w:eastAsia="en-GB"/>
        </w:rPr>
      </w:pPr>
      <w:r>
        <w:rPr>
          <w:lang w:eastAsia="en-GB"/>
        </w:rPr>
        <w:t>8.3</w:t>
      </w:r>
      <w:r>
        <w:rPr>
          <w:lang w:eastAsia="en-GB"/>
        </w:rPr>
        <w:tab/>
      </w:r>
      <w:r w:rsidRPr="002230FC">
        <w:rPr>
          <w:lang w:eastAsia="en-GB"/>
        </w:rPr>
        <w:t xml:space="preserve">The Committee recalls that </w:t>
      </w:r>
      <w:r>
        <w:rPr>
          <w:lang w:eastAsia="en-GB"/>
        </w:rPr>
        <w:t>u</w:t>
      </w:r>
      <w:r w:rsidRPr="002230FC">
        <w:rPr>
          <w:lang w:eastAsia="en-GB"/>
        </w:rPr>
        <w:t>nder article 5(1)</w:t>
      </w:r>
      <w:r>
        <w:rPr>
          <w:lang w:eastAsia="en-GB"/>
        </w:rPr>
        <w:t xml:space="preserve"> and (2) of the Convention</w:t>
      </w:r>
      <w:r w:rsidRPr="002230FC">
        <w:rPr>
          <w:lang w:eastAsia="en-GB"/>
        </w:rPr>
        <w:t>, States parties must ensure that all persons are equal before and under the law and are entitled without any discrimination to the equal protecti</w:t>
      </w:r>
      <w:r>
        <w:rPr>
          <w:lang w:eastAsia="en-GB"/>
        </w:rPr>
        <w:t xml:space="preserve">on and equal benefit of the law, and </w:t>
      </w:r>
      <w:r w:rsidRPr="003A0D09">
        <w:rPr>
          <w:lang w:eastAsia="en-GB"/>
        </w:rPr>
        <w:t xml:space="preserve">shall take all appropriate steps to ensure that reasonable </w:t>
      </w:r>
      <w:r w:rsidRPr="00D27732">
        <w:t>accommodation</w:t>
      </w:r>
      <w:r w:rsidRPr="003A0D09">
        <w:rPr>
          <w:lang w:eastAsia="en-GB"/>
        </w:rPr>
        <w:t xml:space="preserve"> is</w:t>
      </w:r>
      <w:r>
        <w:rPr>
          <w:lang w:eastAsia="en-GB"/>
        </w:rPr>
        <w:t xml:space="preserve"> </w:t>
      </w:r>
      <w:r w:rsidRPr="003A0D09">
        <w:rPr>
          <w:lang w:eastAsia="en-GB"/>
        </w:rPr>
        <w:t>provided to promote equality and eliminate discrimination.</w:t>
      </w:r>
      <w:r w:rsidRPr="002230FC">
        <w:rPr>
          <w:lang w:eastAsia="en-GB"/>
        </w:rPr>
        <w:t xml:space="preserve"> </w:t>
      </w:r>
      <w:r>
        <w:rPr>
          <w:lang w:eastAsia="en-GB"/>
        </w:rPr>
        <w:t xml:space="preserve">The Committee further recalls that </w:t>
      </w:r>
      <w:r w:rsidRPr="002230FC">
        <w:rPr>
          <w:lang w:eastAsia="en-GB"/>
        </w:rPr>
        <w:t>discrimination can result from the discriminatory effect of a rule or measure which does not intent to discriminate, but that disproportionately affects persons with disability.</w:t>
      </w:r>
      <w:r w:rsidR="00D27732">
        <w:rPr>
          <w:rStyle w:val="FootnoteReference"/>
          <w:lang w:eastAsia="en-GB"/>
        </w:rPr>
        <w:footnoteReference w:id="47"/>
      </w:r>
      <w:r>
        <w:rPr>
          <w:lang w:eastAsia="en-GB"/>
        </w:rPr>
        <w:t xml:space="preserve"> In the present case, the Committee notes that the MID Act is oriented at attending to the situation of “persons with psychosocial and intellectual impairments” who are found unfit to stand trial on the basis of mental impairment. The issue before the Committee is therefore to assess whether the “differential treatment” provided under the Act is reasonable, or results into a discriminatory treatment of persons with disability. </w:t>
      </w:r>
    </w:p>
    <w:p w:rsidR="00F85F17" w:rsidRDefault="00F85F17" w:rsidP="00D27732">
      <w:pPr>
        <w:pStyle w:val="SingleTxtG"/>
        <w:rPr>
          <w:lang w:eastAsia="en-GB"/>
        </w:rPr>
      </w:pPr>
      <w:r>
        <w:rPr>
          <w:lang w:eastAsia="en-GB"/>
        </w:rPr>
        <w:t>8.4</w:t>
      </w:r>
      <w:r>
        <w:rPr>
          <w:lang w:eastAsia="en-GB"/>
        </w:rPr>
        <w:tab/>
        <w:t>The Committee notes that under the MID Act, once the person is found unfit to plead, he/she can be maintained in</w:t>
      </w:r>
      <w:r w:rsidRPr="00B17DEB">
        <w:rPr>
          <w:lang w:eastAsia="en-GB"/>
        </w:rPr>
        <w:t xml:space="preserve"> custody</w:t>
      </w:r>
      <w:r>
        <w:rPr>
          <w:lang w:eastAsia="en-GB"/>
        </w:rPr>
        <w:t xml:space="preserve"> for an unlimited period of time. He/she will be presumed to remain not mentally fit to stand trial until the contrary is found. In the meantime, the person has no possibility to exercise his/her legal capacity before the courts. In the present case, the author </w:t>
      </w:r>
      <w:r w:rsidRPr="003E458A">
        <w:rPr>
          <w:lang w:eastAsia="en-GB"/>
        </w:rPr>
        <w:t xml:space="preserve">was charged in 2001 with sexual assault offences that were never proven. </w:t>
      </w:r>
      <w:r>
        <w:rPr>
          <w:lang w:eastAsia="en-GB"/>
        </w:rPr>
        <w:t xml:space="preserve">In March 2003, he was declared unfit to plead. A custody order was made, and the author was detained at the </w:t>
      </w:r>
      <w:proofErr w:type="spellStart"/>
      <w:r w:rsidRPr="00163FAA">
        <w:rPr>
          <w:lang w:eastAsia="en-GB"/>
        </w:rPr>
        <w:t>Greenough</w:t>
      </w:r>
      <w:proofErr w:type="spellEnd"/>
      <w:r w:rsidRPr="00163FAA">
        <w:rPr>
          <w:lang w:eastAsia="en-GB"/>
        </w:rPr>
        <w:t xml:space="preserve"> Regional Prison</w:t>
      </w:r>
      <w:r w:rsidRPr="002E194C">
        <w:rPr>
          <w:lang w:eastAsia="en-GB"/>
        </w:rPr>
        <w:t xml:space="preserve"> until </w:t>
      </w:r>
      <w:r>
        <w:rPr>
          <w:lang w:eastAsia="en-GB"/>
        </w:rPr>
        <w:t>22 November 2012, when he</w:t>
      </w:r>
      <w:r w:rsidRPr="003E458A">
        <w:rPr>
          <w:lang w:eastAsia="en-GB"/>
        </w:rPr>
        <w:t xml:space="preserve"> was placed in an accommodation support.</w:t>
      </w:r>
      <w:r>
        <w:rPr>
          <w:lang w:eastAsia="en-GB"/>
        </w:rPr>
        <w:t xml:space="preserve"> The Committee notes that throughout the detention of the author in prison, the whole judicial procedure focused on his mental capacity to stand trial without giving him any possibility to plead not guilty and to test the evidence submitted against him. The Committee further notes that the State party did not provide the author with the support or accommodation he required to exercise his legal capacity, and did not analyse which measures could be adopted to do so. As a result of the application of the MID Act, the author’s rights to a fair trial were instead fully suspended, depriving him of the</w:t>
      </w:r>
      <w:r w:rsidRPr="002230FC">
        <w:rPr>
          <w:lang w:eastAsia="en-GB"/>
        </w:rPr>
        <w:t xml:space="preserve"> protecti</w:t>
      </w:r>
      <w:r>
        <w:rPr>
          <w:lang w:eastAsia="en-GB"/>
        </w:rPr>
        <w:t xml:space="preserve">on and equal benefit of the law. The Committee therefore considers that </w:t>
      </w:r>
      <w:r w:rsidRPr="00B17DEB">
        <w:rPr>
          <w:lang w:eastAsia="en-GB"/>
        </w:rPr>
        <w:t xml:space="preserve">the </w:t>
      </w:r>
      <w:r>
        <w:rPr>
          <w:lang w:eastAsia="en-GB"/>
        </w:rPr>
        <w:t>MID Act resulted into a discriminatory treatment of the author’s case, in violation of article 5(1) and (2) of the Convention.</w:t>
      </w:r>
    </w:p>
    <w:p w:rsidR="001675B6" w:rsidRPr="00C353F7" w:rsidRDefault="00F85F17" w:rsidP="001675B6">
      <w:pPr>
        <w:pStyle w:val="SingleTxtG"/>
      </w:pPr>
      <w:r w:rsidRPr="00B22B09">
        <w:t>8.5</w:t>
      </w:r>
      <w:r w:rsidRPr="00B22B09">
        <w:tab/>
      </w:r>
      <w:r w:rsidR="001675B6">
        <w:t xml:space="preserve">As regards the author’s allegations under articles 12 (2) and (3) and 13(1) of the Convention, </w:t>
      </w:r>
      <w:r w:rsidR="001675B6" w:rsidRPr="00C353F7">
        <w:t xml:space="preserve">the Committee notes the author’s submission that the decision that he was unfit to plead deprived him of the possibility to exercise his legal capacity to plead not-guilty and to test the evidence that was presented against him, thereby amounting to a violation of articles 12(2) and (3) of the Convention. The Committee recalls that under article 12(2) of the Convention, States parties have the obligation to recognize that persons with disabilities enjoy legal capacity on an equal basis with others in all aspects of life. Under article 12(3), States parties have the obligation to provide access to the support persons with disabilities may require to exercise their legal capacity. The Committee further recalls that under article 13(1), States parties shall ensure effective access to justice for </w:t>
      </w:r>
      <w:r w:rsidR="001675B6" w:rsidRPr="00C353F7">
        <w:lastRenderedPageBreak/>
        <w:t>persons with disabilities on an equal basis with others, including through the provision of procedural and age-appropriate accommodations.</w:t>
      </w:r>
    </w:p>
    <w:p w:rsidR="001675B6" w:rsidRDefault="001675B6" w:rsidP="001675B6">
      <w:pPr>
        <w:pStyle w:val="SingleTxtG"/>
      </w:pPr>
      <w:r w:rsidRPr="00C353F7">
        <w:t>8.</w:t>
      </w:r>
      <w:r>
        <w:t>6</w:t>
      </w:r>
      <w:r w:rsidRPr="00C353F7">
        <w:tab/>
        <w:t xml:space="preserve">In the present case, the decision that the author was unfit to plead because of his intellectual and mental disability resulted in a </w:t>
      </w:r>
      <w:r>
        <w:t>denial</w:t>
      </w:r>
      <w:r w:rsidRPr="00C353F7">
        <w:t xml:space="preserve"> of his right to exercise his legal capacity</w:t>
      </w:r>
      <w:r>
        <w:t xml:space="preserve"> to plead non-guilty and to test the evidence presented against him</w:t>
      </w:r>
      <w:r w:rsidRPr="00C353F7">
        <w:t>. Furthermore, no adequate form of support was provided by State party’s authorities to enable him to stand trial and plead non-guilty, despite of his clear intention to do so. He therefore never had the opportunity to have the criminal charges against him determined, and his status as an alleged sexual offender potentially cleared. The Committee considers that while States parties have a certain margin of appreciation to determine the procedural arrangements to enable persons with disabilities to exercise their legal capacity,</w:t>
      </w:r>
      <w:r>
        <w:rPr>
          <w:rStyle w:val="FootnoteReference"/>
        </w:rPr>
        <w:footnoteReference w:id="48"/>
      </w:r>
      <w:r w:rsidRPr="00C353F7">
        <w:t xml:space="preserve"> the relevant rights of the person concerned must be complied with. This did not happen in the author’s case, as he had no possibility and was not provided with adequate support or accommodation to exercise his rights to access to justice and fair trial. In view thereof, the Committee considers that situation under review amounts to a violation of the author’s rights under articles 12(2)-(3) and 13(1) of the Convention.</w:t>
      </w:r>
    </w:p>
    <w:p w:rsidR="00F85F17" w:rsidRDefault="001675B6" w:rsidP="00D27732">
      <w:pPr>
        <w:pStyle w:val="SingleTxtG"/>
        <w:rPr>
          <w:lang w:eastAsia="en-GB"/>
        </w:rPr>
      </w:pPr>
      <w:r>
        <w:t>8.7</w:t>
      </w:r>
      <w:r>
        <w:tab/>
      </w:r>
      <w:r w:rsidR="00F85F17" w:rsidRPr="000230C7">
        <w:t xml:space="preserve">As to the author’s allegations related to his detention, </w:t>
      </w:r>
      <w:r w:rsidR="008B590E">
        <w:t>t</w:t>
      </w:r>
      <w:r w:rsidR="008B590E" w:rsidRPr="004759DF">
        <w:t>he Committee reaffirms that liberty and security of the person is one of the most precious rights to which everyone is entitled. In particular, all persons with disabilities, and especially persons with intellectual and psychosocial disabilities are entitled to liberty pursuant to article 14 of the Convention.</w:t>
      </w:r>
      <w:r w:rsidR="008B590E">
        <w:rPr>
          <w:rStyle w:val="FootnoteReference"/>
        </w:rPr>
        <w:footnoteReference w:id="49"/>
      </w:r>
      <w:r w:rsidR="008B590E" w:rsidRPr="004759DF">
        <w:t xml:space="preserve"> </w:t>
      </w:r>
      <w:r w:rsidR="008B590E">
        <w:t xml:space="preserve">In the present case, </w:t>
      </w:r>
      <w:r w:rsidR="00F85F17" w:rsidRPr="000230C7">
        <w:t xml:space="preserve">the Committee notes that, following the decision of </w:t>
      </w:r>
      <w:r w:rsidR="00F85F17" w:rsidRPr="000230C7">
        <w:rPr>
          <w:lang w:eastAsia="en-GB"/>
        </w:rPr>
        <w:t>the District court of Western Australia of March 2003 according to which the author</w:t>
      </w:r>
      <w:r w:rsidR="00F85F17" w:rsidRPr="00490A16">
        <w:rPr>
          <w:lang w:eastAsia="en-GB"/>
        </w:rPr>
        <w:t xml:space="preserve"> was declared unfit to plead, </w:t>
      </w:r>
      <w:r w:rsidR="00F85F17">
        <w:rPr>
          <w:lang w:eastAsia="en-GB"/>
        </w:rPr>
        <w:t xml:space="preserve">he was detained in prison without having been convicted of any offence, and after all charges against him were quashed in application of the MID Act. The Committee also notes the State party’s submission that the competent authorities adopted this decision because of the lack </w:t>
      </w:r>
      <w:r w:rsidR="00F85F17" w:rsidRPr="005F3281">
        <w:t xml:space="preserve">of available </w:t>
      </w:r>
      <w:r w:rsidR="00F85F17">
        <w:t xml:space="preserve">alternatives and </w:t>
      </w:r>
      <w:r w:rsidR="00F85F17" w:rsidRPr="005F3281">
        <w:t>support services</w:t>
      </w:r>
      <w:r w:rsidR="00F85F17">
        <w:t>,</w:t>
      </w:r>
      <w:r w:rsidR="00F85F17">
        <w:rPr>
          <w:lang w:eastAsia="en-GB"/>
        </w:rPr>
        <w:t xml:space="preserve"> even though they considered that prison “</w:t>
      </w:r>
      <w:r w:rsidR="00F85F17" w:rsidRPr="00B77D7C">
        <w:t>was not the appropriate environment for the author</w:t>
      </w:r>
      <w:r w:rsidR="00F85F17">
        <w:t xml:space="preserve">” (see para. 4.6 supra). The author’s detention was therefore decided </w:t>
      </w:r>
      <w:r w:rsidR="00F85F17">
        <w:rPr>
          <w:lang w:eastAsia="en-GB"/>
        </w:rPr>
        <w:t>on the basis of the assessment by State party’s authorities of potential consequences of his intellectual disability, in the absence of any criminal conviction, thereby converting his disability into the core cause of his detention. The Committee therefore considers that the author’s detention amounted to a violation of article 14 (1) (b) of the Convention according to which “</w:t>
      </w:r>
      <w:r w:rsidR="00F85F17" w:rsidRPr="00027569">
        <w:rPr>
          <w:lang w:eastAsia="en-GB"/>
        </w:rPr>
        <w:t>the existence of a disability shall in no case justify a deprivation of liberty</w:t>
      </w:r>
      <w:r w:rsidR="00F85F17">
        <w:rPr>
          <w:lang w:eastAsia="en-GB"/>
        </w:rPr>
        <w:t>”.</w:t>
      </w:r>
    </w:p>
    <w:p w:rsidR="00F85F17" w:rsidRDefault="00F85F17" w:rsidP="009B6313">
      <w:pPr>
        <w:pStyle w:val="SingleTxtG"/>
        <w:rPr>
          <w:lang w:eastAsia="en-GB"/>
        </w:rPr>
      </w:pPr>
      <w:r>
        <w:rPr>
          <w:lang w:eastAsia="en-GB"/>
        </w:rPr>
        <w:t>8.</w:t>
      </w:r>
      <w:r w:rsidR="00707C88">
        <w:rPr>
          <w:lang w:eastAsia="en-GB"/>
        </w:rPr>
        <w:t>8</w:t>
      </w:r>
      <w:r>
        <w:rPr>
          <w:lang w:eastAsia="en-GB"/>
        </w:rPr>
        <w:tab/>
        <w:t xml:space="preserve">The Committee further notes that the author was released from prison into an accommodation support service on 10 January 2012 </w:t>
      </w:r>
      <w:proofErr w:type="gramStart"/>
      <w:r>
        <w:rPr>
          <w:lang w:eastAsia="en-GB"/>
        </w:rPr>
        <w:t>under</w:t>
      </w:r>
      <w:proofErr w:type="gramEnd"/>
      <w:r>
        <w:rPr>
          <w:lang w:eastAsia="en-GB"/>
        </w:rPr>
        <w:t xml:space="preserve"> 10 conditions. Without entering into a detailed analysis of these conditions, the Committee </w:t>
      </w:r>
      <w:r w:rsidRPr="009B6313">
        <w:t>considers</w:t>
      </w:r>
      <w:r>
        <w:rPr>
          <w:lang w:eastAsia="en-GB"/>
        </w:rPr>
        <w:t xml:space="preserve"> that, as they were decided as a direct consequence of the detention of the author, found to be in violation of the Convention, they also amount to a violation of article 14(1</w:t>
      </w:r>
      <w:proofErr w:type="gramStart"/>
      <w:r>
        <w:rPr>
          <w:lang w:eastAsia="en-GB"/>
        </w:rPr>
        <w:t>)(</w:t>
      </w:r>
      <w:proofErr w:type="gramEnd"/>
      <w:r>
        <w:rPr>
          <w:lang w:eastAsia="en-GB"/>
        </w:rPr>
        <w:t xml:space="preserve">b).  </w:t>
      </w:r>
    </w:p>
    <w:p w:rsidR="00A46B66" w:rsidRDefault="00F85F17" w:rsidP="006B2B63">
      <w:pPr>
        <w:pStyle w:val="SingleTxtG"/>
      </w:pPr>
      <w:r>
        <w:t>8.</w:t>
      </w:r>
      <w:r w:rsidR="00707C88">
        <w:t>9</w:t>
      </w:r>
      <w:r>
        <w:tab/>
      </w:r>
      <w:r w:rsidR="007D3D32">
        <w:t>As regards the author’s allegations under article 15 of the Convention,</w:t>
      </w:r>
      <w:r w:rsidR="00897F21">
        <w:t xml:space="preserve"> </w:t>
      </w:r>
      <w:r w:rsidR="00897F21">
        <w:rPr>
          <w:lang w:val="en"/>
        </w:rPr>
        <w:t xml:space="preserve">the Committee </w:t>
      </w:r>
      <w:r w:rsidR="00A46B66" w:rsidRPr="00E979EC">
        <w:t xml:space="preserve">recalls that, at the time of the events that gave rise to the present communication, </w:t>
      </w:r>
      <w:r w:rsidR="00A46B66">
        <w:t>the author</w:t>
      </w:r>
      <w:r w:rsidR="00A46B66" w:rsidRPr="00E979EC">
        <w:t xml:space="preserve"> was </w:t>
      </w:r>
      <w:r w:rsidR="00EC5549">
        <w:t>detained in custody</w:t>
      </w:r>
      <w:r w:rsidR="00A46B66" w:rsidRPr="00E979EC">
        <w:t xml:space="preserve">. In such a situation, the Committee emphasizes that States parties are in a special position to safeguard the rights of persons deprived of their liberty owing to the extent of the control that they exercise over </w:t>
      </w:r>
      <w:r w:rsidR="00EC5549">
        <w:t>these</w:t>
      </w:r>
      <w:r w:rsidR="00A46B66" w:rsidRPr="00E979EC">
        <w:t xml:space="preserve"> persons</w:t>
      </w:r>
      <w:r w:rsidR="006B2B63">
        <w:t>,</w:t>
      </w:r>
      <w:r w:rsidR="00A46B66" w:rsidRPr="007379FC">
        <w:rPr>
          <w:vertAlign w:val="superscript"/>
        </w:rPr>
        <w:footnoteReference w:id="50"/>
      </w:r>
      <w:r w:rsidR="006B2B63">
        <w:t xml:space="preserve"> </w:t>
      </w:r>
      <w:r w:rsidR="00EC5549">
        <w:t>including</w:t>
      </w:r>
      <w:r w:rsidR="006B2B63">
        <w:t xml:space="preserve"> to prevent any form of treatment contrary to article 15 of the </w:t>
      </w:r>
      <w:r w:rsidR="006B2B63">
        <w:lastRenderedPageBreak/>
        <w:t>Convention, and</w:t>
      </w:r>
      <w:r w:rsidR="00A46B66" w:rsidRPr="00E979EC">
        <w:t xml:space="preserve"> to safeguard rights established in the Convention</w:t>
      </w:r>
      <w:r w:rsidR="002067B0">
        <w:t>. In this context, State party authorities must pay special attention to</w:t>
      </w:r>
      <w:r w:rsidR="006B2B63">
        <w:t xml:space="preserve"> the particular needs and possible vulnerability of the person concerned, including because of his/her</w:t>
      </w:r>
      <w:r w:rsidR="002067B0">
        <w:t xml:space="preserve"> disability</w:t>
      </w:r>
      <w:r w:rsidR="006B2B63">
        <w:t>. In the present case, t</w:t>
      </w:r>
      <w:r w:rsidR="00526871" w:rsidRPr="006B2B63">
        <w:t>he Committee notes the author’s allegations that</w:t>
      </w:r>
      <w:r w:rsidR="002067B0">
        <w:t xml:space="preserve"> he was subject to </w:t>
      </w:r>
      <w:r w:rsidR="006B2B63">
        <w:t>frequent</w:t>
      </w:r>
      <w:r w:rsidR="002067B0">
        <w:t xml:space="preserve"> incidents of violence and abuse, that his disability prevented him from protecting himself</w:t>
      </w:r>
      <w:r w:rsidR="00EC5549">
        <w:t xml:space="preserve"> against such acts</w:t>
      </w:r>
      <w:r w:rsidR="002067B0">
        <w:t>, and that State party</w:t>
      </w:r>
      <w:r w:rsidR="00771848">
        <w:t xml:space="preserve"> authorities did not take any measure to sanction and</w:t>
      </w:r>
      <w:r w:rsidR="002067B0">
        <w:t xml:space="preserve"> prevent </w:t>
      </w:r>
      <w:r w:rsidR="00EC5549">
        <w:t>them</w:t>
      </w:r>
      <w:r w:rsidR="00771848">
        <w:t xml:space="preserve">, or to protect the author therefrom. </w:t>
      </w:r>
      <w:r w:rsidR="00707C88">
        <w:rPr>
          <w:lang w:eastAsia="en-GB"/>
        </w:rPr>
        <w:t>Additionally, the Committee notes that the author was detained during more than 1</w:t>
      </w:r>
      <w:r w:rsidR="003F48D5">
        <w:rPr>
          <w:lang w:eastAsia="en-GB"/>
        </w:rPr>
        <w:t>0</w:t>
      </w:r>
      <w:r w:rsidR="00707C88">
        <w:rPr>
          <w:lang w:eastAsia="en-GB"/>
        </w:rPr>
        <w:t xml:space="preserve"> years, without having any indication as to the duration of his detention. His detention was deemed indefinite in so far as, in compliance with section 10 of the MID Act, “an accused found under this part to be not mentally fit to stand trial is presumed to remain not mentally fit until the contrary is found […]”. Taking into account the irreparable psychological effects </w:t>
      </w:r>
      <w:r w:rsidR="00707C88" w:rsidRPr="003B2679">
        <w:rPr>
          <w:lang w:eastAsia="en-GB"/>
        </w:rPr>
        <w:t xml:space="preserve">that </w:t>
      </w:r>
      <w:r w:rsidR="00707C88">
        <w:rPr>
          <w:lang w:eastAsia="en-GB"/>
        </w:rPr>
        <w:t>indefinite detention</w:t>
      </w:r>
      <w:r w:rsidR="00707C88" w:rsidRPr="003B2679">
        <w:rPr>
          <w:lang w:eastAsia="en-GB"/>
        </w:rPr>
        <w:t xml:space="preserve"> </w:t>
      </w:r>
      <w:r w:rsidR="00707C88">
        <w:rPr>
          <w:lang w:eastAsia="en-GB"/>
        </w:rPr>
        <w:t xml:space="preserve">may have on the detained </w:t>
      </w:r>
      <w:r w:rsidR="00707C88" w:rsidRPr="003177FE">
        <w:rPr>
          <w:lang w:eastAsia="en-GB"/>
        </w:rPr>
        <w:t>person, the</w:t>
      </w:r>
      <w:r w:rsidR="00707C88">
        <w:rPr>
          <w:lang w:eastAsia="en-GB"/>
        </w:rPr>
        <w:t xml:space="preserve"> Committee considers that the indefinite detention he was subjected to amounted to i</w:t>
      </w:r>
      <w:r w:rsidR="00707C88" w:rsidRPr="003B2679">
        <w:rPr>
          <w:lang w:eastAsia="en-GB"/>
        </w:rPr>
        <w:t xml:space="preserve">nhuman </w:t>
      </w:r>
      <w:r w:rsidR="00707C88">
        <w:rPr>
          <w:lang w:eastAsia="en-GB"/>
        </w:rPr>
        <w:t>and degrading t</w:t>
      </w:r>
      <w:r w:rsidR="00707C88" w:rsidRPr="003B2679">
        <w:rPr>
          <w:lang w:eastAsia="en-GB"/>
        </w:rPr>
        <w:t>reatment</w:t>
      </w:r>
      <w:r w:rsidR="00707C88">
        <w:rPr>
          <w:lang w:eastAsia="en-GB"/>
        </w:rPr>
        <w:t>.</w:t>
      </w:r>
      <w:r w:rsidR="00707C88" w:rsidRPr="003D1E69">
        <w:rPr>
          <w:vertAlign w:val="superscript"/>
          <w:lang w:eastAsia="en-GB"/>
        </w:rPr>
        <w:footnoteReference w:id="51"/>
      </w:r>
      <w:r w:rsidR="00707C88">
        <w:rPr>
          <w:lang w:eastAsia="en-GB"/>
        </w:rPr>
        <w:t xml:space="preserve"> </w:t>
      </w:r>
      <w:r w:rsidR="001A0940">
        <w:t>T</w:t>
      </w:r>
      <w:r w:rsidR="00771848">
        <w:t xml:space="preserve">he Committee </w:t>
      </w:r>
      <w:r w:rsidR="001A0940">
        <w:t xml:space="preserve">therefore </w:t>
      </w:r>
      <w:r w:rsidR="00771848">
        <w:t xml:space="preserve">considers that </w:t>
      </w:r>
      <w:r w:rsidR="00707C88">
        <w:t xml:space="preserve">the indefinite character of the author’s detention and </w:t>
      </w:r>
      <w:r w:rsidR="00771848">
        <w:t xml:space="preserve">the repeated acts of violence </w:t>
      </w:r>
      <w:r w:rsidR="00707C88">
        <w:t xml:space="preserve">he was subjected </w:t>
      </w:r>
      <w:proofErr w:type="gramStart"/>
      <w:r w:rsidR="00707C88">
        <w:t xml:space="preserve">to </w:t>
      </w:r>
      <w:r w:rsidR="00771848">
        <w:t xml:space="preserve"> during</w:t>
      </w:r>
      <w:proofErr w:type="gramEnd"/>
      <w:r w:rsidR="00771848">
        <w:t xml:space="preserve"> his detention amount to a violation of article 15 of the Convention</w:t>
      </w:r>
      <w:r w:rsidR="00EC5549">
        <w:t xml:space="preserve"> by the State party</w:t>
      </w:r>
      <w:r w:rsidR="00771848">
        <w:t xml:space="preserve">.   </w:t>
      </w:r>
    </w:p>
    <w:p w:rsidR="00F85F17" w:rsidRDefault="002C33A6" w:rsidP="009B6313">
      <w:pPr>
        <w:pStyle w:val="SingleTxtG"/>
      </w:pPr>
      <w:r>
        <w:t>8.</w:t>
      </w:r>
      <w:r w:rsidR="00707C88">
        <w:t>10</w:t>
      </w:r>
      <w:r>
        <w:tab/>
      </w:r>
      <w:r w:rsidR="00F85F17" w:rsidRPr="000B13EF">
        <w:t xml:space="preserve">In light of the above, the Committee </w:t>
      </w:r>
      <w:r w:rsidR="00F85F17">
        <w:t>concludes</w:t>
      </w:r>
      <w:r w:rsidR="00F85F17" w:rsidRPr="000B13EF">
        <w:t xml:space="preserve"> that the State party has failed to fulfil its </w:t>
      </w:r>
      <w:r w:rsidR="00F85F17" w:rsidRPr="009B6313">
        <w:t>obligations</w:t>
      </w:r>
      <w:r w:rsidR="00F85F17" w:rsidRPr="000B13EF">
        <w:t xml:space="preserve"> under article</w:t>
      </w:r>
      <w:r w:rsidR="00F85F17">
        <w:t>s</w:t>
      </w:r>
      <w:r w:rsidR="00F85F17" w:rsidRPr="000B13EF">
        <w:t xml:space="preserve"> 5(1)</w:t>
      </w:r>
      <w:r w:rsidR="00F85F17">
        <w:t xml:space="preserve"> and (2),</w:t>
      </w:r>
      <w:r w:rsidR="00707C88" w:rsidRPr="00707C88">
        <w:t xml:space="preserve"> </w:t>
      </w:r>
      <w:r w:rsidR="00707C88">
        <w:t>12 (2) and (3), 13(1),</w:t>
      </w:r>
      <w:r w:rsidR="00F85F17">
        <w:t xml:space="preserve"> 14(1</w:t>
      </w:r>
      <w:proofErr w:type="gramStart"/>
      <w:r w:rsidR="00F85F17">
        <w:t>)(</w:t>
      </w:r>
      <w:proofErr w:type="gramEnd"/>
      <w:r w:rsidR="00F85F17">
        <w:t>b)</w:t>
      </w:r>
      <w:r w:rsidR="00771848">
        <w:t xml:space="preserve"> and 15</w:t>
      </w:r>
      <w:r w:rsidR="00F85F17">
        <w:t xml:space="preserve"> </w:t>
      </w:r>
      <w:r w:rsidR="00F85F17" w:rsidRPr="000B13EF">
        <w:t xml:space="preserve">of the Convention. </w:t>
      </w:r>
    </w:p>
    <w:p w:rsidR="00F85F17" w:rsidRPr="002230FC" w:rsidRDefault="00F85F17" w:rsidP="009B6313">
      <w:pPr>
        <w:pStyle w:val="H1G"/>
        <w:rPr>
          <w:lang w:eastAsia="en-GB"/>
        </w:rPr>
      </w:pPr>
      <w:r w:rsidRPr="002230FC">
        <w:tab/>
        <w:t>C.</w:t>
      </w:r>
      <w:r w:rsidRPr="002230FC">
        <w:tab/>
        <w:t>Conclusion and recommendations</w:t>
      </w:r>
    </w:p>
    <w:p w:rsidR="00F85F17" w:rsidRPr="002230FC" w:rsidRDefault="00F85F17" w:rsidP="009B6313">
      <w:pPr>
        <w:pStyle w:val="SingleTxtG"/>
      </w:pPr>
      <w:r w:rsidRPr="002230FC">
        <w:t>9.</w:t>
      </w:r>
      <w:r w:rsidRPr="002230FC">
        <w:tab/>
        <w:t xml:space="preserve">The Committee, acting under article 5 of the Optional Protocol to the Convention, is of </w:t>
      </w:r>
      <w:r w:rsidRPr="009B6313">
        <w:t>the</w:t>
      </w:r>
      <w:r w:rsidRPr="002230FC">
        <w:t xml:space="preserve"> view that the State party has failed to fulfil its obligations under article</w:t>
      </w:r>
      <w:r>
        <w:t>s</w:t>
      </w:r>
      <w:r w:rsidRPr="002230FC">
        <w:t xml:space="preserve"> </w:t>
      </w:r>
      <w:r w:rsidRPr="000B13EF">
        <w:t>5(1)</w:t>
      </w:r>
      <w:r>
        <w:t xml:space="preserve"> and (2), </w:t>
      </w:r>
      <w:r w:rsidR="00381D38">
        <w:t xml:space="preserve">12 (2) and (3), 13(1), </w:t>
      </w:r>
      <w:r>
        <w:t>14(1)(b)</w:t>
      </w:r>
      <w:r w:rsidR="00381D38">
        <w:t xml:space="preserve"> and 15</w:t>
      </w:r>
      <w:r>
        <w:t xml:space="preserve"> </w:t>
      </w:r>
      <w:r w:rsidRPr="002230FC">
        <w:t>of the Convention and therefore makes the following recommendations to the State party:</w:t>
      </w:r>
    </w:p>
    <w:p w:rsidR="00F85F17" w:rsidRDefault="00F85F17" w:rsidP="009B6313">
      <w:pPr>
        <w:pStyle w:val="SingleTxtG"/>
      </w:pPr>
      <w:r w:rsidRPr="002230FC">
        <w:tab/>
        <w:t>(a)</w:t>
      </w:r>
      <w:r w:rsidRPr="002230FC">
        <w:tab/>
      </w:r>
      <w:r w:rsidRPr="009B6313">
        <w:t>Concerning</w:t>
      </w:r>
      <w:r w:rsidRPr="002230FC">
        <w:t xml:space="preserve"> the author:</w:t>
      </w:r>
      <w:r w:rsidRPr="003D5317">
        <w:t xml:space="preserve"> the State party is under an obligation:</w:t>
      </w:r>
    </w:p>
    <w:p w:rsidR="00F85F17" w:rsidRPr="003D5317" w:rsidRDefault="009B6313" w:rsidP="009B6313">
      <w:pPr>
        <w:pStyle w:val="SingleTxtG"/>
      </w:pPr>
      <w:r>
        <w:tab/>
      </w:r>
      <w:r w:rsidR="00F85F17">
        <w:t>(</w:t>
      </w:r>
      <w:proofErr w:type="spellStart"/>
      <w:r w:rsidR="00F85F17">
        <w:t>i</w:t>
      </w:r>
      <w:proofErr w:type="spellEnd"/>
      <w:r w:rsidR="00F85F17">
        <w:t>)</w:t>
      </w:r>
      <w:r w:rsidR="00F85F17">
        <w:tab/>
      </w:r>
      <w:r w:rsidR="00F85F17" w:rsidRPr="003D5317">
        <w:t xml:space="preserve">To provide </w:t>
      </w:r>
      <w:r w:rsidR="00F85F17" w:rsidRPr="009B6313">
        <w:t>him</w:t>
      </w:r>
      <w:r w:rsidR="00F85F17" w:rsidRPr="003D5317">
        <w:t xml:space="preserve"> with an effective remedy, including reimbursement of any legal costs incurred by him, together with compensation</w:t>
      </w:r>
      <w:r w:rsidR="00F85F17">
        <w:t>.</w:t>
      </w:r>
      <w:r w:rsidR="00F85F17" w:rsidRPr="003D5317">
        <w:t xml:space="preserve"> </w:t>
      </w:r>
    </w:p>
    <w:p w:rsidR="00F85F17" w:rsidRDefault="009B6313" w:rsidP="009B6313">
      <w:pPr>
        <w:pStyle w:val="SingleTxtG"/>
      </w:pPr>
      <w:r>
        <w:tab/>
      </w:r>
      <w:r w:rsidR="00F85F17" w:rsidRPr="003D5317">
        <w:t>(ii)</w:t>
      </w:r>
      <w:r w:rsidR="00F85F17" w:rsidRPr="003D5317">
        <w:tab/>
      </w:r>
      <w:r w:rsidR="00F85F17">
        <w:t xml:space="preserve">To </w:t>
      </w:r>
      <w:r w:rsidR="00E22C0A">
        <w:t xml:space="preserve">revoke </w:t>
      </w:r>
      <w:r w:rsidR="00F85F17">
        <w:t xml:space="preserve">immediately the 10 conditions of the author’s release Order </w:t>
      </w:r>
      <w:r w:rsidR="00E22C0A">
        <w:t>replacing them with all necessary</w:t>
      </w:r>
      <w:r w:rsidR="00632048">
        <w:t xml:space="preserve"> </w:t>
      </w:r>
      <w:r w:rsidR="00F85F17">
        <w:t xml:space="preserve">support measures </w:t>
      </w:r>
      <w:r w:rsidR="00632048">
        <w:t>for his inclusion in the community</w:t>
      </w:r>
      <w:r w:rsidR="00F85F17">
        <w:t>.</w:t>
      </w:r>
    </w:p>
    <w:p w:rsidR="00F85F17" w:rsidRPr="00140883" w:rsidRDefault="009B6313" w:rsidP="009B6313">
      <w:pPr>
        <w:pStyle w:val="SingleTxtG"/>
      </w:pPr>
      <w:r>
        <w:tab/>
      </w:r>
      <w:r w:rsidR="00F85F17">
        <w:t>(iii)</w:t>
      </w:r>
      <w:r w:rsidR="00F85F17">
        <w:tab/>
        <w:t>To publish</w:t>
      </w:r>
      <w:r w:rsidR="00F85F17" w:rsidRPr="00060BF1">
        <w:t xml:space="preserve"> the </w:t>
      </w:r>
      <w:r w:rsidR="00F85F17">
        <w:t>Committee’s V</w:t>
      </w:r>
      <w:r w:rsidR="00F85F17" w:rsidRPr="00060BF1">
        <w:t xml:space="preserve">iews and </w:t>
      </w:r>
      <w:r w:rsidR="00F85F17" w:rsidRPr="002230FC">
        <w:t xml:space="preserve">circulate them widely in </w:t>
      </w:r>
      <w:r w:rsidR="00F85F17" w:rsidRPr="009B6313">
        <w:t>accessible</w:t>
      </w:r>
      <w:r w:rsidR="00F85F17" w:rsidRPr="002230FC">
        <w:t xml:space="preserve"> formats so that they are available to all sectors of the population</w:t>
      </w:r>
      <w:r w:rsidR="00F85F17">
        <w:t>.</w:t>
      </w:r>
    </w:p>
    <w:p w:rsidR="00F85F17" w:rsidRPr="003D5317" w:rsidRDefault="009B6313" w:rsidP="009B6313">
      <w:pPr>
        <w:pStyle w:val="SingleTxtG"/>
      </w:pPr>
      <w:r>
        <w:tab/>
      </w:r>
      <w:r w:rsidR="00F85F17" w:rsidRPr="003D5317">
        <w:t>(b)</w:t>
      </w:r>
      <w:r w:rsidR="00F85F17" w:rsidRPr="003D5317">
        <w:tab/>
        <w:t>General</w:t>
      </w:r>
      <w:r w:rsidR="00F85F17">
        <w:t xml:space="preserve"> measures</w:t>
      </w:r>
      <w:r w:rsidR="00F85F17" w:rsidRPr="003D5317">
        <w:t>: the State party is under an obligation to take measures to prevent similar violations in the future</w:t>
      </w:r>
      <w:r w:rsidR="00F85F17">
        <w:t xml:space="preserve">. In this regard, the </w:t>
      </w:r>
      <w:r w:rsidR="00F85F17" w:rsidRPr="009B6313">
        <w:t>Committee</w:t>
      </w:r>
      <w:r w:rsidR="00F85F17">
        <w:t xml:space="preserve"> refers to its recommendations as contained in paragraph 32 of its concluding observations</w:t>
      </w:r>
      <w:r>
        <w:rPr>
          <w:rStyle w:val="FootnoteReference"/>
        </w:rPr>
        <w:footnoteReference w:id="52"/>
      </w:r>
      <w:r w:rsidR="00F85F17">
        <w:t xml:space="preserve"> and requires the State party</w:t>
      </w:r>
      <w:r w:rsidR="00F85F17" w:rsidRPr="003D5317">
        <w:t>:</w:t>
      </w:r>
    </w:p>
    <w:p w:rsidR="00F85F17" w:rsidRDefault="009B6313" w:rsidP="009B6313">
      <w:pPr>
        <w:pStyle w:val="SingleTxtG"/>
      </w:pPr>
      <w:r>
        <w:tab/>
      </w:r>
      <w:r w:rsidR="00F85F17" w:rsidRPr="003D5317">
        <w:t>(</w:t>
      </w:r>
      <w:proofErr w:type="spellStart"/>
      <w:r w:rsidR="00F85F17" w:rsidRPr="003D5317">
        <w:t>i</w:t>
      </w:r>
      <w:proofErr w:type="spellEnd"/>
      <w:r w:rsidR="00F85F17" w:rsidRPr="003D5317">
        <w:t>)</w:t>
      </w:r>
      <w:r w:rsidR="00F85F17" w:rsidRPr="003D5317">
        <w:tab/>
      </w:r>
      <w:r w:rsidR="00F85F17">
        <w:t>To adopt</w:t>
      </w:r>
      <w:r w:rsidR="00F85F17" w:rsidRPr="003D5317">
        <w:t xml:space="preserve"> the necessary amendments of the MID Act (WA), and all </w:t>
      </w:r>
      <w:r w:rsidR="00F85F17" w:rsidRPr="009B6313">
        <w:t>equivalent</w:t>
      </w:r>
      <w:r w:rsidR="00F85F17" w:rsidRPr="003D5317">
        <w:t xml:space="preserve"> or related Federal and state legislations</w:t>
      </w:r>
      <w:r w:rsidR="00F85F17">
        <w:t>,</w:t>
      </w:r>
      <w:r w:rsidR="00F85F17" w:rsidRPr="003D5317">
        <w:t xml:space="preserve"> in close consultation with persons with disabilities and their representative organizations, ensuring its compliance with the principles of the </w:t>
      </w:r>
      <w:r w:rsidR="00F85F17" w:rsidRPr="003D5317">
        <w:lastRenderedPageBreak/>
        <w:t>Convention</w:t>
      </w:r>
      <w:r w:rsidR="004C0027">
        <w:t xml:space="preserve"> and with the Committee’s </w:t>
      </w:r>
      <w:r w:rsidR="004C0027" w:rsidRPr="004C0027">
        <w:t>Guidelines on article 14 of the Convention on the Rights of Persons with Disabilities</w:t>
      </w:r>
      <w:r w:rsidR="00F85F17" w:rsidRPr="003D5317">
        <w:t xml:space="preserve">; </w:t>
      </w:r>
    </w:p>
    <w:p w:rsidR="00F85F17" w:rsidRPr="003D5317" w:rsidRDefault="009B6313" w:rsidP="009B6313">
      <w:pPr>
        <w:pStyle w:val="SingleTxtG"/>
      </w:pPr>
      <w:r>
        <w:tab/>
      </w:r>
      <w:r w:rsidR="00F85F17">
        <w:t>(ii)</w:t>
      </w:r>
      <w:r w:rsidR="00F85F17">
        <w:tab/>
        <w:t xml:space="preserve">To ensure that adequate support and accommodation measures are </w:t>
      </w:r>
      <w:r w:rsidR="00F85F17" w:rsidRPr="009B6313">
        <w:t>provided</w:t>
      </w:r>
      <w:r w:rsidR="00F85F17">
        <w:t xml:space="preserve"> to persons with mental and intellectual disability to enable them to exercise their legal capacity before the courts whenever necessary;</w:t>
      </w:r>
    </w:p>
    <w:p w:rsidR="00F85F17" w:rsidRPr="002230FC" w:rsidRDefault="009B6313" w:rsidP="009B6313">
      <w:pPr>
        <w:pStyle w:val="SingleTxtG"/>
      </w:pPr>
      <w:r>
        <w:tab/>
      </w:r>
      <w:r w:rsidR="00F85F17" w:rsidRPr="00060BF1">
        <w:t>(iii)</w:t>
      </w:r>
      <w:r w:rsidR="00F85F17" w:rsidRPr="00060BF1">
        <w:tab/>
      </w:r>
      <w:r w:rsidR="00F85F17">
        <w:t>To ensure</w:t>
      </w:r>
      <w:r w:rsidR="00F85F17" w:rsidRPr="003D5317">
        <w:t xml:space="preserve"> that appropriate and regular training on the scope of the Convention and its Optional Protocol, including on</w:t>
      </w:r>
      <w:r w:rsidR="00F85F17">
        <w:t xml:space="preserve"> the exercise of</w:t>
      </w:r>
      <w:r w:rsidR="00F85F17" w:rsidRPr="003D5317">
        <w:t xml:space="preserve"> legal capacity </w:t>
      </w:r>
      <w:r w:rsidR="00F85F17">
        <w:t>by</w:t>
      </w:r>
      <w:r w:rsidR="00F85F17" w:rsidRPr="003D5317">
        <w:t xml:space="preserve"> persons with </w:t>
      </w:r>
      <w:r w:rsidR="00F85F17">
        <w:t xml:space="preserve">intellectual and mental </w:t>
      </w:r>
      <w:r w:rsidR="00F85F17" w:rsidRPr="003D5317">
        <w:t xml:space="preserve">disabilities, is provided to staff of the </w:t>
      </w:r>
      <w:r w:rsidR="00F85F17" w:rsidRPr="009B6313">
        <w:t>Review</w:t>
      </w:r>
      <w:r w:rsidR="00F85F17" w:rsidRPr="003D5317">
        <w:t xml:space="preserve"> Board, members of the Law Reform Commission and the Parliament, judicial officers and staff involved in facilita</w:t>
      </w:r>
      <w:r w:rsidR="00F85F17">
        <w:t>ting the work of the judiciary.</w:t>
      </w:r>
    </w:p>
    <w:p w:rsidR="00F71FD1" w:rsidRDefault="00F85F17" w:rsidP="009B6313">
      <w:pPr>
        <w:pStyle w:val="SingleTxtG"/>
      </w:pPr>
      <w:r w:rsidRPr="002230FC">
        <w:t>10.</w:t>
      </w:r>
      <w:r w:rsidRPr="002230FC">
        <w:tab/>
        <w:t>In accordance with article 5 of the Optional Protocol and rule 75 of the Committee’s rules of procedure, the State party should submit a written response to the Committee in six months’ time that includes information on any action taken in the light of the Views and recommendations of the Committee.</w:t>
      </w:r>
    </w:p>
    <w:p w:rsidR="00F71FD1" w:rsidRDefault="00F71FD1">
      <w:pPr>
        <w:suppressAutoHyphens w:val="0"/>
        <w:spacing w:line="240" w:lineRule="auto"/>
      </w:pPr>
      <w:r>
        <w:br w:type="page"/>
      </w:r>
    </w:p>
    <w:p w:rsidR="00F71FD1" w:rsidRDefault="00F71FD1" w:rsidP="00F71FD1">
      <w:pPr>
        <w:pStyle w:val="H23G"/>
        <w:rPr>
          <w:lang w:eastAsia="en-GB"/>
        </w:rPr>
      </w:pPr>
      <w:r>
        <w:rPr>
          <w:lang w:eastAsia="en-GB"/>
        </w:rPr>
        <w:lastRenderedPageBreak/>
        <w:t>Communication No. 7/2012</w:t>
      </w:r>
    </w:p>
    <w:p w:rsidR="00F71FD1" w:rsidRDefault="00F71FD1" w:rsidP="00F71FD1">
      <w:pPr>
        <w:pStyle w:val="H23G"/>
        <w:rPr>
          <w:lang w:eastAsia="en-GB"/>
        </w:rPr>
      </w:pPr>
      <w:r>
        <w:rPr>
          <w:lang w:eastAsia="en-GB"/>
        </w:rPr>
        <w:tab/>
      </w:r>
      <w:r>
        <w:rPr>
          <w:lang w:eastAsia="en-GB"/>
        </w:rPr>
        <w:tab/>
        <w:t xml:space="preserve">Individual Opinion of Committee member </w:t>
      </w:r>
      <w:proofErr w:type="spellStart"/>
      <w:r>
        <w:rPr>
          <w:lang w:eastAsia="en-GB"/>
        </w:rPr>
        <w:t>Damjan</w:t>
      </w:r>
      <w:proofErr w:type="spellEnd"/>
      <w:r>
        <w:rPr>
          <w:lang w:eastAsia="en-GB"/>
        </w:rPr>
        <w:t xml:space="preserve"> </w:t>
      </w:r>
      <w:proofErr w:type="spellStart"/>
      <w:r>
        <w:rPr>
          <w:lang w:eastAsia="en-GB"/>
        </w:rPr>
        <w:t>Tatic</w:t>
      </w:r>
      <w:proofErr w:type="spellEnd"/>
      <w:r>
        <w:rPr>
          <w:lang w:eastAsia="en-GB"/>
        </w:rPr>
        <w:t xml:space="preserve"> (</w:t>
      </w:r>
      <w:r>
        <w:rPr>
          <w:sz w:val="21"/>
          <w:szCs w:val="21"/>
        </w:rPr>
        <w:t>partly concurring, partly dissenting</w:t>
      </w:r>
      <w:r>
        <w:rPr>
          <w:lang w:eastAsia="en-GB"/>
        </w:rPr>
        <w:t>)</w:t>
      </w:r>
    </w:p>
    <w:p w:rsidR="00F71FD1" w:rsidRDefault="00F71FD1" w:rsidP="00F71FD1">
      <w:pPr>
        <w:pStyle w:val="SingleTxtG"/>
      </w:pPr>
      <w:r>
        <w:rPr>
          <w:lang w:eastAsia="en-GB"/>
        </w:rPr>
        <w:t>1.</w:t>
      </w:r>
      <w:r>
        <w:rPr>
          <w:lang w:eastAsia="en-GB"/>
        </w:rPr>
        <w:tab/>
      </w:r>
      <w:r w:rsidRPr="002D0AD4">
        <w:rPr>
          <w:lang w:eastAsia="en-GB"/>
        </w:rPr>
        <w:t>I agree with the Committee that</w:t>
      </w:r>
      <w:r>
        <w:rPr>
          <w:lang w:eastAsia="en-GB"/>
        </w:rPr>
        <w:t xml:space="preserve"> author’s allegations </w:t>
      </w:r>
      <w:r>
        <w:t>pertaining to</w:t>
      </w:r>
      <w:r w:rsidRPr="000B13EF">
        <w:t xml:space="preserve"> article</w:t>
      </w:r>
      <w:r>
        <w:t>s</w:t>
      </w:r>
      <w:r w:rsidRPr="000B13EF">
        <w:t xml:space="preserve"> 5(1)</w:t>
      </w:r>
      <w:r>
        <w:t xml:space="preserve"> and (2), 14(1</w:t>
      </w:r>
      <w:proofErr w:type="gramStart"/>
      <w:r>
        <w:t>)(</w:t>
      </w:r>
      <w:proofErr w:type="gramEnd"/>
      <w:r>
        <w:t xml:space="preserve">b) and 15 </w:t>
      </w:r>
      <w:r w:rsidRPr="000B13EF">
        <w:t>of the Convention</w:t>
      </w:r>
      <w:r>
        <w:t xml:space="preserve"> </w:t>
      </w:r>
      <w:r>
        <w:rPr>
          <w:lang w:eastAsia="en-GB"/>
        </w:rPr>
        <w:t xml:space="preserve">are admissible under the Optional Protocol. I also agree with Committee’s views that </w:t>
      </w:r>
      <w:r w:rsidRPr="000B13EF">
        <w:t xml:space="preserve">the State party has failed to fulfil its </w:t>
      </w:r>
      <w:r w:rsidRPr="009B6313">
        <w:t>obligations</w:t>
      </w:r>
      <w:r w:rsidRPr="000B13EF">
        <w:t xml:space="preserve"> under article</w:t>
      </w:r>
      <w:r>
        <w:t>s</w:t>
      </w:r>
      <w:r w:rsidRPr="000B13EF">
        <w:t xml:space="preserve"> 5(1)</w:t>
      </w:r>
      <w:r>
        <w:t xml:space="preserve"> and (2), 14(1</w:t>
      </w:r>
      <w:proofErr w:type="gramStart"/>
      <w:r>
        <w:t>)(</w:t>
      </w:r>
      <w:proofErr w:type="gramEnd"/>
      <w:r>
        <w:t xml:space="preserve">b) and 15 </w:t>
      </w:r>
      <w:r w:rsidRPr="000B13EF">
        <w:t xml:space="preserve">of the Convention. </w:t>
      </w:r>
      <w:r>
        <w:t>Furthermore, I agree with the Committee’s conclusions and recommendations to th</w:t>
      </w:r>
      <w:r w:rsidR="00E40E7C">
        <w:t>e State Party pertaining to its</w:t>
      </w:r>
      <w:r>
        <w:t xml:space="preserve"> duties in relation to full implementation of these </w:t>
      </w:r>
      <w:r w:rsidRPr="000B13EF">
        <w:t>article</w:t>
      </w:r>
      <w:r>
        <w:t>s</w:t>
      </w:r>
      <w:r w:rsidRPr="000B13EF">
        <w:t>.</w:t>
      </w:r>
    </w:p>
    <w:p w:rsidR="001C6663" w:rsidRDefault="00F71FD1" w:rsidP="00F71FD1">
      <w:pPr>
        <w:pStyle w:val="SingleTxtG"/>
      </w:pPr>
      <w:r w:rsidRPr="002D0AD4">
        <w:t>2.</w:t>
      </w:r>
      <w:r>
        <w:tab/>
      </w:r>
      <w:r w:rsidRPr="002D0AD4">
        <w:t xml:space="preserve">I am less persuaded, however, by the Committee’s treatment of </w:t>
      </w:r>
      <w:r>
        <w:t xml:space="preserve">admissibility </w:t>
      </w:r>
      <w:proofErr w:type="spellStart"/>
      <w:r w:rsidRPr="00275815">
        <w:rPr>
          <w:i/>
        </w:rPr>
        <w:t>rationae</w:t>
      </w:r>
      <w:proofErr w:type="spellEnd"/>
      <w:r w:rsidRPr="00275815">
        <w:rPr>
          <w:i/>
        </w:rPr>
        <w:t xml:space="preserve"> </w:t>
      </w:r>
      <w:proofErr w:type="spellStart"/>
      <w:r w:rsidRPr="00275815">
        <w:rPr>
          <w:i/>
        </w:rPr>
        <w:t>temporis</w:t>
      </w:r>
      <w:proofErr w:type="spellEnd"/>
      <w:r>
        <w:t xml:space="preserve"> of allegations pertaining to articles 12 and 13.</w:t>
      </w:r>
      <w:r w:rsidRPr="002D0AD4">
        <w:t xml:space="preserve"> I am of the view that </w:t>
      </w:r>
      <w:r>
        <w:t xml:space="preserve">on 5 </w:t>
      </w:r>
      <w:r w:rsidRPr="00A25B89">
        <w:t>November</w:t>
      </w:r>
      <w:r>
        <w:t xml:space="preserve"> 2010 </w:t>
      </w:r>
      <w:r w:rsidRPr="00C7088F">
        <w:t>the District Court of Western Australia</w:t>
      </w:r>
      <w:r>
        <w:t xml:space="preserve"> did not examine the author’s claims on its merits and all decisions related to the author’s capacity to plead not guilty occurred before the entry into force of the Optional Protocol for the State party. I consider that the decision of the District Court did not in any way reinforce the previous decisions of courts, taken prior to the entry into force of the Optional Protocol for the State Party. Therefore, I am of the view that the author’s allegations pertaining to articles 12 and 13 of the Convention are inadmissible </w:t>
      </w:r>
      <w:proofErr w:type="spellStart"/>
      <w:r w:rsidRPr="00275815">
        <w:rPr>
          <w:i/>
        </w:rPr>
        <w:t>rationae</w:t>
      </w:r>
      <w:proofErr w:type="spellEnd"/>
      <w:r w:rsidRPr="00275815">
        <w:rPr>
          <w:i/>
        </w:rPr>
        <w:t xml:space="preserve"> </w:t>
      </w:r>
      <w:proofErr w:type="spellStart"/>
      <w:r w:rsidRPr="00275815">
        <w:rPr>
          <w:i/>
        </w:rPr>
        <w:t>temporis</w:t>
      </w:r>
      <w:proofErr w:type="spellEnd"/>
      <w:r>
        <w:t>.</w:t>
      </w:r>
    </w:p>
    <w:p w:rsidR="00F85F17" w:rsidRPr="00F85F17" w:rsidRDefault="00F85F17" w:rsidP="00F85F17">
      <w:pPr>
        <w:spacing w:before="240"/>
        <w:ind w:left="1134" w:right="1134"/>
        <w:jc w:val="center"/>
        <w:rPr>
          <w:u w:val="single"/>
        </w:rPr>
      </w:pPr>
      <w:r>
        <w:rPr>
          <w:sz w:val="24"/>
          <w:szCs w:val="24"/>
          <w:u w:val="single"/>
        </w:rPr>
        <w:tab/>
      </w:r>
      <w:r>
        <w:rPr>
          <w:sz w:val="24"/>
          <w:szCs w:val="24"/>
          <w:u w:val="single"/>
        </w:rPr>
        <w:tab/>
      </w:r>
      <w:r>
        <w:rPr>
          <w:sz w:val="24"/>
          <w:szCs w:val="24"/>
          <w:u w:val="single"/>
        </w:rPr>
        <w:tab/>
      </w:r>
    </w:p>
    <w:sectPr w:rsidR="00F85F17" w:rsidRPr="00F85F17" w:rsidSect="008411F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AE" w:rsidRDefault="000A03AE"/>
  </w:endnote>
  <w:endnote w:type="continuationSeparator" w:id="0">
    <w:p w:rsidR="000A03AE" w:rsidRDefault="000A03AE"/>
  </w:endnote>
  <w:endnote w:type="continuationNotice" w:id="1">
    <w:p w:rsidR="000A03AE" w:rsidRDefault="000A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font294">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F4" w:rsidRPr="008411F4" w:rsidRDefault="008411F4" w:rsidP="008411F4">
    <w:pPr>
      <w:pStyle w:val="Footer"/>
      <w:tabs>
        <w:tab w:val="right" w:pos="9638"/>
      </w:tabs>
    </w:pPr>
    <w:r w:rsidRPr="008411F4">
      <w:rPr>
        <w:b/>
        <w:sz w:val="18"/>
      </w:rPr>
      <w:fldChar w:fldCharType="begin"/>
    </w:r>
    <w:r w:rsidRPr="008411F4">
      <w:rPr>
        <w:b/>
        <w:sz w:val="18"/>
      </w:rPr>
      <w:instrText xml:space="preserve"> PAGE  \* MERGEFORMAT </w:instrText>
    </w:r>
    <w:r w:rsidRPr="008411F4">
      <w:rPr>
        <w:b/>
        <w:sz w:val="18"/>
      </w:rPr>
      <w:fldChar w:fldCharType="separate"/>
    </w:r>
    <w:r w:rsidR="0055577E">
      <w:rPr>
        <w:b/>
        <w:noProof/>
        <w:sz w:val="18"/>
      </w:rPr>
      <w:t>2</w:t>
    </w:r>
    <w:r w:rsidRPr="008411F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F4" w:rsidRPr="008411F4" w:rsidRDefault="008411F4" w:rsidP="008411F4">
    <w:pPr>
      <w:pStyle w:val="Footer"/>
      <w:tabs>
        <w:tab w:val="right" w:pos="9638"/>
      </w:tabs>
      <w:rPr>
        <w:b/>
        <w:sz w:val="18"/>
      </w:rPr>
    </w:pPr>
    <w:r>
      <w:tab/>
    </w:r>
    <w:r w:rsidRPr="008411F4">
      <w:rPr>
        <w:b/>
        <w:sz w:val="18"/>
      </w:rPr>
      <w:fldChar w:fldCharType="begin"/>
    </w:r>
    <w:r w:rsidRPr="008411F4">
      <w:rPr>
        <w:b/>
        <w:sz w:val="18"/>
      </w:rPr>
      <w:instrText xml:space="preserve"> PAGE  \* MERGEFORMAT </w:instrText>
    </w:r>
    <w:r w:rsidRPr="008411F4">
      <w:rPr>
        <w:b/>
        <w:sz w:val="18"/>
      </w:rPr>
      <w:fldChar w:fldCharType="separate"/>
    </w:r>
    <w:r w:rsidR="0055577E">
      <w:rPr>
        <w:b/>
        <w:noProof/>
        <w:sz w:val="18"/>
      </w:rPr>
      <w:t>3</w:t>
    </w:r>
    <w:r w:rsidRPr="008411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52" w:rsidRDefault="00317752" w:rsidP="00317752">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17752" w:rsidRDefault="00317752" w:rsidP="00317752">
    <w:pPr>
      <w:pStyle w:val="Footer"/>
      <w:ind w:right="1134"/>
      <w:rPr>
        <w:sz w:val="20"/>
      </w:rPr>
    </w:pPr>
    <w:r>
      <w:rPr>
        <w:sz w:val="20"/>
      </w:rPr>
      <w:t>GE.16-14619(E)</w:t>
    </w:r>
  </w:p>
  <w:p w:rsidR="00317752" w:rsidRPr="00317752" w:rsidRDefault="00317752" w:rsidP="003177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944" cy="643944"/>
          <wp:effectExtent l="0" t="0" r="3810" b="3810"/>
          <wp:wrapNone/>
          <wp:docPr id="3" name="Picture 1" descr="http://undocs.org/m2/QRCode.ashx?DS=CRPD/C/16/DR/7/2012/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6/DR/7/2012/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AE" w:rsidRPr="000B175B" w:rsidRDefault="000A03AE" w:rsidP="000B175B">
      <w:pPr>
        <w:tabs>
          <w:tab w:val="right" w:pos="2155"/>
        </w:tabs>
        <w:spacing w:after="80"/>
        <w:ind w:left="680"/>
        <w:rPr>
          <w:u w:val="single"/>
        </w:rPr>
      </w:pPr>
      <w:r>
        <w:rPr>
          <w:u w:val="single"/>
        </w:rPr>
        <w:tab/>
      </w:r>
    </w:p>
  </w:footnote>
  <w:footnote w:type="continuationSeparator" w:id="0">
    <w:p w:rsidR="000A03AE" w:rsidRPr="00FC68B7" w:rsidRDefault="000A03AE" w:rsidP="00FC68B7">
      <w:pPr>
        <w:tabs>
          <w:tab w:val="left" w:pos="2155"/>
        </w:tabs>
        <w:spacing w:after="80"/>
        <w:ind w:left="680"/>
        <w:rPr>
          <w:u w:val="single"/>
        </w:rPr>
      </w:pPr>
      <w:r>
        <w:rPr>
          <w:u w:val="single"/>
        </w:rPr>
        <w:tab/>
      </w:r>
    </w:p>
  </w:footnote>
  <w:footnote w:type="continuationNotice" w:id="1">
    <w:p w:rsidR="000A03AE" w:rsidRDefault="000A03AE"/>
  </w:footnote>
  <w:footnote w:id="2">
    <w:p w:rsidR="00644131" w:rsidRPr="0037164E" w:rsidRDefault="00644131" w:rsidP="00644131">
      <w:pPr>
        <w:pStyle w:val="FootnoteText"/>
      </w:pPr>
      <w:r>
        <w:rPr>
          <w:rStyle w:val="FootnoteReference"/>
        </w:rPr>
        <w:tab/>
      </w:r>
      <w:r w:rsidRPr="005B4A9C">
        <w:rPr>
          <w:rStyle w:val="FootnoteReference"/>
          <w:sz w:val="20"/>
          <w:vertAlign w:val="baseline"/>
        </w:rPr>
        <w:t>*</w:t>
      </w:r>
      <w:r>
        <w:rPr>
          <w:rStyle w:val="FootnoteReference"/>
          <w:sz w:val="20"/>
          <w:vertAlign w:val="baseline"/>
        </w:rPr>
        <w:tab/>
      </w:r>
      <w:proofErr w:type="gramStart"/>
      <w:r>
        <w:t xml:space="preserve">Adopted by the Committee at its </w:t>
      </w:r>
      <w:r>
        <w:rPr>
          <w:color w:val="000000" w:themeColor="text1"/>
        </w:rPr>
        <w:t>sixteenth</w:t>
      </w:r>
      <w:r w:rsidRPr="005B4A9C">
        <w:rPr>
          <w:color w:val="000000" w:themeColor="text1"/>
        </w:rPr>
        <w:t xml:space="preserve"> </w:t>
      </w:r>
      <w:r>
        <w:t>session (</w:t>
      </w:r>
      <w:r>
        <w:rPr>
          <w:color w:val="000000" w:themeColor="text1"/>
        </w:rPr>
        <w:t>15 August-2 September</w:t>
      </w:r>
      <w:r w:rsidRPr="005B4A9C">
        <w:rPr>
          <w:color w:val="000000" w:themeColor="text1"/>
        </w:rPr>
        <w:t xml:space="preserve"> 2016</w:t>
      </w:r>
      <w:r>
        <w:t>).</w:t>
      </w:r>
      <w:proofErr w:type="gramEnd"/>
    </w:p>
  </w:footnote>
  <w:footnote w:id="3">
    <w:p w:rsidR="00644131" w:rsidRPr="00C57AB5" w:rsidRDefault="00644131" w:rsidP="00644131">
      <w:pPr>
        <w:pStyle w:val="FootnoteText"/>
      </w:pPr>
      <w:r>
        <w:rPr>
          <w:rStyle w:val="FootnoteReference"/>
        </w:rPr>
        <w:tab/>
      </w:r>
      <w:r w:rsidRPr="00C57AB5">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w:t>
      </w:r>
      <w:hyperlink r:id="rId1" w:history="1">
        <w:r w:rsidRPr="00305303">
          <w:t>Mohammed Al-</w:t>
        </w:r>
        <w:proofErr w:type="spellStart"/>
        <w:r w:rsidRPr="00305303">
          <w:t>Tarawneh</w:t>
        </w:r>
        <w:proofErr w:type="spellEnd"/>
      </w:hyperlink>
      <w:r w:rsidRPr="00305303">
        <w:t xml:space="preserve">, </w:t>
      </w:r>
      <w:proofErr w:type="spellStart"/>
      <w:r w:rsidRPr="00305303">
        <w:t>Danlami</w:t>
      </w:r>
      <w:proofErr w:type="spellEnd"/>
      <w:r w:rsidRPr="00305303">
        <w:t xml:space="preserve"> </w:t>
      </w:r>
      <w:proofErr w:type="spellStart"/>
      <w:r w:rsidRPr="00305303">
        <w:t>Umaru</w:t>
      </w:r>
      <w:proofErr w:type="spellEnd"/>
      <w:r w:rsidRPr="00305303">
        <w:t xml:space="preserve"> </w:t>
      </w:r>
      <w:proofErr w:type="spellStart"/>
      <w:r w:rsidRPr="00305303">
        <w:t>Basharu</w:t>
      </w:r>
      <w:proofErr w:type="spellEnd"/>
      <w:r w:rsidRPr="00305303">
        <w:t xml:space="preserve">, </w:t>
      </w:r>
      <w:proofErr w:type="spellStart"/>
      <w:r w:rsidRPr="00305303">
        <w:t>Munthian</w:t>
      </w:r>
      <w:proofErr w:type="spellEnd"/>
      <w:r w:rsidRPr="00305303">
        <w:t xml:space="preserve"> </w:t>
      </w:r>
      <w:proofErr w:type="spellStart"/>
      <w:r w:rsidRPr="00305303">
        <w:t>Buntan</w:t>
      </w:r>
      <w:proofErr w:type="spellEnd"/>
      <w:r w:rsidRPr="00305303">
        <w:t xml:space="preserve">, </w:t>
      </w:r>
      <w:hyperlink r:id="rId2" w:history="1">
        <w:proofErr w:type="spellStart"/>
        <w:r w:rsidRPr="00305303">
          <w:t>María</w:t>
        </w:r>
        <w:proofErr w:type="spellEnd"/>
        <w:r>
          <w:t> </w:t>
        </w:r>
        <w:r w:rsidRPr="00305303">
          <w:t xml:space="preserve">Soledad </w:t>
        </w:r>
        <w:proofErr w:type="spellStart"/>
        <w:r w:rsidRPr="00305303">
          <w:t>Cisternas</w:t>
        </w:r>
        <w:proofErr w:type="spellEnd"/>
        <w:r w:rsidRPr="00305303">
          <w:t xml:space="preserve"> Reyes</w:t>
        </w:r>
      </w:hyperlink>
      <w:r w:rsidRPr="00305303">
        <w:t xml:space="preserve">, </w:t>
      </w:r>
      <w:proofErr w:type="spellStart"/>
      <w:r w:rsidRPr="00305303">
        <w:t>Theresia</w:t>
      </w:r>
      <w:proofErr w:type="spellEnd"/>
      <w:r w:rsidRPr="00305303">
        <w:t xml:space="preserve"> </w:t>
      </w:r>
      <w:proofErr w:type="spellStart"/>
      <w:r w:rsidRPr="00305303">
        <w:t>Degener</w:t>
      </w:r>
      <w:proofErr w:type="spellEnd"/>
      <w:r w:rsidRPr="00305303">
        <w:t xml:space="preserve">, </w:t>
      </w:r>
      <w:proofErr w:type="spellStart"/>
      <w:r w:rsidRPr="00305303">
        <w:t>Stig</w:t>
      </w:r>
      <w:proofErr w:type="spellEnd"/>
      <w:r w:rsidRPr="00305303">
        <w:t xml:space="preserve"> </w:t>
      </w:r>
      <w:proofErr w:type="spellStart"/>
      <w:r w:rsidRPr="00305303">
        <w:t>Langvad</w:t>
      </w:r>
      <w:proofErr w:type="spellEnd"/>
      <w:r w:rsidRPr="00305303">
        <w:t xml:space="preserve">, </w:t>
      </w:r>
      <w:proofErr w:type="spellStart"/>
      <w:r w:rsidRPr="00305303">
        <w:t>L</w:t>
      </w:r>
      <w:r>
        <w:t>á</w:t>
      </w:r>
      <w:r w:rsidRPr="00305303">
        <w:t>szlo</w:t>
      </w:r>
      <w:proofErr w:type="spellEnd"/>
      <w:r w:rsidRPr="00305303">
        <w:t xml:space="preserve"> </w:t>
      </w:r>
      <w:proofErr w:type="spellStart"/>
      <w:r w:rsidRPr="00305303">
        <w:t>G</w:t>
      </w:r>
      <w:r>
        <w:t>á</w:t>
      </w:r>
      <w:r w:rsidRPr="00305303">
        <w:t>bor</w:t>
      </w:r>
      <w:proofErr w:type="spellEnd"/>
      <w:r w:rsidRPr="00305303">
        <w:t xml:space="preserve"> </w:t>
      </w:r>
      <w:proofErr w:type="spellStart"/>
      <w:r w:rsidRPr="00305303">
        <w:t>Lovaszy</w:t>
      </w:r>
      <w:proofErr w:type="spellEnd"/>
      <w:r w:rsidRPr="00305303">
        <w:t xml:space="preserve">, Diane Kingston, Martin </w:t>
      </w:r>
      <w:proofErr w:type="spellStart"/>
      <w:r w:rsidRPr="00305303">
        <w:t>Babu</w:t>
      </w:r>
      <w:proofErr w:type="spellEnd"/>
      <w:r w:rsidRPr="00305303">
        <w:t xml:space="preserve"> </w:t>
      </w:r>
      <w:proofErr w:type="spellStart"/>
      <w:r w:rsidRPr="00305303">
        <w:t>Mwesigwa</w:t>
      </w:r>
      <w:proofErr w:type="spellEnd"/>
      <w:r w:rsidRPr="00305303">
        <w:t xml:space="preserve">, </w:t>
      </w:r>
      <w:hyperlink r:id="rId3" w:history="1">
        <w:r w:rsidRPr="00305303">
          <w:t>Carlos</w:t>
        </w:r>
      </w:hyperlink>
      <w:r w:rsidRPr="00305303">
        <w:t xml:space="preserve"> Alberto Parra </w:t>
      </w:r>
      <w:proofErr w:type="spellStart"/>
      <w:r w:rsidRPr="00305303">
        <w:t>Dussan</w:t>
      </w:r>
      <w:proofErr w:type="spellEnd"/>
      <w:r w:rsidRPr="00305303">
        <w:t xml:space="preserve">, </w:t>
      </w:r>
      <w:proofErr w:type="spellStart"/>
      <w:r w:rsidR="00D928A6">
        <w:t>Safak</w:t>
      </w:r>
      <w:proofErr w:type="spellEnd"/>
      <w:r w:rsidR="00D928A6">
        <w:t xml:space="preserve"> </w:t>
      </w:r>
      <w:proofErr w:type="spellStart"/>
      <w:r w:rsidR="00D928A6">
        <w:t>Pavey</w:t>
      </w:r>
      <w:proofErr w:type="spellEnd"/>
      <w:r w:rsidR="00D928A6">
        <w:t xml:space="preserve">, Ana </w:t>
      </w:r>
      <w:proofErr w:type="spellStart"/>
      <w:r w:rsidR="00D928A6">
        <w:t>Pelaez</w:t>
      </w:r>
      <w:proofErr w:type="spellEnd"/>
      <w:r w:rsidR="00D928A6">
        <w:t xml:space="preserve"> Narvaez, </w:t>
      </w:r>
      <w:proofErr w:type="spellStart"/>
      <w:r w:rsidRPr="00305303">
        <w:t>Coomaravel</w:t>
      </w:r>
      <w:proofErr w:type="spellEnd"/>
      <w:r w:rsidRPr="00305303">
        <w:t xml:space="preserve"> </w:t>
      </w:r>
      <w:proofErr w:type="spellStart"/>
      <w:r w:rsidRPr="00305303">
        <w:t>Pyaneandee</w:t>
      </w:r>
      <w:proofErr w:type="spellEnd"/>
      <w:r w:rsidRPr="00305303">
        <w:t xml:space="preserve">, </w:t>
      </w:r>
      <w:hyperlink r:id="rId4" w:history="1">
        <w:r w:rsidRPr="00305303">
          <w:t xml:space="preserve">Silvia Judith </w:t>
        </w:r>
        <w:proofErr w:type="spellStart"/>
        <w:r w:rsidRPr="00305303">
          <w:t>Quan</w:t>
        </w:r>
        <w:proofErr w:type="spellEnd"/>
        <w:r w:rsidRPr="00305303">
          <w:t>-Chang</w:t>
        </w:r>
      </w:hyperlink>
      <w:r w:rsidRPr="00305303">
        <w:t xml:space="preserve">, Jonas </w:t>
      </w:r>
      <w:proofErr w:type="spellStart"/>
      <w:r w:rsidRPr="00305303">
        <w:t>Ruskus</w:t>
      </w:r>
      <w:proofErr w:type="spellEnd"/>
      <w:r w:rsidRPr="00305303">
        <w:t xml:space="preserve">, </w:t>
      </w:r>
      <w:hyperlink r:id="rId5" w:history="1">
        <w:proofErr w:type="spellStart"/>
        <w:r w:rsidRPr="00305303">
          <w:t>Damjan</w:t>
        </w:r>
        <w:proofErr w:type="spellEnd"/>
        <w:r w:rsidRPr="00305303">
          <w:t xml:space="preserve"> </w:t>
        </w:r>
        <w:proofErr w:type="spellStart"/>
        <w:r w:rsidRPr="00305303">
          <w:t>Tati</w:t>
        </w:r>
      </w:hyperlink>
      <w:r w:rsidRPr="00305303">
        <w:t>ć</w:t>
      </w:r>
      <w:proofErr w:type="spellEnd"/>
      <w:r w:rsidRPr="00305303">
        <w:t xml:space="preserve"> and Liang You</w:t>
      </w:r>
      <w:r>
        <w:t>.</w:t>
      </w:r>
    </w:p>
  </w:footnote>
  <w:footnote w:id="4">
    <w:p w:rsidR="00993133" w:rsidRPr="004C0027" w:rsidRDefault="00993133" w:rsidP="00993133">
      <w:pPr>
        <w:pStyle w:val="FootnoteText"/>
        <w:widowControl w:val="0"/>
        <w:tabs>
          <w:tab w:val="clear" w:pos="1021"/>
          <w:tab w:val="right" w:pos="1020"/>
        </w:tabs>
      </w:pPr>
      <w:r>
        <w:tab/>
      </w:r>
      <w:r>
        <w:rPr>
          <w:rStyle w:val="FootnoteReference"/>
        </w:rPr>
        <w:footnoteRef/>
      </w:r>
      <w:r>
        <w:tab/>
      </w:r>
      <w:r w:rsidRPr="00FC7BE8">
        <w:rPr>
          <w:szCs w:val="18"/>
        </w:rPr>
        <w:t>The counsel submits that he was advised of the above by the Registrar’s office, District Court of Western Australia on 15 March 201</w:t>
      </w:r>
      <w:r>
        <w:rPr>
          <w:szCs w:val="18"/>
        </w:rPr>
        <w:t>3.</w:t>
      </w:r>
      <w:r>
        <w:t xml:space="preserve"> </w:t>
      </w:r>
    </w:p>
  </w:footnote>
  <w:footnote w:id="5">
    <w:p w:rsidR="00993133" w:rsidRPr="004C0027" w:rsidRDefault="00993133" w:rsidP="00993133">
      <w:pPr>
        <w:pStyle w:val="FootnoteText"/>
        <w:widowControl w:val="0"/>
        <w:tabs>
          <w:tab w:val="clear" w:pos="1021"/>
          <w:tab w:val="right" w:pos="1020"/>
        </w:tabs>
      </w:pPr>
      <w:r>
        <w:tab/>
      </w:r>
      <w:r>
        <w:rPr>
          <w:rStyle w:val="FootnoteReference"/>
        </w:rPr>
        <w:footnoteRef/>
      </w:r>
      <w:r>
        <w:tab/>
        <w:t xml:space="preserve">Correctional centre conducted by the Western Australian Department of Corrective Services. </w:t>
      </w:r>
    </w:p>
  </w:footnote>
  <w:footnote w:id="6">
    <w:p w:rsidR="00993133" w:rsidRPr="004C0027" w:rsidRDefault="00993133" w:rsidP="00993133">
      <w:pPr>
        <w:pStyle w:val="FootnoteText"/>
        <w:widowControl w:val="0"/>
        <w:tabs>
          <w:tab w:val="clear" w:pos="1021"/>
          <w:tab w:val="right" w:pos="1020"/>
        </w:tabs>
      </w:pPr>
      <w:r>
        <w:tab/>
      </w:r>
      <w:r>
        <w:rPr>
          <w:rStyle w:val="FootnoteReference"/>
        </w:rPr>
        <w:footnoteRef/>
      </w:r>
      <w:r>
        <w:tab/>
        <w:t>The author refers to a report of the Western Australian Department of the Attorney General, Court Services Statistics: Adult Court Records, 2003, according to which, in 2003, the median sentence imposed upon conviction in the in the category of offence with which Mr. Noble was charged was 24 months (the average sentence being 30 months)</w:t>
      </w:r>
      <w:r w:rsidR="003F2C45">
        <w:t>.</w:t>
      </w:r>
      <w:r>
        <w:t xml:space="preserve"> </w:t>
      </w:r>
    </w:p>
  </w:footnote>
  <w:footnote w:id="7">
    <w:p w:rsidR="00993133" w:rsidRPr="004C0027" w:rsidRDefault="00993133" w:rsidP="00993133">
      <w:pPr>
        <w:pStyle w:val="FootnoteText"/>
        <w:widowControl w:val="0"/>
        <w:tabs>
          <w:tab w:val="clear" w:pos="1021"/>
          <w:tab w:val="right" w:pos="1020"/>
        </w:tabs>
      </w:pPr>
      <w:r>
        <w:tab/>
      </w:r>
      <w:r>
        <w:rPr>
          <w:rStyle w:val="FootnoteReference"/>
        </w:rPr>
        <w:footnoteRef/>
      </w:r>
      <w:r>
        <w:tab/>
      </w:r>
      <w:r w:rsidR="00C22B2D">
        <w:rPr>
          <w:szCs w:val="18"/>
        </w:rPr>
        <w:t>C</w:t>
      </w:r>
      <w:r w:rsidRPr="00FC7BE8">
        <w:rPr>
          <w:szCs w:val="18"/>
        </w:rPr>
        <w:t>opy of the inq</w:t>
      </w:r>
      <w:r>
        <w:rPr>
          <w:szCs w:val="18"/>
        </w:rPr>
        <w:t>uiry report dated 7 June 2011</w:t>
      </w:r>
      <w:r w:rsidR="00C22B2D">
        <w:rPr>
          <w:szCs w:val="18"/>
        </w:rPr>
        <w:t xml:space="preserve"> is provided</w:t>
      </w:r>
      <w:r>
        <w:rPr>
          <w:szCs w:val="18"/>
        </w:rPr>
        <w:t>.</w:t>
      </w:r>
      <w:r>
        <w:t xml:space="preserve"> </w:t>
      </w:r>
    </w:p>
  </w:footnote>
  <w:footnote w:id="8">
    <w:p w:rsidR="00993133" w:rsidRPr="004C0027" w:rsidRDefault="00993133" w:rsidP="00993133">
      <w:pPr>
        <w:pStyle w:val="FootnoteText"/>
        <w:widowControl w:val="0"/>
        <w:tabs>
          <w:tab w:val="clear" w:pos="1021"/>
          <w:tab w:val="right" w:pos="1020"/>
        </w:tabs>
      </w:pPr>
      <w:r>
        <w:tab/>
      </w:r>
      <w:r>
        <w:rPr>
          <w:rStyle w:val="FootnoteReference"/>
        </w:rPr>
        <w:footnoteRef/>
      </w:r>
      <w:r>
        <w:tab/>
      </w:r>
      <w:r w:rsidRPr="00FC7BE8">
        <w:rPr>
          <w:szCs w:val="18"/>
        </w:rPr>
        <w:t>The counsel submits that he was advised of the above by the Registrar’s office, District Court of Western Australia on 15 March 2012.</w:t>
      </w:r>
      <w:r>
        <w:t xml:space="preserve"> </w:t>
      </w:r>
    </w:p>
  </w:footnote>
  <w:footnote w:id="9">
    <w:p w:rsidR="00632048" w:rsidRPr="00632048" w:rsidRDefault="004C0027">
      <w:pPr>
        <w:pStyle w:val="FootnoteText"/>
      </w:pPr>
      <w:r>
        <w:tab/>
      </w:r>
      <w:r w:rsidR="00632048">
        <w:rPr>
          <w:rStyle w:val="FootnoteReference"/>
        </w:rPr>
        <w:footnoteRef/>
      </w:r>
      <w:r>
        <w:tab/>
      </w:r>
      <w:r w:rsidR="00632048">
        <w:t xml:space="preserve">The ten conditions are: (1) To engage in programmes as directed by the supervising officer; (2) Not to be in possession of or use any illicit substance including cannabis; (3) Not to consume </w:t>
      </w:r>
      <w:proofErr w:type="spellStart"/>
      <w:r w:rsidR="00632048">
        <w:t>alcojol</w:t>
      </w:r>
      <w:proofErr w:type="spellEnd"/>
      <w:r w:rsidR="00632048">
        <w:t>; (4) To undergo regular and random testing for all illicit substances and alcohol as directed by the supervising officer; (5) Not to have any direct or indirect contact with the alleged victims; (6) Not to have any contact with any female children under the age of 1</w:t>
      </w:r>
      <w:r w:rsidR="00D319BF">
        <w:t>6 years unless supervised by an adult previously approved by the supervising officer; (7) Any overnight stays away from primary residence must be pre-approved by the Mentally Impaired Accused Review Board; (8) Not to change address without the prior approval of the Mentally Impaired Accused Review Board; (9) To submit to breath testing as requested by Police; and (10) Not to enter licensed premises.</w:t>
      </w:r>
    </w:p>
  </w:footnote>
  <w:footnote w:id="10">
    <w:p w:rsidR="00993133" w:rsidRPr="005942AB" w:rsidRDefault="00993133" w:rsidP="00993133">
      <w:pPr>
        <w:pStyle w:val="FootnoteText"/>
        <w:widowControl w:val="0"/>
        <w:tabs>
          <w:tab w:val="clear" w:pos="1021"/>
          <w:tab w:val="right" w:pos="1020"/>
        </w:tabs>
      </w:pPr>
      <w:r>
        <w:tab/>
      </w:r>
      <w:r>
        <w:rPr>
          <w:rStyle w:val="FootnoteReference"/>
        </w:rPr>
        <w:footnoteRef/>
      </w:r>
      <w:r>
        <w:tab/>
      </w:r>
      <w:r w:rsidRPr="00CF7312">
        <w:t xml:space="preserve">The author refers to </w:t>
      </w:r>
      <w:proofErr w:type="spellStart"/>
      <w:r w:rsidRPr="00861C9F">
        <w:rPr>
          <w:i/>
        </w:rPr>
        <w:t>Fardon</w:t>
      </w:r>
      <w:proofErr w:type="spellEnd"/>
      <w:r w:rsidRPr="00861C9F">
        <w:rPr>
          <w:i/>
        </w:rPr>
        <w:t xml:space="preserve"> v. Attorney General</w:t>
      </w:r>
      <w:r>
        <w:t xml:space="preserve"> (</w:t>
      </w:r>
      <w:proofErr w:type="spellStart"/>
      <w:r>
        <w:t>Qld</w:t>
      </w:r>
      <w:proofErr w:type="spellEnd"/>
      <w:r>
        <w:t xml:space="preserve">) (2004) 210 ALR 50. </w:t>
      </w:r>
    </w:p>
  </w:footnote>
  <w:footnote w:id="11">
    <w:p w:rsidR="00993133" w:rsidRPr="005942AB" w:rsidRDefault="00993133" w:rsidP="00993133">
      <w:pPr>
        <w:pStyle w:val="FootnoteText"/>
        <w:widowControl w:val="0"/>
        <w:tabs>
          <w:tab w:val="clear" w:pos="1021"/>
          <w:tab w:val="right" w:pos="1020"/>
        </w:tabs>
      </w:pPr>
      <w:r>
        <w:tab/>
      </w:r>
      <w:r>
        <w:rPr>
          <w:rStyle w:val="FootnoteReference"/>
        </w:rPr>
        <w:footnoteRef/>
      </w:r>
      <w:r>
        <w:tab/>
      </w:r>
      <w:r w:rsidRPr="00E8299E">
        <w:rPr>
          <w:iCs/>
        </w:rPr>
        <w:t>Criminal Law (Mentally Impaired Defendants) Act</w:t>
      </w:r>
      <w:r w:rsidRPr="00E8299E">
        <w:t xml:space="preserve"> </w:t>
      </w:r>
      <w:r w:rsidRPr="00E8299E">
        <w:rPr>
          <w:iCs/>
        </w:rPr>
        <w:t>1996</w:t>
      </w:r>
      <w:r w:rsidRPr="00E8299E">
        <w:t xml:space="preserve"> (WA)</w:t>
      </w:r>
      <w:r>
        <w:t>,</w:t>
      </w:r>
      <w:r w:rsidRPr="00E8299E">
        <w:t xml:space="preserve"> s</w:t>
      </w:r>
      <w:r>
        <w:t>. 19(5)</w:t>
      </w:r>
      <w:r w:rsidR="003F2C45">
        <w:t>.</w:t>
      </w:r>
      <w:r>
        <w:t xml:space="preserve"> </w:t>
      </w:r>
    </w:p>
  </w:footnote>
  <w:footnote w:id="12">
    <w:p w:rsidR="00EB6761" w:rsidRPr="005942AB" w:rsidRDefault="00EB6761" w:rsidP="00EB6761">
      <w:pPr>
        <w:pStyle w:val="FootnoteText"/>
        <w:widowControl w:val="0"/>
        <w:tabs>
          <w:tab w:val="clear" w:pos="1021"/>
          <w:tab w:val="right" w:pos="1020"/>
        </w:tabs>
      </w:pPr>
      <w:r>
        <w:tab/>
      </w:r>
      <w:r>
        <w:rPr>
          <w:rStyle w:val="FootnoteReference"/>
        </w:rPr>
        <w:footnoteRef/>
      </w:r>
      <w:r>
        <w:tab/>
      </w:r>
      <w:proofErr w:type="gramStart"/>
      <w:r w:rsidR="00C22B2D" w:rsidRPr="00C22B2D">
        <w:rPr>
          <w:i/>
          <w:iCs/>
        </w:rPr>
        <w:t>Ibid</w:t>
      </w:r>
      <w:r w:rsidR="00C22B2D">
        <w:rPr>
          <w:iCs/>
        </w:rPr>
        <w:t>.</w:t>
      </w:r>
      <w:r>
        <w:t>,</w:t>
      </w:r>
      <w:proofErr w:type="gramEnd"/>
      <w:r w:rsidRPr="00E8299E">
        <w:t xml:space="preserve"> s</w:t>
      </w:r>
      <w:r>
        <w:t xml:space="preserve">. 19. </w:t>
      </w:r>
    </w:p>
  </w:footnote>
  <w:footnote w:id="13">
    <w:p w:rsidR="00F85F17" w:rsidRPr="00973DBA" w:rsidRDefault="00F85F17" w:rsidP="00F85F17">
      <w:pPr>
        <w:pStyle w:val="FootnoteText"/>
      </w:pPr>
      <w:r>
        <w:tab/>
      </w:r>
      <w:r w:rsidRPr="00973DBA">
        <w:rPr>
          <w:rStyle w:val="FootnoteReference"/>
        </w:rPr>
        <w:footnoteRef/>
      </w:r>
      <w:r>
        <w:tab/>
        <w:t xml:space="preserve">The State party refers to the Committee’s jurisprudence: </w:t>
      </w:r>
      <w:proofErr w:type="spellStart"/>
      <w:r w:rsidRPr="00973DBA">
        <w:rPr>
          <w:i/>
        </w:rPr>
        <w:t>McAlpine</w:t>
      </w:r>
      <w:proofErr w:type="spellEnd"/>
      <w:r w:rsidRPr="00973DBA">
        <w:rPr>
          <w:i/>
        </w:rPr>
        <w:t xml:space="preserve"> v United Kingdom</w:t>
      </w:r>
      <w:r>
        <w:t>, communication no. 6/2011, adopted on 28 September 2012</w:t>
      </w:r>
      <w:r w:rsidRPr="00973DBA">
        <w:t xml:space="preserve">, </w:t>
      </w:r>
      <w:proofErr w:type="gramStart"/>
      <w:r w:rsidRPr="00973DBA">
        <w:t>paragraph</w:t>
      </w:r>
      <w:proofErr w:type="gramEnd"/>
      <w:r w:rsidRPr="00973DBA">
        <w:t xml:space="preserve"> 6.4.</w:t>
      </w:r>
    </w:p>
  </w:footnote>
  <w:footnote w:id="14">
    <w:p w:rsidR="0092400B" w:rsidRPr="005942AB" w:rsidRDefault="0092400B" w:rsidP="0092400B">
      <w:pPr>
        <w:pStyle w:val="FootnoteText"/>
        <w:widowControl w:val="0"/>
        <w:tabs>
          <w:tab w:val="clear" w:pos="1021"/>
          <w:tab w:val="right" w:pos="1020"/>
        </w:tabs>
      </w:pPr>
      <w:r>
        <w:tab/>
      </w:r>
      <w:r>
        <w:rPr>
          <w:rStyle w:val="FootnoteReference"/>
        </w:rPr>
        <w:footnoteRef/>
      </w:r>
      <w:r>
        <w:tab/>
        <w:t xml:space="preserve">The State party provides a copy of the documents </w:t>
      </w:r>
      <w:r w:rsidR="00255159">
        <w:t xml:space="preserve">to the Committee and </w:t>
      </w:r>
      <w:r>
        <w:t xml:space="preserve">to the author’s counsel. </w:t>
      </w:r>
    </w:p>
  </w:footnote>
  <w:footnote w:id="15">
    <w:p w:rsidR="006223D2" w:rsidRPr="005942AB" w:rsidRDefault="006223D2" w:rsidP="006223D2">
      <w:pPr>
        <w:pStyle w:val="FootnoteText"/>
        <w:widowControl w:val="0"/>
        <w:tabs>
          <w:tab w:val="clear" w:pos="1021"/>
          <w:tab w:val="right" w:pos="1020"/>
        </w:tabs>
      </w:pPr>
      <w:r>
        <w:tab/>
      </w:r>
      <w:r>
        <w:rPr>
          <w:rStyle w:val="FootnoteReference"/>
        </w:rPr>
        <w:footnoteRef/>
      </w:r>
      <w:r>
        <w:tab/>
      </w:r>
      <w:r w:rsidRPr="00965636">
        <w:rPr>
          <w:i/>
        </w:rPr>
        <w:t>The Queen v Marlon James Noble</w:t>
      </w:r>
      <w:r w:rsidRPr="00965636">
        <w:t xml:space="preserve"> (1261 of 2002), transcript of proceedings before </w:t>
      </w:r>
      <w:proofErr w:type="spellStart"/>
      <w:r w:rsidRPr="00965636">
        <w:t>Nisbet</w:t>
      </w:r>
      <w:proofErr w:type="spellEnd"/>
      <w:r w:rsidRPr="00965636">
        <w:t xml:space="preserve"> DCJ at District Court of Western Australia, 7 March 2003, pages 37-38.</w:t>
      </w:r>
      <w:r>
        <w:t xml:space="preserve"> </w:t>
      </w:r>
    </w:p>
  </w:footnote>
  <w:footnote w:id="16">
    <w:p w:rsidR="006223D2" w:rsidRPr="005942AB" w:rsidRDefault="006223D2" w:rsidP="006223D2">
      <w:pPr>
        <w:pStyle w:val="FootnoteText"/>
        <w:widowControl w:val="0"/>
        <w:tabs>
          <w:tab w:val="clear" w:pos="1021"/>
          <w:tab w:val="right" w:pos="1020"/>
        </w:tabs>
      </w:pPr>
      <w:r>
        <w:tab/>
      </w:r>
      <w:r>
        <w:rPr>
          <w:rStyle w:val="FootnoteReference"/>
        </w:rPr>
        <w:footnoteRef/>
      </w:r>
      <w:r>
        <w:tab/>
      </w:r>
      <w:proofErr w:type="gramStart"/>
      <w:r>
        <w:rPr>
          <w:i/>
        </w:rPr>
        <w:t>Ibid.</w:t>
      </w:r>
      <w:r w:rsidRPr="00973DBA">
        <w:t>,</w:t>
      </w:r>
      <w:proofErr w:type="gramEnd"/>
      <w:r w:rsidRPr="00973DBA">
        <w:t xml:space="preserve"> page 38.</w:t>
      </w:r>
      <w:r>
        <w:t xml:space="preserve"> </w:t>
      </w:r>
    </w:p>
  </w:footnote>
  <w:footnote w:id="17">
    <w:p w:rsidR="006223D2" w:rsidRPr="005942AB" w:rsidRDefault="006223D2" w:rsidP="006223D2">
      <w:pPr>
        <w:pStyle w:val="FootnoteText"/>
        <w:widowControl w:val="0"/>
        <w:tabs>
          <w:tab w:val="clear" w:pos="1021"/>
          <w:tab w:val="right" w:pos="1020"/>
        </w:tabs>
      </w:pPr>
      <w:r>
        <w:tab/>
      </w:r>
      <w:r>
        <w:rPr>
          <w:rStyle w:val="FootnoteReference"/>
        </w:rPr>
        <w:footnoteRef/>
      </w:r>
      <w:r>
        <w:tab/>
      </w:r>
      <w:r>
        <w:rPr>
          <w:i/>
        </w:rPr>
        <w:t>Ibid</w:t>
      </w:r>
      <w:r w:rsidRPr="00973DBA">
        <w:t>, page</w:t>
      </w:r>
      <w:r>
        <w:t>s</w:t>
      </w:r>
      <w:r w:rsidRPr="00973DBA">
        <w:t xml:space="preserve"> 32</w:t>
      </w:r>
      <w:r>
        <w:t xml:space="preserve"> and 38</w:t>
      </w:r>
      <w:r w:rsidRPr="00973DBA">
        <w:t>.</w:t>
      </w:r>
      <w:r>
        <w:t xml:space="preserve"> </w:t>
      </w:r>
    </w:p>
  </w:footnote>
  <w:footnote w:id="18">
    <w:p w:rsidR="006223D2" w:rsidRPr="005942AB" w:rsidRDefault="006223D2" w:rsidP="006223D2">
      <w:pPr>
        <w:pStyle w:val="FootnoteText"/>
        <w:widowControl w:val="0"/>
        <w:tabs>
          <w:tab w:val="clear" w:pos="1021"/>
          <w:tab w:val="right" w:pos="1020"/>
        </w:tabs>
      </w:pPr>
      <w:r>
        <w:tab/>
      </w:r>
      <w:r>
        <w:rPr>
          <w:rStyle w:val="FootnoteReference"/>
        </w:rPr>
        <w:footnoteRef/>
      </w:r>
      <w:r>
        <w:tab/>
      </w:r>
      <w:proofErr w:type="gramStart"/>
      <w:r>
        <w:rPr>
          <w:i/>
        </w:rPr>
        <w:t>Ibid.</w:t>
      </w:r>
      <w:r w:rsidRPr="00973DBA">
        <w:t>,</w:t>
      </w:r>
      <w:proofErr w:type="gramEnd"/>
      <w:r w:rsidRPr="00973DBA">
        <w:t xml:space="preserve"> page 39</w:t>
      </w:r>
      <w:r w:rsidR="003F2C45">
        <w:t>.</w:t>
      </w:r>
    </w:p>
  </w:footnote>
  <w:footnote w:id="19">
    <w:p w:rsidR="006223D2" w:rsidRPr="005942AB" w:rsidRDefault="006223D2" w:rsidP="006223D2">
      <w:pPr>
        <w:pStyle w:val="FootnoteText"/>
        <w:widowControl w:val="0"/>
        <w:tabs>
          <w:tab w:val="clear" w:pos="1021"/>
          <w:tab w:val="right" w:pos="1020"/>
        </w:tabs>
      </w:pPr>
      <w:r>
        <w:tab/>
      </w:r>
      <w:r>
        <w:rPr>
          <w:rStyle w:val="FootnoteReference"/>
        </w:rPr>
        <w:footnoteRef/>
      </w:r>
      <w:r>
        <w:tab/>
      </w:r>
      <w:r w:rsidRPr="00714C25">
        <w:t>A ‘declared place’ would be a dedicated facility to detain persons under the MID Act in a manner appropriate to their needs and circumstances.</w:t>
      </w:r>
      <w:r>
        <w:t xml:space="preserve"> </w:t>
      </w:r>
    </w:p>
  </w:footnote>
  <w:footnote w:id="20">
    <w:p w:rsidR="006223D2" w:rsidRPr="002F6C96" w:rsidRDefault="006223D2" w:rsidP="006223D2">
      <w:pPr>
        <w:pStyle w:val="FootnoteText"/>
        <w:widowControl w:val="0"/>
        <w:tabs>
          <w:tab w:val="clear" w:pos="1021"/>
          <w:tab w:val="right" w:pos="1020"/>
        </w:tabs>
      </w:pPr>
      <w:r>
        <w:tab/>
      </w:r>
      <w:r>
        <w:rPr>
          <w:rStyle w:val="FootnoteReference"/>
        </w:rPr>
        <w:footnoteRef/>
      </w:r>
      <w:r>
        <w:tab/>
      </w:r>
      <w:r w:rsidRPr="00973DBA">
        <w:rPr>
          <w:i/>
        </w:rPr>
        <w:t>The Queen v Marlon James Noble</w:t>
      </w:r>
      <w:r w:rsidRPr="00973DBA">
        <w:t xml:space="preserve"> (1261 of 2002), </w:t>
      </w:r>
      <w:proofErr w:type="spellStart"/>
      <w:proofErr w:type="gramStart"/>
      <w:r>
        <w:t>op.cit</w:t>
      </w:r>
      <w:proofErr w:type="spellEnd"/>
      <w:r>
        <w:t>.</w:t>
      </w:r>
      <w:r w:rsidRPr="00973DBA">
        <w:t>,</w:t>
      </w:r>
      <w:proofErr w:type="gramEnd"/>
      <w:r w:rsidRPr="00973DBA">
        <w:t xml:space="preserve"> pages 39-40.</w:t>
      </w:r>
      <w:r>
        <w:t xml:space="preserve"> </w:t>
      </w:r>
    </w:p>
  </w:footnote>
  <w:footnote w:id="21">
    <w:p w:rsidR="006223D2" w:rsidRPr="005942AB" w:rsidRDefault="006223D2" w:rsidP="006223D2">
      <w:pPr>
        <w:pStyle w:val="FootnoteText"/>
        <w:widowControl w:val="0"/>
        <w:tabs>
          <w:tab w:val="clear" w:pos="1021"/>
          <w:tab w:val="right" w:pos="1020"/>
        </w:tabs>
      </w:pPr>
      <w:r>
        <w:tab/>
      </w:r>
      <w:r>
        <w:rPr>
          <w:rStyle w:val="FootnoteReference"/>
        </w:rPr>
        <w:footnoteRef/>
      </w:r>
      <w:r>
        <w:tab/>
      </w:r>
      <w:proofErr w:type="gramStart"/>
      <w:r>
        <w:rPr>
          <w:i/>
        </w:rPr>
        <w:t>Ibid.</w:t>
      </w:r>
      <w:r w:rsidRPr="00973DBA">
        <w:t>,</w:t>
      </w:r>
      <w:proofErr w:type="gramEnd"/>
      <w:r w:rsidRPr="00973DBA">
        <w:t xml:space="preserve"> page 40.</w:t>
      </w:r>
      <w:r>
        <w:t xml:space="preserve"> </w:t>
      </w:r>
    </w:p>
  </w:footnote>
  <w:footnote w:id="22">
    <w:p w:rsidR="00DC72A5" w:rsidRPr="005942AB" w:rsidRDefault="00DC72A5" w:rsidP="00DC72A5">
      <w:pPr>
        <w:pStyle w:val="FootnoteText"/>
        <w:widowControl w:val="0"/>
        <w:tabs>
          <w:tab w:val="clear" w:pos="1021"/>
          <w:tab w:val="right" w:pos="1020"/>
        </w:tabs>
      </w:pPr>
      <w:r>
        <w:tab/>
      </w:r>
      <w:r>
        <w:rPr>
          <w:rStyle w:val="FootnoteReference"/>
        </w:rPr>
        <w:footnoteRef/>
      </w:r>
      <w:r>
        <w:tab/>
      </w:r>
      <w:r w:rsidRPr="00973DBA">
        <w:t xml:space="preserve">An accused is ‘committed’ to the court following a hearing at which a judge determines that there is sufficient evidence for the person to </w:t>
      </w:r>
      <w:proofErr w:type="gramStart"/>
      <w:r w:rsidRPr="00973DBA">
        <w:t>proceed</w:t>
      </w:r>
      <w:proofErr w:type="gramEnd"/>
      <w:r w:rsidRPr="00973DBA">
        <w:t xml:space="preserve"> to trial.</w:t>
      </w:r>
      <w:r>
        <w:t xml:space="preserve"> </w:t>
      </w:r>
    </w:p>
  </w:footnote>
  <w:footnote w:id="23">
    <w:p w:rsidR="00DC72A5" w:rsidRPr="005942AB" w:rsidRDefault="00DC72A5" w:rsidP="00DC72A5">
      <w:pPr>
        <w:pStyle w:val="FootnoteText"/>
        <w:widowControl w:val="0"/>
        <w:tabs>
          <w:tab w:val="clear" w:pos="1021"/>
          <w:tab w:val="right" w:pos="1020"/>
        </w:tabs>
      </w:pPr>
      <w:r>
        <w:tab/>
      </w:r>
      <w:r>
        <w:rPr>
          <w:rStyle w:val="FootnoteReference"/>
        </w:rPr>
        <w:footnoteRef/>
      </w:r>
      <w:r>
        <w:tab/>
      </w:r>
      <w:r w:rsidRPr="00973DBA">
        <w:rPr>
          <w:i/>
        </w:rPr>
        <w:t xml:space="preserve">Criminal Law (Mentally Impaired Defendants) Act 1996 </w:t>
      </w:r>
      <w:r w:rsidRPr="00973DBA">
        <w:t>(WA) section 33(2).</w:t>
      </w:r>
      <w:r>
        <w:t xml:space="preserve"> </w:t>
      </w:r>
    </w:p>
  </w:footnote>
  <w:footnote w:id="24">
    <w:p w:rsidR="00DC72A5" w:rsidRPr="005942AB" w:rsidRDefault="00DC72A5" w:rsidP="00DC72A5">
      <w:pPr>
        <w:pStyle w:val="FootnoteText"/>
        <w:widowControl w:val="0"/>
        <w:tabs>
          <w:tab w:val="clear" w:pos="1021"/>
          <w:tab w:val="right" w:pos="1020"/>
        </w:tabs>
      </w:pPr>
      <w:r>
        <w:tab/>
      </w:r>
      <w:r>
        <w:rPr>
          <w:rStyle w:val="FootnoteReference"/>
        </w:rPr>
        <w:footnoteRef/>
      </w:r>
      <w:r>
        <w:tab/>
      </w:r>
      <w:r w:rsidR="00987B76">
        <w:t xml:space="preserve">This decision is taken in consideration of the </w:t>
      </w:r>
      <w:r>
        <w:t xml:space="preserve">factors set out in section 33(3) of the </w:t>
      </w:r>
      <w:r w:rsidRPr="00E56D65">
        <w:t>Criminal Law (Mentally Impaired Accused) Act 1996</w:t>
      </w:r>
      <w:r w:rsidRPr="00973DBA">
        <w:t xml:space="preserve"> (WA)</w:t>
      </w:r>
      <w:proofErr w:type="gramStart"/>
      <w:r w:rsidR="00987B76">
        <w:t>.</w:t>
      </w:r>
      <w:r w:rsidR="003F2C45">
        <w:t>.</w:t>
      </w:r>
      <w:proofErr w:type="gramEnd"/>
      <w:r>
        <w:t xml:space="preserve"> </w:t>
      </w:r>
    </w:p>
  </w:footnote>
  <w:footnote w:id="25">
    <w:p w:rsidR="00DC72A5" w:rsidRPr="005942AB" w:rsidRDefault="00DC72A5" w:rsidP="00DC72A5">
      <w:pPr>
        <w:pStyle w:val="FootnoteText"/>
        <w:widowControl w:val="0"/>
        <w:tabs>
          <w:tab w:val="clear" w:pos="1021"/>
          <w:tab w:val="right" w:pos="1020"/>
        </w:tabs>
      </w:pPr>
      <w:r>
        <w:tab/>
      </w:r>
      <w:r>
        <w:rPr>
          <w:rStyle w:val="FootnoteReference"/>
        </w:rPr>
        <w:footnoteRef/>
      </w:r>
      <w:r>
        <w:tab/>
      </w:r>
      <w:r w:rsidRPr="00973DBA">
        <w:t>Reports on the author’s case were provided on 22 May 2003, 20 August 2004, 19 August 2005, 16 January 2007, 16 April 2008, 15 March 2010, 12 May 2011 and December 2011.</w:t>
      </w:r>
      <w:r>
        <w:t xml:space="preserve"> </w:t>
      </w:r>
    </w:p>
  </w:footnote>
  <w:footnote w:id="26">
    <w:p w:rsidR="00DC72A5" w:rsidRPr="005942AB" w:rsidRDefault="00DC72A5" w:rsidP="00DC72A5">
      <w:pPr>
        <w:pStyle w:val="FootnoteText"/>
        <w:widowControl w:val="0"/>
        <w:tabs>
          <w:tab w:val="clear" w:pos="1021"/>
          <w:tab w:val="right" w:pos="1020"/>
        </w:tabs>
      </w:pPr>
      <w:r>
        <w:tab/>
      </w:r>
      <w:r>
        <w:rPr>
          <w:rStyle w:val="FootnoteReference"/>
        </w:rPr>
        <w:footnoteRef/>
      </w:r>
      <w:r>
        <w:tab/>
      </w:r>
      <w:r w:rsidRPr="00973DBA">
        <w:t xml:space="preserve">Mentally Impaired Accused Review Board WA, </w:t>
      </w:r>
      <w:r w:rsidRPr="00973DBA">
        <w:rPr>
          <w:i/>
        </w:rPr>
        <w:t>Report to the Attorney General: Marlon James Noble</w:t>
      </w:r>
      <w:r>
        <w:t>, December 2011</w:t>
      </w:r>
      <w:r w:rsidRPr="00973DBA">
        <w:t>, page 9.</w:t>
      </w:r>
      <w:r>
        <w:t xml:space="preserve"> </w:t>
      </w:r>
    </w:p>
  </w:footnote>
  <w:footnote w:id="27">
    <w:p w:rsidR="00D411BF" w:rsidRPr="00722E34" w:rsidRDefault="00D411BF" w:rsidP="00D411BF">
      <w:pPr>
        <w:pStyle w:val="FootnoteText"/>
        <w:widowControl w:val="0"/>
        <w:tabs>
          <w:tab w:val="clear" w:pos="1021"/>
          <w:tab w:val="right" w:pos="1020"/>
        </w:tabs>
        <w:rPr>
          <w:lang w:val="en-US"/>
        </w:rPr>
      </w:pPr>
      <w:r>
        <w:tab/>
      </w:r>
      <w:r>
        <w:rPr>
          <w:rStyle w:val="FootnoteReference"/>
        </w:rPr>
        <w:footnoteRef/>
      </w:r>
      <w:r>
        <w:tab/>
      </w:r>
      <w:proofErr w:type="gramStart"/>
      <w:r>
        <w:t>Ibid.</w:t>
      </w:r>
      <w:r w:rsidRPr="00973DBA">
        <w:t>,</w:t>
      </w:r>
      <w:proofErr w:type="gramEnd"/>
      <w:r w:rsidRPr="00973DBA">
        <w:t xml:space="preserve"> page 10.</w:t>
      </w:r>
      <w:r>
        <w:t xml:space="preserve"> </w:t>
      </w:r>
    </w:p>
  </w:footnote>
  <w:footnote w:id="28">
    <w:p w:rsidR="00D411BF" w:rsidRPr="00722E34" w:rsidRDefault="00D411BF" w:rsidP="00D411BF">
      <w:pPr>
        <w:pStyle w:val="FootnoteText"/>
        <w:widowControl w:val="0"/>
        <w:tabs>
          <w:tab w:val="clear" w:pos="1021"/>
          <w:tab w:val="right" w:pos="1020"/>
        </w:tabs>
        <w:rPr>
          <w:lang w:val="en-US"/>
        </w:rPr>
      </w:pPr>
      <w:r>
        <w:tab/>
      </w:r>
      <w:r>
        <w:rPr>
          <w:rStyle w:val="FootnoteReference"/>
        </w:rPr>
        <w:footnoteRef/>
      </w:r>
      <w:r>
        <w:tab/>
        <w:t xml:space="preserve">Ibid, </w:t>
      </w:r>
      <w:r w:rsidRPr="00973DBA">
        <w:t>May 2011.</w:t>
      </w:r>
      <w:r>
        <w:t xml:space="preserve"> </w:t>
      </w:r>
    </w:p>
  </w:footnote>
  <w:footnote w:id="29">
    <w:p w:rsidR="00D411BF" w:rsidRPr="002F6C96" w:rsidRDefault="00D411BF" w:rsidP="00D411BF">
      <w:pPr>
        <w:pStyle w:val="FootnoteText"/>
        <w:widowControl w:val="0"/>
        <w:tabs>
          <w:tab w:val="clear" w:pos="1021"/>
          <w:tab w:val="right" w:pos="1020"/>
        </w:tabs>
      </w:pPr>
      <w:r>
        <w:tab/>
      </w:r>
      <w:r>
        <w:rPr>
          <w:rStyle w:val="FootnoteReference"/>
        </w:rPr>
        <w:footnoteRef/>
      </w:r>
      <w:r>
        <w:tab/>
      </w:r>
      <w:proofErr w:type="gramStart"/>
      <w:r>
        <w:t>Ibid.</w:t>
      </w:r>
      <w:r w:rsidRPr="00973DBA">
        <w:t>,</w:t>
      </w:r>
      <w:proofErr w:type="gramEnd"/>
      <w:r w:rsidRPr="00973DBA">
        <w:t xml:space="preserve"> </w:t>
      </w:r>
      <w:r w:rsidRPr="00973DBA">
        <w:rPr>
          <w:i/>
        </w:rPr>
        <w:t>Sixth Statutory Report</w:t>
      </w:r>
      <w:r w:rsidRPr="00973DBA">
        <w:t>, 15 March 2010</w:t>
      </w:r>
      <w:r>
        <w:t>,</w:t>
      </w:r>
      <w:r w:rsidRPr="00973DBA">
        <w:t xml:space="preserve"> page 7.</w:t>
      </w:r>
      <w:r>
        <w:t xml:space="preserve"> </w:t>
      </w:r>
    </w:p>
  </w:footnote>
  <w:footnote w:id="30">
    <w:p w:rsidR="00D411BF" w:rsidRPr="002F6C96" w:rsidRDefault="00D411BF" w:rsidP="00D411BF">
      <w:pPr>
        <w:pStyle w:val="FootnoteText"/>
        <w:widowControl w:val="0"/>
        <w:tabs>
          <w:tab w:val="clear" w:pos="1021"/>
          <w:tab w:val="right" w:pos="1020"/>
        </w:tabs>
      </w:pPr>
      <w:r>
        <w:tab/>
      </w:r>
      <w:r>
        <w:rPr>
          <w:rStyle w:val="FootnoteReference"/>
        </w:rPr>
        <w:footnoteRef/>
      </w:r>
      <w:r>
        <w:tab/>
      </w:r>
      <w:proofErr w:type="gramStart"/>
      <w:r>
        <w:t>Ibid.,</w:t>
      </w:r>
      <w:proofErr w:type="gramEnd"/>
      <w:r w:rsidRPr="00973DBA">
        <w:t xml:space="preserve"> page 6 (quoting a report from 2003).</w:t>
      </w:r>
      <w:r>
        <w:t xml:space="preserve"> </w:t>
      </w:r>
    </w:p>
  </w:footnote>
  <w:footnote w:id="31">
    <w:p w:rsidR="00C328DD" w:rsidRPr="002F6C96" w:rsidRDefault="00C328DD" w:rsidP="00C328DD">
      <w:pPr>
        <w:pStyle w:val="FootnoteText"/>
        <w:widowControl w:val="0"/>
        <w:tabs>
          <w:tab w:val="clear" w:pos="1021"/>
          <w:tab w:val="right" w:pos="1020"/>
        </w:tabs>
      </w:pPr>
      <w:r>
        <w:tab/>
      </w:r>
      <w:r>
        <w:rPr>
          <w:rStyle w:val="FootnoteReference"/>
        </w:rPr>
        <w:footnoteRef/>
      </w:r>
      <w:r>
        <w:tab/>
      </w:r>
      <w:r w:rsidRPr="00973DBA">
        <w:t xml:space="preserve">See Mentally Impaired Accused Review Board WA, </w:t>
      </w:r>
      <w:r w:rsidRPr="00973DBA">
        <w:rPr>
          <w:i/>
        </w:rPr>
        <w:t>First Statutory Report: Marlon James Noble</w:t>
      </w:r>
      <w:r w:rsidRPr="00973DBA">
        <w:t xml:space="preserve">, </w:t>
      </w:r>
      <w:r>
        <w:t>22 May 2003</w:t>
      </w:r>
      <w:r w:rsidRPr="00973DBA">
        <w:t xml:space="preserve">, page 2; </w:t>
      </w:r>
      <w:proofErr w:type="gramStart"/>
      <w:r>
        <w:t>Ibid.,</w:t>
      </w:r>
      <w:proofErr w:type="gramEnd"/>
      <w:r>
        <w:t xml:space="preserve"> 15 August 2004</w:t>
      </w:r>
      <w:r w:rsidRPr="00973DBA">
        <w:t>, page 4.</w:t>
      </w:r>
      <w:r>
        <w:t xml:space="preserve"> </w:t>
      </w:r>
    </w:p>
  </w:footnote>
  <w:footnote w:id="32">
    <w:p w:rsidR="00C328DD" w:rsidRPr="00722E34" w:rsidRDefault="00C328DD" w:rsidP="00C328DD">
      <w:pPr>
        <w:pStyle w:val="FootnoteText"/>
        <w:widowControl w:val="0"/>
        <w:tabs>
          <w:tab w:val="clear" w:pos="1021"/>
          <w:tab w:val="right" w:pos="1020"/>
        </w:tabs>
        <w:rPr>
          <w:lang w:val="en-US"/>
        </w:rPr>
      </w:pPr>
      <w:r>
        <w:tab/>
      </w:r>
      <w:r>
        <w:rPr>
          <w:rStyle w:val="FootnoteReference"/>
        </w:rPr>
        <w:footnoteRef/>
      </w:r>
      <w:r w:rsidR="003F2C45">
        <w:tab/>
        <w:t>Ibid</w:t>
      </w:r>
      <w:r>
        <w:t xml:space="preserve">, </w:t>
      </w:r>
      <w:r w:rsidRPr="00973DBA">
        <w:t>15 March 2010</w:t>
      </w:r>
      <w:r>
        <w:t>,</w:t>
      </w:r>
      <w:r w:rsidRPr="00973DBA">
        <w:t xml:space="preserve"> page 6.</w:t>
      </w:r>
      <w:r>
        <w:t xml:space="preserve"> </w:t>
      </w:r>
    </w:p>
  </w:footnote>
  <w:footnote w:id="33">
    <w:p w:rsidR="00C328DD" w:rsidRPr="002F6C96" w:rsidRDefault="00C328DD" w:rsidP="00C328DD">
      <w:pPr>
        <w:pStyle w:val="FootnoteText"/>
        <w:widowControl w:val="0"/>
        <w:tabs>
          <w:tab w:val="clear" w:pos="1021"/>
          <w:tab w:val="right" w:pos="1020"/>
        </w:tabs>
      </w:pPr>
      <w:r>
        <w:tab/>
      </w:r>
      <w:r>
        <w:rPr>
          <w:rStyle w:val="FootnoteReference"/>
        </w:rPr>
        <w:footnoteRef/>
      </w:r>
      <w:r w:rsidR="003F2C45">
        <w:tab/>
        <w:t>Ibid</w:t>
      </w:r>
      <w:r>
        <w:t xml:space="preserve">, </w:t>
      </w:r>
      <w:r w:rsidRPr="00973DBA">
        <w:t xml:space="preserve">December 2011, page 23; </w:t>
      </w:r>
      <w:proofErr w:type="gramStart"/>
      <w:r>
        <w:t>Ibid.,</w:t>
      </w:r>
      <w:proofErr w:type="gramEnd"/>
      <w:r>
        <w:t xml:space="preserve"> </w:t>
      </w:r>
      <w:r w:rsidRPr="00973DBA">
        <w:t>May 2011</w:t>
      </w:r>
      <w:r>
        <w:t>, page 11</w:t>
      </w:r>
      <w:r w:rsidRPr="00973DBA">
        <w:t>.</w:t>
      </w:r>
      <w:r>
        <w:t xml:space="preserve"> </w:t>
      </w:r>
    </w:p>
  </w:footnote>
  <w:footnote w:id="34">
    <w:p w:rsidR="00C328DD" w:rsidRPr="00A70629" w:rsidRDefault="00C328DD" w:rsidP="00C328DD">
      <w:pPr>
        <w:pStyle w:val="FootnoteText"/>
        <w:widowControl w:val="0"/>
        <w:tabs>
          <w:tab w:val="clear" w:pos="1021"/>
          <w:tab w:val="right" w:pos="1020"/>
        </w:tabs>
      </w:pPr>
      <w:r>
        <w:tab/>
      </w:r>
      <w:r>
        <w:rPr>
          <w:rStyle w:val="FootnoteReference"/>
        </w:rPr>
        <w:footnoteRef/>
      </w:r>
      <w:r>
        <w:tab/>
        <w:t>The State party refers to the jurisprudence of the Human Rights Committee according to which: “‘</w:t>
      </w:r>
      <w:r w:rsidRPr="00B14CF0">
        <w:t>[N]</w:t>
      </w:r>
      <w:proofErr w:type="spellStart"/>
      <w:r w:rsidRPr="00B14CF0">
        <w:t>ot</w:t>
      </w:r>
      <w:proofErr w:type="spellEnd"/>
      <w:r w:rsidRPr="00B14CF0">
        <w:t xml:space="preserve"> every distinction constitutes discrimination, in violation of article 26, but that distinctions must be justified on reasonable and objective grounds, in pursuit of an aim that is legitimate under the Covenant</w:t>
      </w:r>
      <w:r>
        <w:t xml:space="preserve">’ in </w:t>
      </w:r>
      <w:r w:rsidRPr="00B14CF0">
        <w:rPr>
          <w:i/>
        </w:rPr>
        <w:t>Love v Australia</w:t>
      </w:r>
      <w:r w:rsidRPr="00B14CF0">
        <w:t>, communication no. 932/2000, UN Doc CCPR/C/77/D/983/2001, paragraph 8.2.</w:t>
      </w:r>
      <w:r>
        <w:t xml:space="preserve"> It also refers to C</w:t>
      </w:r>
      <w:r w:rsidRPr="00973DBA">
        <w:t xml:space="preserve">ESCR, </w:t>
      </w:r>
      <w:r w:rsidRPr="00973DBA">
        <w:rPr>
          <w:i/>
        </w:rPr>
        <w:t>General Comment No. 20,</w:t>
      </w:r>
      <w:r w:rsidRPr="00973DBA">
        <w:t xml:space="preserve"> </w:t>
      </w:r>
      <w:r w:rsidRPr="00973DBA">
        <w:rPr>
          <w:color w:val="000000"/>
        </w:rPr>
        <w:t>2 July 2009,</w:t>
      </w:r>
      <w:r w:rsidRPr="00973DBA">
        <w:t xml:space="preserve"> paragraph 13; CERD, </w:t>
      </w:r>
      <w:r w:rsidRPr="00973DBA">
        <w:rPr>
          <w:i/>
        </w:rPr>
        <w:t>General Recommendation No. 32</w:t>
      </w:r>
      <w:r w:rsidRPr="00973DBA">
        <w:t xml:space="preserve">, </w:t>
      </w:r>
      <w:r>
        <w:t xml:space="preserve">24 September 2009, paragraph 8; </w:t>
      </w:r>
      <w:r w:rsidRPr="00973DBA">
        <w:t xml:space="preserve">CERD Committee, </w:t>
      </w:r>
      <w:r w:rsidRPr="00973DBA">
        <w:rPr>
          <w:bCs/>
          <w:i/>
          <w:iCs/>
        </w:rPr>
        <w:t xml:space="preserve">General Recommendation No. 14, </w:t>
      </w:r>
      <w:r w:rsidRPr="00973DBA">
        <w:rPr>
          <w:bCs/>
          <w:iCs/>
        </w:rPr>
        <w:t xml:space="preserve">42nd session, UN Doc A/48/18 (22 March 1993), paragraph 2; and </w:t>
      </w:r>
      <w:r w:rsidRPr="00973DBA">
        <w:t xml:space="preserve">CERD, </w:t>
      </w:r>
      <w:r w:rsidRPr="00973DBA">
        <w:rPr>
          <w:i/>
        </w:rPr>
        <w:t>General Recommendation No. 30</w:t>
      </w:r>
      <w:r w:rsidRPr="00973DBA">
        <w:t xml:space="preserve">, </w:t>
      </w:r>
      <w:r>
        <w:t>4 May 2005</w:t>
      </w:r>
      <w:r w:rsidRPr="00973DBA">
        <w:t xml:space="preserve">, paragraph 4; CERD, </w:t>
      </w:r>
      <w:r w:rsidRPr="00973DBA">
        <w:rPr>
          <w:bCs/>
          <w:i/>
        </w:rPr>
        <w:t>Consideration Of Reports Submitted By States Parties Under Article 9 Of The Convention, Australia</w:t>
      </w:r>
      <w:r w:rsidRPr="00973DBA">
        <w:rPr>
          <w:bCs/>
        </w:rPr>
        <w:t xml:space="preserve">, </w:t>
      </w:r>
      <w:r>
        <w:t>14 April 2005</w:t>
      </w:r>
      <w:r w:rsidRPr="00973DBA">
        <w:t xml:space="preserve">, paragraph 24; CRC Committee, </w:t>
      </w:r>
      <w:r w:rsidRPr="00973DBA">
        <w:rPr>
          <w:i/>
        </w:rPr>
        <w:t xml:space="preserve">General Comment No 5: General measures of implementation of the Convention on the Rights of the Child, </w:t>
      </w:r>
      <w:r>
        <w:t>27 November 2003,</w:t>
      </w:r>
      <w:r w:rsidRPr="00973DBA">
        <w:t xml:space="preserve"> paragraph 12; </w:t>
      </w:r>
      <w:r w:rsidRPr="00973DBA">
        <w:rPr>
          <w:i/>
        </w:rPr>
        <w:t>GD and SF v France</w:t>
      </w:r>
      <w:r>
        <w:t>, communication no. 12/2007, 4 August 2009</w:t>
      </w:r>
      <w:r w:rsidRPr="00973DBA">
        <w:t>, paragraph 12.15.</w:t>
      </w:r>
      <w:r>
        <w:t xml:space="preserve"> </w:t>
      </w:r>
    </w:p>
  </w:footnote>
  <w:footnote w:id="35">
    <w:p w:rsidR="00F85F17" w:rsidRPr="00973DBA" w:rsidRDefault="00F85F17" w:rsidP="00F85F17">
      <w:pPr>
        <w:pStyle w:val="FootnoteText"/>
      </w:pPr>
      <w:r>
        <w:tab/>
      </w:r>
      <w:r w:rsidRPr="00973DBA">
        <w:rPr>
          <w:rStyle w:val="FootnoteReference"/>
        </w:rPr>
        <w:footnoteRef/>
      </w:r>
      <w:r>
        <w:tab/>
      </w:r>
      <w:r w:rsidRPr="00973DBA">
        <w:t xml:space="preserve">See Lord Bingham CJ in </w:t>
      </w:r>
      <w:r w:rsidRPr="00973DBA">
        <w:rPr>
          <w:i/>
        </w:rPr>
        <w:t>R v Antoine</w:t>
      </w:r>
      <w:r w:rsidRPr="00973DBA">
        <w:t xml:space="preserve"> [1999] 2 Cr App R 225 (CA) at 227, see also the speech of Lord Bingham in </w:t>
      </w:r>
      <w:r w:rsidRPr="00973DBA">
        <w:rPr>
          <w:i/>
        </w:rPr>
        <w:t>R v H and SSHD</w:t>
      </w:r>
      <w:r w:rsidRPr="00973DBA">
        <w:t xml:space="preserve"> [2003] UKHL 1 at [2] in Peter Bartlett and Ralph </w:t>
      </w:r>
      <w:proofErr w:type="spellStart"/>
      <w:r w:rsidRPr="00973DBA">
        <w:t>Sandland</w:t>
      </w:r>
      <w:proofErr w:type="spellEnd"/>
      <w:r w:rsidRPr="00973DBA">
        <w:t xml:space="preserve">, </w:t>
      </w:r>
      <w:r w:rsidRPr="00973DBA">
        <w:rPr>
          <w:i/>
        </w:rPr>
        <w:t>Mental Health Law: Policy and Practice</w:t>
      </w:r>
      <w:r w:rsidRPr="00973DBA">
        <w:t xml:space="preserve"> (2007).</w:t>
      </w:r>
    </w:p>
  </w:footnote>
  <w:footnote w:id="36">
    <w:p w:rsidR="00C328DD" w:rsidRPr="00A70629" w:rsidRDefault="00C328DD" w:rsidP="00C328DD">
      <w:pPr>
        <w:pStyle w:val="FootnoteText"/>
        <w:widowControl w:val="0"/>
        <w:tabs>
          <w:tab w:val="clear" w:pos="1021"/>
          <w:tab w:val="right" w:pos="1020"/>
        </w:tabs>
      </w:pPr>
      <w:r>
        <w:tab/>
      </w:r>
      <w:r>
        <w:rPr>
          <w:rStyle w:val="FootnoteReference"/>
        </w:rPr>
        <w:footnoteRef/>
      </w:r>
      <w:r>
        <w:tab/>
      </w:r>
      <w:r w:rsidRPr="00C22B2D">
        <w:rPr>
          <w:szCs w:val="18"/>
        </w:rPr>
        <w:t xml:space="preserve">See </w:t>
      </w:r>
      <w:r w:rsidRPr="00C22B2D">
        <w:rPr>
          <w:i/>
          <w:szCs w:val="18"/>
        </w:rPr>
        <w:t>Crimes</w:t>
      </w:r>
      <w:r w:rsidRPr="00C22B2D">
        <w:rPr>
          <w:szCs w:val="18"/>
        </w:rPr>
        <w:t xml:space="preserve"> </w:t>
      </w:r>
      <w:r w:rsidRPr="00C22B2D">
        <w:rPr>
          <w:i/>
          <w:szCs w:val="18"/>
        </w:rPr>
        <w:t xml:space="preserve">(Mental Impairment and Unfitness to be Tried) Act 1997 (Vic) </w:t>
      </w:r>
      <w:r w:rsidRPr="00C22B2D">
        <w:rPr>
          <w:szCs w:val="18"/>
        </w:rPr>
        <w:t xml:space="preserve">s 26(2), </w:t>
      </w:r>
      <w:r w:rsidRPr="00C22B2D">
        <w:rPr>
          <w:i/>
          <w:szCs w:val="18"/>
        </w:rPr>
        <w:t>Criminal Law Consolidation</w:t>
      </w:r>
      <w:r w:rsidRPr="00C22B2D">
        <w:rPr>
          <w:szCs w:val="18"/>
        </w:rPr>
        <w:t xml:space="preserve"> </w:t>
      </w:r>
      <w:r w:rsidRPr="00C22B2D">
        <w:rPr>
          <w:i/>
          <w:szCs w:val="18"/>
        </w:rPr>
        <w:t xml:space="preserve">Act 1935 </w:t>
      </w:r>
      <w:r w:rsidRPr="00C22B2D">
        <w:rPr>
          <w:szCs w:val="18"/>
        </w:rPr>
        <w:t xml:space="preserve">(SA) s 269O, </w:t>
      </w:r>
      <w:r w:rsidRPr="00C22B2D">
        <w:rPr>
          <w:i/>
          <w:szCs w:val="18"/>
        </w:rPr>
        <w:t xml:space="preserve">Criminal Code Act 1983 </w:t>
      </w:r>
      <w:r w:rsidRPr="00C22B2D">
        <w:rPr>
          <w:szCs w:val="18"/>
        </w:rPr>
        <w:t>(NT) section 43ZA.</w:t>
      </w:r>
      <w:r>
        <w:t xml:space="preserve"> </w:t>
      </w:r>
    </w:p>
  </w:footnote>
  <w:footnote w:id="37">
    <w:p w:rsidR="00F85F17" w:rsidRDefault="00F85F17" w:rsidP="00F85F17">
      <w:pPr>
        <w:pStyle w:val="FootnoteText"/>
      </w:pPr>
      <w:r>
        <w:rPr>
          <w:lang w:val="en-AU"/>
        </w:rPr>
        <w:tab/>
      </w:r>
      <w:r>
        <w:rPr>
          <w:rStyle w:val="FootnoteReference"/>
        </w:rPr>
        <w:footnoteRef/>
      </w:r>
      <w:r>
        <w:tab/>
        <w:t xml:space="preserve">The State party refers to the United Kingdom, </w:t>
      </w:r>
      <w:r w:rsidRPr="00CD5681">
        <w:rPr>
          <w:i/>
        </w:rPr>
        <w:t>Criminal Procedure (Insanity and Unfitness to Plead) Act 1991</w:t>
      </w:r>
      <w:r>
        <w:t>, section 3(2) and schedule 2.</w:t>
      </w:r>
    </w:p>
  </w:footnote>
  <w:footnote w:id="38">
    <w:p w:rsidR="00F85F17" w:rsidRPr="00973DBA" w:rsidRDefault="00F85F17" w:rsidP="00F85F17">
      <w:pPr>
        <w:pStyle w:val="FootnoteText"/>
      </w:pPr>
      <w:r>
        <w:tab/>
      </w:r>
      <w:r w:rsidRPr="00973DBA">
        <w:rPr>
          <w:rStyle w:val="FootnoteReference"/>
        </w:rPr>
        <w:footnoteRef/>
      </w:r>
      <w:r>
        <w:tab/>
        <w:t>Ibid,</w:t>
      </w:r>
      <w:r w:rsidRPr="00973DBA">
        <w:t xml:space="preserve"> </w:t>
      </w:r>
      <w:r>
        <w:t>pages 4 and 7</w:t>
      </w:r>
      <w:r w:rsidRPr="00973DBA">
        <w:t>.</w:t>
      </w:r>
    </w:p>
  </w:footnote>
  <w:footnote w:id="39">
    <w:p w:rsidR="00F85F17" w:rsidRPr="00973DBA" w:rsidRDefault="00F85F17" w:rsidP="00F85F17">
      <w:pPr>
        <w:pStyle w:val="FootnoteText"/>
      </w:pPr>
      <w:r>
        <w:tab/>
      </w:r>
      <w:r w:rsidRPr="00973DBA">
        <w:rPr>
          <w:rStyle w:val="FootnoteReference"/>
        </w:rPr>
        <w:footnoteRef/>
      </w:r>
      <w:r>
        <w:tab/>
      </w:r>
      <w:r>
        <w:rPr>
          <w:i/>
        </w:rPr>
        <w:t>Ibid,</w:t>
      </w:r>
      <w:r w:rsidRPr="00973DBA">
        <w:t xml:space="preserve"> section</w:t>
      </w:r>
      <w:r w:rsidR="0025416E">
        <w:t>s</w:t>
      </w:r>
      <w:r w:rsidRPr="00973DBA">
        <w:t xml:space="preserve"> 33(3)</w:t>
      </w:r>
      <w:r w:rsidR="0025416E">
        <w:t xml:space="preserve"> and (5)</w:t>
      </w:r>
      <w:r w:rsidRPr="00973DBA">
        <w:t>.</w:t>
      </w:r>
      <w:r>
        <w:tab/>
      </w:r>
    </w:p>
  </w:footnote>
  <w:footnote w:id="40">
    <w:p w:rsidR="00F85F17" w:rsidRPr="000A6146" w:rsidRDefault="00F85F17" w:rsidP="00F85F17">
      <w:pPr>
        <w:pStyle w:val="FootnoteText"/>
      </w:pPr>
      <w:r>
        <w:tab/>
      </w:r>
      <w:r>
        <w:rPr>
          <w:rStyle w:val="FootnoteReference"/>
        </w:rPr>
        <w:footnoteRef/>
      </w:r>
      <w:r w:rsidRPr="000A6146">
        <w:tab/>
        <w:t xml:space="preserve">The State party refers to </w:t>
      </w:r>
      <w:r>
        <w:t xml:space="preserve">Human Rights Committee, </w:t>
      </w:r>
      <w:r w:rsidRPr="000A6146">
        <w:t xml:space="preserve">Communication No. </w:t>
      </w:r>
      <w:r>
        <w:t xml:space="preserve">520/1992, </w:t>
      </w:r>
      <w:proofErr w:type="spellStart"/>
      <w:r w:rsidRPr="00C32869">
        <w:rPr>
          <w:i/>
        </w:rPr>
        <w:t>Konye</w:t>
      </w:r>
      <w:proofErr w:type="spellEnd"/>
      <w:r w:rsidRPr="00C32869">
        <w:rPr>
          <w:i/>
        </w:rPr>
        <w:t xml:space="preserve"> v. Hungary</w:t>
      </w:r>
      <w:r>
        <w:t xml:space="preserve">, Views adopted on 5 May 1994, </w:t>
      </w:r>
      <w:proofErr w:type="gramStart"/>
      <w:r>
        <w:t>para</w:t>
      </w:r>
      <w:proofErr w:type="gramEnd"/>
      <w:r>
        <w:t>. 6.4</w:t>
      </w:r>
    </w:p>
  </w:footnote>
  <w:footnote w:id="41">
    <w:p w:rsidR="00F85F17" w:rsidRPr="004D0BBB" w:rsidRDefault="00F85F17" w:rsidP="00F85F17">
      <w:pPr>
        <w:pStyle w:val="FootnoteText"/>
      </w:pPr>
      <w:r>
        <w:tab/>
      </w:r>
      <w:r>
        <w:rPr>
          <w:rStyle w:val="FootnoteReference"/>
        </w:rPr>
        <w:footnoteRef/>
      </w:r>
      <w:r w:rsidRPr="004D0BBB">
        <w:tab/>
      </w:r>
      <w:r>
        <w:t>T</w:t>
      </w:r>
      <w:r w:rsidRPr="004D0BBB">
        <w:t xml:space="preserve">he author refers to the Review Board’s letter </w:t>
      </w:r>
      <w:r>
        <w:t xml:space="preserve">to him </w:t>
      </w:r>
      <w:r w:rsidRPr="004D0BBB">
        <w:t>dated 22 November 2011, stating</w:t>
      </w:r>
      <w:r>
        <w:t xml:space="preserve"> that “the Board considers that placement in a declared place is a more appropriate accommodation option for you in view of your needs and considering the risk factors” [see annexure 4 of the author’s communication].</w:t>
      </w:r>
    </w:p>
  </w:footnote>
  <w:footnote w:id="42">
    <w:p w:rsidR="00C328DD" w:rsidRPr="005942AB" w:rsidRDefault="00C328DD" w:rsidP="00C328DD">
      <w:pPr>
        <w:pStyle w:val="FootnoteText"/>
        <w:widowControl w:val="0"/>
        <w:tabs>
          <w:tab w:val="clear" w:pos="1021"/>
          <w:tab w:val="right" w:pos="1020"/>
        </w:tabs>
      </w:pPr>
      <w:r>
        <w:tab/>
      </w:r>
      <w:r>
        <w:rPr>
          <w:rStyle w:val="FootnoteReference"/>
        </w:rPr>
        <w:footnoteRef/>
      </w:r>
      <w:r>
        <w:tab/>
      </w:r>
      <w:r w:rsidRPr="00E75D6E">
        <w:t xml:space="preserve">See </w:t>
      </w:r>
      <w:r w:rsidRPr="00E75D6E">
        <w:rPr>
          <w:i/>
        </w:rPr>
        <w:t>The State of Western Australia v Noble</w:t>
      </w:r>
      <w:r w:rsidRPr="00E75D6E">
        <w:t xml:space="preserve">, [No. </w:t>
      </w:r>
      <w:r>
        <w:t xml:space="preserve">2] [2010] WADC 165. </w:t>
      </w:r>
    </w:p>
  </w:footnote>
  <w:footnote w:id="43">
    <w:p w:rsidR="00C328DD" w:rsidRPr="005942AB" w:rsidRDefault="00C328DD" w:rsidP="00C328DD">
      <w:pPr>
        <w:pStyle w:val="FootnoteText"/>
        <w:widowControl w:val="0"/>
        <w:tabs>
          <w:tab w:val="clear" w:pos="1021"/>
          <w:tab w:val="right" w:pos="1020"/>
        </w:tabs>
      </w:pPr>
      <w:r>
        <w:tab/>
      </w:r>
      <w:r>
        <w:rPr>
          <w:rStyle w:val="FootnoteReference"/>
        </w:rPr>
        <w:footnoteRef/>
      </w:r>
      <w:r>
        <w:tab/>
        <w:t>The State party refer</w:t>
      </w:r>
      <w:r w:rsidR="003F2C45">
        <w:t xml:space="preserve">s to the CCPR jurisprudence in </w:t>
      </w:r>
      <w:r>
        <w:t>C</w:t>
      </w:r>
      <w:r w:rsidRPr="0024615E">
        <w:t>ommunication No. 2021/2010,</w:t>
      </w:r>
      <w:r w:rsidRPr="0045328F">
        <w:t xml:space="preserve"> </w:t>
      </w:r>
      <w:r w:rsidRPr="0024615E">
        <w:t>E.Z. v. Kazakhstan</w:t>
      </w:r>
      <w:r>
        <w:t>,</w:t>
      </w:r>
      <w:r w:rsidRPr="0024615E">
        <w:t xml:space="preserve"> 1 April 2015.</w:t>
      </w:r>
      <w:r>
        <w:t xml:space="preserve"> </w:t>
      </w:r>
    </w:p>
  </w:footnote>
  <w:footnote w:id="44">
    <w:p w:rsidR="00A25B89" w:rsidRPr="005942AB" w:rsidRDefault="00A25B89" w:rsidP="00A25B89">
      <w:pPr>
        <w:pStyle w:val="FootnoteText"/>
        <w:widowControl w:val="0"/>
        <w:tabs>
          <w:tab w:val="clear" w:pos="1021"/>
          <w:tab w:val="right" w:pos="1020"/>
        </w:tabs>
      </w:pPr>
      <w:r>
        <w:tab/>
      </w:r>
      <w:r>
        <w:rPr>
          <w:rStyle w:val="FootnoteReference"/>
        </w:rPr>
        <w:footnoteRef/>
      </w:r>
      <w:r>
        <w:tab/>
        <w:t>See</w:t>
      </w:r>
      <w:r w:rsidRPr="000A6146">
        <w:t xml:space="preserve"> </w:t>
      </w:r>
      <w:r>
        <w:t xml:space="preserve">Human Rights Committee, </w:t>
      </w:r>
      <w:r w:rsidRPr="000A6146">
        <w:t xml:space="preserve">Communication No. </w:t>
      </w:r>
      <w:r>
        <w:t xml:space="preserve">520/1992, </w:t>
      </w:r>
      <w:proofErr w:type="spellStart"/>
      <w:r w:rsidRPr="00C32869">
        <w:rPr>
          <w:i/>
        </w:rPr>
        <w:t>Konye</w:t>
      </w:r>
      <w:proofErr w:type="spellEnd"/>
      <w:r w:rsidRPr="00C32869">
        <w:rPr>
          <w:i/>
        </w:rPr>
        <w:t xml:space="preserve"> v. Hungary</w:t>
      </w:r>
      <w:r>
        <w:t>, Vie</w:t>
      </w:r>
      <w:r w:rsidR="003F2C45">
        <w:t>ws adopted on 5 May 1994, para.</w:t>
      </w:r>
      <w:r>
        <w:t xml:space="preserve">6.4 </w:t>
      </w:r>
    </w:p>
  </w:footnote>
  <w:footnote w:id="45">
    <w:p w:rsidR="00A25B89" w:rsidRPr="005942AB" w:rsidRDefault="00A25B89" w:rsidP="00A25B89">
      <w:pPr>
        <w:pStyle w:val="FootnoteText"/>
        <w:widowControl w:val="0"/>
        <w:tabs>
          <w:tab w:val="clear" w:pos="1021"/>
          <w:tab w:val="right" w:pos="1020"/>
        </w:tabs>
      </w:pPr>
      <w:r>
        <w:tab/>
      </w:r>
      <w:r>
        <w:rPr>
          <w:rStyle w:val="FootnoteReference"/>
        </w:rPr>
        <w:footnoteRef/>
      </w:r>
      <w:r>
        <w:tab/>
        <w:t xml:space="preserve">See CCPR, </w:t>
      </w:r>
      <w:r w:rsidRPr="001B5D27">
        <w:t xml:space="preserve">Communication No. 941/2000, </w:t>
      </w:r>
      <w:r w:rsidRPr="003B47EF">
        <w:rPr>
          <w:i/>
        </w:rPr>
        <w:t>Young v. Australia</w:t>
      </w:r>
      <w:r w:rsidRPr="001B5D27">
        <w:t>, adopted on 18 September 2003, para.9.4</w:t>
      </w:r>
      <w:r>
        <w:t xml:space="preserve"> </w:t>
      </w:r>
    </w:p>
  </w:footnote>
  <w:footnote w:id="46">
    <w:p w:rsidR="00A25B89" w:rsidRPr="005942AB" w:rsidRDefault="00A25B89" w:rsidP="00A25B89">
      <w:pPr>
        <w:pStyle w:val="FootnoteText"/>
        <w:widowControl w:val="0"/>
        <w:tabs>
          <w:tab w:val="clear" w:pos="1021"/>
          <w:tab w:val="right" w:pos="1020"/>
        </w:tabs>
      </w:pPr>
      <w:r>
        <w:tab/>
      </w:r>
      <w:r>
        <w:rPr>
          <w:rStyle w:val="FootnoteReference"/>
        </w:rPr>
        <w:footnoteRef/>
      </w:r>
      <w:r>
        <w:tab/>
      </w:r>
      <w:r w:rsidRPr="00F606F4">
        <w:rPr>
          <w:i/>
          <w:iCs/>
        </w:rPr>
        <w:t>See</w:t>
      </w:r>
      <w:r w:rsidRPr="00F606F4">
        <w:t xml:space="preserve"> </w:t>
      </w:r>
      <w:r>
        <w:t xml:space="preserve">for example </w:t>
      </w:r>
      <w:r w:rsidRPr="00F606F4">
        <w:t xml:space="preserve">Communication N°1746/2008, </w:t>
      </w:r>
      <w:proofErr w:type="spellStart"/>
      <w:r w:rsidRPr="00F606F4">
        <w:rPr>
          <w:i/>
          <w:iCs/>
        </w:rPr>
        <w:t>Goyet</w:t>
      </w:r>
      <w:proofErr w:type="spellEnd"/>
      <w:r w:rsidRPr="00F606F4">
        <w:rPr>
          <w:i/>
          <w:iCs/>
        </w:rPr>
        <w:t xml:space="preserve"> </w:t>
      </w:r>
      <w:r w:rsidRPr="00F606F4">
        <w:t xml:space="preserve">v. </w:t>
      </w:r>
      <w:smartTag w:uri="urn:schemas-microsoft-com:office:smarttags" w:element="place">
        <w:smartTag w:uri="urn:schemas-microsoft-com:office:smarttags" w:element="country-region">
          <w:r w:rsidRPr="00F606F4">
            <w:rPr>
              <w:i/>
              <w:iCs/>
            </w:rPr>
            <w:t>France</w:t>
          </w:r>
        </w:smartTag>
      </w:smartTag>
      <w:r w:rsidRPr="00F606F4">
        <w:rPr>
          <w:i/>
          <w:iCs/>
        </w:rPr>
        <w:t xml:space="preserve">, </w:t>
      </w:r>
      <w:r w:rsidRPr="00F606F4">
        <w:t xml:space="preserve">decision on admissibility adopted on 30 October 2008, </w:t>
      </w:r>
      <w:proofErr w:type="gramStart"/>
      <w:r w:rsidRPr="00F606F4">
        <w:t>para</w:t>
      </w:r>
      <w:proofErr w:type="gramEnd"/>
      <w:r w:rsidRPr="00F606F4">
        <w:t>. 6.3</w:t>
      </w:r>
      <w:r>
        <w:t xml:space="preserve">. </w:t>
      </w:r>
    </w:p>
  </w:footnote>
  <w:footnote w:id="47">
    <w:p w:rsidR="00D27732" w:rsidRPr="005942AB" w:rsidRDefault="00D27732" w:rsidP="00D27732">
      <w:pPr>
        <w:pStyle w:val="FootnoteText"/>
        <w:widowControl w:val="0"/>
        <w:tabs>
          <w:tab w:val="clear" w:pos="1021"/>
          <w:tab w:val="right" w:pos="1020"/>
        </w:tabs>
      </w:pPr>
      <w:r>
        <w:tab/>
      </w:r>
      <w:r>
        <w:rPr>
          <w:rStyle w:val="FootnoteReference"/>
        </w:rPr>
        <w:footnoteRef/>
      </w:r>
      <w:r>
        <w:tab/>
      </w:r>
      <w:r w:rsidRPr="006F7D59">
        <w:t xml:space="preserve">See communication No. 10/2013, </w:t>
      </w:r>
      <w:r w:rsidRPr="006F7D59">
        <w:rPr>
          <w:i/>
        </w:rPr>
        <w:t>S.C. v. Brazil</w:t>
      </w:r>
      <w:r w:rsidRPr="006F7D59">
        <w:t xml:space="preserve">, </w:t>
      </w:r>
      <w:r>
        <w:t xml:space="preserve">decision of inadmissibility adopted on 2 October 2014, </w:t>
      </w:r>
      <w:r w:rsidRPr="006F7D59">
        <w:t>CRPD/C/12/D/10/</w:t>
      </w:r>
      <w:r w:rsidRPr="00DA239E">
        <w:t>20</w:t>
      </w:r>
      <w:r w:rsidRPr="006F7D59">
        <w:t>13, para. 6.4.</w:t>
      </w:r>
      <w:r>
        <w:t xml:space="preserve"> </w:t>
      </w:r>
    </w:p>
  </w:footnote>
  <w:footnote w:id="48">
    <w:p w:rsidR="001675B6" w:rsidRPr="00C353F7" w:rsidRDefault="001675B6" w:rsidP="001675B6">
      <w:pPr>
        <w:pStyle w:val="FootnoteText"/>
      </w:pPr>
      <w:r>
        <w:tab/>
      </w:r>
      <w:r>
        <w:rPr>
          <w:rStyle w:val="FootnoteReference"/>
        </w:rPr>
        <w:footnoteRef/>
      </w:r>
      <w:r>
        <w:t xml:space="preserve"> </w:t>
      </w:r>
      <w:r>
        <w:tab/>
        <w:t xml:space="preserve">See Communication 5/2011, </w:t>
      </w:r>
      <w:proofErr w:type="spellStart"/>
      <w:r w:rsidRPr="00C353F7">
        <w:rPr>
          <w:i/>
        </w:rPr>
        <w:t>Jungelin</w:t>
      </w:r>
      <w:proofErr w:type="spellEnd"/>
      <w:r w:rsidRPr="00C353F7">
        <w:rPr>
          <w:i/>
        </w:rPr>
        <w:t xml:space="preserve"> v. Sweden</w:t>
      </w:r>
      <w:r>
        <w:t xml:space="preserve">, Views adopted on </w:t>
      </w:r>
      <w:r w:rsidRPr="009D158D">
        <w:t>2 October 2014</w:t>
      </w:r>
      <w:r>
        <w:t xml:space="preserve">, </w:t>
      </w:r>
      <w:proofErr w:type="gramStart"/>
      <w:r>
        <w:t>para</w:t>
      </w:r>
      <w:proofErr w:type="gramEnd"/>
      <w:r>
        <w:t>. 10.5</w:t>
      </w:r>
    </w:p>
  </w:footnote>
  <w:footnote w:id="49">
    <w:p w:rsidR="008B590E" w:rsidRPr="008B590E" w:rsidRDefault="008B590E" w:rsidP="008B590E">
      <w:pPr>
        <w:pStyle w:val="Heading2"/>
        <w:numPr>
          <w:ilvl w:val="0"/>
          <w:numId w:val="0"/>
        </w:numPr>
        <w:ind w:left="926"/>
        <w:jc w:val="both"/>
        <w:rPr>
          <w:sz w:val="18"/>
          <w:szCs w:val="18"/>
          <w:lang w:eastAsia="en-GB"/>
        </w:rPr>
      </w:pPr>
      <w:r>
        <w:rPr>
          <w:rStyle w:val="FootnoteReference"/>
        </w:rPr>
        <w:footnoteRef/>
      </w:r>
      <w:r>
        <w:tab/>
      </w:r>
      <w:r w:rsidRPr="00E57698">
        <w:rPr>
          <w:rStyle w:val="Heading2Char"/>
          <w:bCs/>
          <w:iCs/>
          <w:sz w:val="18"/>
          <w:szCs w:val="18"/>
        </w:rPr>
        <w:t xml:space="preserve">CRPD, </w:t>
      </w:r>
      <w:r w:rsidRPr="00E57698">
        <w:rPr>
          <w:rStyle w:val="Heading2Char"/>
          <w:bCs/>
          <w:i/>
          <w:iCs/>
          <w:sz w:val="18"/>
          <w:szCs w:val="18"/>
        </w:rPr>
        <w:t xml:space="preserve">Guidelines on article 14 of the Convention on the Rights of Persons with Disabilities, </w:t>
      </w:r>
      <w:r w:rsidRPr="00E57698">
        <w:rPr>
          <w:i/>
          <w:sz w:val="18"/>
          <w:szCs w:val="18"/>
          <w:lang w:eastAsia="en-GB"/>
        </w:rPr>
        <w:t>The right to liberty and security of persons with disabilities</w:t>
      </w:r>
      <w:r w:rsidRPr="00E57698">
        <w:rPr>
          <w:sz w:val="18"/>
          <w:szCs w:val="18"/>
          <w:lang w:eastAsia="en-GB"/>
        </w:rPr>
        <w:t xml:space="preserve">, adopted </w:t>
      </w:r>
      <w:r w:rsidRPr="00E57698">
        <w:rPr>
          <w:color w:val="000000"/>
          <w:sz w:val="18"/>
          <w:szCs w:val="18"/>
          <w:lang w:eastAsia="en-GB"/>
        </w:rPr>
        <w:t>during the Committee’s 14</w:t>
      </w:r>
      <w:r w:rsidRPr="00E57698">
        <w:rPr>
          <w:color w:val="000000"/>
          <w:sz w:val="18"/>
          <w:szCs w:val="18"/>
          <w:vertAlign w:val="superscript"/>
          <w:lang w:eastAsia="en-GB"/>
        </w:rPr>
        <w:t>th</w:t>
      </w:r>
      <w:r w:rsidRPr="00E57698">
        <w:rPr>
          <w:color w:val="000000"/>
          <w:sz w:val="18"/>
          <w:szCs w:val="18"/>
          <w:lang w:eastAsia="en-GB"/>
        </w:rPr>
        <w:t xml:space="preserve"> session, held in September 2015</w:t>
      </w:r>
      <w:r>
        <w:rPr>
          <w:color w:val="000000"/>
          <w:sz w:val="18"/>
          <w:szCs w:val="18"/>
          <w:lang w:eastAsia="en-GB"/>
        </w:rPr>
        <w:t>, para. 3</w:t>
      </w:r>
    </w:p>
  </w:footnote>
  <w:footnote w:id="50">
    <w:p w:rsidR="00A46B66" w:rsidRPr="00B11AC0" w:rsidRDefault="00A46B66" w:rsidP="00A46B66">
      <w:pPr>
        <w:pStyle w:val="FootnoteText"/>
      </w:pPr>
      <w:r w:rsidRPr="00B11AC0">
        <w:tab/>
      </w:r>
      <w:r w:rsidRPr="00B11AC0">
        <w:rPr>
          <w:rStyle w:val="FootnoteReference"/>
        </w:rPr>
        <w:footnoteRef/>
      </w:r>
      <w:r w:rsidRPr="00B11AC0">
        <w:tab/>
        <w:t xml:space="preserve">See Committee against Torture, communication No. 456/2011, </w:t>
      </w:r>
      <w:r w:rsidRPr="00B11AC0">
        <w:rPr>
          <w:i/>
        </w:rPr>
        <w:t xml:space="preserve">Guerrero </w:t>
      </w:r>
      <w:proofErr w:type="spellStart"/>
      <w:r w:rsidRPr="00B11AC0">
        <w:rPr>
          <w:i/>
        </w:rPr>
        <w:t>Larez</w:t>
      </w:r>
      <w:proofErr w:type="spellEnd"/>
      <w:r w:rsidRPr="00B11AC0">
        <w:rPr>
          <w:i/>
          <w:iCs/>
        </w:rPr>
        <w:t xml:space="preserve"> v. Bolivarian Republic of Venezuela</w:t>
      </w:r>
      <w:r w:rsidRPr="00B11AC0">
        <w:t>, decision adopte</w:t>
      </w:r>
      <w:r w:rsidR="002067B0">
        <w:t xml:space="preserve">d on 15 May 2015, paragraph 6.4; Committee against Enforced Disappearance, communication No. 1/2013, </w:t>
      </w:r>
      <w:proofErr w:type="spellStart"/>
      <w:r w:rsidR="002067B0" w:rsidRPr="00EC5549">
        <w:rPr>
          <w:i/>
        </w:rPr>
        <w:t>Yrusta</w:t>
      </w:r>
      <w:proofErr w:type="spellEnd"/>
      <w:r w:rsidR="002067B0" w:rsidRPr="00EC5549">
        <w:rPr>
          <w:i/>
        </w:rPr>
        <w:t xml:space="preserve"> v. Argentina</w:t>
      </w:r>
      <w:r w:rsidR="002067B0">
        <w:t xml:space="preserve">, decision adopted on 11 March 2016, </w:t>
      </w:r>
      <w:proofErr w:type="gramStart"/>
      <w:r w:rsidR="002067B0">
        <w:t>para</w:t>
      </w:r>
      <w:proofErr w:type="gramEnd"/>
      <w:r w:rsidR="002067B0">
        <w:t>. 10.5.</w:t>
      </w:r>
    </w:p>
  </w:footnote>
  <w:footnote w:id="51">
    <w:p w:rsidR="00707C88" w:rsidRPr="00274915" w:rsidRDefault="00707C88" w:rsidP="00707C88">
      <w:pPr>
        <w:pStyle w:val="FootnoteText"/>
        <w:jc w:val="both"/>
        <w:rPr>
          <w:sz w:val="20"/>
        </w:rPr>
      </w:pPr>
      <w:r>
        <w:tab/>
      </w:r>
      <w:r>
        <w:rPr>
          <w:rStyle w:val="FootnoteReference"/>
        </w:rPr>
        <w:footnoteRef/>
      </w:r>
      <w:r>
        <w:t xml:space="preserve"> </w:t>
      </w:r>
      <w:r>
        <w:tab/>
      </w:r>
      <w:r w:rsidRPr="0061183E">
        <w:t xml:space="preserve">Alfred de </w:t>
      </w:r>
      <w:proofErr w:type="spellStart"/>
      <w:r w:rsidRPr="0061183E">
        <w:t>Zayas</w:t>
      </w:r>
      <w:proofErr w:type="spellEnd"/>
      <w:r w:rsidR="0061183E" w:rsidRPr="0061183E">
        <w:t>, “</w:t>
      </w:r>
      <w:r w:rsidRPr="0061183E">
        <w:t xml:space="preserve">Human </w:t>
      </w:r>
      <w:r w:rsidR="0061183E" w:rsidRPr="0061183E">
        <w:t>rights and indefinite detention”</w:t>
      </w:r>
      <w:r w:rsidRPr="0061183E">
        <w:t>, International Review of the Red Cross, Volume 87</w:t>
      </w:r>
      <w:r w:rsidR="00894F46" w:rsidRPr="0061183E">
        <w:t>,</w:t>
      </w:r>
      <w:r w:rsidRPr="0061183E">
        <w:t xml:space="preserve"> Number 857</w:t>
      </w:r>
      <w:r w:rsidR="00894F46" w:rsidRPr="0061183E">
        <w:t>,</w:t>
      </w:r>
      <w:r w:rsidRPr="0061183E">
        <w:t xml:space="preserve"> March 2005, p</w:t>
      </w:r>
      <w:r w:rsidR="00894F46" w:rsidRPr="0061183E">
        <w:t>p</w:t>
      </w:r>
      <w:r w:rsidRPr="0061183E">
        <w:t>.19-20 .</w:t>
      </w:r>
    </w:p>
  </w:footnote>
  <w:footnote w:id="52">
    <w:p w:rsidR="009B6313" w:rsidRPr="009B6313" w:rsidRDefault="009B6313" w:rsidP="009B6313">
      <w:pPr>
        <w:pStyle w:val="FootnoteText"/>
        <w:widowControl w:val="0"/>
        <w:tabs>
          <w:tab w:val="clear" w:pos="1021"/>
          <w:tab w:val="right" w:pos="1020"/>
        </w:tabs>
        <w:rPr>
          <w:lang w:val="fr-CH"/>
        </w:rPr>
      </w:pPr>
      <w:r>
        <w:tab/>
      </w:r>
      <w:r>
        <w:rPr>
          <w:rStyle w:val="FootnoteReference"/>
        </w:rPr>
        <w:footnoteRef/>
      </w:r>
      <w:r>
        <w:tab/>
      </w:r>
      <w:r w:rsidRPr="00A65FA6">
        <w:t>CRPD/C/AUS/CO/1,</w:t>
      </w:r>
      <w:r w:rsidR="003F2C45">
        <w:t xml:space="preserve"> </w:t>
      </w:r>
      <w:r w:rsidRPr="00A65FA6">
        <w:t>12 September 2013</w:t>
      </w:r>
      <w:proofErr w:type="gramStart"/>
      <w:r w:rsidRPr="00A65FA6">
        <w:t>,  para</w:t>
      </w:r>
      <w:proofErr w:type="gramEnd"/>
      <w:r w:rsidRPr="00A65FA6">
        <w:t xml:space="preserve">. </w:t>
      </w:r>
      <w:r w:rsidRPr="00A65FA6">
        <w:rPr>
          <w:lang w:val="es-ES"/>
        </w:rPr>
        <w:t>32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F4" w:rsidRPr="008411F4" w:rsidRDefault="00AA66EF">
    <w:pPr>
      <w:pStyle w:val="Header"/>
    </w:pPr>
    <w:r>
      <w:t xml:space="preserve">Advanced unedited version </w:t>
    </w:r>
    <w:r w:rsidR="008411F4">
      <w:t>CRPD/C/16/D/7/2012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F4" w:rsidRPr="008411F4" w:rsidRDefault="00AA66EF" w:rsidP="008411F4">
    <w:pPr>
      <w:pStyle w:val="Header"/>
      <w:jc w:val="right"/>
    </w:pPr>
    <w:r>
      <w:t xml:space="preserve">Advanced unedited version </w:t>
    </w:r>
    <w:r w:rsidR="008411F4">
      <w:t>CRPD/C/16/D/7/2012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B4531E"/>
    <w:multiLevelType w:val="multilevel"/>
    <w:tmpl w:val="C20A7D78"/>
    <w:lvl w:ilvl="0">
      <w:start w:val="4"/>
      <w:numFmt w:val="decimal"/>
      <w:lvlText w:val="%1"/>
      <w:lvlJc w:val="left"/>
      <w:pPr>
        <w:ind w:left="420" w:hanging="420"/>
      </w:pPr>
      <w:rPr>
        <w:rFonts w:hint="default"/>
      </w:rPr>
    </w:lvl>
    <w:lvl w:ilvl="1">
      <w:start w:val="23"/>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0AD42399"/>
    <w:multiLevelType w:val="hybridMultilevel"/>
    <w:tmpl w:val="AFA27FA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117432A4"/>
    <w:multiLevelType w:val="multilevel"/>
    <w:tmpl w:val="DBA60B8A"/>
    <w:lvl w:ilvl="0">
      <w:start w:val="4"/>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A37A39"/>
    <w:multiLevelType w:val="hybridMultilevel"/>
    <w:tmpl w:val="A678C016"/>
    <w:lvl w:ilvl="0" w:tplc="885CBC7A">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2B469A7C">
      <w:start w:val="1"/>
      <w:numFmt w:val="lowerRoman"/>
      <w:lvlText w:val="(%4)"/>
      <w:lvlJc w:val="left"/>
      <w:pPr>
        <w:ind w:left="3240" w:hanging="72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18327664"/>
    <w:multiLevelType w:val="multilevel"/>
    <w:tmpl w:val="EF2ABA28"/>
    <w:name w:val="AGSCorp"/>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709"/>
        </w:tabs>
        <w:ind w:left="709" w:hanging="709"/>
      </w:pPr>
      <w:rPr>
        <w:sz w:val="20"/>
      </w:rPr>
    </w:lvl>
    <w:lvl w:ilvl="2">
      <w:start w:val="1"/>
      <w:numFmt w:val="decimal"/>
      <w:pStyle w:val="NumberLevel3"/>
      <w:lvlText w:val="%1.%2.%3."/>
      <w:lvlJc w:val="left"/>
      <w:pPr>
        <w:tabs>
          <w:tab w:val="num" w:pos="709"/>
        </w:tabs>
        <w:ind w:left="709" w:hanging="709"/>
      </w:pPr>
      <w:rPr>
        <w:sz w:val="20"/>
      </w:rPr>
    </w:lvl>
    <w:lvl w:ilvl="3">
      <w:start w:val="1"/>
      <w:numFmt w:val="lowerLetter"/>
      <w:pStyle w:val="NumberLevel4"/>
      <w:lvlText w:val="%4."/>
      <w:lvlJc w:val="left"/>
      <w:pPr>
        <w:tabs>
          <w:tab w:val="num" w:pos="1134"/>
        </w:tabs>
        <w:ind w:left="1134" w:hanging="425"/>
      </w:pPr>
    </w:lvl>
    <w:lvl w:ilvl="4">
      <w:start w:val="1"/>
      <w:numFmt w:val="bullet"/>
      <w:pStyle w:val="NumberLevel5"/>
      <w:lvlText w:val="–"/>
      <w:lvlJc w:val="left"/>
      <w:pPr>
        <w:tabs>
          <w:tab w:val="num" w:pos="1559"/>
        </w:tabs>
        <w:ind w:left="1559" w:hanging="425"/>
      </w:pPr>
      <w:rPr>
        <w:b w:val="0"/>
        <w:i w:val="0"/>
      </w:rPr>
    </w:lvl>
    <w:lvl w:ilvl="5">
      <w:start w:val="1"/>
      <w:numFmt w:val="bullet"/>
      <w:pStyle w:val="NumberLevel6"/>
      <w:lvlText w:val="–"/>
      <w:lvlJc w:val="left"/>
      <w:pPr>
        <w:tabs>
          <w:tab w:val="num" w:pos="1985"/>
        </w:tabs>
        <w:ind w:left="1985" w:hanging="426"/>
      </w:pPr>
      <w:rPr>
        <w:b w:val="0"/>
        <w:i w:val="0"/>
      </w:rPr>
    </w:lvl>
    <w:lvl w:ilvl="6">
      <w:start w:val="1"/>
      <w:numFmt w:val="bullet"/>
      <w:pStyle w:val="NumberLevel7"/>
      <w:lvlText w:val="–"/>
      <w:lvlJc w:val="left"/>
      <w:pPr>
        <w:tabs>
          <w:tab w:val="num" w:pos="2410"/>
        </w:tabs>
        <w:ind w:left="2410" w:hanging="425"/>
      </w:pPr>
      <w:rPr>
        <w:b w:val="0"/>
        <w:i w:val="0"/>
      </w:rPr>
    </w:lvl>
    <w:lvl w:ilvl="7">
      <w:start w:val="1"/>
      <w:numFmt w:val="bullet"/>
      <w:pStyle w:val="NumberLevel8"/>
      <w:lvlText w:val="–"/>
      <w:lvlJc w:val="left"/>
      <w:pPr>
        <w:tabs>
          <w:tab w:val="num" w:pos="2835"/>
        </w:tabs>
        <w:ind w:left="2835" w:hanging="425"/>
      </w:pPr>
      <w:rPr>
        <w:b w:val="0"/>
        <w:i w:val="0"/>
      </w:rPr>
    </w:lvl>
    <w:lvl w:ilvl="8">
      <w:start w:val="1"/>
      <w:numFmt w:val="bullet"/>
      <w:pStyle w:val="NumberLevel9"/>
      <w:lvlText w:val="–"/>
      <w:lvlJc w:val="left"/>
      <w:pPr>
        <w:tabs>
          <w:tab w:val="num" w:pos="3260"/>
        </w:tabs>
        <w:ind w:left="3260" w:hanging="425"/>
      </w:pPr>
      <w:rPr>
        <w:b w:val="0"/>
        <w:i w:val="0"/>
      </w:rPr>
    </w:lvl>
  </w:abstractNum>
  <w:abstractNum w:abstractNumId="19">
    <w:nsid w:val="184F4AAD"/>
    <w:multiLevelType w:val="multilevel"/>
    <w:tmpl w:val="0A641544"/>
    <w:lvl w:ilvl="0">
      <w:start w:val="4"/>
      <w:numFmt w:val="decimal"/>
      <w:lvlText w:val="%1"/>
      <w:lvlJc w:val="left"/>
      <w:pPr>
        <w:ind w:left="420" w:hanging="420"/>
      </w:pPr>
      <w:rPr>
        <w:rFonts w:hint="default"/>
      </w:rPr>
    </w:lvl>
    <w:lvl w:ilvl="1">
      <w:start w:val="23"/>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1B140C79"/>
    <w:multiLevelType w:val="hybridMultilevel"/>
    <w:tmpl w:val="5CFC81DC"/>
    <w:lvl w:ilvl="0" w:tplc="22B60BCE">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0F00DA"/>
    <w:multiLevelType w:val="multilevel"/>
    <w:tmpl w:val="BE7408B8"/>
    <w:lvl w:ilvl="0">
      <w:start w:val="4"/>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93F65"/>
    <w:multiLevelType w:val="hybridMultilevel"/>
    <w:tmpl w:val="5CFC81DC"/>
    <w:lvl w:ilvl="0" w:tplc="22B60BCE">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
    <w:nsid w:val="479740C5"/>
    <w:multiLevelType w:val="multilevel"/>
    <w:tmpl w:val="9406291C"/>
    <w:lvl w:ilvl="0">
      <w:start w:val="1"/>
      <w:numFmt w:val="decimal"/>
      <w:lvlText w:val="%1."/>
      <w:lvlJc w:val="left"/>
      <w:pPr>
        <w:tabs>
          <w:tab w:val="num" w:pos="567"/>
        </w:tabs>
        <w:ind w:left="567" w:hanging="567"/>
      </w:pPr>
      <w:rPr>
        <w:b w:val="0"/>
        <w:strike w:val="0"/>
        <w:sz w:val="22"/>
        <w:szCs w:val="22"/>
      </w:rPr>
    </w:lvl>
    <w:lvl w:ilvl="1">
      <w:start w:val="1"/>
      <w:numFmt w:val="lowerRoman"/>
      <w:lvlText w:val="(%2)"/>
      <w:lvlJc w:val="left"/>
      <w:pPr>
        <w:ind w:left="1233" w:hanging="720"/>
      </w:pPr>
      <w:rPr>
        <w:rFonts w:hint="default"/>
      </w:rPr>
    </w:lvl>
    <w:lvl w:ilvl="2">
      <w:start w:val="1"/>
      <w:numFmt w:val="lowerLetter"/>
      <w:lvlText w:val="(%3)"/>
      <w:lvlJc w:val="left"/>
      <w:pPr>
        <w:ind w:left="1773" w:hanging="360"/>
      </w:pPr>
      <w:rPr>
        <w:rFonts w:hint="default"/>
      </w:rPr>
    </w:lvl>
    <w:lvl w:ilvl="3" w:tentative="1">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26">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27">
    <w:nsid w:val="5C8D54C2"/>
    <w:multiLevelType w:val="multilevel"/>
    <w:tmpl w:val="95F4446C"/>
    <w:lvl w:ilvl="0">
      <w:start w:val="4"/>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5D0215"/>
    <w:multiLevelType w:val="multilevel"/>
    <w:tmpl w:val="3A202870"/>
    <w:lvl w:ilvl="0">
      <w:start w:val="4"/>
      <w:numFmt w:val="decimal"/>
      <w:lvlText w:val="%1"/>
      <w:lvlJc w:val="left"/>
      <w:pPr>
        <w:ind w:left="420" w:hanging="420"/>
      </w:pPr>
      <w:rPr>
        <w:rFonts w:hint="default"/>
      </w:rPr>
    </w:lvl>
    <w:lvl w:ilvl="1">
      <w:start w:val="25"/>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1">
    <w:nsid w:val="6EB8591B"/>
    <w:multiLevelType w:val="multilevel"/>
    <w:tmpl w:val="2F4A8E62"/>
    <w:lvl w:ilvl="0">
      <w:start w:val="4"/>
      <w:numFmt w:val="decimal"/>
      <w:lvlText w:val="%1"/>
      <w:lvlJc w:val="left"/>
      <w:pPr>
        <w:ind w:left="420" w:hanging="420"/>
      </w:pPr>
      <w:rPr>
        <w:rFonts w:hint="default"/>
      </w:rPr>
    </w:lvl>
    <w:lvl w:ilvl="1">
      <w:start w:val="16"/>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1"/>
  </w:num>
  <w:num w:numId="2">
    <w:abstractNumId w:val="29"/>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3"/>
  </w:num>
  <w:num w:numId="14">
    <w:abstractNumId w:val="21"/>
  </w:num>
  <w:num w:numId="15">
    <w:abstractNumId w:val="10"/>
  </w:num>
  <w:num w:numId="16">
    <w:abstractNumId w:val="28"/>
  </w:num>
  <w:num w:numId="17">
    <w:abstractNumId w:val="16"/>
  </w:num>
  <w:num w:numId="18">
    <w:abstractNumId w:val="12"/>
  </w:num>
  <w:num w:numId="19">
    <w:abstractNumId w:val="17"/>
  </w:num>
  <w:num w:numId="20">
    <w:abstractNumId w:val="26"/>
  </w:num>
  <w:num w:numId="21">
    <w:abstractNumId w:val="24"/>
  </w:num>
  <w:num w:numId="22">
    <w:abstractNumId w:val="20"/>
  </w:num>
  <w:num w:numId="23">
    <w:abstractNumId w:val="15"/>
  </w:num>
  <w:num w:numId="24">
    <w:abstractNumId w:val="22"/>
  </w:num>
  <w:num w:numId="25">
    <w:abstractNumId w:val="25"/>
  </w:num>
  <w:num w:numId="26">
    <w:abstractNumId w:val="27"/>
  </w:num>
  <w:num w:numId="27">
    <w:abstractNumId w:val="31"/>
  </w:num>
  <w:num w:numId="28">
    <w:abstractNumId w:val="18"/>
  </w:num>
  <w:num w:numId="29">
    <w:abstractNumId w:val="14"/>
  </w:num>
  <w:num w:numId="30">
    <w:abstractNumId w:val="19"/>
  </w:num>
  <w:num w:numId="31">
    <w:abstractNumId w:val="13"/>
  </w:num>
  <w:num w:numId="3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F4"/>
    <w:rsid w:val="00007CA0"/>
    <w:rsid w:val="00024682"/>
    <w:rsid w:val="00032FF2"/>
    <w:rsid w:val="00050F6B"/>
    <w:rsid w:val="000531EB"/>
    <w:rsid w:val="00072C8C"/>
    <w:rsid w:val="000733B5"/>
    <w:rsid w:val="00077485"/>
    <w:rsid w:val="0009043C"/>
    <w:rsid w:val="000931C0"/>
    <w:rsid w:val="000A03AE"/>
    <w:rsid w:val="000A5D3B"/>
    <w:rsid w:val="000B175B"/>
    <w:rsid w:val="000B3A0F"/>
    <w:rsid w:val="000B4EF7"/>
    <w:rsid w:val="000C1462"/>
    <w:rsid w:val="000C2D2E"/>
    <w:rsid w:val="000E0415"/>
    <w:rsid w:val="000E4C22"/>
    <w:rsid w:val="001103AA"/>
    <w:rsid w:val="0012785E"/>
    <w:rsid w:val="00131834"/>
    <w:rsid w:val="00155467"/>
    <w:rsid w:val="00156EA2"/>
    <w:rsid w:val="00160175"/>
    <w:rsid w:val="001675B6"/>
    <w:rsid w:val="00180D95"/>
    <w:rsid w:val="0018711F"/>
    <w:rsid w:val="001A0940"/>
    <w:rsid w:val="001A3ABC"/>
    <w:rsid w:val="001B4B04"/>
    <w:rsid w:val="001C0016"/>
    <w:rsid w:val="001C6663"/>
    <w:rsid w:val="001C7895"/>
    <w:rsid w:val="001D26DF"/>
    <w:rsid w:val="001E5AA0"/>
    <w:rsid w:val="00202DA8"/>
    <w:rsid w:val="002067B0"/>
    <w:rsid w:val="00211E0B"/>
    <w:rsid w:val="002248B7"/>
    <w:rsid w:val="002449F6"/>
    <w:rsid w:val="0025416E"/>
    <w:rsid w:val="00255159"/>
    <w:rsid w:val="0025756B"/>
    <w:rsid w:val="0028597B"/>
    <w:rsid w:val="002C33A6"/>
    <w:rsid w:val="002F175C"/>
    <w:rsid w:val="002F2ED1"/>
    <w:rsid w:val="002F6C96"/>
    <w:rsid w:val="002F7360"/>
    <w:rsid w:val="00303214"/>
    <w:rsid w:val="00317752"/>
    <w:rsid w:val="003229D8"/>
    <w:rsid w:val="00323AE6"/>
    <w:rsid w:val="00352709"/>
    <w:rsid w:val="00356C3C"/>
    <w:rsid w:val="00371178"/>
    <w:rsid w:val="003735EF"/>
    <w:rsid w:val="00380C68"/>
    <w:rsid w:val="00381D38"/>
    <w:rsid w:val="003A44DA"/>
    <w:rsid w:val="003A4810"/>
    <w:rsid w:val="003A6810"/>
    <w:rsid w:val="003C2CC4"/>
    <w:rsid w:val="003D4B23"/>
    <w:rsid w:val="003F18FD"/>
    <w:rsid w:val="003F2C45"/>
    <w:rsid w:val="003F48D5"/>
    <w:rsid w:val="00405DDC"/>
    <w:rsid w:val="00410C89"/>
    <w:rsid w:val="00427BA8"/>
    <w:rsid w:val="004325CB"/>
    <w:rsid w:val="0045495B"/>
    <w:rsid w:val="00463283"/>
    <w:rsid w:val="004637C8"/>
    <w:rsid w:val="004759DF"/>
    <w:rsid w:val="004B0D68"/>
    <w:rsid w:val="004C0027"/>
    <w:rsid w:val="004C0B6E"/>
    <w:rsid w:val="004C1B50"/>
    <w:rsid w:val="004D25E4"/>
    <w:rsid w:val="00512315"/>
    <w:rsid w:val="00517B36"/>
    <w:rsid w:val="00526871"/>
    <w:rsid w:val="005420F2"/>
    <w:rsid w:val="00545300"/>
    <w:rsid w:val="0055577E"/>
    <w:rsid w:val="0056317A"/>
    <w:rsid w:val="005942AB"/>
    <w:rsid w:val="0059492B"/>
    <w:rsid w:val="005B3DB3"/>
    <w:rsid w:val="005C6A79"/>
    <w:rsid w:val="006001EE"/>
    <w:rsid w:val="0061183E"/>
    <w:rsid w:val="00611C9F"/>
    <w:rsid w:val="00611FC4"/>
    <w:rsid w:val="006176FB"/>
    <w:rsid w:val="006223D2"/>
    <w:rsid w:val="00632048"/>
    <w:rsid w:val="00640B26"/>
    <w:rsid w:val="00644131"/>
    <w:rsid w:val="00646687"/>
    <w:rsid w:val="006638BE"/>
    <w:rsid w:val="00667387"/>
    <w:rsid w:val="00671F16"/>
    <w:rsid w:val="006754A7"/>
    <w:rsid w:val="00685859"/>
    <w:rsid w:val="006B2B63"/>
    <w:rsid w:val="006C5F51"/>
    <w:rsid w:val="006E564B"/>
    <w:rsid w:val="006F7FC3"/>
    <w:rsid w:val="00701683"/>
    <w:rsid w:val="00706C71"/>
    <w:rsid w:val="00707C88"/>
    <w:rsid w:val="00722E34"/>
    <w:rsid w:val="0072632A"/>
    <w:rsid w:val="0075080E"/>
    <w:rsid w:val="00750B6B"/>
    <w:rsid w:val="00761B70"/>
    <w:rsid w:val="00771848"/>
    <w:rsid w:val="00775B72"/>
    <w:rsid w:val="00777157"/>
    <w:rsid w:val="00790F9E"/>
    <w:rsid w:val="007B6BA5"/>
    <w:rsid w:val="007C3390"/>
    <w:rsid w:val="007C4F4B"/>
    <w:rsid w:val="007C7FA7"/>
    <w:rsid w:val="007D3D32"/>
    <w:rsid w:val="007F0A84"/>
    <w:rsid w:val="007F6611"/>
    <w:rsid w:val="008242D7"/>
    <w:rsid w:val="00834E7A"/>
    <w:rsid w:val="008411F4"/>
    <w:rsid w:val="0085226B"/>
    <w:rsid w:val="00894F46"/>
    <w:rsid w:val="008979B1"/>
    <w:rsid w:val="00897F21"/>
    <w:rsid w:val="008A6B25"/>
    <w:rsid w:val="008A6C4F"/>
    <w:rsid w:val="008B2335"/>
    <w:rsid w:val="008B590E"/>
    <w:rsid w:val="008C4480"/>
    <w:rsid w:val="008C6E31"/>
    <w:rsid w:val="009014C2"/>
    <w:rsid w:val="00903DDA"/>
    <w:rsid w:val="0090473E"/>
    <w:rsid w:val="009223CA"/>
    <w:rsid w:val="0092400B"/>
    <w:rsid w:val="00940F93"/>
    <w:rsid w:val="00946D3A"/>
    <w:rsid w:val="00987B76"/>
    <w:rsid w:val="00993133"/>
    <w:rsid w:val="009B0F0E"/>
    <w:rsid w:val="009B52CC"/>
    <w:rsid w:val="009B6313"/>
    <w:rsid w:val="009C14AA"/>
    <w:rsid w:val="009F7711"/>
    <w:rsid w:val="009F7C5D"/>
    <w:rsid w:val="00A01489"/>
    <w:rsid w:val="00A0575A"/>
    <w:rsid w:val="00A25B89"/>
    <w:rsid w:val="00A372C5"/>
    <w:rsid w:val="00A46B66"/>
    <w:rsid w:val="00A56B58"/>
    <w:rsid w:val="00A612EE"/>
    <w:rsid w:val="00A6682E"/>
    <w:rsid w:val="00A70629"/>
    <w:rsid w:val="00A72F22"/>
    <w:rsid w:val="00A748A6"/>
    <w:rsid w:val="00A776B4"/>
    <w:rsid w:val="00A94361"/>
    <w:rsid w:val="00A9758F"/>
    <w:rsid w:val="00AA6477"/>
    <w:rsid w:val="00AA66EF"/>
    <w:rsid w:val="00AB3BA8"/>
    <w:rsid w:val="00B06775"/>
    <w:rsid w:val="00B12226"/>
    <w:rsid w:val="00B30179"/>
    <w:rsid w:val="00B46BC0"/>
    <w:rsid w:val="00B56E9C"/>
    <w:rsid w:val="00B64B1F"/>
    <w:rsid w:val="00B6553F"/>
    <w:rsid w:val="00B81E12"/>
    <w:rsid w:val="00BC74E9"/>
    <w:rsid w:val="00BD44FD"/>
    <w:rsid w:val="00BE37B8"/>
    <w:rsid w:val="00BF68A8"/>
    <w:rsid w:val="00C213A4"/>
    <w:rsid w:val="00C22B2D"/>
    <w:rsid w:val="00C23DF4"/>
    <w:rsid w:val="00C3206E"/>
    <w:rsid w:val="00C328DD"/>
    <w:rsid w:val="00C3786F"/>
    <w:rsid w:val="00C463DD"/>
    <w:rsid w:val="00C4724C"/>
    <w:rsid w:val="00C629A0"/>
    <w:rsid w:val="00C745C3"/>
    <w:rsid w:val="00C7587F"/>
    <w:rsid w:val="00C75FB9"/>
    <w:rsid w:val="00CA25DB"/>
    <w:rsid w:val="00CB578D"/>
    <w:rsid w:val="00CC00AC"/>
    <w:rsid w:val="00CC7FE0"/>
    <w:rsid w:val="00CE4A8F"/>
    <w:rsid w:val="00D2031B"/>
    <w:rsid w:val="00D218CB"/>
    <w:rsid w:val="00D25FE2"/>
    <w:rsid w:val="00D27732"/>
    <w:rsid w:val="00D319BF"/>
    <w:rsid w:val="00D411BF"/>
    <w:rsid w:val="00D43252"/>
    <w:rsid w:val="00D51E7F"/>
    <w:rsid w:val="00D655F6"/>
    <w:rsid w:val="00D675E6"/>
    <w:rsid w:val="00D735F2"/>
    <w:rsid w:val="00D928A6"/>
    <w:rsid w:val="00D934D1"/>
    <w:rsid w:val="00D978C6"/>
    <w:rsid w:val="00D97C46"/>
    <w:rsid w:val="00DA3C1C"/>
    <w:rsid w:val="00DA7618"/>
    <w:rsid w:val="00DC0CF1"/>
    <w:rsid w:val="00DC1679"/>
    <w:rsid w:val="00DC72A5"/>
    <w:rsid w:val="00DD3867"/>
    <w:rsid w:val="00DD3CD6"/>
    <w:rsid w:val="00E22C0A"/>
    <w:rsid w:val="00E40E7C"/>
    <w:rsid w:val="00E664D1"/>
    <w:rsid w:val="00E71BC8"/>
    <w:rsid w:val="00E721AB"/>
    <w:rsid w:val="00E7260F"/>
    <w:rsid w:val="00E96630"/>
    <w:rsid w:val="00EB6761"/>
    <w:rsid w:val="00EC5549"/>
    <w:rsid w:val="00EC6C87"/>
    <w:rsid w:val="00ED32A3"/>
    <w:rsid w:val="00ED7A2A"/>
    <w:rsid w:val="00EE0A34"/>
    <w:rsid w:val="00EE4D26"/>
    <w:rsid w:val="00EF1D7F"/>
    <w:rsid w:val="00F1234D"/>
    <w:rsid w:val="00F34583"/>
    <w:rsid w:val="00F504DF"/>
    <w:rsid w:val="00F67E4A"/>
    <w:rsid w:val="00F71242"/>
    <w:rsid w:val="00F71FD1"/>
    <w:rsid w:val="00F81534"/>
    <w:rsid w:val="00F84681"/>
    <w:rsid w:val="00F85F17"/>
    <w:rsid w:val="00F91C6C"/>
    <w:rsid w:val="00F92E89"/>
    <w:rsid w:val="00F97F1E"/>
    <w:rsid w:val="00FA271C"/>
    <w:rsid w:val="00FB6D1E"/>
    <w:rsid w:val="00FC68B7"/>
    <w:rsid w:val="00FC6EF9"/>
    <w:rsid w:val="00FE555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C213A4"/>
    <w:pPr>
      <w:numPr>
        <w:ilvl w:val="1"/>
        <w:numId w:val="5"/>
      </w:numPr>
      <w:spacing w:line="240" w:lineRule="auto"/>
      <w:outlineLvl w:val="1"/>
    </w:pPr>
  </w:style>
  <w:style w:type="paragraph" w:styleId="Heading3">
    <w:name w:val="heading 3"/>
    <w:basedOn w:val="Normal"/>
    <w:next w:val="Normal"/>
    <w:qFormat/>
    <w:rsid w:val="00C213A4"/>
    <w:pPr>
      <w:numPr>
        <w:ilvl w:val="2"/>
        <w:numId w:val="5"/>
      </w:numPr>
      <w:spacing w:line="240" w:lineRule="auto"/>
      <w:outlineLvl w:val="2"/>
    </w:pPr>
  </w:style>
  <w:style w:type="paragraph" w:styleId="Heading4">
    <w:name w:val="heading 4"/>
    <w:basedOn w:val="Normal"/>
    <w:next w:val="Normal"/>
    <w:qFormat/>
    <w:rsid w:val="00C213A4"/>
    <w:pPr>
      <w:numPr>
        <w:ilvl w:val="3"/>
        <w:numId w:val="5"/>
      </w:numPr>
      <w:spacing w:line="240" w:lineRule="auto"/>
      <w:outlineLvl w:val="3"/>
    </w:pPr>
  </w:style>
  <w:style w:type="paragraph" w:styleId="Heading5">
    <w:name w:val="heading 5"/>
    <w:basedOn w:val="Normal"/>
    <w:next w:val="Normal"/>
    <w:qFormat/>
    <w:rsid w:val="00C213A4"/>
    <w:pPr>
      <w:numPr>
        <w:ilvl w:val="4"/>
        <w:numId w:val="5"/>
      </w:numPr>
      <w:spacing w:line="240" w:lineRule="auto"/>
      <w:outlineLvl w:val="4"/>
    </w:pPr>
  </w:style>
  <w:style w:type="paragraph" w:styleId="Heading6">
    <w:name w:val="heading 6"/>
    <w:basedOn w:val="Normal"/>
    <w:next w:val="Normal"/>
    <w:qFormat/>
    <w:rsid w:val="00C213A4"/>
    <w:pPr>
      <w:numPr>
        <w:ilvl w:val="5"/>
        <w:numId w:val="5"/>
      </w:numPr>
      <w:spacing w:line="240" w:lineRule="auto"/>
      <w:outlineLvl w:val="5"/>
    </w:pPr>
  </w:style>
  <w:style w:type="paragraph" w:styleId="Heading7">
    <w:name w:val="heading 7"/>
    <w:basedOn w:val="Normal"/>
    <w:next w:val="Normal"/>
    <w:qFormat/>
    <w:rsid w:val="00C213A4"/>
    <w:pPr>
      <w:numPr>
        <w:ilvl w:val="6"/>
        <w:numId w:val="5"/>
      </w:numPr>
      <w:spacing w:line="240" w:lineRule="auto"/>
      <w:outlineLvl w:val="6"/>
    </w:pPr>
  </w:style>
  <w:style w:type="paragraph" w:styleId="Heading8">
    <w:name w:val="heading 8"/>
    <w:basedOn w:val="Normal"/>
    <w:next w:val="Normal"/>
    <w:qFormat/>
    <w:rsid w:val="00C213A4"/>
    <w:pPr>
      <w:numPr>
        <w:ilvl w:val="7"/>
        <w:numId w:val="5"/>
      </w:numPr>
      <w:spacing w:line="240" w:lineRule="auto"/>
      <w:outlineLvl w:val="7"/>
    </w:pPr>
  </w:style>
  <w:style w:type="paragraph" w:styleId="Heading9">
    <w:name w:val="heading 9"/>
    <w:basedOn w:val="Normal"/>
    <w:next w:val="Normal"/>
    <w:qFormat/>
    <w:rsid w:val="00C213A4"/>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Footnotes refss,Style 10"/>
    <w:qFormat/>
    <w:rsid w:val="00C213A4"/>
    <w:rPr>
      <w:rFonts w:ascii="Times New Roman" w:hAnsi="Times New Roman"/>
      <w:sz w:val="18"/>
      <w:vertAlign w:val="superscript"/>
    </w:rPr>
  </w:style>
  <w:style w:type="character" w:styleId="EndnoteReference">
    <w:name w:val="endnote reference"/>
    <w:aliases w:val="1_G"/>
    <w:basedOn w:val="FootnoteReference"/>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customStyle="1" w:styleId="ParaNoG">
    <w:name w:val="_ParaNo._G"/>
    <w:basedOn w:val="SingleTxtG"/>
    <w:rsid w:val="00F85F17"/>
  </w:style>
  <w:style w:type="paragraph" w:styleId="PlainText">
    <w:name w:val="Plain Text"/>
    <w:basedOn w:val="Normal"/>
    <w:link w:val="PlainTextChar"/>
    <w:rsid w:val="00F85F17"/>
    <w:rPr>
      <w:rFonts w:cs="Courier New"/>
    </w:rPr>
  </w:style>
  <w:style w:type="character" w:customStyle="1" w:styleId="PlainTextChar">
    <w:name w:val="Plain Text Char"/>
    <w:basedOn w:val="DefaultParagraphFont"/>
    <w:link w:val="PlainText"/>
    <w:rsid w:val="00F85F17"/>
    <w:rPr>
      <w:rFonts w:cs="Courier New"/>
      <w:lang w:eastAsia="en-US"/>
    </w:rPr>
  </w:style>
  <w:style w:type="paragraph" w:styleId="BodyText">
    <w:name w:val="Body Text"/>
    <w:basedOn w:val="Normal"/>
    <w:next w:val="Normal"/>
    <w:link w:val="BodyTextChar"/>
    <w:rsid w:val="00F85F17"/>
  </w:style>
  <w:style w:type="character" w:customStyle="1" w:styleId="BodyTextChar">
    <w:name w:val="Body Text Char"/>
    <w:basedOn w:val="DefaultParagraphFont"/>
    <w:link w:val="BodyText"/>
    <w:rsid w:val="00F85F17"/>
    <w:rPr>
      <w:lang w:eastAsia="en-US"/>
    </w:rPr>
  </w:style>
  <w:style w:type="paragraph" w:styleId="BodyTextIndent">
    <w:name w:val="Body Text Indent"/>
    <w:basedOn w:val="Normal"/>
    <w:link w:val="BodyTextIndentChar"/>
    <w:rsid w:val="00F85F17"/>
    <w:pPr>
      <w:spacing w:after="120"/>
      <w:ind w:left="283"/>
    </w:pPr>
  </w:style>
  <w:style w:type="character" w:customStyle="1" w:styleId="BodyTextIndentChar">
    <w:name w:val="Body Text Indent Char"/>
    <w:basedOn w:val="DefaultParagraphFont"/>
    <w:link w:val="BodyTextIndent"/>
    <w:rsid w:val="00F85F17"/>
    <w:rPr>
      <w:lang w:eastAsia="en-US"/>
    </w:rPr>
  </w:style>
  <w:style w:type="paragraph" w:styleId="BlockText">
    <w:name w:val="Block Text"/>
    <w:basedOn w:val="Normal"/>
    <w:rsid w:val="00F85F17"/>
    <w:pPr>
      <w:ind w:left="1440" w:right="1440"/>
    </w:pPr>
  </w:style>
  <w:style w:type="character" w:styleId="CommentReference">
    <w:name w:val="annotation reference"/>
    <w:uiPriority w:val="99"/>
    <w:rsid w:val="00F85F17"/>
    <w:rPr>
      <w:sz w:val="6"/>
    </w:rPr>
  </w:style>
  <w:style w:type="paragraph" w:styleId="CommentText">
    <w:name w:val="annotation text"/>
    <w:basedOn w:val="Normal"/>
    <w:link w:val="CommentTextChar"/>
    <w:rsid w:val="00F85F17"/>
  </w:style>
  <w:style w:type="character" w:customStyle="1" w:styleId="CommentTextChar">
    <w:name w:val="Comment Text Char"/>
    <w:basedOn w:val="DefaultParagraphFont"/>
    <w:link w:val="CommentText"/>
    <w:rsid w:val="00F85F17"/>
    <w:rPr>
      <w:lang w:eastAsia="en-US"/>
    </w:rPr>
  </w:style>
  <w:style w:type="character" w:styleId="LineNumber">
    <w:name w:val="line number"/>
    <w:rsid w:val="00F85F17"/>
    <w:rPr>
      <w:sz w:val="14"/>
    </w:rPr>
  </w:style>
  <w:style w:type="numbering" w:styleId="111111">
    <w:name w:val="Outline List 2"/>
    <w:basedOn w:val="NoList"/>
    <w:rsid w:val="00F85F17"/>
    <w:pPr>
      <w:numPr>
        <w:numId w:val="16"/>
      </w:numPr>
    </w:pPr>
  </w:style>
  <w:style w:type="numbering" w:styleId="1ai">
    <w:name w:val="Outline List 1"/>
    <w:basedOn w:val="NoList"/>
    <w:rsid w:val="00F85F17"/>
    <w:pPr>
      <w:numPr>
        <w:numId w:val="17"/>
      </w:numPr>
    </w:pPr>
  </w:style>
  <w:style w:type="numbering" w:styleId="ArticleSection">
    <w:name w:val="Outline List 3"/>
    <w:basedOn w:val="NoList"/>
    <w:rsid w:val="00F85F17"/>
    <w:pPr>
      <w:numPr>
        <w:numId w:val="18"/>
      </w:numPr>
    </w:pPr>
  </w:style>
  <w:style w:type="paragraph" w:styleId="BodyText2">
    <w:name w:val="Body Text 2"/>
    <w:basedOn w:val="Normal"/>
    <w:link w:val="BodyText2Char"/>
    <w:rsid w:val="00F85F17"/>
    <w:pPr>
      <w:spacing w:after="120" w:line="480" w:lineRule="auto"/>
    </w:pPr>
  </w:style>
  <w:style w:type="character" w:customStyle="1" w:styleId="BodyText2Char">
    <w:name w:val="Body Text 2 Char"/>
    <w:basedOn w:val="DefaultParagraphFont"/>
    <w:link w:val="BodyText2"/>
    <w:rsid w:val="00F85F17"/>
    <w:rPr>
      <w:lang w:eastAsia="en-US"/>
    </w:rPr>
  </w:style>
  <w:style w:type="paragraph" w:styleId="BodyText3">
    <w:name w:val="Body Text 3"/>
    <w:basedOn w:val="Normal"/>
    <w:link w:val="BodyText3Char"/>
    <w:rsid w:val="00F85F17"/>
    <w:pPr>
      <w:spacing w:after="120"/>
    </w:pPr>
    <w:rPr>
      <w:sz w:val="16"/>
      <w:szCs w:val="16"/>
    </w:rPr>
  </w:style>
  <w:style w:type="character" w:customStyle="1" w:styleId="BodyText3Char">
    <w:name w:val="Body Text 3 Char"/>
    <w:basedOn w:val="DefaultParagraphFont"/>
    <w:link w:val="BodyText3"/>
    <w:rsid w:val="00F85F17"/>
    <w:rPr>
      <w:sz w:val="16"/>
      <w:szCs w:val="16"/>
      <w:lang w:eastAsia="en-US"/>
    </w:rPr>
  </w:style>
  <w:style w:type="paragraph" w:styleId="BodyTextFirstIndent">
    <w:name w:val="Body Text First Indent"/>
    <w:basedOn w:val="BodyText"/>
    <w:link w:val="BodyTextFirstIndentChar"/>
    <w:rsid w:val="00F85F17"/>
    <w:pPr>
      <w:spacing w:after="120"/>
      <w:ind w:firstLine="210"/>
    </w:pPr>
  </w:style>
  <w:style w:type="character" w:customStyle="1" w:styleId="BodyTextFirstIndentChar">
    <w:name w:val="Body Text First Indent Char"/>
    <w:basedOn w:val="BodyTextChar"/>
    <w:link w:val="BodyTextFirstIndent"/>
    <w:rsid w:val="00F85F17"/>
    <w:rPr>
      <w:lang w:eastAsia="en-US"/>
    </w:rPr>
  </w:style>
  <w:style w:type="paragraph" w:styleId="BodyTextFirstIndent2">
    <w:name w:val="Body Text First Indent 2"/>
    <w:basedOn w:val="BodyTextIndent"/>
    <w:link w:val="BodyTextFirstIndent2Char"/>
    <w:rsid w:val="00F85F17"/>
    <w:pPr>
      <w:ind w:firstLine="210"/>
    </w:pPr>
  </w:style>
  <w:style w:type="character" w:customStyle="1" w:styleId="BodyTextFirstIndent2Char">
    <w:name w:val="Body Text First Indent 2 Char"/>
    <w:basedOn w:val="BodyTextIndentChar"/>
    <w:link w:val="BodyTextFirstIndent2"/>
    <w:rsid w:val="00F85F17"/>
    <w:rPr>
      <w:lang w:eastAsia="en-US"/>
    </w:rPr>
  </w:style>
  <w:style w:type="paragraph" w:styleId="BodyTextIndent2">
    <w:name w:val="Body Text Indent 2"/>
    <w:basedOn w:val="Normal"/>
    <w:link w:val="BodyTextIndent2Char"/>
    <w:rsid w:val="00F85F17"/>
    <w:pPr>
      <w:spacing w:after="120" w:line="480" w:lineRule="auto"/>
      <w:ind w:left="283"/>
    </w:pPr>
  </w:style>
  <w:style w:type="character" w:customStyle="1" w:styleId="BodyTextIndent2Char">
    <w:name w:val="Body Text Indent 2 Char"/>
    <w:basedOn w:val="DefaultParagraphFont"/>
    <w:link w:val="BodyTextIndent2"/>
    <w:rsid w:val="00F85F17"/>
    <w:rPr>
      <w:lang w:eastAsia="en-US"/>
    </w:rPr>
  </w:style>
  <w:style w:type="paragraph" w:styleId="BodyTextIndent3">
    <w:name w:val="Body Text Indent 3"/>
    <w:basedOn w:val="Normal"/>
    <w:link w:val="BodyTextIndent3Char"/>
    <w:rsid w:val="00F85F17"/>
    <w:pPr>
      <w:spacing w:after="120"/>
      <w:ind w:left="283"/>
    </w:pPr>
    <w:rPr>
      <w:sz w:val="16"/>
      <w:szCs w:val="16"/>
    </w:rPr>
  </w:style>
  <w:style w:type="character" w:customStyle="1" w:styleId="BodyTextIndent3Char">
    <w:name w:val="Body Text Indent 3 Char"/>
    <w:basedOn w:val="DefaultParagraphFont"/>
    <w:link w:val="BodyTextIndent3"/>
    <w:rsid w:val="00F85F17"/>
    <w:rPr>
      <w:sz w:val="16"/>
      <w:szCs w:val="16"/>
      <w:lang w:eastAsia="en-US"/>
    </w:rPr>
  </w:style>
  <w:style w:type="paragraph" w:styleId="Closing">
    <w:name w:val="Closing"/>
    <w:basedOn w:val="Normal"/>
    <w:link w:val="ClosingChar"/>
    <w:rsid w:val="00F85F17"/>
    <w:pPr>
      <w:ind w:left="4252"/>
    </w:pPr>
  </w:style>
  <w:style w:type="character" w:customStyle="1" w:styleId="ClosingChar">
    <w:name w:val="Closing Char"/>
    <w:basedOn w:val="DefaultParagraphFont"/>
    <w:link w:val="Closing"/>
    <w:rsid w:val="00F85F17"/>
    <w:rPr>
      <w:lang w:eastAsia="en-US"/>
    </w:rPr>
  </w:style>
  <w:style w:type="paragraph" w:styleId="Date">
    <w:name w:val="Date"/>
    <w:basedOn w:val="Normal"/>
    <w:next w:val="Normal"/>
    <w:link w:val="DateChar"/>
    <w:rsid w:val="00F85F17"/>
  </w:style>
  <w:style w:type="character" w:customStyle="1" w:styleId="DateChar">
    <w:name w:val="Date Char"/>
    <w:basedOn w:val="DefaultParagraphFont"/>
    <w:link w:val="Date"/>
    <w:rsid w:val="00F85F17"/>
    <w:rPr>
      <w:lang w:eastAsia="en-US"/>
    </w:rPr>
  </w:style>
  <w:style w:type="paragraph" w:styleId="E-mailSignature">
    <w:name w:val="E-mail Signature"/>
    <w:basedOn w:val="Normal"/>
    <w:link w:val="E-mailSignatureChar"/>
    <w:rsid w:val="00F85F17"/>
  </w:style>
  <w:style w:type="character" w:customStyle="1" w:styleId="E-mailSignatureChar">
    <w:name w:val="E-mail Signature Char"/>
    <w:basedOn w:val="DefaultParagraphFont"/>
    <w:link w:val="E-mailSignature"/>
    <w:rsid w:val="00F85F17"/>
    <w:rPr>
      <w:lang w:eastAsia="en-US"/>
    </w:rPr>
  </w:style>
  <w:style w:type="character" w:styleId="Emphasis">
    <w:name w:val="Emphasis"/>
    <w:uiPriority w:val="20"/>
    <w:qFormat/>
    <w:rsid w:val="00F85F17"/>
    <w:rPr>
      <w:i/>
      <w:iCs/>
    </w:rPr>
  </w:style>
  <w:style w:type="paragraph" w:styleId="EnvelopeReturn">
    <w:name w:val="envelope return"/>
    <w:basedOn w:val="Normal"/>
    <w:rsid w:val="00F85F17"/>
    <w:rPr>
      <w:rFonts w:ascii="Arial" w:hAnsi="Arial" w:cs="Arial"/>
    </w:rPr>
  </w:style>
  <w:style w:type="character" w:styleId="HTMLAcronym">
    <w:name w:val="HTML Acronym"/>
    <w:basedOn w:val="DefaultParagraphFont"/>
    <w:rsid w:val="00F85F17"/>
  </w:style>
  <w:style w:type="paragraph" w:styleId="HTMLAddress">
    <w:name w:val="HTML Address"/>
    <w:basedOn w:val="Normal"/>
    <w:link w:val="HTMLAddressChar"/>
    <w:rsid w:val="00F85F17"/>
    <w:rPr>
      <w:i/>
      <w:iCs/>
    </w:rPr>
  </w:style>
  <w:style w:type="character" w:customStyle="1" w:styleId="HTMLAddressChar">
    <w:name w:val="HTML Address Char"/>
    <w:basedOn w:val="DefaultParagraphFont"/>
    <w:link w:val="HTMLAddress"/>
    <w:rsid w:val="00F85F17"/>
    <w:rPr>
      <w:i/>
      <w:iCs/>
      <w:lang w:eastAsia="en-US"/>
    </w:rPr>
  </w:style>
  <w:style w:type="character" w:styleId="HTMLCite">
    <w:name w:val="HTML Cite"/>
    <w:rsid w:val="00F85F17"/>
    <w:rPr>
      <w:i/>
      <w:iCs/>
    </w:rPr>
  </w:style>
  <w:style w:type="character" w:styleId="HTMLCode">
    <w:name w:val="HTML Code"/>
    <w:rsid w:val="00F85F17"/>
    <w:rPr>
      <w:rFonts w:ascii="Courier New" w:hAnsi="Courier New" w:cs="Courier New"/>
      <w:sz w:val="20"/>
      <w:szCs w:val="20"/>
    </w:rPr>
  </w:style>
  <w:style w:type="character" w:styleId="HTMLDefinition">
    <w:name w:val="HTML Definition"/>
    <w:rsid w:val="00F85F17"/>
    <w:rPr>
      <w:i/>
      <w:iCs/>
    </w:rPr>
  </w:style>
  <w:style w:type="character" w:styleId="HTMLKeyboard">
    <w:name w:val="HTML Keyboard"/>
    <w:rsid w:val="00F85F17"/>
    <w:rPr>
      <w:rFonts w:ascii="Courier New" w:hAnsi="Courier New" w:cs="Courier New"/>
      <w:sz w:val="20"/>
      <w:szCs w:val="20"/>
    </w:rPr>
  </w:style>
  <w:style w:type="paragraph" w:styleId="HTMLPreformatted">
    <w:name w:val="HTML Preformatted"/>
    <w:basedOn w:val="Normal"/>
    <w:link w:val="HTMLPreformattedChar"/>
    <w:rsid w:val="00F85F17"/>
    <w:rPr>
      <w:rFonts w:ascii="Courier New" w:hAnsi="Courier New" w:cs="Courier New"/>
    </w:rPr>
  </w:style>
  <w:style w:type="character" w:customStyle="1" w:styleId="HTMLPreformattedChar">
    <w:name w:val="HTML Preformatted Char"/>
    <w:basedOn w:val="DefaultParagraphFont"/>
    <w:link w:val="HTMLPreformatted"/>
    <w:rsid w:val="00F85F17"/>
    <w:rPr>
      <w:rFonts w:ascii="Courier New" w:hAnsi="Courier New" w:cs="Courier New"/>
      <w:lang w:eastAsia="en-US"/>
    </w:rPr>
  </w:style>
  <w:style w:type="character" w:styleId="HTMLSample">
    <w:name w:val="HTML Sample"/>
    <w:rsid w:val="00F85F17"/>
    <w:rPr>
      <w:rFonts w:ascii="Courier New" w:hAnsi="Courier New" w:cs="Courier New"/>
    </w:rPr>
  </w:style>
  <w:style w:type="character" w:styleId="HTMLTypewriter">
    <w:name w:val="HTML Typewriter"/>
    <w:rsid w:val="00F85F17"/>
    <w:rPr>
      <w:rFonts w:ascii="Courier New" w:hAnsi="Courier New" w:cs="Courier New"/>
      <w:sz w:val="20"/>
      <w:szCs w:val="20"/>
    </w:rPr>
  </w:style>
  <w:style w:type="character" w:styleId="HTMLVariable">
    <w:name w:val="HTML Variable"/>
    <w:rsid w:val="00F85F17"/>
    <w:rPr>
      <w:i/>
      <w:iCs/>
    </w:rPr>
  </w:style>
  <w:style w:type="paragraph" w:styleId="List">
    <w:name w:val="List"/>
    <w:basedOn w:val="Normal"/>
    <w:rsid w:val="00F85F17"/>
    <w:pPr>
      <w:ind w:left="283" w:hanging="283"/>
    </w:pPr>
  </w:style>
  <w:style w:type="paragraph" w:styleId="List2">
    <w:name w:val="List 2"/>
    <w:basedOn w:val="Normal"/>
    <w:rsid w:val="00F85F17"/>
    <w:pPr>
      <w:ind w:left="566" w:hanging="283"/>
    </w:pPr>
  </w:style>
  <w:style w:type="paragraph" w:styleId="List3">
    <w:name w:val="List 3"/>
    <w:basedOn w:val="Normal"/>
    <w:rsid w:val="00F85F17"/>
    <w:pPr>
      <w:ind w:left="849" w:hanging="283"/>
    </w:pPr>
  </w:style>
  <w:style w:type="paragraph" w:styleId="List4">
    <w:name w:val="List 4"/>
    <w:basedOn w:val="Normal"/>
    <w:rsid w:val="00F85F17"/>
    <w:pPr>
      <w:ind w:left="1132" w:hanging="283"/>
    </w:pPr>
  </w:style>
  <w:style w:type="paragraph" w:styleId="List5">
    <w:name w:val="List 5"/>
    <w:basedOn w:val="Normal"/>
    <w:rsid w:val="00F85F17"/>
    <w:pPr>
      <w:ind w:left="1415" w:hanging="283"/>
    </w:pPr>
  </w:style>
  <w:style w:type="paragraph" w:styleId="ListBullet">
    <w:name w:val="List Bullet"/>
    <w:basedOn w:val="Normal"/>
    <w:rsid w:val="00F85F17"/>
    <w:pPr>
      <w:numPr>
        <w:numId w:val="8"/>
      </w:numPr>
    </w:pPr>
  </w:style>
  <w:style w:type="paragraph" w:styleId="ListBullet2">
    <w:name w:val="List Bullet 2"/>
    <w:basedOn w:val="Normal"/>
    <w:rsid w:val="00F85F17"/>
    <w:pPr>
      <w:numPr>
        <w:numId w:val="9"/>
      </w:numPr>
    </w:pPr>
  </w:style>
  <w:style w:type="paragraph" w:styleId="ListBullet3">
    <w:name w:val="List Bullet 3"/>
    <w:basedOn w:val="Normal"/>
    <w:rsid w:val="00F85F17"/>
    <w:pPr>
      <w:numPr>
        <w:numId w:val="10"/>
      </w:numPr>
    </w:pPr>
  </w:style>
  <w:style w:type="paragraph" w:styleId="ListBullet4">
    <w:name w:val="List Bullet 4"/>
    <w:basedOn w:val="Normal"/>
    <w:rsid w:val="00F85F17"/>
    <w:pPr>
      <w:numPr>
        <w:numId w:val="11"/>
      </w:numPr>
    </w:pPr>
  </w:style>
  <w:style w:type="paragraph" w:styleId="ListBullet5">
    <w:name w:val="List Bullet 5"/>
    <w:basedOn w:val="Normal"/>
    <w:rsid w:val="00F85F17"/>
    <w:pPr>
      <w:numPr>
        <w:numId w:val="12"/>
      </w:numPr>
    </w:pPr>
  </w:style>
  <w:style w:type="paragraph" w:styleId="ListContinue">
    <w:name w:val="List Continue"/>
    <w:basedOn w:val="Normal"/>
    <w:rsid w:val="00F85F17"/>
    <w:pPr>
      <w:spacing w:after="120"/>
      <w:ind w:left="283"/>
    </w:pPr>
  </w:style>
  <w:style w:type="paragraph" w:styleId="ListContinue2">
    <w:name w:val="List Continue 2"/>
    <w:basedOn w:val="Normal"/>
    <w:rsid w:val="00F85F17"/>
    <w:pPr>
      <w:spacing w:after="120"/>
      <w:ind w:left="566"/>
    </w:pPr>
  </w:style>
  <w:style w:type="paragraph" w:styleId="ListContinue3">
    <w:name w:val="List Continue 3"/>
    <w:basedOn w:val="Normal"/>
    <w:rsid w:val="00F85F17"/>
    <w:pPr>
      <w:spacing w:after="120"/>
      <w:ind w:left="849"/>
    </w:pPr>
  </w:style>
  <w:style w:type="paragraph" w:styleId="ListContinue4">
    <w:name w:val="List Continue 4"/>
    <w:basedOn w:val="Normal"/>
    <w:rsid w:val="00F85F17"/>
    <w:pPr>
      <w:spacing w:after="120"/>
      <w:ind w:left="1132"/>
    </w:pPr>
  </w:style>
  <w:style w:type="paragraph" w:styleId="ListContinue5">
    <w:name w:val="List Continue 5"/>
    <w:basedOn w:val="Normal"/>
    <w:rsid w:val="00F85F17"/>
    <w:pPr>
      <w:spacing w:after="120"/>
      <w:ind w:left="1415"/>
    </w:pPr>
  </w:style>
  <w:style w:type="paragraph" w:styleId="ListNumber">
    <w:name w:val="List Number"/>
    <w:basedOn w:val="Normal"/>
    <w:rsid w:val="00F85F17"/>
    <w:pPr>
      <w:numPr>
        <w:numId w:val="7"/>
      </w:numPr>
    </w:pPr>
  </w:style>
  <w:style w:type="paragraph" w:styleId="ListNumber2">
    <w:name w:val="List Number 2"/>
    <w:basedOn w:val="Normal"/>
    <w:rsid w:val="00F85F17"/>
    <w:pPr>
      <w:numPr>
        <w:numId w:val="6"/>
      </w:numPr>
    </w:pPr>
  </w:style>
  <w:style w:type="paragraph" w:styleId="ListNumber3">
    <w:name w:val="List Number 3"/>
    <w:basedOn w:val="Normal"/>
    <w:rsid w:val="00F85F17"/>
    <w:pPr>
      <w:tabs>
        <w:tab w:val="num" w:pos="926"/>
      </w:tabs>
      <w:ind w:left="926" w:hanging="360"/>
    </w:pPr>
  </w:style>
  <w:style w:type="paragraph" w:styleId="ListNumber4">
    <w:name w:val="List Number 4"/>
    <w:basedOn w:val="Normal"/>
    <w:rsid w:val="00F85F17"/>
    <w:pPr>
      <w:numPr>
        <w:numId w:val="3"/>
      </w:numPr>
    </w:pPr>
  </w:style>
  <w:style w:type="paragraph" w:styleId="ListNumber5">
    <w:name w:val="List Number 5"/>
    <w:basedOn w:val="Normal"/>
    <w:rsid w:val="00F85F17"/>
    <w:pPr>
      <w:numPr>
        <w:numId w:val="4"/>
      </w:numPr>
    </w:pPr>
  </w:style>
  <w:style w:type="paragraph" w:styleId="MessageHeader">
    <w:name w:val="Message Header"/>
    <w:basedOn w:val="Normal"/>
    <w:link w:val="MessageHeaderChar"/>
    <w:rsid w:val="00F85F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85F17"/>
    <w:rPr>
      <w:rFonts w:ascii="Arial" w:hAnsi="Arial" w:cs="Arial"/>
      <w:sz w:val="24"/>
      <w:szCs w:val="24"/>
      <w:shd w:val="pct20" w:color="auto" w:fill="auto"/>
      <w:lang w:eastAsia="en-US"/>
    </w:rPr>
  </w:style>
  <w:style w:type="paragraph" w:styleId="NormalWeb">
    <w:name w:val="Normal (Web)"/>
    <w:basedOn w:val="Normal"/>
    <w:uiPriority w:val="99"/>
    <w:rsid w:val="00F85F17"/>
    <w:rPr>
      <w:sz w:val="24"/>
      <w:szCs w:val="24"/>
    </w:rPr>
  </w:style>
  <w:style w:type="paragraph" w:styleId="NormalIndent">
    <w:name w:val="Normal Indent"/>
    <w:basedOn w:val="Normal"/>
    <w:rsid w:val="00F85F17"/>
    <w:pPr>
      <w:ind w:left="567"/>
    </w:pPr>
  </w:style>
  <w:style w:type="paragraph" w:styleId="NoteHeading">
    <w:name w:val="Note Heading"/>
    <w:basedOn w:val="Normal"/>
    <w:next w:val="Normal"/>
    <w:link w:val="NoteHeadingChar"/>
    <w:rsid w:val="00F85F17"/>
  </w:style>
  <w:style w:type="character" w:customStyle="1" w:styleId="NoteHeadingChar">
    <w:name w:val="Note Heading Char"/>
    <w:basedOn w:val="DefaultParagraphFont"/>
    <w:link w:val="NoteHeading"/>
    <w:rsid w:val="00F85F17"/>
    <w:rPr>
      <w:lang w:eastAsia="en-US"/>
    </w:rPr>
  </w:style>
  <w:style w:type="paragraph" w:styleId="Salutation">
    <w:name w:val="Salutation"/>
    <w:basedOn w:val="Normal"/>
    <w:next w:val="Normal"/>
    <w:link w:val="SalutationChar"/>
    <w:rsid w:val="00F85F17"/>
  </w:style>
  <w:style w:type="character" w:customStyle="1" w:styleId="SalutationChar">
    <w:name w:val="Salutation Char"/>
    <w:basedOn w:val="DefaultParagraphFont"/>
    <w:link w:val="Salutation"/>
    <w:rsid w:val="00F85F17"/>
    <w:rPr>
      <w:lang w:eastAsia="en-US"/>
    </w:rPr>
  </w:style>
  <w:style w:type="paragraph" w:styleId="Signature">
    <w:name w:val="Signature"/>
    <w:basedOn w:val="Normal"/>
    <w:link w:val="SignatureChar"/>
    <w:rsid w:val="00F85F17"/>
    <w:pPr>
      <w:ind w:left="4252"/>
    </w:pPr>
  </w:style>
  <w:style w:type="character" w:customStyle="1" w:styleId="SignatureChar">
    <w:name w:val="Signature Char"/>
    <w:basedOn w:val="DefaultParagraphFont"/>
    <w:link w:val="Signature"/>
    <w:rsid w:val="00F85F17"/>
    <w:rPr>
      <w:lang w:eastAsia="en-US"/>
    </w:rPr>
  </w:style>
  <w:style w:type="character" w:styleId="Strong">
    <w:name w:val="Strong"/>
    <w:qFormat/>
    <w:rsid w:val="00F85F17"/>
    <w:rPr>
      <w:b/>
      <w:bCs/>
    </w:rPr>
  </w:style>
  <w:style w:type="paragraph" w:styleId="Subtitle">
    <w:name w:val="Subtitle"/>
    <w:basedOn w:val="Normal"/>
    <w:link w:val="SubtitleChar"/>
    <w:qFormat/>
    <w:rsid w:val="00F85F1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85F17"/>
    <w:rPr>
      <w:rFonts w:ascii="Arial" w:hAnsi="Arial" w:cs="Arial"/>
      <w:sz w:val="24"/>
      <w:szCs w:val="24"/>
      <w:lang w:eastAsia="en-US"/>
    </w:rPr>
  </w:style>
  <w:style w:type="table" w:styleId="Table3Deffects1">
    <w:name w:val="Table 3D effects 1"/>
    <w:basedOn w:val="TableNormal"/>
    <w:rsid w:val="00F85F1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F1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F1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F1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F1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F1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F1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F1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F1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F1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F1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F1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F1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F1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F1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F1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F1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85F1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F1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F1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F1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F1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F1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F1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F1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F1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F1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F1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F1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F1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F1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F1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F1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F1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F1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F1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F1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F1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F1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F1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F1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F1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F1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F1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85F17"/>
    <w:rPr>
      <w:rFonts w:ascii="Arial" w:hAnsi="Arial" w:cs="Arial"/>
      <w:b/>
      <w:bCs/>
      <w:kern w:val="28"/>
      <w:sz w:val="32"/>
      <w:szCs w:val="32"/>
      <w:lang w:eastAsia="en-US"/>
    </w:rPr>
  </w:style>
  <w:style w:type="paragraph" w:styleId="EnvelopeAddress">
    <w:name w:val="envelope address"/>
    <w:basedOn w:val="Normal"/>
    <w:rsid w:val="00F85F17"/>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link w:val="FootnoteText"/>
    <w:locked/>
    <w:rsid w:val="00F85F17"/>
    <w:rPr>
      <w:sz w:val="18"/>
      <w:lang w:eastAsia="en-US"/>
    </w:rPr>
  </w:style>
  <w:style w:type="character" w:customStyle="1" w:styleId="FootnoteReference1">
    <w:name w:val="Footnote Reference1"/>
    <w:rsid w:val="00F85F17"/>
  </w:style>
  <w:style w:type="character" w:customStyle="1" w:styleId="Smbolodenotaalpie">
    <w:name w:val="Símbolo de nota al pie"/>
    <w:rsid w:val="00F85F17"/>
  </w:style>
  <w:style w:type="paragraph" w:customStyle="1" w:styleId="FootnoteText1">
    <w:name w:val="Footnote Text1"/>
    <w:basedOn w:val="Normal"/>
    <w:rsid w:val="00F85F17"/>
    <w:pPr>
      <w:spacing w:after="200" w:line="276" w:lineRule="auto"/>
    </w:pPr>
    <w:rPr>
      <w:rFonts w:ascii="Calibri" w:eastAsia="DejaVu Sans" w:hAnsi="Calibri" w:cs="font294"/>
      <w:kern w:val="1"/>
      <w:sz w:val="22"/>
      <w:szCs w:val="22"/>
      <w:lang w:val="en-AU" w:eastAsia="ar-SA"/>
    </w:rPr>
  </w:style>
  <w:style w:type="paragraph" w:styleId="CommentSubject">
    <w:name w:val="annotation subject"/>
    <w:basedOn w:val="CommentText"/>
    <w:next w:val="CommentText"/>
    <w:link w:val="CommentSubjectChar"/>
    <w:rsid w:val="00F85F17"/>
    <w:rPr>
      <w:b/>
      <w:bCs/>
    </w:rPr>
  </w:style>
  <w:style w:type="character" w:customStyle="1" w:styleId="CommentSubjectChar">
    <w:name w:val="Comment Subject Char"/>
    <w:basedOn w:val="CommentTextChar"/>
    <w:link w:val="CommentSubject"/>
    <w:rsid w:val="00F85F17"/>
    <w:rPr>
      <w:b/>
      <w:bCs/>
      <w:lang w:eastAsia="en-US"/>
    </w:rPr>
  </w:style>
  <w:style w:type="paragraph" w:styleId="BalloonText">
    <w:name w:val="Balloon Text"/>
    <w:basedOn w:val="Normal"/>
    <w:link w:val="BalloonTextChar"/>
    <w:rsid w:val="00F85F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5F17"/>
    <w:rPr>
      <w:rFonts w:ascii="Tahoma" w:hAnsi="Tahoma" w:cs="Tahoma"/>
      <w:sz w:val="16"/>
      <w:szCs w:val="16"/>
      <w:lang w:eastAsia="en-US"/>
    </w:rPr>
  </w:style>
  <w:style w:type="paragraph" w:customStyle="1" w:styleId="Paragraphnumbered">
    <w:name w:val="Paragraph (numbered)"/>
    <w:basedOn w:val="Normal"/>
    <w:rsid w:val="00F85F17"/>
    <w:pPr>
      <w:numPr>
        <w:numId w:val="20"/>
      </w:numPr>
      <w:suppressAutoHyphens w:val="0"/>
      <w:spacing w:before="240" w:line="240" w:lineRule="auto"/>
    </w:pPr>
    <w:rPr>
      <w:sz w:val="24"/>
      <w:lang w:val="en-AU" w:eastAsia="en-AU"/>
    </w:rPr>
  </w:style>
  <w:style w:type="paragraph" w:customStyle="1" w:styleId="NumberLevel1">
    <w:name w:val="Number Level 1"/>
    <w:basedOn w:val="Normal"/>
    <w:link w:val="NumberLevel1Char"/>
    <w:rsid w:val="00F85F17"/>
    <w:pPr>
      <w:numPr>
        <w:numId w:val="28"/>
      </w:numPr>
      <w:suppressAutoHyphens w:val="0"/>
      <w:spacing w:before="140" w:after="140" w:line="280" w:lineRule="atLeast"/>
    </w:pPr>
    <w:rPr>
      <w:rFonts w:ascii="Arial" w:hAnsi="Arial"/>
      <w:sz w:val="22"/>
      <w:szCs w:val="22"/>
      <w:lang w:val="en-AU"/>
    </w:rPr>
  </w:style>
  <w:style w:type="paragraph" w:customStyle="1" w:styleId="NumberLevel2">
    <w:name w:val="Number Level 2"/>
    <w:basedOn w:val="Normal"/>
    <w:rsid w:val="00F85F17"/>
    <w:pPr>
      <w:numPr>
        <w:ilvl w:val="1"/>
        <w:numId w:val="28"/>
      </w:numPr>
      <w:suppressAutoHyphens w:val="0"/>
      <w:spacing w:before="140" w:after="140" w:line="280" w:lineRule="atLeast"/>
    </w:pPr>
    <w:rPr>
      <w:rFonts w:ascii="Arial" w:hAnsi="Arial" w:cs="Arial"/>
      <w:sz w:val="22"/>
      <w:szCs w:val="22"/>
      <w:lang w:val="en-AU" w:eastAsia="en-AU"/>
    </w:rPr>
  </w:style>
  <w:style w:type="paragraph" w:customStyle="1" w:styleId="NumberLevel3">
    <w:name w:val="Number Level 3"/>
    <w:basedOn w:val="Normal"/>
    <w:rsid w:val="00F85F17"/>
    <w:pPr>
      <w:numPr>
        <w:ilvl w:val="2"/>
        <w:numId w:val="28"/>
      </w:numPr>
      <w:suppressAutoHyphens w:val="0"/>
      <w:spacing w:before="140" w:after="140" w:line="280" w:lineRule="atLeast"/>
    </w:pPr>
    <w:rPr>
      <w:rFonts w:ascii="Arial" w:hAnsi="Arial" w:cs="Arial"/>
      <w:sz w:val="22"/>
      <w:szCs w:val="22"/>
      <w:lang w:val="en-AU" w:eastAsia="en-AU"/>
    </w:rPr>
  </w:style>
  <w:style w:type="paragraph" w:customStyle="1" w:styleId="NumberLevel4">
    <w:name w:val="Number Level 4"/>
    <w:basedOn w:val="Normal"/>
    <w:rsid w:val="00F85F17"/>
    <w:pPr>
      <w:numPr>
        <w:ilvl w:val="3"/>
        <w:numId w:val="28"/>
      </w:numPr>
      <w:suppressAutoHyphens w:val="0"/>
      <w:spacing w:after="140" w:line="280" w:lineRule="atLeast"/>
    </w:pPr>
    <w:rPr>
      <w:rFonts w:ascii="Arial" w:hAnsi="Arial" w:cs="Arial"/>
      <w:sz w:val="22"/>
      <w:szCs w:val="22"/>
      <w:lang w:val="en-AU" w:eastAsia="en-AU"/>
    </w:rPr>
  </w:style>
  <w:style w:type="paragraph" w:customStyle="1" w:styleId="NumberLevel5">
    <w:name w:val="Number Level 5"/>
    <w:basedOn w:val="Normal"/>
    <w:semiHidden/>
    <w:rsid w:val="00F85F17"/>
    <w:pPr>
      <w:numPr>
        <w:ilvl w:val="4"/>
        <w:numId w:val="28"/>
      </w:numPr>
      <w:suppressAutoHyphens w:val="0"/>
      <w:spacing w:after="140" w:line="280" w:lineRule="atLeast"/>
    </w:pPr>
    <w:rPr>
      <w:rFonts w:ascii="Arial" w:hAnsi="Arial" w:cs="Arial"/>
      <w:sz w:val="22"/>
      <w:szCs w:val="22"/>
      <w:lang w:val="en-AU" w:eastAsia="en-AU"/>
    </w:rPr>
  </w:style>
  <w:style w:type="paragraph" w:customStyle="1" w:styleId="NumberLevel6">
    <w:name w:val="Number Level 6"/>
    <w:basedOn w:val="NumberLevel5"/>
    <w:semiHidden/>
    <w:rsid w:val="00F85F17"/>
    <w:pPr>
      <w:numPr>
        <w:ilvl w:val="5"/>
      </w:numPr>
    </w:pPr>
  </w:style>
  <w:style w:type="paragraph" w:customStyle="1" w:styleId="NumberLevel7">
    <w:name w:val="Number Level 7"/>
    <w:basedOn w:val="NumberLevel6"/>
    <w:semiHidden/>
    <w:rsid w:val="00F85F17"/>
    <w:pPr>
      <w:numPr>
        <w:ilvl w:val="6"/>
      </w:numPr>
    </w:pPr>
  </w:style>
  <w:style w:type="paragraph" w:customStyle="1" w:styleId="NumberLevel8">
    <w:name w:val="Number Level 8"/>
    <w:basedOn w:val="NumberLevel7"/>
    <w:semiHidden/>
    <w:rsid w:val="00F85F17"/>
    <w:pPr>
      <w:numPr>
        <w:ilvl w:val="7"/>
      </w:numPr>
    </w:pPr>
  </w:style>
  <w:style w:type="paragraph" w:customStyle="1" w:styleId="NumberLevel9">
    <w:name w:val="Number Level 9"/>
    <w:basedOn w:val="NumberLevel8"/>
    <w:semiHidden/>
    <w:rsid w:val="00F85F17"/>
    <w:pPr>
      <w:numPr>
        <w:ilvl w:val="8"/>
      </w:numPr>
    </w:pPr>
  </w:style>
  <w:style w:type="character" w:customStyle="1" w:styleId="NumberLevel1Char">
    <w:name w:val="Number Level 1 Char"/>
    <w:link w:val="NumberLevel1"/>
    <w:locked/>
    <w:rsid w:val="00F85F17"/>
    <w:rPr>
      <w:rFonts w:ascii="Arial" w:hAnsi="Arial"/>
      <w:sz w:val="22"/>
      <w:szCs w:val="22"/>
      <w:lang w:val="en-AU" w:eastAsia="en-US"/>
    </w:rPr>
  </w:style>
  <w:style w:type="paragraph" w:customStyle="1" w:styleId="Default">
    <w:name w:val="Default"/>
    <w:rsid w:val="00F85F17"/>
    <w:pPr>
      <w:autoSpaceDE w:val="0"/>
      <w:autoSpaceDN w:val="0"/>
      <w:adjustRightInd w:val="0"/>
    </w:pPr>
    <w:rPr>
      <w:rFonts w:ascii="Cambria" w:eastAsia="Calibri" w:hAnsi="Cambria" w:cs="Cambria"/>
      <w:color w:val="000000"/>
      <w:sz w:val="24"/>
      <w:szCs w:val="24"/>
      <w:lang w:val="en-AU" w:eastAsia="en-AU"/>
    </w:rPr>
  </w:style>
  <w:style w:type="paragraph" w:customStyle="1" w:styleId="Corps">
    <w:name w:val="Corps"/>
    <w:rsid w:val="00F85F17"/>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character" w:customStyle="1" w:styleId="SingleTxtGChar">
    <w:name w:val="_ Single Txt_G Char"/>
    <w:link w:val="SingleTxtG"/>
    <w:rsid w:val="00F85F17"/>
    <w:rPr>
      <w:lang w:eastAsia="en-US"/>
    </w:rPr>
  </w:style>
  <w:style w:type="character" w:customStyle="1" w:styleId="Heading2Char">
    <w:name w:val="Heading 2 Char"/>
    <w:link w:val="Heading2"/>
    <w:rsid w:val="001A3AB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C213A4"/>
    <w:pPr>
      <w:numPr>
        <w:ilvl w:val="1"/>
        <w:numId w:val="5"/>
      </w:numPr>
      <w:spacing w:line="240" w:lineRule="auto"/>
      <w:outlineLvl w:val="1"/>
    </w:pPr>
  </w:style>
  <w:style w:type="paragraph" w:styleId="Heading3">
    <w:name w:val="heading 3"/>
    <w:basedOn w:val="Normal"/>
    <w:next w:val="Normal"/>
    <w:qFormat/>
    <w:rsid w:val="00C213A4"/>
    <w:pPr>
      <w:numPr>
        <w:ilvl w:val="2"/>
        <w:numId w:val="5"/>
      </w:numPr>
      <w:spacing w:line="240" w:lineRule="auto"/>
      <w:outlineLvl w:val="2"/>
    </w:pPr>
  </w:style>
  <w:style w:type="paragraph" w:styleId="Heading4">
    <w:name w:val="heading 4"/>
    <w:basedOn w:val="Normal"/>
    <w:next w:val="Normal"/>
    <w:qFormat/>
    <w:rsid w:val="00C213A4"/>
    <w:pPr>
      <w:numPr>
        <w:ilvl w:val="3"/>
        <w:numId w:val="5"/>
      </w:numPr>
      <w:spacing w:line="240" w:lineRule="auto"/>
      <w:outlineLvl w:val="3"/>
    </w:pPr>
  </w:style>
  <w:style w:type="paragraph" w:styleId="Heading5">
    <w:name w:val="heading 5"/>
    <w:basedOn w:val="Normal"/>
    <w:next w:val="Normal"/>
    <w:qFormat/>
    <w:rsid w:val="00C213A4"/>
    <w:pPr>
      <w:numPr>
        <w:ilvl w:val="4"/>
        <w:numId w:val="5"/>
      </w:numPr>
      <w:spacing w:line="240" w:lineRule="auto"/>
      <w:outlineLvl w:val="4"/>
    </w:pPr>
  </w:style>
  <w:style w:type="paragraph" w:styleId="Heading6">
    <w:name w:val="heading 6"/>
    <w:basedOn w:val="Normal"/>
    <w:next w:val="Normal"/>
    <w:qFormat/>
    <w:rsid w:val="00C213A4"/>
    <w:pPr>
      <w:numPr>
        <w:ilvl w:val="5"/>
        <w:numId w:val="5"/>
      </w:numPr>
      <w:spacing w:line="240" w:lineRule="auto"/>
      <w:outlineLvl w:val="5"/>
    </w:pPr>
  </w:style>
  <w:style w:type="paragraph" w:styleId="Heading7">
    <w:name w:val="heading 7"/>
    <w:basedOn w:val="Normal"/>
    <w:next w:val="Normal"/>
    <w:qFormat/>
    <w:rsid w:val="00C213A4"/>
    <w:pPr>
      <w:numPr>
        <w:ilvl w:val="6"/>
        <w:numId w:val="5"/>
      </w:numPr>
      <w:spacing w:line="240" w:lineRule="auto"/>
      <w:outlineLvl w:val="6"/>
    </w:pPr>
  </w:style>
  <w:style w:type="paragraph" w:styleId="Heading8">
    <w:name w:val="heading 8"/>
    <w:basedOn w:val="Normal"/>
    <w:next w:val="Normal"/>
    <w:qFormat/>
    <w:rsid w:val="00C213A4"/>
    <w:pPr>
      <w:numPr>
        <w:ilvl w:val="7"/>
        <w:numId w:val="5"/>
      </w:numPr>
      <w:spacing w:line="240" w:lineRule="auto"/>
      <w:outlineLvl w:val="7"/>
    </w:pPr>
  </w:style>
  <w:style w:type="paragraph" w:styleId="Heading9">
    <w:name w:val="heading 9"/>
    <w:basedOn w:val="Normal"/>
    <w:next w:val="Normal"/>
    <w:qFormat/>
    <w:rsid w:val="00C213A4"/>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Footnotes refss,Style 10"/>
    <w:qFormat/>
    <w:rsid w:val="00C213A4"/>
    <w:rPr>
      <w:rFonts w:ascii="Times New Roman" w:hAnsi="Times New Roman"/>
      <w:sz w:val="18"/>
      <w:vertAlign w:val="superscript"/>
    </w:rPr>
  </w:style>
  <w:style w:type="character" w:styleId="EndnoteReference">
    <w:name w:val="endnote reference"/>
    <w:aliases w:val="1_G"/>
    <w:basedOn w:val="FootnoteReference"/>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customStyle="1" w:styleId="ParaNoG">
    <w:name w:val="_ParaNo._G"/>
    <w:basedOn w:val="SingleTxtG"/>
    <w:rsid w:val="00F85F17"/>
  </w:style>
  <w:style w:type="paragraph" w:styleId="PlainText">
    <w:name w:val="Plain Text"/>
    <w:basedOn w:val="Normal"/>
    <w:link w:val="PlainTextChar"/>
    <w:rsid w:val="00F85F17"/>
    <w:rPr>
      <w:rFonts w:cs="Courier New"/>
    </w:rPr>
  </w:style>
  <w:style w:type="character" w:customStyle="1" w:styleId="PlainTextChar">
    <w:name w:val="Plain Text Char"/>
    <w:basedOn w:val="DefaultParagraphFont"/>
    <w:link w:val="PlainText"/>
    <w:rsid w:val="00F85F17"/>
    <w:rPr>
      <w:rFonts w:cs="Courier New"/>
      <w:lang w:eastAsia="en-US"/>
    </w:rPr>
  </w:style>
  <w:style w:type="paragraph" w:styleId="BodyText">
    <w:name w:val="Body Text"/>
    <w:basedOn w:val="Normal"/>
    <w:next w:val="Normal"/>
    <w:link w:val="BodyTextChar"/>
    <w:rsid w:val="00F85F17"/>
  </w:style>
  <w:style w:type="character" w:customStyle="1" w:styleId="BodyTextChar">
    <w:name w:val="Body Text Char"/>
    <w:basedOn w:val="DefaultParagraphFont"/>
    <w:link w:val="BodyText"/>
    <w:rsid w:val="00F85F17"/>
    <w:rPr>
      <w:lang w:eastAsia="en-US"/>
    </w:rPr>
  </w:style>
  <w:style w:type="paragraph" w:styleId="BodyTextIndent">
    <w:name w:val="Body Text Indent"/>
    <w:basedOn w:val="Normal"/>
    <w:link w:val="BodyTextIndentChar"/>
    <w:rsid w:val="00F85F17"/>
    <w:pPr>
      <w:spacing w:after="120"/>
      <w:ind w:left="283"/>
    </w:pPr>
  </w:style>
  <w:style w:type="character" w:customStyle="1" w:styleId="BodyTextIndentChar">
    <w:name w:val="Body Text Indent Char"/>
    <w:basedOn w:val="DefaultParagraphFont"/>
    <w:link w:val="BodyTextIndent"/>
    <w:rsid w:val="00F85F17"/>
    <w:rPr>
      <w:lang w:eastAsia="en-US"/>
    </w:rPr>
  </w:style>
  <w:style w:type="paragraph" w:styleId="BlockText">
    <w:name w:val="Block Text"/>
    <w:basedOn w:val="Normal"/>
    <w:rsid w:val="00F85F17"/>
    <w:pPr>
      <w:ind w:left="1440" w:right="1440"/>
    </w:pPr>
  </w:style>
  <w:style w:type="character" w:styleId="CommentReference">
    <w:name w:val="annotation reference"/>
    <w:uiPriority w:val="99"/>
    <w:rsid w:val="00F85F17"/>
    <w:rPr>
      <w:sz w:val="6"/>
    </w:rPr>
  </w:style>
  <w:style w:type="paragraph" w:styleId="CommentText">
    <w:name w:val="annotation text"/>
    <w:basedOn w:val="Normal"/>
    <w:link w:val="CommentTextChar"/>
    <w:rsid w:val="00F85F17"/>
  </w:style>
  <w:style w:type="character" w:customStyle="1" w:styleId="CommentTextChar">
    <w:name w:val="Comment Text Char"/>
    <w:basedOn w:val="DefaultParagraphFont"/>
    <w:link w:val="CommentText"/>
    <w:rsid w:val="00F85F17"/>
    <w:rPr>
      <w:lang w:eastAsia="en-US"/>
    </w:rPr>
  </w:style>
  <w:style w:type="character" w:styleId="LineNumber">
    <w:name w:val="line number"/>
    <w:rsid w:val="00F85F17"/>
    <w:rPr>
      <w:sz w:val="14"/>
    </w:rPr>
  </w:style>
  <w:style w:type="numbering" w:styleId="111111">
    <w:name w:val="Outline List 2"/>
    <w:basedOn w:val="NoList"/>
    <w:rsid w:val="00F85F17"/>
    <w:pPr>
      <w:numPr>
        <w:numId w:val="16"/>
      </w:numPr>
    </w:pPr>
  </w:style>
  <w:style w:type="numbering" w:styleId="1ai">
    <w:name w:val="Outline List 1"/>
    <w:basedOn w:val="NoList"/>
    <w:rsid w:val="00F85F17"/>
    <w:pPr>
      <w:numPr>
        <w:numId w:val="17"/>
      </w:numPr>
    </w:pPr>
  </w:style>
  <w:style w:type="numbering" w:styleId="ArticleSection">
    <w:name w:val="Outline List 3"/>
    <w:basedOn w:val="NoList"/>
    <w:rsid w:val="00F85F17"/>
    <w:pPr>
      <w:numPr>
        <w:numId w:val="18"/>
      </w:numPr>
    </w:pPr>
  </w:style>
  <w:style w:type="paragraph" w:styleId="BodyText2">
    <w:name w:val="Body Text 2"/>
    <w:basedOn w:val="Normal"/>
    <w:link w:val="BodyText2Char"/>
    <w:rsid w:val="00F85F17"/>
    <w:pPr>
      <w:spacing w:after="120" w:line="480" w:lineRule="auto"/>
    </w:pPr>
  </w:style>
  <w:style w:type="character" w:customStyle="1" w:styleId="BodyText2Char">
    <w:name w:val="Body Text 2 Char"/>
    <w:basedOn w:val="DefaultParagraphFont"/>
    <w:link w:val="BodyText2"/>
    <w:rsid w:val="00F85F17"/>
    <w:rPr>
      <w:lang w:eastAsia="en-US"/>
    </w:rPr>
  </w:style>
  <w:style w:type="paragraph" w:styleId="BodyText3">
    <w:name w:val="Body Text 3"/>
    <w:basedOn w:val="Normal"/>
    <w:link w:val="BodyText3Char"/>
    <w:rsid w:val="00F85F17"/>
    <w:pPr>
      <w:spacing w:after="120"/>
    </w:pPr>
    <w:rPr>
      <w:sz w:val="16"/>
      <w:szCs w:val="16"/>
    </w:rPr>
  </w:style>
  <w:style w:type="character" w:customStyle="1" w:styleId="BodyText3Char">
    <w:name w:val="Body Text 3 Char"/>
    <w:basedOn w:val="DefaultParagraphFont"/>
    <w:link w:val="BodyText3"/>
    <w:rsid w:val="00F85F17"/>
    <w:rPr>
      <w:sz w:val="16"/>
      <w:szCs w:val="16"/>
      <w:lang w:eastAsia="en-US"/>
    </w:rPr>
  </w:style>
  <w:style w:type="paragraph" w:styleId="BodyTextFirstIndent">
    <w:name w:val="Body Text First Indent"/>
    <w:basedOn w:val="BodyText"/>
    <w:link w:val="BodyTextFirstIndentChar"/>
    <w:rsid w:val="00F85F17"/>
    <w:pPr>
      <w:spacing w:after="120"/>
      <w:ind w:firstLine="210"/>
    </w:pPr>
  </w:style>
  <w:style w:type="character" w:customStyle="1" w:styleId="BodyTextFirstIndentChar">
    <w:name w:val="Body Text First Indent Char"/>
    <w:basedOn w:val="BodyTextChar"/>
    <w:link w:val="BodyTextFirstIndent"/>
    <w:rsid w:val="00F85F17"/>
    <w:rPr>
      <w:lang w:eastAsia="en-US"/>
    </w:rPr>
  </w:style>
  <w:style w:type="paragraph" w:styleId="BodyTextFirstIndent2">
    <w:name w:val="Body Text First Indent 2"/>
    <w:basedOn w:val="BodyTextIndent"/>
    <w:link w:val="BodyTextFirstIndent2Char"/>
    <w:rsid w:val="00F85F17"/>
    <w:pPr>
      <w:ind w:firstLine="210"/>
    </w:pPr>
  </w:style>
  <w:style w:type="character" w:customStyle="1" w:styleId="BodyTextFirstIndent2Char">
    <w:name w:val="Body Text First Indent 2 Char"/>
    <w:basedOn w:val="BodyTextIndentChar"/>
    <w:link w:val="BodyTextFirstIndent2"/>
    <w:rsid w:val="00F85F17"/>
    <w:rPr>
      <w:lang w:eastAsia="en-US"/>
    </w:rPr>
  </w:style>
  <w:style w:type="paragraph" w:styleId="BodyTextIndent2">
    <w:name w:val="Body Text Indent 2"/>
    <w:basedOn w:val="Normal"/>
    <w:link w:val="BodyTextIndent2Char"/>
    <w:rsid w:val="00F85F17"/>
    <w:pPr>
      <w:spacing w:after="120" w:line="480" w:lineRule="auto"/>
      <w:ind w:left="283"/>
    </w:pPr>
  </w:style>
  <w:style w:type="character" w:customStyle="1" w:styleId="BodyTextIndent2Char">
    <w:name w:val="Body Text Indent 2 Char"/>
    <w:basedOn w:val="DefaultParagraphFont"/>
    <w:link w:val="BodyTextIndent2"/>
    <w:rsid w:val="00F85F17"/>
    <w:rPr>
      <w:lang w:eastAsia="en-US"/>
    </w:rPr>
  </w:style>
  <w:style w:type="paragraph" w:styleId="BodyTextIndent3">
    <w:name w:val="Body Text Indent 3"/>
    <w:basedOn w:val="Normal"/>
    <w:link w:val="BodyTextIndent3Char"/>
    <w:rsid w:val="00F85F17"/>
    <w:pPr>
      <w:spacing w:after="120"/>
      <w:ind w:left="283"/>
    </w:pPr>
    <w:rPr>
      <w:sz w:val="16"/>
      <w:szCs w:val="16"/>
    </w:rPr>
  </w:style>
  <w:style w:type="character" w:customStyle="1" w:styleId="BodyTextIndent3Char">
    <w:name w:val="Body Text Indent 3 Char"/>
    <w:basedOn w:val="DefaultParagraphFont"/>
    <w:link w:val="BodyTextIndent3"/>
    <w:rsid w:val="00F85F17"/>
    <w:rPr>
      <w:sz w:val="16"/>
      <w:szCs w:val="16"/>
      <w:lang w:eastAsia="en-US"/>
    </w:rPr>
  </w:style>
  <w:style w:type="paragraph" w:styleId="Closing">
    <w:name w:val="Closing"/>
    <w:basedOn w:val="Normal"/>
    <w:link w:val="ClosingChar"/>
    <w:rsid w:val="00F85F17"/>
    <w:pPr>
      <w:ind w:left="4252"/>
    </w:pPr>
  </w:style>
  <w:style w:type="character" w:customStyle="1" w:styleId="ClosingChar">
    <w:name w:val="Closing Char"/>
    <w:basedOn w:val="DefaultParagraphFont"/>
    <w:link w:val="Closing"/>
    <w:rsid w:val="00F85F17"/>
    <w:rPr>
      <w:lang w:eastAsia="en-US"/>
    </w:rPr>
  </w:style>
  <w:style w:type="paragraph" w:styleId="Date">
    <w:name w:val="Date"/>
    <w:basedOn w:val="Normal"/>
    <w:next w:val="Normal"/>
    <w:link w:val="DateChar"/>
    <w:rsid w:val="00F85F17"/>
  </w:style>
  <w:style w:type="character" w:customStyle="1" w:styleId="DateChar">
    <w:name w:val="Date Char"/>
    <w:basedOn w:val="DefaultParagraphFont"/>
    <w:link w:val="Date"/>
    <w:rsid w:val="00F85F17"/>
    <w:rPr>
      <w:lang w:eastAsia="en-US"/>
    </w:rPr>
  </w:style>
  <w:style w:type="paragraph" w:styleId="E-mailSignature">
    <w:name w:val="E-mail Signature"/>
    <w:basedOn w:val="Normal"/>
    <w:link w:val="E-mailSignatureChar"/>
    <w:rsid w:val="00F85F17"/>
  </w:style>
  <w:style w:type="character" w:customStyle="1" w:styleId="E-mailSignatureChar">
    <w:name w:val="E-mail Signature Char"/>
    <w:basedOn w:val="DefaultParagraphFont"/>
    <w:link w:val="E-mailSignature"/>
    <w:rsid w:val="00F85F17"/>
    <w:rPr>
      <w:lang w:eastAsia="en-US"/>
    </w:rPr>
  </w:style>
  <w:style w:type="character" w:styleId="Emphasis">
    <w:name w:val="Emphasis"/>
    <w:uiPriority w:val="20"/>
    <w:qFormat/>
    <w:rsid w:val="00F85F17"/>
    <w:rPr>
      <w:i/>
      <w:iCs/>
    </w:rPr>
  </w:style>
  <w:style w:type="paragraph" w:styleId="EnvelopeReturn">
    <w:name w:val="envelope return"/>
    <w:basedOn w:val="Normal"/>
    <w:rsid w:val="00F85F17"/>
    <w:rPr>
      <w:rFonts w:ascii="Arial" w:hAnsi="Arial" w:cs="Arial"/>
    </w:rPr>
  </w:style>
  <w:style w:type="character" w:styleId="HTMLAcronym">
    <w:name w:val="HTML Acronym"/>
    <w:basedOn w:val="DefaultParagraphFont"/>
    <w:rsid w:val="00F85F17"/>
  </w:style>
  <w:style w:type="paragraph" w:styleId="HTMLAddress">
    <w:name w:val="HTML Address"/>
    <w:basedOn w:val="Normal"/>
    <w:link w:val="HTMLAddressChar"/>
    <w:rsid w:val="00F85F17"/>
    <w:rPr>
      <w:i/>
      <w:iCs/>
    </w:rPr>
  </w:style>
  <w:style w:type="character" w:customStyle="1" w:styleId="HTMLAddressChar">
    <w:name w:val="HTML Address Char"/>
    <w:basedOn w:val="DefaultParagraphFont"/>
    <w:link w:val="HTMLAddress"/>
    <w:rsid w:val="00F85F17"/>
    <w:rPr>
      <w:i/>
      <w:iCs/>
      <w:lang w:eastAsia="en-US"/>
    </w:rPr>
  </w:style>
  <w:style w:type="character" w:styleId="HTMLCite">
    <w:name w:val="HTML Cite"/>
    <w:rsid w:val="00F85F17"/>
    <w:rPr>
      <w:i/>
      <w:iCs/>
    </w:rPr>
  </w:style>
  <w:style w:type="character" w:styleId="HTMLCode">
    <w:name w:val="HTML Code"/>
    <w:rsid w:val="00F85F17"/>
    <w:rPr>
      <w:rFonts w:ascii="Courier New" w:hAnsi="Courier New" w:cs="Courier New"/>
      <w:sz w:val="20"/>
      <w:szCs w:val="20"/>
    </w:rPr>
  </w:style>
  <w:style w:type="character" w:styleId="HTMLDefinition">
    <w:name w:val="HTML Definition"/>
    <w:rsid w:val="00F85F17"/>
    <w:rPr>
      <w:i/>
      <w:iCs/>
    </w:rPr>
  </w:style>
  <w:style w:type="character" w:styleId="HTMLKeyboard">
    <w:name w:val="HTML Keyboard"/>
    <w:rsid w:val="00F85F17"/>
    <w:rPr>
      <w:rFonts w:ascii="Courier New" w:hAnsi="Courier New" w:cs="Courier New"/>
      <w:sz w:val="20"/>
      <w:szCs w:val="20"/>
    </w:rPr>
  </w:style>
  <w:style w:type="paragraph" w:styleId="HTMLPreformatted">
    <w:name w:val="HTML Preformatted"/>
    <w:basedOn w:val="Normal"/>
    <w:link w:val="HTMLPreformattedChar"/>
    <w:rsid w:val="00F85F17"/>
    <w:rPr>
      <w:rFonts w:ascii="Courier New" w:hAnsi="Courier New" w:cs="Courier New"/>
    </w:rPr>
  </w:style>
  <w:style w:type="character" w:customStyle="1" w:styleId="HTMLPreformattedChar">
    <w:name w:val="HTML Preformatted Char"/>
    <w:basedOn w:val="DefaultParagraphFont"/>
    <w:link w:val="HTMLPreformatted"/>
    <w:rsid w:val="00F85F17"/>
    <w:rPr>
      <w:rFonts w:ascii="Courier New" w:hAnsi="Courier New" w:cs="Courier New"/>
      <w:lang w:eastAsia="en-US"/>
    </w:rPr>
  </w:style>
  <w:style w:type="character" w:styleId="HTMLSample">
    <w:name w:val="HTML Sample"/>
    <w:rsid w:val="00F85F17"/>
    <w:rPr>
      <w:rFonts w:ascii="Courier New" w:hAnsi="Courier New" w:cs="Courier New"/>
    </w:rPr>
  </w:style>
  <w:style w:type="character" w:styleId="HTMLTypewriter">
    <w:name w:val="HTML Typewriter"/>
    <w:rsid w:val="00F85F17"/>
    <w:rPr>
      <w:rFonts w:ascii="Courier New" w:hAnsi="Courier New" w:cs="Courier New"/>
      <w:sz w:val="20"/>
      <w:szCs w:val="20"/>
    </w:rPr>
  </w:style>
  <w:style w:type="character" w:styleId="HTMLVariable">
    <w:name w:val="HTML Variable"/>
    <w:rsid w:val="00F85F17"/>
    <w:rPr>
      <w:i/>
      <w:iCs/>
    </w:rPr>
  </w:style>
  <w:style w:type="paragraph" w:styleId="List">
    <w:name w:val="List"/>
    <w:basedOn w:val="Normal"/>
    <w:rsid w:val="00F85F17"/>
    <w:pPr>
      <w:ind w:left="283" w:hanging="283"/>
    </w:pPr>
  </w:style>
  <w:style w:type="paragraph" w:styleId="List2">
    <w:name w:val="List 2"/>
    <w:basedOn w:val="Normal"/>
    <w:rsid w:val="00F85F17"/>
    <w:pPr>
      <w:ind w:left="566" w:hanging="283"/>
    </w:pPr>
  </w:style>
  <w:style w:type="paragraph" w:styleId="List3">
    <w:name w:val="List 3"/>
    <w:basedOn w:val="Normal"/>
    <w:rsid w:val="00F85F17"/>
    <w:pPr>
      <w:ind w:left="849" w:hanging="283"/>
    </w:pPr>
  </w:style>
  <w:style w:type="paragraph" w:styleId="List4">
    <w:name w:val="List 4"/>
    <w:basedOn w:val="Normal"/>
    <w:rsid w:val="00F85F17"/>
    <w:pPr>
      <w:ind w:left="1132" w:hanging="283"/>
    </w:pPr>
  </w:style>
  <w:style w:type="paragraph" w:styleId="List5">
    <w:name w:val="List 5"/>
    <w:basedOn w:val="Normal"/>
    <w:rsid w:val="00F85F17"/>
    <w:pPr>
      <w:ind w:left="1415" w:hanging="283"/>
    </w:pPr>
  </w:style>
  <w:style w:type="paragraph" w:styleId="ListBullet">
    <w:name w:val="List Bullet"/>
    <w:basedOn w:val="Normal"/>
    <w:rsid w:val="00F85F17"/>
    <w:pPr>
      <w:numPr>
        <w:numId w:val="8"/>
      </w:numPr>
    </w:pPr>
  </w:style>
  <w:style w:type="paragraph" w:styleId="ListBullet2">
    <w:name w:val="List Bullet 2"/>
    <w:basedOn w:val="Normal"/>
    <w:rsid w:val="00F85F17"/>
    <w:pPr>
      <w:numPr>
        <w:numId w:val="9"/>
      </w:numPr>
    </w:pPr>
  </w:style>
  <w:style w:type="paragraph" w:styleId="ListBullet3">
    <w:name w:val="List Bullet 3"/>
    <w:basedOn w:val="Normal"/>
    <w:rsid w:val="00F85F17"/>
    <w:pPr>
      <w:numPr>
        <w:numId w:val="10"/>
      </w:numPr>
    </w:pPr>
  </w:style>
  <w:style w:type="paragraph" w:styleId="ListBullet4">
    <w:name w:val="List Bullet 4"/>
    <w:basedOn w:val="Normal"/>
    <w:rsid w:val="00F85F17"/>
    <w:pPr>
      <w:numPr>
        <w:numId w:val="11"/>
      </w:numPr>
    </w:pPr>
  </w:style>
  <w:style w:type="paragraph" w:styleId="ListBullet5">
    <w:name w:val="List Bullet 5"/>
    <w:basedOn w:val="Normal"/>
    <w:rsid w:val="00F85F17"/>
    <w:pPr>
      <w:numPr>
        <w:numId w:val="12"/>
      </w:numPr>
    </w:pPr>
  </w:style>
  <w:style w:type="paragraph" w:styleId="ListContinue">
    <w:name w:val="List Continue"/>
    <w:basedOn w:val="Normal"/>
    <w:rsid w:val="00F85F17"/>
    <w:pPr>
      <w:spacing w:after="120"/>
      <w:ind w:left="283"/>
    </w:pPr>
  </w:style>
  <w:style w:type="paragraph" w:styleId="ListContinue2">
    <w:name w:val="List Continue 2"/>
    <w:basedOn w:val="Normal"/>
    <w:rsid w:val="00F85F17"/>
    <w:pPr>
      <w:spacing w:after="120"/>
      <w:ind w:left="566"/>
    </w:pPr>
  </w:style>
  <w:style w:type="paragraph" w:styleId="ListContinue3">
    <w:name w:val="List Continue 3"/>
    <w:basedOn w:val="Normal"/>
    <w:rsid w:val="00F85F17"/>
    <w:pPr>
      <w:spacing w:after="120"/>
      <w:ind w:left="849"/>
    </w:pPr>
  </w:style>
  <w:style w:type="paragraph" w:styleId="ListContinue4">
    <w:name w:val="List Continue 4"/>
    <w:basedOn w:val="Normal"/>
    <w:rsid w:val="00F85F17"/>
    <w:pPr>
      <w:spacing w:after="120"/>
      <w:ind w:left="1132"/>
    </w:pPr>
  </w:style>
  <w:style w:type="paragraph" w:styleId="ListContinue5">
    <w:name w:val="List Continue 5"/>
    <w:basedOn w:val="Normal"/>
    <w:rsid w:val="00F85F17"/>
    <w:pPr>
      <w:spacing w:after="120"/>
      <w:ind w:left="1415"/>
    </w:pPr>
  </w:style>
  <w:style w:type="paragraph" w:styleId="ListNumber">
    <w:name w:val="List Number"/>
    <w:basedOn w:val="Normal"/>
    <w:rsid w:val="00F85F17"/>
    <w:pPr>
      <w:numPr>
        <w:numId w:val="7"/>
      </w:numPr>
    </w:pPr>
  </w:style>
  <w:style w:type="paragraph" w:styleId="ListNumber2">
    <w:name w:val="List Number 2"/>
    <w:basedOn w:val="Normal"/>
    <w:rsid w:val="00F85F17"/>
    <w:pPr>
      <w:numPr>
        <w:numId w:val="6"/>
      </w:numPr>
    </w:pPr>
  </w:style>
  <w:style w:type="paragraph" w:styleId="ListNumber3">
    <w:name w:val="List Number 3"/>
    <w:basedOn w:val="Normal"/>
    <w:rsid w:val="00F85F17"/>
    <w:pPr>
      <w:tabs>
        <w:tab w:val="num" w:pos="926"/>
      </w:tabs>
      <w:ind w:left="926" w:hanging="360"/>
    </w:pPr>
  </w:style>
  <w:style w:type="paragraph" w:styleId="ListNumber4">
    <w:name w:val="List Number 4"/>
    <w:basedOn w:val="Normal"/>
    <w:rsid w:val="00F85F17"/>
    <w:pPr>
      <w:numPr>
        <w:numId w:val="3"/>
      </w:numPr>
    </w:pPr>
  </w:style>
  <w:style w:type="paragraph" w:styleId="ListNumber5">
    <w:name w:val="List Number 5"/>
    <w:basedOn w:val="Normal"/>
    <w:rsid w:val="00F85F17"/>
    <w:pPr>
      <w:numPr>
        <w:numId w:val="4"/>
      </w:numPr>
    </w:pPr>
  </w:style>
  <w:style w:type="paragraph" w:styleId="MessageHeader">
    <w:name w:val="Message Header"/>
    <w:basedOn w:val="Normal"/>
    <w:link w:val="MessageHeaderChar"/>
    <w:rsid w:val="00F85F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85F17"/>
    <w:rPr>
      <w:rFonts w:ascii="Arial" w:hAnsi="Arial" w:cs="Arial"/>
      <w:sz w:val="24"/>
      <w:szCs w:val="24"/>
      <w:shd w:val="pct20" w:color="auto" w:fill="auto"/>
      <w:lang w:eastAsia="en-US"/>
    </w:rPr>
  </w:style>
  <w:style w:type="paragraph" w:styleId="NormalWeb">
    <w:name w:val="Normal (Web)"/>
    <w:basedOn w:val="Normal"/>
    <w:uiPriority w:val="99"/>
    <w:rsid w:val="00F85F17"/>
    <w:rPr>
      <w:sz w:val="24"/>
      <w:szCs w:val="24"/>
    </w:rPr>
  </w:style>
  <w:style w:type="paragraph" w:styleId="NormalIndent">
    <w:name w:val="Normal Indent"/>
    <w:basedOn w:val="Normal"/>
    <w:rsid w:val="00F85F17"/>
    <w:pPr>
      <w:ind w:left="567"/>
    </w:pPr>
  </w:style>
  <w:style w:type="paragraph" w:styleId="NoteHeading">
    <w:name w:val="Note Heading"/>
    <w:basedOn w:val="Normal"/>
    <w:next w:val="Normal"/>
    <w:link w:val="NoteHeadingChar"/>
    <w:rsid w:val="00F85F17"/>
  </w:style>
  <w:style w:type="character" w:customStyle="1" w:styleId="NoteHeadingChar">
    <w:name w:val="Note Heading Char"/>
    <w:basedOn w:val="DefaultParagraphFont"/>
    <w:link w:val="NoteHeading"/>
    <w:rsid w:val="00F85F17"/>
    <w:rPr>
      <w:lang w:eastAsia="en-US"/>
    </w:rPr>
  </w:style>
  <w:style w:type="paragraph" w:styleId="Salutation">
    <w:name w:val="Salutation"/>
    <w:basedOn w:val="Normal"/>
    <w:next w:val="Normal"/>
    <w:link w:val="SalutationChar"/>
    <w:rsid w:val="00F85F17"/>
  </w:style>
  <w:style w:type="character" w:customStyle="1" w:styleId="SalutationChar">
    <w:name w:val="Salutation Char"/>
    <w:basedOn w:val="DefaultParagraphFont"/>
    <w:link w:val="Salutation"/>
    <w:rsid w:val="00F85F17"/>
    <w:rPr>
      <w:lang w:eastAsia="en-US"/>
    </w:rPr>
  </w:style>
  <w:style w:type="paragraph" w:styleId="Signature">
    <w:name w:val="Signature"/>
    <w:basedOn w:val="Normal"/>
    <w:link w:val="SignatureChar"/>
    <w:rsid w:val="00F85F17"/>
    <w:pPr>
      <w:ind w:left="4252"/>
    </w:pPr>
  </w:style>
  <w:style w:type="character" w:customStyle="1" w:styleId="SignatureChar">
    <w:name w:val="Signature Char"/>
    <w:basedOn w:val="DefaultParagraphFont"/>
    <w:link w:val="Signature"/>
    <w:rsid w:val="00F85F17"/>
    <w:rPr>
      <w:lang w:eastAsia="en-US"/>
    </w:rPr>
  </w:style>
  <w:style w:type="character" w:styleId="Strong">
    <w:name w:val="Strong"/>
    <w:qFormat/>
    <w:rsid w:val="00F85F17"/>
    <w:rPr>
      <w:b/>
      <w:bCs/>
    </w:rPr>
  </w:style>
  <w:style w:type="paragraph" w:styleId="Subtitle">
    <w:name w:val="Subtitle"/>
    <w:basedOn w:val="Normal"/>
    <w:link w:val="SubtitleChar"/>
    <w:qFormat/>
    <w:rsid w:val="00F85F1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85F17"/>
    <w:rPr>
      <w:rFonts w:ascii="Arial" w:hAnsi="Arial" w:cs="Arial"/>
      <w:sz w:val="24"/>
      <w:szCs w:val="24"/>
      <w:lang w:eastAsia="en-US"/>
    </w:rPr>
  </w:style>
  <w:style w:type="table" w:styleId="Table3Deffects1">
    <w:name w:val="Table 3D effects 1"/>
    <w:basedOn w:val="TableNormal"/>
    <w:rsid w:val="00F85F1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F1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F1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F1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F1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F1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F1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F1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F1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F1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F1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F1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F1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F1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F1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F1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F1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85F1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F1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F1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F1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F1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F1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F1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F1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F1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F1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F1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F1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F1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F1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F1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F1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F1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F1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F1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F1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F1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F1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F1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F1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F1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F1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F1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85F17"/>
    <w:rPr>
      <w:rFonts w:ascii="Arial" w:hAnsi="Arial" w:cs="Arial"/>
      <w:b/>
      <w:bCs/>
      <w:kern w:val="28"/>
      <w:sz w:val="32"/>
      <w:szCs w:val="32"/>
      <w:lang w:eastAsia="en-US"/>
    </w:rPr>
  </w:style>
  <w:style w:type="paragraph" w:styleId="EnvelopeAddress">
    <w:name w:val="envelope address"/>
    <w:basedOn w:val="Normal"/>
    <w:rsid w:val="00F85F17"/>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link w:val="FootnoteText"/>
    <w:locked/>
    <w:rsid w:val="00F85F17"/>
    <w:rPr>
      <w:sz w:val="18"/>
      <w:lang w:eastAsia="en-US"/>
    </w:rPr>
  </w:style>
  <w:style w:type="character" w:customStyle="1" w:styleId="FootnoteReference1">
    <w:name w:val="Footnote Reference1"/>
    <w:rsid w:val="00F85F17"/>
  </w:style>
  <w:style w:type="character" w:customStyle="1" w:styleId="Smbolodenotaalpie">
    <w:name w:val="Símbolo de nota al pie"/>
    <w:rsid w:val="00F85F17"/>
  </w:style>
  <w:style w:type="paragraph" w:customStyle="1" w:styleId="FootnoteText1">
    <w:name w:val="Footnote Text1"/>
    <w:basedOn w:val="Normal"/>
    <w:rsid w:val="00F85F17"/>
    <w:pPr>
      <w:spacing w:after="200" w:line="276" w:lineRule="auto"/>
    </w:pPr>
    <w:rPr>
      <w:rFonts w:ascii="Calibri" w:eastAsia="DejaVu Sans" w:hAnsi="Calibri" w:cs="font294"/>
      <w:kern w:val="1"/>
      <w:sz w:val="22"/>
      <w:szCs w:val="22"/>
      <w:lang w:val="en-AU" w:eastAsia="ar-SA"/>
    </w:rPr>
  </w:style>
  <w:style w:type="paragraph" w:styleId="CommentSubject">
    <w:name w:val="annotation subject"/>
    <w:basedOn w:val="CommentText"/>
    <w:next w:val="CommentText"/>
    <w:link w:val="CommentSubjectChar"/>
    <w:rsid w:val="00F85F17"/>
    <w:rPr>
      <w:b/>
      <w:bCs/>
    </w:rPr>
  </w:style>
  <w:style w:type="character" w:customStyle="1" w:styleId="CommentSubjectChar">
    <w:name w:val="Comment Subject Char"/>
    <w:basedOn w:val="CommentTextChar"/>
    <w:link w:val="CommentSubject"/>
    <w:rsid w:val="00F85F17"/>
    <w:rPr>
      <w:b/>
      <w:bCs/>
      <w:lang w:eastAsia="en-US"/>
    </w:rPr>
  </w:style>
  <w:style w:type="paragraph" w:styleId="BalloonText">
    <w:name w:val="Balloon Text"/>
    <w:basedOn w:val="Normal"/>
    <w:link w:val="BalloonTextChar"/>
    <w:rsid w:val="00F85F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5F17"/>
    <w:rPr>
      <w:rFonts w:ascii="Tahoma" w:hAnsi="Tahoma" w:cs="Tahoma"/>
      <w:sz w:val="16"/>
      <w:szCs w:val="16"/>
      <w:lang w:eastAsia="en-US"/>
    </w:rPr>
  </w:style>
  <w:style w:type="paragraph" w:customStyle="1" w:styleId="Paragraphnumbered">
    <w:name w:val="Paragraph (numbered)"/>
    <w:basedOn w:val="Normal"/>
    <w:rsid w:val="00F85F17"/>
    <w:pPr>
      <w:numPr>
        <w:numId w:val="20"/>
      </w:numPr>
      <w:suppressAutoHyphens w:val="0"/>
      <w:spacing w:before="240" w:line="240" w:lineRule="auto"/>
    </w:pPr>
    <w:rPr>
      <w:sz w:val="24"/>
      <w:lang w:val="en-AU" w:eastAsia="en-AU"/>
    </w:rPr>
  </w:style>
  <w:style w:type="paragraph" w:customStyle="1" w:styleId="NumberLevel1">
    <w:name w:val="Number Level 1"/>
    <w:basedOn w:val="Normal"/>
    <w:link w:val="NumberLevel1Char"/>
    <w:rsid w:val="00F85F17"/>
    <w:pPr>
      <w:numPr>
        <w:numId w:val="28"/>
      </w:numPr>
      <w:suppressAutoHyphens w:val="0"/>
      <w:spacing w:before="140" w:after="140" w:line="280" w:lineRule="atLeast"/>
    </w:pPr>
    <w:rPr>
      <w:rFonts w:ascii="Arial" w:hAnsi="Arial"/>
      <w:sz w:val="22"/>
      <w:szCs w:val="22"/>
      <w:lang w:val="en-AU"/>
    </w:rPr>
  </w:style>
  <w:style w:type="paragraph" w:customStyle="1" w:styleId="NumberLevel2">
    <w:name w:val="Number Level 2"/>
    <w:basedOn w:val="Normal"/>
    <w:rsid w:val="00F85F17"/>
    <w:pPr>
      <w:numPr>
        <w:ilvl w:val="1"/>
        <w:numId w:val="28"/>
      </w:numPr>
      <w:suppressAutoHyphens w:val="0"/>
      <w:spacing w:before="140" w:after="140" w:line="280" w:lineRule="atLeast"/>
    </w:pPr>
    <w:rPr>
      <w:rFonts w:ascii="Arial" w:hAnsi="Arial" w:cs="Arial"/>
      <w:sz w:val="22"/>
      <w:szCs w:val="22"/>
      <w:lang w:val="en-AU" w:eastAsia="en-AU"/>
    </w:rPr>
  </w:style>
  <w:style w:type="paragraph" w:customStyle="1" w:styleId="NumberLevel3">
    <w:name w:val="Number Level 3"/>
    <w:basedOn w:val="Normal"/>
    <w:rsid w:val="00F85F17"/>
    <w:pPr>
      <w:numPr>
        <w:ilvl w:val="2"/>
        <w:numId w:val="28"/>
      </w:numPr>
      <w:suppressAutoHyphens w:val="0"/>
      <w:spacing w:before="140" w:after="140" w:line="280" w:lineRule="atLeast"/>
    </w:pPr>
    <w:rPr>
      <w:rFonts w:ascii="Arial" w:hAnsi="Arial" w:cs="Arial"/>
      <w:sz w:val="22"/>
      <w:szCs w:val="22"/>
      <w:lang w:val="en-AU" w:eastAsia="en-AU"/>
    </w:rPr>
  </w:style>
  <w:style w:type="paragraph" w:customStyle="1" w:styleId="NumberLevel4">
    <w:name w:val="Number Level 4"/>
    <w:basedOn w:val="Normal"/>
    <w:rsid w:val="00F85F17"/>
    <w:pPr>
      <w:numPr>
        <w:ilvl w:val="3"/>
        <w:numId w:val="28"/>
      </w:numPr>
      <w:suppressAutoHyphens w:val="0"/>
      <w:spacing w:after="140" w:line="280" w:lineRule="atLeast"/>
    </w:pPr>
    <w:rPr>
      <w:rFonts w:ascii="Arial" w:hAnsi="Arial" w:cs="Arial"/>
      <w:sz w:val="22"/>
      <w:szCs w:val="22"/>
      <w:lang w:val="en-AU" w:eastAsia="en-AU"/>
    </w:rPr>
  </w:style>
  <w:style w:type="paragraph" w:customStyle="1" w:styleId="NumberLevel5">
    <w:name w:val="Number Level 5"/>
    <w:basedOn w:val="Normal"/>
    <w:semiHidden/>
    <w:rsid w:val="00F85F17"/>
    <w:pPr>
      <w:numPr>
        <w:ilvl w:val="4"/>
        <w:numId w:val="28"/>
      </w:numPr>
      <w:suppressAutoHyphens w:val="0"/>
      <w:spacing w:after="140" w:line="280" w:lineRule="atLeast"/>
    </w:pPr>
    <w:rPr>
      <w:rFonts w:ascii="Arial" w:hAnsi="Arial" w:cs="Arial"/>
      <w:sz w:val="22"/>
      <w:szCs w:val="22"/>
      <w:lang w:val="en-AU" w:eastAsia="en-AU"/>
    </w:rPr>
  </w:style>
  <w:style w:type="paragraph" w:customStyle="1" w:styleId="NumberLevel6">
    <w:name w:val="Number Level 6"/>
    <w:basedOn w:val="NumberLevel5"/>
    <w:semiHidden/>
    <w:rsid w:val="00F85F17"/>
    <w:pPr>
      <w:numPr>
        <w:ilvl w:val="5"/>
      </w:numPr>
    </w:pPr>
  </w:style>
  <w:style w:type="paragraph" w:customStyle="1" w:styleId="NumberLevel7">
    <w:name w:val="Number Level 7"/>
    <w:basedOn w:val="NumberLevel6"/>
    <w:semiHidden/>
    <w:rsid w:val="00F85F17"/>
    <w:pPr>
      <w:numPr>
        <w:ilvl w:val="6"/>
      </w:numPr>
    </w:pPr>
  </w:style>
  <w:style w:type="paragraph" w:customStyle="1" w:styleId="NumberLevel8">
    <w:name w:val="Number Level 8"/>
    <w:basedOn w:val="NumberLevel7"/>
    <w:semiHidden/>
    <w:rsid w:val="00F85F17"/>
    <w:pPr>
      <w:numPr>
        <w:ilvl w:val="7"/>
      </w:numPr>
    </w:pPr>
  </w:style>
  <w:style w:type="paragraph" w:customStyle="1" w:styleId="NumberLevel9">
    <w:name w:val="Number Level 9"/>
    <w:basedOn w:val="NumberLevel8"/>
    <w:semiHidden/>
    <w:rsid w:val="00F85F17"/>
    <w:pPr>
      <w:numPr>
        <w:ilvl w:val="8"/>
      </w:numPr>
    </w:pPr>
  </w:style>
  <w:style w:type="character" w:customStyle="1" w:styleId="NumberLevel1Char">
    <w:name w:val="Number Level 1 Char"/>
    <w:link w:val="NumberLevel1"/>
    <w:locked/>
    <w:rsid w:val="00F85F17"/>
    <w:rPr>
      <w:rFonts w:ascii="Arial" w:hAnsi="Arial"/>
      <w:sz w:val="22"/>
      <w:szCs w:val="22"/>
      <w:lang w:val="en-AU" w:eastAsia="en-US"/>
    </w:rPr>
  </w:style>
  <w:style w:type="paragraph" w:customStyle="1" w:styleId="Default">
    <w:name w:val="Default"/>
    <w:rsid w:val="00F85F17"/>
    <w:pPr>
      <w:autoSpaceDE w:val="0"/>
      <w:autoSpaceDN w:val="0"/>
      <w:adjustRightInd w:val="0"/>
    </w:pPr>
    <w:rPr>
      <w:rFonts w:ascii="Cambria" w:eastAsia="Calibri" w:hAnsi="Cambria" w:cs="Cambria"/>
      <w:color w:val="000000"/>
      <w:sz w:val="24"/>
      <w:szCs w:val="24"/>
      <w:lang w:val="en-AU" w:eastAsia="en-AU"/>
    </w:rPr>
  </w:style>
  <w:style w:type="paragraph" w:customStyle="1" w:styleId="Corps">
    <w:name w:val="Corps"/>
    <w:rsid w:val="00F85F17"/>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character" w:customStyle="1" w:styleId="SingleTxtGChar">
    <w:name w:val="_ Single Txt_G Char"/>
    <w:link w:val="SingleTxtG"/>
    <w:rsid w:val="00F85F17"/>
    <w:rPr>
      <w:lang w:eastAsia="en-US"/>
    </w:rPr>
  </w:style>
  <w:style w:type="character" w:customStyle="1" w:styleId="Heading2Char">
    <w:name w:val="Heading 2 Char"/>
    <w:link w:val="Heading2"/>
    <w:rsid w:val="001A3A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CarlosRiosESPINOSA.doc"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5" Type="http://schemas.openxmlformats.org/officeDocument/2006/relationships/hyperlink" Target="http://www2.ohchr.org/SPdocs/CRPD/CVMembers/DamjanTATIC.doc" TargetMode="External"/><Relationship Id="rId4" Type="http://schemas.openxmlformats.org/officeDocument/2006/relationships/hyperlink" Target="http://www2.ohchr.org/SPdocs/CRPD/CVMembers/SilviaJudithQUAN-CHANG.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B9FF6-0AA6-4FA2-B3D8-542095D1313A}"/>
</file>

<file path=customXml/itemProps2.xml><?xml version="1.0" encoding="utf-8"?>
<ds:datastoreItem xmlns:ds="http://schemas.openxmlformats.org/officeDocument/2006/customXml" ds:itemID="{EA6D1430-1DD6-44C8-BF1B-1F8CA8EC94BB}"/>
</file>

<file path=customXml/itemProps3.xml><?xml version="1.0" encoding="utf-8"?>
<ds:datastoreItem xmlns:ds="http://schemas.openxmlformats.org/officeDocument/2006/customXml" ds:itemID="{B6865C3A-62CB-4979-95F6-82CC297CCD11}"/>
</file>

<file path=customXml/itemProps4.xml><?xml version="1.0" encoding="utf-8"?>
<ds:datastoreItem xmlns:ds="http://schemas.openxmlformats.org/officeDocument/2006/customXml" ds:itemID="{1AB15299-BCD2-44E0-9D88-34B2866CB08D}"/>
</file>

<file path=docProps/app.xml><?xml version="1.0" encoding="utf-8"?>
<Properties xmlns="http://schemas.openxmlformats.org/officeDocument/2006/extended-properties" xmlns:vt="http://schemas.openxmlformats.org/officeDocument/2006/docPropsVTypes">
  <Template>CRPD_E.dotm</Template>
  <TotalTime>1</TotalTime>
  <Pages>19</Pages>
  <Words>8837</Words>
  <Characters>50373</Characters>
  <Application>Microsoft Office Word</Application>
  <DocSecurity>0</DocSecurity>
  <Lines>419</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1614619</vt:lpstr>
      <vt:lpstr>United Nations</vt:lpstr>
    </vt:vector>
  </TitlesOfParts>
  <Company>CSD</Company>
  <LinksUpToDate>false</LinksUpToDate>
  <CharactersWithSpaces>59092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1614619</dc:title>
  <dc:subject>CRPD/C/16/DR/7/2012/Rev.1</dc:subject>
  <dc:creator>Maria Belen Enriquez</dc:creator>
  <cp:lastModifiedBy>Maria Belen Enriquez</cp:lastModifiedBy>
  <cp:revision>2</cp:revision>
  <cp:lastPrinted>2016-06-13T10:00:00Z</cp:lastPrinted>
  <dcterms:created xsi:type="dcterms:W3CDTF">2016-09-22T08:27:00Z</dcterms:created>
  <dcterms:modified xsi:type="dcterms:W3CDTF">2016-09-22T08:27:00Z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