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D1E01D" w14:textId="4B20B297" w:rsidR="00C113E5" w:rsidRPr="00DA5F8C" w:rsidRDefault="00C113E5" w:rsidP="0071492E">
      <w:pPr>
        <w:pStyle w:val="Title"/>
        <w:jc w:val="center"/>
        <w:rPr>
          <w:rFonts w:ascii="Verdana" w:hAnsi="Verdana"/>
          <w:b/>
          <w:sz w:val="28"/>
          <w:szCs w:val="28"/>
        </w:rPr>
      </w:pPr>
      <w:r w:rsidRPr="00DA5F8C">
        <w:rPr>
          <w:rFonts w:ascii="Verdana" w:hAnsi="Verdana"/>
          <w:b/>
          <w:sz w:val="28"/>
          <w:szCs w:val="28"/>
        </w:rPr>
        <w:t>Advocacy Brief</w:t>
      </w:r>
    </w:p>
    <w:p w14:paraId="43C72D46" w14:textId="7BF2337F" w:rsidR="00C113E5" w:rsidRDefault="00DA5F8C" w:rsidP="00C113E5">
      <w:pPr>
        <w:spacing w:line="360" w:lineRule="auto"/>
        <w:jc w:val="center"/>
        <w:rPr>
          <w:rFonts w:ascii="Verdana" w:hAnsi="Verdana"/>
          <w:b/>
          <w:sz w:val="28"/>
          <w:szCs w:val="28"/>
        </w:rPr>
      </w:pPr>
      <w:r>
        <w:rPr>
          <w:rFonts w:ascii="Verdana" w:hAnsi="Verdana"/>
          <w:b/>
          <w:sz w:val="28"/>
          <w:szCs w:val="28"/>
        </w:rPr>
        <w:t>Disaggre</w:t>
      </w:r>
      <w:r w:rsidR="00037D62">
        <w:rPr>
          <w:rFonts w:ascii="Verdana" w:hAnsi="Verdana"/>
          <w:b/>
          <w:sz w:val="28"/>
          <w:szCs w:val="28"/>
        </w:rPr>
        <w:t>gation by D</w:t>
      </w:r>
      <w:r w:rsidR="00C113E5" w:rsidRPr="00C113E5">
        <w:rPr>
          <w:rFonts w:ascii="Verdana" w:hAnsi="Verdana"/>
          <w:b/>
          <w:sz w:val="28"/>
          <w:szCs w:val="28"/>
        </w:rPr>
        <w:t>isability</w:t>
      </w:r>
    </w:p>
    <w:p w14:paraId="2BA3B6A9" w14:textId="0D8A0E79" w:rsidR="00C113E5" w:rsidRPr="007C2959" w:rsidRDefault="00C113E5" w:rsidP="00C113E5">
      <w:pPr>
        <w:spacing w:line="360" w:lineRule="auto"/>
        <w:jc w:val="center"/>
        <w:rPr>
          <w:rFonts w:ascii="Verdana" w:hAnsi="Verdana"/>
          <w:sz w:val="22"/>
          <w:szCs w:val="22"/>
        </w:rPr>
      </w:pPr>
      <w:r w:rsidRPr="007C2959">
        <w:rPr>
          <w:rFonts w:ascii="Verdana" w:hAnsi="Verdana"/>
          <w:sz w:val="22"/>
          <w:szCs w:val="22"/>
        </w:rPr>
        <w:t>Sixth meeting of the IAEG-SDGs</w:t>
      </w:r>
    </w:p>
    <w:p w14:paraId="42A34B3C" w14:textId="5890AB8D" w:rsidR="00C113E5" w:rsidRPr="007C2959" w:rsidRDefault="00C113E5" w:rsidP="00C113E5">
      <w:pPr>
        <w:spacing w:line="360" w:lineRule="auto"/>
        <w:jc w:val="center"/>
        <w:rPr>
          <w:rFonts w:ascii="Verdana" w:hAnsi="Verdana"/>
          <w:sz w:val="22"/>
          <w:szCs w:val="22"/>
        </w:rPr>
      </w:pPr>
      <w:r w:rsidRPr="007C2959">
        <w:rPr>
          <w:rFonts w:ascii="Verdana" w:hAnsi="Verdana"/>
          <w:sz w:val="22"/>
          <w:szCs w:val="22"/>
        </w:rPr>
        <w:t>Recommendation by: International Disability Alliance and International Disability and Development Consortium</w:t>
      </w:r>
    </w:p>
    <w:p w14:paraId="08B0586A" w14:textId="77777777" w:rsidR="00C113E5" w:rsidRDefault="00C113E5" w:rsidP="00234194">
      <w:pPr>
        <w:jc w:val="both"/>
        <w:rPr>
          <w:rFonts w:ascii="Verdana" w:hAnsi="Verdana"/>
          <w:b/>
          <w:sz w:val="22"/>
          <w:szCs w:val="22"/>
        </w:rPr>
      </w:pPr>
    </w:p>
    <w:tbl>
      <w:tblPr>
        <w:tblStyle w:val="TableGrid"/>
        <w:tblW w:w="0" w:type="auto"/>
        <w:tblBorders>
          <w:insideH w:val="none" w:sz="0" w:space="0" w:color="auto"/>
          <w:insideV w:val="none" w:sz="0" w:space="0" w:color="auto"/>
        </w:tblBorders>
        <w:shd w:val="pct5" w:color="auto" w:fill="auto"/>
        <w:tblLook w:val="04A0" w:firstRow="1" w:lastRow="0" w:firstColumn="1" w:lastColumn="0" w:noHBand="0" w:noVBand="1"/>
      </w:tblPr>
      <w:tblGrid>
        <w:gridCol w:w="9350"/>
      </w:tblGrid>
      <w:tr w:rsidR="003C3650" w14:paraId="2ADEBACB" w14:textId="77777777" w:rsidTr="003C3650">
        <w:tc>
          <w:tcPr>
            <w:tcW w:w="9350" w:type="dxa"/>
            <w:shd w:val="pct5" w:color="auto" w:fill="auto"/>
          </w:tcPr>
          <w:p w14:paraId="0F52A6FE" w14:textId="77777777" w:rsidR="003C3650" w:rsidRDefault="003C3650" w:rsidP="003C3650">
            <w:pPr>
              <w:jc w:val="both"/>
              <w:rPr>
                <w:rFonts w:ascii="Verdana" w:hAnsi="Verdana"/>
                <w:b/>
                <w:sz w:val="22"/>
                <w:szCs w:val="22"/>
              </w:rPr>
            </w:pPr>
          </w:p>
          <w:p w14:paraId="19C462A2" w14:textId="77777777" w:rsidR="00D52AA4" w:rsidRPr="00F22ACF" w:rsidRDefault="00D52AA4" w:rsidP="00D52AA4">
            <w:pPr>
              <w:jc w:val="both"/>
              <w:rPr>
                <w:rFonts w:ascii="Verdana" w:hAnsi="Verdana"/>
                <w:b/>
                <w:sz w:val="22"/>
                <w:szCs w:val="22"/>
              </w:rPr>
            </w:pPr>
            <w:r w:rsidRPr="00F22ACF">
              <w:rPr>
                <w:rFonts w:ascii="Verdana" w:hAnsi="Verdana"/>
                <w:b/>
                <w:sz w:val="22"/>
                <w:szCs w:val="22"/>
              </w:rPr>
              <w:t xml:space="preserve">We are calling on the IAEG-SDGs disaggregation work stream </w:t>
            </w:r>
            <w:r>
              <w:rPr>
                <w:rFonts w:ascii="Verdana" w:hAnsi="Verdana"/>
                <w:b/>
                <w:sz w:val="22"/>
                <w:szCs w:val="22"/>
              </w:rPr>
              <w:t>urgently to</w:t>
            </w:r>
            <w:r w:rsidRPr="00F22ACF">
              <w:rPr>
                <w:rFonts w:ascii="Verdana" w:hAnsi="Verdana"/>
                <w:b/>
                <w:sz w:val="22"/>
                <w:szCs w:val="22"/>
              </w:rPr>
              <w:t xml:space="preserve"> recommend the Short Set of Questions</w:t>
            </w:r>
            <w:r>
              <w:rPr>
                <w:rFonts w:ascii="Verdana" w:hAnsi="Verdana"/>
                <w:b/>
                <w:sz w:val="22"/>
                <w:szCs w:val="22"/>
              </w:rPr>
              <w:t xml:space="preserve"> developed by the </w:t>
            </w:r>
            <w:r w:rsidRPr="00F22ACF">
              <w:rPr>
                <w:rFonts w:ascii="Verdana" w:hAnsi="Verdana"/>
                <w:b/>
                <w:sz w:val="22"/>
                <w:szCs w:val="22"/>
              </w:rPr>
              <w:t xml:space="preserve">Washington Group to be the methodology for disaggregating SDG indicators by disability. </w:t>
            </w:r>
          </w:p>
          <w:p w14:paraId="25C8FEAB" w14:textId="77777777" w:rsidR="003C3650" w:rsidRDefault="003C3650" w:rsidP="00234194">
            <w:pPr>
              <w:jc w:val="both"/>
              <w:rPr>
                <w:rFonts w:ascii="Verdana" w:hAnsi="Verdana"/>
                <w:b/>
                <w:sz w:val="22"/>
                <w:szCs w:val="22"/>
              </w:rPr>
            </w:pPr>
          </w:p>
        </w:tc>
      </w:tr>
    </w:tbl>
    <w:p w14:paraId="308072AB" w14:textId="77777777" w:rsidR="003C3650" w:rsidRDefault="003C3650" w:rsidP="00234194">
      <w:pPr>
        <w:jc w:val="both"/>
        <w:rPr>
          <w:rFonts w:ascii="Verdana" w:hAnsi="Verdana"/>
          <w:b/>
          <w:sz w:val="22"/>
          <w:szCs w:val="22"/>
        </w:rPr>
      </w:pPr>
    </w:p>
    <w:p w14:paraId="26C0BD52" w14:textId="77777777" w:rsidR="001213E3" w:rsidRPr="0057391D" w:rsidRDefault="001213E3" w:rsidP="001213E3">
      <w:pPr>
        <w:jc w:val="both"/>
        <w:rPr>
          <w:rFonts w:ascii="Verdana" w:hAnsi="Verdana"/>
          <w:color w:val="FF0000"/>
          <w:sz w:val="22"/>
          <w:szCs w:val="22"/>
        </w:rPr>
      </w:pPr>
      <w:r w:rsidRPr="0057391D">
        <w:rPr>
          <w:rFonts w:ascii="Verdana" w:hAnsi="Verdana"/>
          <w:color w:val="FF0000"/>
          <w:sz w:val="22"/>
          <w:szCs w:val="22"/>
        </w:rPr>
        <w:t>Since the UN General Assembly agreed on the global indicator framework (A/RES/71/313) in June 2017, it is more urgent than ever that the IAEG-SDGs recommends a methodology on the disaggregation of data by disability. Otherwise there will be detrimental consequences to the implementation process of the SDGs, which will subsequently leave persons with disabilities uncounted and behind.</w:t>
      </w:r>
    </w:p>
    <w:p w14:paraId="4B2BBBEB" w14:textId="77777777" w:rsidR="001213E3" w:rsidRPr="00F22ACF" w:rsidRDefault="001213E3" w:rsidP="001213E3">
      <w:pPr>
        <w:jc w:val="both"/>
        <w:rPr>
          <w:rFonts w:ascii="Verdana" w:hAnsi="Verdana"/>
          <w:sz w:val="22"/>
          <w:szCs w:val="22"/>
        </w:rPr>
      </w:pPr>
    </w:p>
    <w:p w14:paraId="67D50AFF" w14:textId="77777777" w:rsidR="001213E3" w:rsidRPr="0057391D" w:rsidRDefault="001213E3" w:rsidP="001213E3">
      <w:pPr>
        <w:jc w:val="both"/>
        <w:rPr>
          <w:rFonts w:ascii="Verdana" w:hAnsi="Verdana"/>
          <w:sz w:val="22"/>
          <w:szCs w:val="22"/>
        </w:rPr>
      </w:pPr>
      <w:r w:rsidRPr="0057391D">
        <w:rPr>
          <w:rFonts w:ascii="Verdana" w:hAnsi="Verdana"/>
          <w:sz w:val="22"/>
          <w:szCs w:val="22"/>
        </w:rPr>
        <w:t xml:space="preserve">During the past year, at various UN events </w:t>
      </w:r>
      <w:r w:rsidRPr="0057391D">
        <w:rPr>
          <w:rFonts w:ascii="Verdana" w:hAnsi="Verdana"/>
          <w:color w:val="FF0000"/>
          <w:sz w:val="22"/>
          <w:szCs w:val="22"/>
          <w:u w:val="single"/>
        </w:rPr>
        <w:t>at least 105 Member States</w:t>
      </w:r>
      <w:r w:rsidRPr="0057391D">
        <w:rPr>
          <w:rFonts w:ascii="Verdana" w:hAnsi="Verdana"/>
          <w:color w:val="FF0000"/>
          <w:sz w:val="22"/>
          <w:szCs w:val="22"/>
        </w:rPr>
        <w:t xml:space="preserve"> </w:t>
      </w:r>
      <w:r w:rsidRPr="0057391D">
        <w:rPr>
          <w:rFonts w:ascii="Verdana" w:hAnsi="Verdana"/>
          <w:sz w:val="22"/>
          <w:szCs w:val="22"/>
        </w:rPr>
        <w:t xml:space="preserve">called for disaggregation of data by disability and recommended the Short Set of Questions developed by the Washington Group to be the methodology used for disaggregating SDG indicators. </w:t>
      </w:r>
    </w:p>
    <w:p w14:paraId="5912D8BA" w14:textId="77777777" w:rsidR="00EC37D5" w:rsidRDefault="00EC37D5" w:rsidP="00234194">
      <w:pPr>
        <w:jc w:val="both"/>
        <w:rPr>
          <w:rFonts w:ascii="Verdana" w:hAnsi="Verdana"/>
          <w:sz w:val="22"/>
          <w:szCs w:val="22"/>
        </w:rPr>
      </w:pPr>
      <w:bookmarkStart w:id="0" w:name="_GoBack"/>
      <w:bookmarkEnd w:id="0"/>
    </w:p>
    <w:tbl>
      <w:tblPr>
        <w:tblStyle w:val="TableGrid"/>
        <w:tblW w:w="0" w:type="auto"/>
        <w:tblBorders>
          <w:insideH w:val="none" w:sz="0" w:space="0" w:color="auto"/>
          <w:insideV w:val="none" w:sz="0" w:space="0" w:color="auto"/>
        </w:tblBorders>
        <w:shd w:val="pct10" w:color="auto" w:fill="auto"/>
        <w:tblLook w:val="04A0" w:firstRow="1" w:lastRow="0" w:firstColumn="1" w:lastColumn="0" w:noHBand="0" w:noVBand="1"/>
      </w:tblPr>
      <w:tblGrid>
        <w:gridCol w:w="9350"/>
      </w:tblGrid>
      <w:tr w:rsidR="003C3650" w14:paraId="1655BD4C" w14:textId="77777777" w:rsidTr="003C3650">
        <w:tc>
          <w:tcPr>
            <w:tcW w:w="9350" w:type="dxa"/>
            <w:shd w:val="pct10" w:color="auto" w:fill="auto"/>
          </w:tcPr>
          <w:p w14:paraId="7C8BD105" w14:textId="77777777" w:rsidR="003C3650" w:rsidRDefault="003C3650" w:rsidP="003C3650">
            <w:pPr>
              <w:jc w:val="both"/>
              <w:rPr>
                <w:rFonts w:ascii="Verdana" w:hAnsi="Verdana"/>
                <w:b/>
                <w:bCs/>
                <w:sz w:val="22"/>
                <w:szCs w:val="22"/>
              </w:rPr>
            </w:pPr>
          </w:p>
          <w:p w14:paraId="3D2CD8F4" w14:textId="48667F38" w:rsidR="003C3650" w:rsidRPr="00F22ACF" w:rsidRDefault="003C3650" w:rsidP="003C3650">
            <w:pPr>
              <w:jc w:val="center"/>
              <w:rPr>
                <w:rFonts w:ascii="Verdana" w:hAnsi="Verdana"/>
                <w:b/>
                <w:bCs/>
                <w:sz w:val="22"/>
                <w:szCs w:val="22"/>
              </w:rPr>
            </w:pPr>
            <w:r w:rsidRPr="00F22ACF">
              <w:rPr>
                <w:rFonts w:ascii="Verdana" w:hAnsi="Verdana"/>
                <w:b/>
                <w:bCs/>
                <w:sz w:val="22"/>
                <w:szCs w:val="22"/>
              </w:rPr>
              <w:t>Rationale</w:t>
            </w:r>
            <w:r w:rsidR="0071492E">
              <w:rPr>
                <w:rFonts w:ascii="Verdana" w:hAnsi="Verdana"/>
                <w:b/>
                <w:bCs/>
                <w:sz w:val="22"/>
                <w:szCs w:val="22"/>
              </w:rPr>
              <w:t xml:space="preserve"> and F</w:t>
            </w:r>
            <w:r w:rsidR="009F37DE">
              <w:rPr>
                <w:rFonts w:ascii="Verdana" w:hAnsi="Verdana"/>
                <w:b/>
                <w:bCs/>
                <w:sz w:val="22"/>
                <w:szCs w:val="22"/>
              </w:rPr>
              <w:t>acts</w:t>
            </w:r>
            <w:r w:rsidR="00D36EAE">
              <w:rPr>
                <w:rFonts w:ascii="Verdana" w:hAnsi="Verdana"/>
                <w:b/>
                <w:bCs/>
                <w:sz w:val="22"/>
                <w:szCs w:val="22"/>
              </w:rPr>
              <w:t xml:space="preserve"> from 2017</w:t>
            </w:r>
          </w:p>
          <w:p w14:paraId="720A75CA" w14:textId="77777777" w:rsidR="003C3650" w:rsidRDefault="003C3650" w:rsidP="00234194">
            <w:pPr>
              <w:jc w:val="both"/>
              <w:rPr>
                <w:rFonts w:ascii="Verdana" w:hAnsi="Verdana"/>
                <w:sz w:val="22"/>
                <w:szCs w:val="22"/>
              </w:rPr>
            </w:pPr>
          </w:p>
        </w:tc>
      </w:tr>
    </w:tbl>
    <w:p w14:paraId="724ADBE0" w14:textId="77777777" w:rsidR="00512721" w:rsidRPr="00F22ACF" w:rsidRDefault="00512721" w:rsidP="00234194">
      <w:pPr>
        <w:jc w:val="both"/>
        <w:rPr>
          <w:rFonts w:ascii="Verdana" w:hAnsi="Verdana"/>
          <w:b/>
          <w:bCs/>
          <w:sz w:val="22"/>
          <w:szCs w:val="22"/>
        </w:rPr>
      </w:pPr>
    </w:p>
    <w:p w14:paraId="45C4C43B" w14:textId="0C7F8D6D" w:rsidR="003221AC" w:rsidRPr="00F22ACF" w:rsidRDefault="00512721" w:rsidP="00234194">
      <w:pPr>
        <w:jc w:val="both"/>
        <w:rPr>
          <w:rFonts w:ascii="Verdana" w:hAnsi="Verdana"/>
          <w:b/>
          <w:sz w:val="22"/>
          <w:szCs w:val="22"/>
        </w:rPr>
      </w:pPr>
      <w:r w:rsidRPr="00F22ACF">
        <w:rPr>
          <w:rFonts w:ascii="Verdana" w:hAnsi="Verdana"/>
          <w:b/>
          <w:sz w:val="22"/>
          <w:szCs w:val="22"/>
        </w:rPr>
        <w:t>In 2017 June</w:t>
      </w:r>
      <w:r w:rsidR="00936FB4" w:rsidRPr="00F22ACF">
        <w:rPr>
          <w:rFonts w:ascii="Verdana" w:hAnsi="Verdana"/>
          <w:b/>
          <w:sz w:val="22"/>
          <w:szCs w:val="22"/>
        </w:rPr>
        <w:t>,</w:t>
      </w:r>
      <w:r w:rsidR="0087295E" w:rsidRPr="00F22ACF">
        <w:rPr>
          <w:rFonts w:ascii="Verdana" w:hAnsi="Verdana"/>
          <w:sz w:val="22"/>
          <w:szCs w:val="22"/>
        </w:rPr>
        <w:t xml:space="preserve"> at the UN Headquarters </w:t>
      </w:r>
      <w:r w:rsidR="0087295E" w:rsidRPr="003C3650">
        <w:rPr>
          <w:rFonts w:ascii="Verdana" w:hAnsi="Verdana"/>
          <w:b/>
          <w:color w:val="000000" w:themeColor="text1"/>
          <w:sz w:val="22"/>
          <w:szCs w:val="22"/>
        </w:rPr>
        <w:t>during</w:t>
      </w:r>
      <w:r w:rsidRPr="003C3650">
        <w:rPr>
          <w:rFonts w:ascii="Verdana" w:hAnsi="Verdana"/>
          <w:b/>
          <w:color w:val="000000" w:themeColor="text1"/>
          <w:sz w:val="22"/>
          <w:szCs w:val="22"/>
        </w:rPr>
        <w:t xml:space="preserve"> the Conference of States Parties to the</w:t>
      </w:r>
      <w:r w:rsidR="0087295E" w:rsidRPr="003C3650">
        <w:rPr>
          <w:rFonts w:ascii="Verdana" w:hAnsi="Verdana"/>
          <w:b/>
          <w:color w:val="000000" w:themeColor="text1"/>
          <w:sz w:val="22"/>
          <w:szCs w:val="22"/>
        </w:rPr>
        <w:t xml:space="preserve"> Convention on the Rights of Persons with Disabilities</w:t>
      </w:r>
      <w:r w:rsidR="0087295E" w:rsidRPr="00F22ACF">
        <w:rPr>
          <w:rFonts w:ascii="Verdana" w:hAnsi="Verdana"/>
          <w:sz w:val="22"/>
          <w:szCs w:val="22"/>
        </w:rPr>
        <w:t xml:space="preserve">, </w:t>
      </w:r>
      <w:r w:rsidR="00705141" w:rsidRPr="003C3650">
        <w:rPr>
          <w:rFonts w:ascii="Verdana" w:hAnsi="Verdana"/>
          <w:color w:val="FF0000"/>
          <w:sz w:val="22"/>
          <w:szCs w:val="22"/>
        </w:rPr>
        <w:t>25</w:t>
      </w:r>
      <w:r w:rsidRPr="003C3650">
        <w:rPr>
          <w:rFonts w:ascii="Verdana" w:hAnsi="Verdana"/>
          <w:color w:val="FF0000"/>
          <w:sz w:val="22"/>
          <w:szCs w:val="22"/>
        </w:rPr>
        <w:t xml:space="preserve"> Member States</w:t>
      </w:r>
      <w:r w:rsidR="001A10C8" w:rsidRPr="003C3650">
        <w:rPr>
          <w:rFonts w:ascii="Verdana" w:hAnsi="Verdana"/>
          <w:color w:val="FF0000"/>
          <w:sz w:val="22"/>
          <w:szCs w:val="22"/>
        </w:rPr>
        <w:t xml:space="preserve"> delivered a joint statement to</w:t>
      </w:r>
      <w:r w:rsidRPr="003C3650">
        <w:rPr>
          <w:rFonts w:ascii="Verdana" w:hAnsi="Verdana"/>
          <w:color w:val="FF0000"/>
          <w:sz w:val="22"/>
          <w:szCs w:val="22"/>
        </w:rPr>
        <w:t xml:space="preserve"> call for </w:t>
      </w:r>
      <w:r w:rsidR="001A10C8" w:rsidRPr="003C3650">
        <w:rPr>
          <w:rFonts w:ascii="Verdana" w:hAnsi="Verdana"/>
          <w:color w:val="FF0000"/>
          <w:sz w:val="22"/>
          <w:szCs w:val="22"/>
        </w:rPr>
        <w:t>“</w:t>
      </w:r>
      <w:r w:rsidR="00EC37D5" w:rsidRPr="003C3650">
        <w:rPr>
          <w:rFonts w:ascii="Verdana" w:hAnsi="Verdana"/>
          <w:bCs/>
          <w:color w:val="FF0000"/>
          <w:sz w:val="22"/>
          <w:szCs w:val="22"/>
          <w:u w:val="single"/>
        </w:rPr>
        <w:t>the Washington Group Short Set of Questions</w:t>
      </w:r>
      <w:r w:rsidR="00EC37D5" w:rsidRPr="003C3650">
        <w:rPr>
          <w:rFonts w:ascii="Verdana" w:hAnsi="Verdana"/>
          <w:bCs/>
          <w:color w:val="FF0000"/>
          <w:sz w:val="22"/>
          <w:szCs w:val="22"/>
        </w:rPr>
        <w:t xml:space="preserve"> to be used </w:t>
      </w:r>
      <w:r w:rsidR="00EC37D5" w:rsidRPr="0017223A">
        <w:rPr>
          <w:rFonts w:ascii="Verdana" w:hAnsi="Verdana"/>
          <w:bCs/>
          <w:color w:val="FF0000"/>
          <w:sz w:val="22"/>
          <w:szCs w:val="22"/>
        </w:rPr>
        <w:t>as the tool to disaggregate data by disability</w:t>
      </w:r>
      <w:r w:rsidR="00936FB4" w:rsidRPr="0017223A">
        <w:rPr>
          <w:rFonts w:ascii="Verdana" w:hAnsi="Verdana"/>
          <w:bCs/>
          <w:color w:val="FF0000"/>
          <w:sz w:val="22"/>
          <w:szCs w:val="22"/>
        </w:rPr>
        <w:t>.</w:t>
      </w:r>
      <w:r w:rsidR="00936FB4" w:rsidRPr="00F22ACF">
        <w:rPr>
          <w:rFonts w:ascii="Verdana" w:hAnsi="Verdana"/>
          <w:bCs/>
          <w:sz w:val="22"/>
          <w:szCs w:val="22"/>
        </w:rPr>
        <w:t xml:space="preserve">” </w:t>
      </w:r>
    </w:p>
    <w:p w14:paraId="06B6E3CE" w14:textId="63FC312B" w:rsidR="006A2724" w:rsidRPr="00F22ACF" w:rsidRDefault="00FB54B1" w:rsidP="00FB54B1">
      <w:pPr>
        <w:spacing w:before="100" w:beforeAutospacing="1" w:after="100" w:afterAutospacing="1"/>
        <w:jc w:val="both"/>
        <w:outlineLvl w:val="0"/>
        <w:rPr>
          <w:rFonts w:ascii="Verdana" w:eastAsia="Times New Roman" w:hAnsi="Verdana"/>
          <w:bCs/>
          <w:i/>
          <w:kern w:val="36"/>
          <w:sz w:val="22"/>
          <w:szCs w:val="22"/>
        </w:rPr>
      </w:pPr>
      <w:r w:rsidRPr="00F22ACF">
        <w:rPr>
          <w:rFonts w:ascii="Verdana" w:eastAsia="Times New Roman" w:hAnsi="Verdana"/>
          <w:b/>
          <w:bCs/>
          <w:kern w:val="36"/>
          <w:sz w:val="22"/>
          <w:szCs w:val="22"/>
        </w:rPr>
        <w:t>In 2017 May,</w:t>
      </w:r>
      <w:r w:rsidRPr="00F22ACF">
        <w:rPr>
          <w:rFonts w:ascii="Verdana" w:eastAsia="Times New Roman" w:hAnsi="Verdana"/>
          <w:bCs/>
          <w:kern w:val="36"/>
          <w:sz w:val="22"/>
          <w:szCs w:val="22"/>
        </w:rPr>
        <w:t xml:space="preserve"> the </w:t>
      </w:r>
      <w:r w:rsidRPr="003C3650">
        <w:rPr>
          <w:rFonts w:ascii="Verdana" w:eastAsia="Times New Roman" w:hAnsi="Verdana"/>
          <w:b/>
          <w:bCs/>
          <w:kern w:val="36"/>
          <w:sz w:val="22"/>
          <w:szCs w:val="22"/>
        </w:rPr>
        <w:t>Report of the Inter-</w:t>
      </w:r>
      <w:proofErr w:type="gramStart"/>
      <w:r w:rsidRPr="003C3650">
        <w:rPr>
          <w:rFonts w:ascii="Verdana" w:eastAsia="Times New Roman" w:hAnsi="Verdana"/>
          <w:b/>
          <w:bCs/>
          <w:kern w:val="36"/>
          <w:sz w:val="22"/>
          <w:szCs w:val="22"/>
        </w:rPr>
        <w:t>agency</w:t>
      </w:r>
      <w:proofErr w:type="gramEnd"/>
      <w:r w:rsidRPr="003C3650">
        <w:rPr>
          <w:rFonts w:ascii="Verdana" w:eastAsia="Times New Roman" w:hAnsi="Verdana"/>
          <w:b/>
          <w:bCs/>
          <w:kern w:val="36"/>
          <w:sz w:val="22"/>
          <w:szCs w:val="22"/>
        </w:rPr>
        <w:t xml:space="preserve"> Task Force on Financing for Development 2017</w:t>
      </w:r>
      <w:r w:rsidRPr="00F22ACF">
        <w:rPr>
          <w:rFonts w:ascii="Verdana" w:eastAsia="Times New Roman" w:hAnsi="Verdana"/>
          <w:bCs/>
          <w:kern w:val="36"/>
          <w:sz w:val="22"/>
          <w:szCs w:val="22"/>
        </w:rPr>
        <w:t xml:space="preserve">, </w:t>
      </w:r>
      <w:r w:rsidRPr="00F22ACF">
        <w:rPr>
          <w:rFonts w:ascii="Verdana" w:eastAsia="Times New Roman" w:hAnsi="Verdana"/>
          <w:sz w:val="22"/>
          <w:szCs w:val="22"/>
        </w:rPr>
        <w:t>stated that “There is much work going on to improve the disaggregation of data, but challenges remain…</w:t>
      </w:r>
      <w:r w:rsidRPr="0017223A">
        <w:rPr>
          <w:rFonts w:ascii="Verdana" w:eastAsia="Times New Roman" w:hAnsi="Verdana"/>
          <w:color w:val="FF0000"/>
          <w:sz w:val="22"/>
          <w:szCs w:val="22"/>
          <w:u w:val="single"/>
        </w:rPr>
        <w:t>there is a notable lack of disaggregated statistics on persons with disabilities</w:t>
      </w:r>
      <w:r w:rsidR="0071492E">
        <w:rPr>
          <w:rFonts w:ascii="Verdana" w:eastAsia="Times New Roman" w:hAnsi="Verdana"/>
          <w:sz w:val="22"/>
          <w:szCs w:val="22"/>
        </w:rPr>
        <w:t>.” The Report also</w:t>
      </w:r>
      <w:r w:rsidR="0017223A">
        <w:rPr>
          <w:rFonts w:ascii="Verdana" w:eastAsia="Times New Roman" w:hAnsi="Verdana"/>
          <w:sz w:val="22"/>
          <w:szCs w:val="22"/>
        </w:rPr>
        <w:t xml:space="preserve"> hi</w:t>
      </w:r>
      <w:r w:rsidR="0071492E">
        <w:rPr>
          <w:rFonts w:ascii="Verdana" w:eastAsia="Times New Roman" w:hAnsi="Verdana"/>
          <w:sz w:val="22"/>
          <w:szCs w:val="22"/>
        </w:rPr>
        <w:t>g</w:t>
      </w:r>
      <w:r w:rsidR="0017223A">
        <w:rPr>
          <w:rFonts w:ascii="Verdana" w:eastAsia="Times New Roman" w:hAnsi="Verdana"/>
          <w:sz w:val="22"/>
          <w:szCs w:val="22"/>
        </w:rPr>
        <w:t xml:space="preserve">hlights </w:t>
      </w:r>
      <w:r w:rsidR="0071492E">
        <w:rPr>
          <w:rFonts w:ascii="Verdana" w:eastAsia="Times New Roman" w:hAnsi="Verdana"/>
          <w:sz w:val="22"/>
          <w:szCs w:val="22"/>
        </w:rPr>
        <w:t xml:space="preserve">the </w:t>
      </w:r>
      <w:r w:rsidR="0017223A">
        <w:rPr>
          <w:rFonts w:ascii="Verdana" w:eastAsia="Times New Roman" w:hAnsi="Verdana"/>
          <w:sz w:val="22"/>
          <w:szCs w:val="22"/>
        </w:rPr>
        <w:t xml:space="preserve">work of </w:t>
      </w:r>
      <w:r w:rsidRPr="00F22ACF">
        <w:rPr>
          <w:rFonts w:ascii="Verdana" w:eastAsia="Times New Roman" w:hAnsi="Verdana"/>
          <w:sz w:val="22"/>
          <w:szCs w:val="22"/>
        </w:rPr>
        <w:t>the Washington Group on Disability Statistics</w:t>
      </w:r>
      <w:r w:rsidRPr="00F22ACF">
        <w:rPr>
          <w:rFonts w:ascii="Verdana" w:hAnsi="Verdana" w:cs="Arial"/>
          <w:sz w:val="22"/>
          <w:szCs w:val="22"/>
          <w:lang w:val="en-GB"/>
        </w:rPr>
        <w:t>.</w:t>
      </w:r>
    </w:p>
    <w:p w14:paraId="69FC8203" w14:textId="2CE1852D" w:rsidR="00154AB3" w:rsidRPr="00F22ACF" w:rsidRDefault="00255FE0" w:rsidP="00234194">
      <w:pPr>
        <w:jc w:val="both"/>
        <w:rPr>
          <w:rFonts w:ascii="Verdana" w:eastAsia="Times New Roman" w:hAnsi="Verdana"/>
          <w:sz w:val="22"/>
          <w:szCs w:val="22"/>
        </w:rPr>
      </w:pPr>
      <w:r w:rsidRPr="00F22ACF">
        <w:rPr>
          <w:rFonts w:ascii="Verdana" w:hAnsi="Verdana"/>
          <w:b/>
          <w:sz w:val="22"/>
          <w:szCs w:val="22"/>
        </w:rPr>
        <w:t>In 2017 March</w:t>
      </w:r>
      <w:r w:rsidR="00071F48" w:rsidRPr="00F22ACF">
        <w:rPr>
          <w:rFonts w:ascii="Verdana" w:hAnsi="Verdana"/>
          <w:b/>
          <w:sz w:val="22"/>
          <w:szCs w:val="22"/>
        </w:rPr>
        <w:t>,</w:t>
      </w:r>
      <w:r w:rsidRPr="00F22ACF">
        <w:rPr>
          <w:rFonts w:ascii="Verdana" w:hAnsi="Verdana"/>
          <w:sz w:val="22"/>
          <w:szCs w:val="22"/>
        </w:rPr>
        <w:t xml:space="preserve"> at the </w:t>
      </w:r>
      <w:r w:rsidRPr="0017223A">
        <w:rPr>
          <w:rFonts w:ascii="Verdana" w:hAnsi="Verdana"/>
          <w:b/>
          <w:sz w:val="22"/>
          <w:szCs w:val="22"/>
        </w:rPr>
        <w:t>fifth meeting of the IAEG-SDGs in Ottawa</w:t>
      </w:r>
      <w:r w:rsidRPr="00F22ACF">
        <w:rPr>
          <w:rFonts w:ascii="Verdana" w:hAnsi="Verdana"/>
          <w:sz w:val="22"/>
          <w:szCs w:val="22"/>
        </w:rPr>
        <w:t>, Canada</w:t>
      </w:r>
      <w:r w:rsidR="00602443" w:rsidRPr="00F22ACF">
        <w:rPr>
          <w:rFonts w:ascii="Verdana" w:hAnsi="Verdana"/>
          <w:sz w:val="22"/>
          <w:szCs w:val="22"/>
        </w:rPr>
        <w:t xml:space="preserve"> a joint statement by </w:t>
      </w:r>
      <w:r w:rsidR="00343CC0" w:rsidRPr="00F22ACF">
        <w:rPr>
          <w:rFonts w:ascii="Verdana" w:hAnsi="Verdana"/>
          <w:sz w:val="22"/>
          <w:szCs w:val="22"/>
        </w:rPr>
        <w:t xml:space="preserve">the UK </w:t>
      </w:r>
      <w:r w:rsidR="00343CC0" w:rsidRPr="00F22ACF">
        <w:rPr>
          <w:rStyle w:val="st"/>
          <w:rFonts w:ascii="Verdana" w:eastAsia="Times New Roman" w:hAnsi="Verdana"/>
          <w:sz w:val="22"/>
          <w:szCs w:val="22"/>
        </w:rPr>
        <w:t>Department for International Development</w:t>
      </w:r>
      <w:r w:rsidR="001A3FED" w:rsidRPr="00F22ACF">
        <w:rPr>
          <w:rFonts w:ascii="Verdana" w:hAnsi="Verdana"/>
          <w:sz w:val="22"/>
          <w:szCs w:val="22"/>
        </w:rPr>
        <w:t xml:space="preserve">, </w:t>
      </w:r>
      <w:r w:rsidR="00343CC0" w:rsidRPr="00F22ACF">
        <w:rPr>
          <w:rFonts w:ascii="Verdana" w:hAnsi="Verdana"/>
          <w:sz w:val="22"/>
          <w:szCs w:val="22"/>
        </w:rPr>
        <w:t xml:space="preserve">Australian </w:t>
      </w:r>
      <w:r w:rsidR="00343CC0" w:rsidRPr="00F22ACF">
        <w:rPr>
          <w:rStyle w:val="Emphasis"/>
          <w:rFonts w:ascii="Verdana" w:eastAsia="Times New Roman" w:hAnsi="Verdana"/>
          <w:i w:val="0"/>
          <w:sz w:val="22"/>
          <w:szCs w:val="22"/>
        </w:rPr>
        <w:t>Department of Foreign Affairs and Trade</w:t>
      </w:r>
      <w:r w:rsidR="001A3FED" w:rsidRPr="00F22ACF">
        <w:rPr>
          <w:rFonts w:ascii="Verdana" w:hAnsi="Verdana"/>
          <w:sz w:val="22"/>
          <w:szCs w:val="22"/>
        </w:rPr>
        <w:t xml:space="preserve">, </w:t>
      </w:r>
      <w:r w:rsidR="0017223A">
        <w:rPr>
          <w:rFonts w:ascii="Verdana" w:hAnsi="Verdana"/>
          <w:sz w:val="22"/>
          <w:szCs w:val="22"/>
        </w:rPr>
        <w:t xml:space="preserve">in addition 6 UN agencies as well as the </w:t>
      </w:r>
      <w:r w:rsidR="0017223A" w:rsidRPr="00F22ACF">
        <w:rPr>
          <w:rFonts w:ascii="Verdana" w:hAnsi="Verdana"/>
          <w:sz w:val="22"/>
          <w:szCs w:val="22"/>
        </w:rPr>
        <w:t xml:space="preserve"> </w:t>
      </w:r>
      <w:r w:rsidR="0017223A" w:rsidRPr="00F22ACF">
        <w:rPr>
          <w:rStyle w:val="Emphasis"/>
          <w:rFonts w:ascii="Verdana" w:eastAsia="Times New Roman" w:hAnsi="Verdana"/>
          <w:i w:val="0"/>
          <w:sz w:val="22"/>
          <w:szCs w:val="22"/>
        </w:rPr>
        <w:t>Special Rapporteur on the Rights of Persons with Disabilities</w:t>
      </w:r>
      <w:r w:rsidR="0017223A">
        <w:rPr>
          <w:rStyle w:val="Emphasis"/>
          <w:rFonts w:ascii="Verdana" w:eastAsia="Times New Roman" w:hAnsi="Verdana"/>
          <w:i w:val="0"/>
          <w:sz w:val="22"/>
          <w:szCs w:val="22"/>
        </w:rPr>
        <w:t>, the</w:t>
      </w:r>
      <w:r w:rsidR="0017223A" w:rsidRPr="00F22ACF">
        <w:rPr>
          <w:rFonts w:ascii="Verdana" w:hAnsi="Verdana"/>
          <w:sz w:val="22"/>
          <w:szCs w:val="22"/>
        </w:rPr>
        <w:t xml:space="preserve"> </w:t>
      </w:r>
      <w:r w:rsidR="00343CC0" w:rsidRPr="00F22ACF">
        <w:rPr>
          <w:rFonts w:ascii="Verdana" w:hAnsi="Verdana"/>
          <w:sz w:val="22"/>
          <w:szCs w:val="22"/>
        </w:rPr>
        <w:t>International Disability Alliance</w:t>
      </w:r>
      <w:r w:rsidR="0017223A">
        <w:rPr>
          <w:rFonts w:ascii="Verdana" w:hAnsi="Verdana"/>
          <w:sz w:val="22"/>
          <w:szCs w:val="22"/>
        </w:rPr>
        <w:t xml:space="preserve"> and the</w:t>
      </w:r>
      <w:r w:rsidR="001A3FED" w:rsidRPr="00F22ACF">
        <w:rPr>
          <w:rFonts w:ascii="Verdana" w:hAnsi="Verdana"/>
          <w:sz w:val="22"/>
          <w:szCs w:val="22"/>
        </w:rPr>
        <w:t xml:space="preserve"> </w:t>
      </w:r>
      <w:r w:rsidR="00343CC0" w:rsidRPr="00F22ACF">
        <w:rPr>
          <w:rFonts w:ascii="Verdana" w:hAnsi="Verdana"/>
          <w:sz w:val="22"/>
          <w:szCs w:val="22"/>
        </w:rPr>
        <w:t>International Disability and Development Consortium</w:t>
      </w:r>
      <w:r w:rsidR="0017223A">
        <w:rPr>
          <w:rFonts w:ascii="Verdana" w:hAnsi="Verdana"/>
          <w:sz w:val="22"/>
          <w:szCs w:val="22"/>
        </w:rPr>
        <w:t xml:space="preserve"> call</w:t>
      </w:r>
      <w:r w:rsidR="00602443" w:rsidRPr="00F22ACF">
        <w:rPr>
          <w:rFonts w:ascii="Verdana" w:hAnsi="Verdana"/>
          <w:sz w:val="22"/>
          <w:szCs w:val="22"/>
        </w:rPr>
        <w:t xml:space="preserve"> </w:t>
      </w:r>
      <w:r w:rsidR="00CC3C1F" w:rsidRPr="00F22ACF">
        <w:rPr>
          <w:rFonts w:ascii="Verdana" w:hAnsi="Verdana"/>
          <w:sz w:val="22"/>
          <w:szCs w:val="22"/>
        </w:rPr>
        <w:t>“</w:t>
      </w:r>
      <w:r w:rsidR="00602443" w:rsidRPr="00F22ACF">
        <w:rPr>
          <w:rFonts w:ascii="Verdana" w:hAnsi="Verdana"/>
          <w:sz w:val="22"/>
          <w:szCs w:val="22"/>
        </w:rPr>
        <w:t xml:space="preserve">for </w:t>
      </w:r>
      <w:r w:rsidR="00CC3C1F" w:rsidRPr="0017223A">
        <w:rPr>
          <w:rFonts w:ascii="Verdana" w:hAnsi="Verdana" w:cs="Arial"/>
          <w:color w:val="FF0000"/>
          <w:sz w:val="22"/>
          <w:szCs w:val="22"/>
          <w:lang w:val="en-GB"/>
        </w:rPr>
        <w:t xml:space="preserve">taking immediate action and clearly recommend national statistical offices to </w:t>
      </w:r>
      <w:r w:rsidR="00CC3C1F" w:rsidRPr="0017223A">
        <w:rPr>
          <w:rFonts w:ascii="Verdana" w:hAnsi="Verdana" w:cs="Arial"/>
          <w:color w:val="FF0000"/>
          <w:sz w:val="22"/>
          <w:szCs w:val="22"/>
          <w:lang w:val="en-GB"/>
        </w:rPr>
        <w:lastRenderedPageBreak/>
        <w:t>move forward with the disaggrega</w:t>
      </w:r>
      <w:r w:rsidR="00462EEF" w:rsidRPr="0017223A">
        <w:rPr>
          <w:rFonts w:ascii="Verdana" w:hAnsi="Verdana" w:cs="Arial"/>
          <w:color w:val="FF0000"/>
          <w:sz w:val="22"/>
          <w:szCs w:val="22"/>
          <w:lang w:val="en-GB"/>
        </w:rPr>
        <w:t>tion of data by disability</w:t>
      </w:r>
      <w:r w:rsidR="00462EEF" w:rsidRPr="00F22ACF">
        <w:rPr>
          <w:rFonts w:ascii="Verdana" w:hAnsi="Verdana" w:cs="Arial"/>
          <w:sz w:val="22"/>
          <w:szCs w:val="22"/>
          <w:lang w:val="en-GB"/>
        </w:rPr>
        <w:t>.” Additionally, sharing the</w:t>
      </w:r>
      <w:r w:rsidR="00CC3C1F" w:rsidRPr="00F22ACF">
        <w:rPr>
          <w:rFonts w:ascii="Verdana" w:hAnsi="Verdana" w:cs="Arial"/>
          <w:sz w:val="22"/>
          <w:szCs w:val="22"/>
          <w:lang w:val="en-GB"/>
        </w:rPr>
        <w:t xml:space="preserve"> “</w:t>
      </w:r>
      <w:r w:rsidR="00CC3C1F" w:rsidRPr="0017223A">
        <w:rPr>
          <w:rFonts w:ascii="Verdana" w:hAnsi="Verdana" w:cs="Arial"/>
          <w:color w:val="FF0000"/>
          <w:sz w:val="22"/>
          <w:szCs w:val="22"/>
          <w:lang w:val="en-GB"/>
        </w:rPr>
        <w:t>unanimous position</w:t>
      </w:r>
      <w:r w:rsidR="000345AA" w:rsidRPr="00F22ACF">
        <w:rPr>
          <w:rFonts w:ascii="Verdana" w:hAnsi="Verdana" w:cs="Arial"/>
          <w:sz w:val="22"/>
          <w:szCs w:val="22"/>
          <w:lang w:val="en-GB"/>
        </w:rPr>
        <w:t>…</w:t>
      </w:r>
      <w:r w:rsidR="00CC3C1F" w:rsidRPr="00F22ACF">
        <w:rPr>
          <w:rFonts w:ascii="Verdana" w:hAnsi="Verdana" w:cs="Arial"/>
          <w:sz w:val="22"/>
          <w:szCs w:val="22"/>
        </w:rPr>
        <w:t>we recommend the use of the short set of questions de</w:t>
      </w:r>
      <w:r w:rsidR="00D77C9B" w:rsidRPr="00F22ACF">
        <w:rPr>
          <w:rFonts w:ascii="Verdana" w:hAnsi="Verdana" w:cs="Arial"/>
          <w:sz w:val="22"/>
          <w:szCs w:val="22"/>
        </w:rPr>
        <w:t xml:space="preserve">veloped by the </w:t>
      </w:r>
      <w:r w:rsidR="00D77C9B" w:rsidRPr="0017223A">
        <w:rPr>
          <w:rFonts w:ascii="Verdana" w:hAnsi="Verdana" w:cs="Arial"/>
          <w:color w:val="FF0000"/>
          <w:sz w:val="22"/>
          <w:szCs w:val="22"/>
        </w:rPr>
        <w:t>Washington Group</w:t>
      </w:r>
      <w:r w:rsidR="00CC3C1F" w:rsidRPr="00F22ACF">
        <w:rPr>
          <w:rFonts w:ascii="Verdana" w:hAnsi="Verdana" w:cs="Arial"/>
          <w:sz w:val="22"/>
          <w:szCs w:val="22"/>
        </w:rPr>
        <w:t>.”</w:t>
      </w:r>
      <w:r w:rsidR="00CC3C1F" w:rsidRPr="00F22ACF">
        <w:rPr>
          <w:rFonts w:ascii="Verdana" w:hAnsi="Verdana" w:cs="Arial"/>
          <w:sz w:val="22"/>
          <w:szCs w:val="22"/>
          <w:lang w:val="en-GB"/>
        </w:rPr>
        <w:t xml:space="preserve"> </w:t>
      </w:r>
    </w:p>
    <w:p w14:paraId="616DF932" w14:textId="77777777" w:rsidR="007B7CC9" w:rsidRPr="00F22ACF" w:rsidRDefault="007B7CC9" w:rsidP="00234194">
      <w:pPr>
        <w:tabs>
          <w:tab w:val="num" w:pos="720"/>
        </w:tabs>
        <w:jc w:val="both"/>
        <w:rPr>
          <w:rFonts w:ascii="Verdana" w:hAnsi="Verdana" w:cs="Arial"/>
          <w:sz w:val="22"/>
          <w:szCs w:val="22"/>
          <w:lang w:val="en-GB"/>
        </w:rPr>
      </w:pPr>
    </w:p>
    <w:p w14:paraId="128B21AF" w14:textId="021D2E60" w:rsidR="00E811C1" w:rsidRDefault="007B7CC9" w:rsidP="00234194">
      <w:pPr>
        <w:tabs>
          <w:tab w:val="num" w:pos="720"/>
        </w:tabs>
        <w:jc w:val="both"/>
        <w:rPr>
          <w:rFonts w:ascii="Verdana" w:hAnsi="Verdana" w:cs="Arial"/>
          <w:sz w:val="22"/>
          <w:szCs w:val="22"/>
          <w:lang w:val="en-GB"/>
        </w:rPr>
      </w:pPr>
      <w:r w:rsidRPr="00F22ACF">
        <w:rPr>
          <w:rFonts w:ascii="Verdana" w:hAnsi="Verdana"/>
          <w:b/>
          <w:sz w:val="22"/>
          <w:szCs w:val="22"/>
        </w:rPr>
        <w:t>In 2017 March,</w:t>
      </w:r>
      <w:r w:rsidRPr="00F22ACF">
        <w:rPr>
          <w:rFonts w:ascii="Verdana" w:hAnsi="Verdana"/>
          <w:sz w:val="22"/>
          <w:szCs w:val="22"/>
        </w:rPr>
        <w:t xml:space="preserve"> at the </w:t>
      </w:r>
      <w:r w:rsidRPr="00F22ACF">
        <w:rPr>
          <w:rFonts w:ascii="Verdana" w:eastAsia="Times New Roman" w:hAnsi="Verdana"/>
          <w:sz w:val="22"/>
          <w:szCs w:val="22"/>
        </w:rPr>
        <w:t>48</w:t>
      </w:r>
      <w:r w:rsidRPr="00F22ACF">
        <w:rPr>
          <w:rFonts w:ascii="Verdana" w:eastAsia="Times New Roman" w:hAnsi="Verdana"/>
          <w:sz w:val="22"/>
          <w:szCs w:val="22"/>
          <w:vertAlign w:val="superscript"/>
        </w:rPr>
        <w:t>th</w:t>
      </w:r>
      <w:r w:rsidRPr="00F22ACF">
        <w:rPr>
          <w:rFonts w:ascii="Verdana" w:eastAsia="Times New Roman" w:hAnsi="Verdana"/>
          <w:sz w:val="22"/>
          <w:szCs w:val="22"/>
        </w:rPr>
        <w:t xml:space="preserve"> session of the </w:t>
      </w:r>
      <w:r w:rsidRPr="0017223A">
        <w:rPr>
          <w:rFonts w:ascii="Verdana" w:eastAsia="Times New Roman" w:hAnsi="Verdana"/>
          <w:b/>
          <w:sz w:val="22"/>
          <w:szCs w:val="22"/>
        </w:rPr>
        <w:t>UN Statistical Commission</w:t>
      </w:r>
      <w:r w:rsidR="00462EEF" w:rsidRPr="00F22ACF">
        <w:rPr>
          <w:rFonts w:ascii="Verdana" w:eastAsia="Times New Roman" w:hAnsi="Verdana"/>
          <w:sz w:val="22"/>
          <w:szCs w:val="22"/>
        </w:rPr>
        <w:t>,</w:t>
      </w:r>
      <w:r w:rsidR="00D77C9B" w:rsidRPr="00F22ACF">
        <w:rPr>
          <w:rFonts w:ascii="Verdana" w:hAnsi="Verdana" w:cs="Arial"/>
          <w:sz w:val="22"/>
          <w:szCs w:val="22"/>
          <w:lang w:val="en-GB"/>
        </w:rPr>
        <w:t xml:space="preserve"> </w:t>
      </w:r>
      <w:r w:rsidR="007C2959">
        <w:rPr>
          <w:rFonts w:ascii="Verdana" w:hAnsi="Verdana" w:cs="Arial"/>
          <w:color w:val="FF0000"/>
          <w:sz w:val="22"/>
          <w:szCs w:val="22"/>
          <w:lang w:val="en-GB"/>
        </w:rPr>
        <w:t>24</w:t>
      </w:r>
      <w:r w:rsidR="0087295E" w:rsidRPr="0017223A">
        <w:rPr>
          <w:rFonts w:ascii="Verdana" w:hAnsi="Verdana" w:cs="Arial"/>
          <w:color w:val="FF0000"/>
          <w:sz w:val="22"/>
          <w:szCs w:val="22"/>
          <w:lang w:val="en-GB"/>
        </w:rPr>
        <w:t xml:space="preserve"> Member States and groups</w:t>
      </w:r>
      <w:r w:rsidR="0071492E">
        <w:rPr>
          <w:rFonts w:ascii="Verdana" w:hAnsi="Verdana" w:cs="Arial"/>
          <w:color w:val="FF0000"/>
          <w:sz w:val="22"/>
          <w:szCs w:val="22"/>
          <w:lang w:val="en-GB"/>
        </w:rPr>
        <w:t xml:space="preserve"> </w:t>
      </w:r>
      <w:r w:rsidRPr="0017223A">
        <w:rPr>
          <w:rFonts w:ascii="Verdana" w:hAnsi="Verdana" w:cs="Arial"/>
          <w:color w:val="FF0000"/>
          <w:sz w:val="22"/>
          <w:szCs w:val="22"/>
          <w:lang w:val="en-GB"/>
        </w:rPr>
        <w:t xml:space="preserve">expressed support for disability statistics of which many explicitly referenced the </w:t>
      </w:r>
      <w:r w:rsidRPr="0017223A">
        <w:rPr>
          <w:rFonts w:ascii="Verdana" w:hAnsi="Verdana"/>
          <w:color w:val="FF0000"/>
          <w:sz w:val="22"/>
          <w:szCs w:val="22"/>
        </w:rPr>
        <w:t>Washington Group Short Set of Questions</w:t>
      </w:r>
      <w:r w:rsidRPr="00F22ACF">
        <w:rPr>
          <w:rFonts w:ascii="Verdana" w:hAnsi="Verdana" w:cs="Arial"/>
          <w:sz w:val="22"/>
          <w:szCs w:val="22"/>
          <w:lang w:val="en-GB"/>
        </w:rPr>
        <w:t xml:space="preserve">. </w:t>
      </w:r>
    </w:p>
    <w:p w14:paraId="2CF356AE" w14:textId="77777777" w:rsidR="008C27CD" w:rsidRDefault="008C27CD" w:rsidP="00234194">
      <w:pPr>
        <w:tabs>
          <w:tab w:val="num" w:pos="720"/>
        </w:tabs>
        <w:jc w:val="both"/>
        <w:rPr>
          <w:rFonts w:ascii="Verdana" w:hAnsi="Verdana" w:cs="Arial"/>
          <w:sz w:val="22"/>
          <w:szCs w:val="22"/>
          <w:lang w:val="en-GB"/>
        </w:rPr>
      </w:pPr>
    </w:p>
    <w:tbl>
      <w:tblPr>
        <w:tblStyle w:val="TableGrid"/>
        <w:tblW w:w="0" w:type="auto"/>
        <w:tblBorders>
          <w:insideH w:val="none" w:sz="0" w:space="0" w:color="auto"/>
          <w:insideV w:val="none" w:sz="0" w:space="0" w:color="auto"/>
        </w:tblBorders>
        <w:shd w:val="pct20" w:color="FFFF00" w:fill="auto"/>
        <w:tblLook w:val="04A0" w:firstRow="1" w:lastRow="0" w:firstColumn="1" w:lastColumn="0" w:noHBand="0" w:noVBand="1"/>
      </w:tblPr>
      <w:tblGrid>
        <w:gridCol w:w="9350"/>
      </w:tblGrid>
      <w:tr w:rsidR="002D1B92" w:rsidRPr="00AD6490" w14:paraId="161CB4F0" w14:textId="77777777" w:rsidTr="005A7090">
        <w:tc>
          <w:tcPr>
            <w:tcW w:w="9350" w:type="dxa"/>
            <w:shd w:val="pct20" w:color="FFFF00" w:fill="auto"/>
          </w:tcPr>
          <w:p w14:paraId="47863380" w14:textId="77777777" w:rsidR="002D1B92" w:rsidRPr="00AD6490" w:rsidRDefault="002D1B92" w:rsidP="005A7090">
            <w:pPr>
              <w:jc w:val="both"/>
              <w:rPr>
                <w:rFonts w:ascii="Verdana" w:hAnsi="Verdana"/>
                <w:color w:val="000000"/>
                <w:sz w:val="22"/>
                <w:szCs w:val="22"/>
              </w:rPr>
            </w:pPr>
          </w:p>
          <w:p w14:paraId="02728E25" w14:textId="77777777" w:rsidR="002D1B92" w:rsidRPr="00AD6490" w:rsidRDefault="002D1B92" w:rsidP="005A7090">
            <w:pPr>
              <w:jc w:val="both"/>
              <w:rPr>
                <w:rFonts w:ascii="Verdana" w:hAnsi="Verdana"/>
                <w:color w:val="000000"/>
                <w:sz w:val="22"/>
                <w:szCs w:val="22"/>
              </w:rPr>
            </w:pPr>
            <w:r w:rsidRPr="00AD6490">
              <w:rPr>
                <w:rFonts w:ascii="Verdana" w:hAnsi="Verdana"/>
                <w:color w:val="000000"/>
                <w:sz w:val="22"/>
                <w:szCs w:val="22"/>
              </w:rPr>
              <w:t xml:space="preserve">As of October 2017, </w:t>
            </w:r>
            <w:r>
              <w:rPr>
                <w:rFonts w:ascii="Verdana" w:hAnsi="Verdana"/>
                <w:color w:val="000000"/>
                <w:sz w:val="22"/>
                <w:szCs w:val="22"/>
              </w:rPr>
              <w:t>105</w:t>
            </w:r>
            <w:r w:rsidRPr="00AD6490">
              <w:rPr>
                <w:rFonts w:ascii="Verdana" w:hAnsi="Verdana"/>
                <w:color w:val="000000"/>
                <w:sz w:val="22"/>
                <w:szCs w:val="22"/>
              </w:rPr>
              <w:t xml:space="preserve"> Member States support the Short Set of Questions developed by the Washington Group on Disability Statistics. </w:t>
            </w:r>
          </w:p>
          <w:p w14:paraId="7FC3D058" w14:textId="77777777" w:rsidR="002D1B92" w:rsidRPr="00AD6490" w:rsidRDefault="002D1B92" w:rsidP="005A7090">
            <w:pPr>
              <w:jc w:val="both"/>
              <w:rPr>
                <w:rFonts w:ascii="Verdana" w:hAnsi="Verdana"/>
                <w:color w:val="000000"/>
                <w:sz w:val="22"/>
                <w:szCs w:val="22"/>
              </w:rPr>
            </w:pPr>
          </w:p>
        </w:tc>
      </w:tr>
    </w:tbl>
    <w:p w14:paraId="6656140E" w14:textId="77777777" w:rsidR="002D1B92" w:rsidRPr="00AD6490" w:rsidRDefault="002D1B92" w:rsidP="002D1B92">
      <w:pPr>
        <w:jc w:val="both"/>
        <w:rPr>
          <w:rFonts w:ascii="Verdana" w:hAnsi="Verdana"/>
          <w:color w:val="000000"/>
          <w:sz w:val="22"/>
          <w:szCs w:val="22"/>
        </w:rPr>
      </w:pPr>
    </w:p>
    <w:p w14:paraId="0F4C581F" w14:textId="77777777" w:rsidR="002D1B92" w:rsidRPr="00AD6490" w:rsidRDefault="002D1B92" w:rsidP="002D1B92">
      <w:pPr>
        <w:jc w:val="both"/>
        <w:rPr>
          <w:rFonts w:ascii="Verdana" w:hAnsi="Verdana"/>
          <w:color w:val="000000"/>
          <w:sz w:val="22"/>
          <w:szCs w:val="22"/>
        </w:rPr>
      </w:pPr>
      <w:r w:rsidRPr="00AD6490">
        <w:rPr>
          <w:rFonts w:ascii="Verdana" w:hAnsi="Verdana"/>
          <w:color w:val="000000"/>
          <w:sz w:val="22"/>
          <w:szCs w:val="22"/>
        </w:rPr>
        <w:t xml:space="preserve">Member States that support the Short Set of Questions developed by the Washington Group include: </w:t>
      </w:r>
    </w:p>
    <w:p w14:paraId="7EDD5A7A" w14:textId="77777777" w:rsidR="002D1B92" w:rsidRPr="00AD6490" w:rsidRDefault="002D1B92" w:rsidP="002D1B92">
      <w:pPr>
        <w:jc w:val="both"/>
        <w:rPr>
          <w:rFonts w:ascii="Verdana" w:hAnsi="Verdana"/>
          <w:color w:val="000000"/>
          <w:sz w:val="22"/>
          <w:szCs w:val="22"/>
        </w:rPr>
      </w:pPr>
    </w:p>
    <w:p w14:paraId="0CE4E386" w14:textId="2729D6B1" w:rsidR="002D1B92" w:rsidRPr="00AD6490" w:rsidRDefault="002D1B92" w:rsidP="002D1B92">
      <w:pPr>
        <w:jc w:val="both"/>
        <w:rPr>
          <w:rFonts w:ascii="Verdana" w:hAnsi="Verdana"/>
          <w:color w:val="000000"/>
          <w:sz w:val="22"/>
          <w:szCs w:val="22"/>
        </w:rPr>
      </w:pPr>
      <w:r>
        <w:rPr>
          <w:rFonts w:ascii="Verdana" w:hAnsi="Verdana"/>
          <w:color w:val="000000"/>
          <w:sz w:val="22"/>
          <w:szCs w:val="22"/>
        </w:rPr>
        <w:t xml:space="preserve">Afghanistan, </w:t>
      </w:r>
      <w:r w:rsidRPr="00AD6490">
        <w:rPr>
          <w:rFonts w:ascii="Verdana" w:hAnsi="Verdana"/>
          <w:color w:val="000000"/>
          <w:sz w:val="22"/>
          <w:szCs w:val="22"/>
        </w:rPr>
        <w:t xml:space="preserve">Antigua and Barbuda, Argentina, </w:t>
      </w:r>
      <w:r>
        <w:rPr>
          <w:rFonts w:ascii="Verdana" w:hAnsi="Verdana"/>
          <w:color w:val="000000"/>
          <w:sz w:val="22"/>
          <w:szCs w:val="22"/>
        </w:rPr>
        <w:t xml:space="preserve">Armenia, Aruba, </w:t>
      </w:r>
      <w:r w:rsidRPr="00AD6490">
        <w:rPr>
          <w:rFonts w:ascii="Verdana" w:hAnsi="Verdana"/>
          <w:color w:val="000000"/>
          <w:sz w:val="22"/>
          <w:szCs w:val="22"/>
        </w:rPr>
        <w:t>Australia, Austria,</w:t>
      </w:r>
      <w:r>
        <w:rPr>
          <w:rFonts w:ascii="Verdana" w:hAnsi="Verdana"/>
          <w:color w:val="000000"/>
          <w:sz w:val="22"/>
          <w:szCs w:val="22"/>
        </w:rPr>
        <w:t xml:space="preserve"> Bangladesh,</w:t>
      </w:r>
      <w:r w:rsidRPr="00AD6490">
        <w:rPr>
          <w:rFonts w:ascii="Verdana" w:hAnsi="Verdana"/>
          <w:color w:val="000000"/>
          <w:sz w:val="22"/>
          <w:szCs w:val="22"/>
        </w:rPr>
        <w:t xml:space="preserve"> </w:t>
      </w:r>
      <w:r w:rsidRPr="00AD6490">
        <w:rPr>
          <w:rFonts w:ascii="Verdana" w:eastAsia="Times New Roman" w:hAnsi="Verdana"/>
          <w:sz w:val="22"/>
          <w:szCs w:val="22"/>
        </w:rPr>
        <w:t>Bahamas</w:t>
      </w:r>
      <w:r w:rsidRPr="00AD6490">
        <w:rPr>
          <w:rFonts w:ascii="Verdana" w:hAnsi="Verdana"/>
          <w:color w:val="000000"/>
          <w:sz w:val="22"/>
          <w:szCs w:val="22"/>
        </w:rPr>
        <w:t>,</w:t>
      </w:r>
      <w:r w:rsidRPr="00AD6490">
        <w:rPr>
          <w:rFonts w:ascii="Verdana" w:eastAsia="Times New Roman" w:hAnsi="Verdana"/>
          <w:sz w:val="22"/>
          <w:szCs w:val="22"/>
        </w:rPr>
        <w:t xml:space="preserve"> Barbados,</w:t>
      </w:r>
      <w:r w:rsidRPr="00AD6490">
        <w:rPr>
          <w:rFonts w:ascii="Verdana" w:hAnsi="Verdana"/>
          <w:color w:val="000000"/>
          <w:sz w:val="22"/>
          <w:szCs w:val="22"/>
        </w:rPr>
        <w:t xml:space="preserve"> Belize,</w:t>
      </w:r>
      <w:r>
        <w:rPr>
          <w:rFonts w:ascii="Verdana" w:hAnsi="Verdana"/>
          <w:color w:val="000000"/>
          <w:sz w:val="22"/>
          <w:szCs w:val="22"/>
        </w:rPr>
        <w:t xml:space="preserve"> Bermuda,</w:t>
      </w:r>
      <w:r w:rsidRPr="00AD6490">
        <w:rPr>
          <w:rFonts w:ascii="Verdana" w:hAnsi="Verdana"/>
          <w:color w:val="000000"/>
          <w:sz w:val="22"/>
          <w:szCs w:val="22"/>
        </w:rPr>
        <w:t xml:space="preserve"> </w:t>
      </w:r>
      <w:r>
        <w:rPr>
          <w:rFonts w:ascii="Verdana" w:hAnsi="Verdana"/>
          <w:color w:val="000000"/>
          <w:sz w:val="22"/>
          <w:szCs w:val="22"/>
        </w:rPr>
        <w:t xml:space="preserve">Bosnia &amp; Herzegovina, Botswana, </w:t>
      </w:r>
      <w:r w:rsidRPr="00AD6490">
        <w:rPr>
          <w:rFonts w:ascii="Verdana" w:hAnsi="Verdana"/>
          <w:color w:val="000000"/>
          <w:sz w:val="22"/>
          <w:szCs w:val="22"/>
        </w:rPr>
        <w:t>Brazil, Bulgaria,</w:t>
      </w:r>
      <w:r>
        <w:rPr>
          <w:rFonts w:ascii="Verdana" w:hAnsi="Verdana"/>
          <w:color w:val="000000"/>
          <w:sz w:val="22"/>
          <w:szCs w:val="22"/>
        </w:rPr>
        <w:t xml:space="preserve"> Burundi, Cambodia,</w:t>
      </w:r>
      <w:r w:rsidRPr="00AD6490">
        <w:rPr>
          <w:rFonts w:ascii="Verdana" w:hAnsi="Verdana"/>
          <w:color w:val="000000"/>
          <w:sz w:val="22"/>
          <w:szCs w:val="22"/>
        </w:rPr>
        <w:t xml:space="preserve"> Canada, </w:t>
      </w:r>
      <w:r>
        <w:rPr>
          <w:rFonts w:ascii="Verdana" w:hAnsi="Verdana"/>
          <w:color w:val="000000"/>
          <w:sz w:val="22"/>
          <w:szCs w:val="22"/>
        </w:rPr>
        <w:t xml:space="preserve">Chad, China, China (Hong Kong SAR), </w:t>
      </w:r>
      <w:r w:rsidRPr="00AD6490">
        <w:rPr>
          <w:rFonts w:ascii="Verdana" w:hAnsi="Verdana"/>
          <w:color w:val="000000"/>
          <w:sz w:val="22"/>
          <w:szCs w:val="22"/>
        </w:rPr>
        <w:t xml:space="preserve">Costa Rica, </w:t>
      </w:r>
      <w:r>
        <w:rPr>
          <w:rFonts w:ascii="Verdana" w:hAnsi="Verdana"/>
          <w:color w:val="000000"/>
          <w:sz w:val="22"/>
          <w:szCs w:val="22"/>
        </w:rPr>
        <w:t>Croatia, Democratic Republic of the Congo</w:t>
      </w:r>
      <w:r>
        <w:rPr>
          <w:rFonts w:ascii="Verdana" w:eastAsia="Times New Roman" w:hAnsi="Verdana"/>
          <w:sz w:val="22"/>
          <w:szCs w:val="22"/>
        </w:rPr>
        <w:t xml:space="preserve">, </w:t>
      </w:r>
      <w:r w:rsidRPr="00AD6490">
        <w:rPr>
          <w:rFonts w:ascii="Verdana" w:eastAsia="Times New Roman" w:hAnsi="Verdana"/>
          <w:sz w:val="22"/>
          <w:szCs w:val="22"/>
        </w:rPr>
        <w:t>Dominica</w:t>
      </w:r>
      <w:r w:rsidRPr="00AD6490">
        <w:rPr>
          <w:rFonts w:ascii="Verdana" w:hAnsi="Verdana"/>
          <w:color w:val="000000"/>
          <w:sz w:val="22"/>
          <w:szCs w:val="22"/>
        </w:rPr>
        <w:t>, Dominican Republic, Egypt,</w:t>
      </w:r>
      <w:r>
        <w:rPr>
          <w:rFonts w:ascii="Verdana" w:hAnsi="Verdana"/>
          <w:color w:val="000000"/>
          <w:sz w:val="22"/>
          <w:szCs w:val="22"/>
        </w:rPr>
        <w:t xml:space="preserve"> Estonia, Fiji,</w:t>
      </w:r>
      <w:r w:rsidRPr="00AD6490">
        <w:rPr>
          <w:rFonts w:ascii="Verdana" w:hAnsi="Verdana"/>
          <w:color w:val="000000"/>
          <w:sz w:val="22"/>
          <w:szCs w:val="22"/>
        </w:rPr>
        <w:t xml:space="preserve"> Finland,</w:t>
      </w:r>
      <w:r>
        <w:rPr>
          <w:rFonts w:ascii="Verdana" w:hAnsi="Verdana"/>
          <w:color w:val="000000"/>
          <w:sz w:val="22"/>
          <w:szCs w:val="22"/>
        </w:rPr>
        <w:t xml:space="preserve"> France,</w:t>
      </w:r>
      <w:r w:rsidRPr="00AD6490">
        <w:rPr>
          <w:rFonts w:ascii="Verdana" w:hAnsi="Verdana"/>
          <w:color w:val="000000"/>
          <w:sz w:val="22"/>
          <w:szCs w:val="22"/>
        </w:rPr>
        <w:t xml:space="preserve"> Germany, Grenada, </w:t>
      </w:r>
      <w:r w:rsidRPr="00AD6490">
        <w:rPr>
          <w:rFonts w:ascii="Verdana" w:eastAsia="Times New Roman" w:hAnsi="Verdana"/>
          <w:sz w:val="22"/>
          <w:szCs w:val="22"/>
        </w:rPr>
        <w:t>Guyana</w:t>
      </w:r>
      <w:r w:rsidRPr="00AD6490">
        <w:rPr>
          <w:rFonts w:ascii="Verdana" w:hAnsi="Verdana"/>
          <w:color w:val="000000"/>
          <w:sz w:val="22"/>
          <w:szCs w:val="22"/>
        </w:rPr>
        <w:t xml:space="preserve">, Haiti, Iceland, </w:t>
      </w:r>
      <w:r>
        <w:rPr>
          <w:rFonts w:ascii="Verdana" w:hAnsi="Verdana"/>
          <w:color w:val="000000"/>
          <w:sz w:val="22"/>
          <w:szCs w:val="22"/>
        </w:rPr>
        <w:t xml:space="preserve">India, Iran, Iraq, Ireland, Israel, </w:t>
      </w:r>
      <w:r w:rsidRPr="00AD6490">
        <w:rPr>
          <w:rFonts w:ascii="Verdana" w:hAnsi="Verdana"/>
          <w:color w:val="000000"/>
          <w:sz w:val="22"/>
          <w:szCs w:val="22"/>
        </w:rPr>
        <w:t>Italy</w:t>
      </w:r>
      <w:r>
        <w:rPr>
          <w:rFonts w:ascii="Verdana" w:hAnsi="Verdana"/>
          <w:color w:val="000000"/>
          <w:sz w:val="22"/>
          <w:szCs w:val="22"/>
        </w:rPr>
        <w:t>,</w:t>
      </w:r>
      <w:r w:rsidRPr="00AD6490">
        <w:rPr>
          <w:rFonts w:ascii="Verdana" w:hAnsi="Verdana"/>
          <w:color w:val="000000"/>
          <w:sz w:val="22"/>
          <w:szCs w:val="22"/>
        </w:rPr>
        <w:t xml:space="preserve"> </w:t>
      </w:r>
      <w:r>
        <w:rPr>
          <w:rFonts w:ascii="Verdana" w:hAnsi="Verdana"/>
          <w:color w:val="000000"/>
          <w:sz w:val="22"/>
          <w:szCs w:val="22"/>
        </w:rPr>
        <w:t xml:space="preserve">Ivory Coast, </w:t>
      </w:r>
      <w:r w:rsidRPr="00AD6490">
        <w:rPr>
          <w:rFonts w:ascii="Verdana" w:hAnsi="Verdana"/>
          <w:color w:val="000000"/>
          <w:sz w:val="22"/>
          <w:szCs w:val="22"/>
        </w:rPr>
        <w:t xml:space="preserve">Jamaica, </w:t>
      </w:r>
      <w:r>
        <w:rPr>
          <w:rFonts w:ascii="Verdana" w:hAnsi="Verdana"/>
          <w:color w:val="000000"/>
          <w:sz w:val="22"/>
          <w:szCs w:val="22"/>
        </w:rPr>
        <w:t xml:space="preserve">Japan, </w:t>
      </w:r>
      <w:r w:rsidRPr="00AD6490">
        <w:rPr>
          <w:rFonts w:ascii="Verdana" w:hAnsi="Verdana"/>
          <w:color w:val="000000"/>
          <w:sz w:val="22"/>
          <w:szCs w:val="22"/>
        </w:rPr>
        <w:t xml:space="preserve">Jordan, </w:t>
      </w:r>
      <w:r>
        <w:rPr>
          <w:rFonts w:ascii="Verdana" w:hAnsi="Verdana"/>
          <w:color w:val="000000"/>
          <w:sz w:val="22"/>
          <w:szCs w:val="22"/>
        </w:rPr>
        <w:t xml:space="preserve">Kazakhstan, Kenya, Kosovo, Latvia, </w:t>
      </w:r>
      <w:r w:rsidRPr="00AD6490">
        <w:rPr>
          <w:rFonts w:ascii="Verdana" w:eastAsia="Times New Roman" w:hAnsi="Verdana"/>
          <w:sz w:val="22"/>
          <w:szCs w:val="22"/>
        </w:rPr>
        <w:t>Lebanon,</w:t>
      </w:r>
      <w:r>
        <w:rPr>
          <w:rFonts w:ascii="Verdana" w:eastAsia="Times New Roman" w:hAnsi="Verdana"/>
          <w:sz w:val="22"/>
          <w:szCs w:val="22"/>
        </w:rPr>
        <w:t xml:space="preserve"> Lesotho,</w:t>
      </w:r>
      <w:r w:rsidRPr="00AD6490">
        <w:rPr>
          <w:rFonts w:ascii="Verdana" w:hAnsi="Verdana"/>
          <w:color w:val="000000"/>
          <w:sz w:val="22"/>
          <w:szCs w:val="22"/>
        </w:rPr>
        <w:t xml:space="preserve"> </w:t>
      </w:r>
      <w:r>
        <w:rPr>
          <w:rFonts w:ascii="Verdana" w:hAnsi="Verdana"/>
          <w:color w:val="000000"/>
          <w:sz w:val="22"/>
          <w:szCs w:val="22"/>
        </w:rPr>
        <w:t xml:space="preserve">Malawi, Malta, </w:t>
      </w:r>
      <w:r w:rsidRPr="00AD6490">
        <w:rPr>
          <w:rFonts w:ascii="Verdana" w:hAnsi="Verdana"/>
          <w:color w:val="000000"/>
          <w:sz w:val="22"/>
          <w:szCs w:val="22"/>
        </w:rPr>
        <w:t xml:space="preserve">Mexico, </w:t>
      </w:r>
      <w:r>
        <w:rPr>
          <w:rFonts w:ascii="Verdana" w:hAnsi="Verdana"/>
          <w:color w:val="000000"/>
          <w:sz w:val="22"/>
          <w:szCs w:val="22"/>
        </w:rPr>
        <w:t xml:space="preserve">Moldova, Mongolia, Montenegro, </w:t>
      </w:r>
      <w:r w:rsidRPr="00AD6490">
        <w:rPr>
          <w:rFonts w:ascii="Verdana" w:eastAsia="Times New Roman" w:hAnsi="Verdana"/>
          <w:sz w:val="22"/>
          <w:szCs w:val="22"/>
        </w:rPr>
        <w:t>Montserrat</w:t>
      </w:r>
      <w:r w:rsidRPr="00AD6490">
        <w:rPr>
          <w:rFonts w:ascii="Verdana" w:hAnsi="Verdana"/>
          <w:color w:val="000000"/>
          <w:sz w:val="22"/>
          <w:szCs w:val="22"/>
        </w:rPr>
        <w:t>, Morocco,</w:t>
      </w:r>
      <w:r>
        <w:rPr>
          <w:rFonts w:ascii="Verdana" w:hAnsi="Verdana"/>
          <w:color w:val="000000"/>
          <w:sz w:val="22"/>
          <w:szCs w:val="22"/>
        </w:rPr>
        <w:t xml:space="preserve"> Mozambique, Namibia, Nepal, Netherlands, Netherlands Antilles,</w:t>
      </w:r>
      <w:r w:rsidRPr="00AD6490">
        <w:rPr>
          <w:rFonts w:ascii="Verdana" w:hAnsi="Verdana"/>
          <w:color w:val="000000"/>
          <w:sz w:val="22"/>
          <w:szCs w:val="22"/>
        </w:rPr>
        <w:t xml:space="preserve"> New Zealand, Norway, Oman, </w:t>
      </w:r>
      <w:r>
        <w:rPr>
          <w:rFonts w:ascii="Verdana" w:hAnsi="Verdana"/>
          <w:color w:val="000000"/>
          <w:sz w:val="22"/>
          <w:szCs w:val="22"/>
        </w:rPr>
        <w:t xml:space="preserve">Pakistan, </w:t>
      </w:r>
      <w:r w:rsidRPr="00AD6490">
        <w:rPr>
          <w:rFonts w:ascii="Verdana" w:hAnsi="Verdana"/>
          <w:color w:val="000000"/>
          <w:sz w:val="22"/>
          <w:szCs w:val="22"/>
        </w:rPr>
        <w:t xml:space="preserve">Panama, </w:t>
      </w:r>
      <w:r>
        <w:rPr>
          <w:rFonts w:ascii="Verdana" w:hAnsi="Verdana"/>
          <w:color w:val="000000"/>
          <w:sz w:val="22"/>
          <w:szCs w:val="22"/>
        </w:rPr>
        <w:t xml:space="preserve">Paraguay, Peru, Philippines, </w:t>
      </w:r>
      <w:r w:rsidRPr="00AD6490">
        <w:rPr>
          <w:rFonts w:ascii="Verdana" w:hAnsi="Verdana"/>
          <w:color w:val="000000"/>
          <w:sz w:val="22"/>
          <w:szCs w:val="22"/>
        </w:rPr>
        <w:t>Poland, Qatar,</w:t>
      </w:r>
      <w:r>
        <w:rPr>
          <w:rFonts w:ascii="Verdana" w:hAnsi="Verdana"/>
          <w:color w:val="000000"/>
          <w:sz w:val="22"/>
          <w:szCs w:val="22"/>
        </w:rPr>
        <w:t xml:space="preserve"> Romania, Rwanda,</w:t>
      </w:r>
      <w:r w:rsidRPr="00AD6490">
        <w:rPr>
          <w:rFonts w:ascii="Verdana" w:hAnsi="Verdana"/>
          <w:color w:val="000000"/>
          <w:sz w:val="22"/>
          <w:szCs w:val="22"/>
        </w:rPr>
        <w:t xml:space="preserve"> </w:t>
      </w:r>
      <w:r w:rsidRPr="00AD6490">
        <w:rPr>
          <w:rFonts w:ascii="Verdana" w:eastAsia="Times New Roman" w:hAnsi="Verdana"/>
          <w:sz w:val="22"/>
          <w:szCs w:val="22"/>
        </w:rPr>
        <w:t>Saint Lucia</w:t>
      </w:r>
      <w:r w:rsidRPr="00AD6490">
        <w:rPr>
          <w:rFonts w:ascii="Verdana" w:hAnsi="Verdana"/>
          <w:color w:val="000000"/>
          <w:sz w:val="22"/>
          <w:szCs w:val="22"/>
        </w:rPr>
        <w:t>,</w:t>
      </w:r>
      <w:r>
        <w:rPr>
          <w:rFonts w:ascii="Verdana" w:hAnsi="Verdana"/>
          <w:color w:val="000000"/>
          <w:sz w:val="22"/>
          <w:szCs w:val="22"/>
        </w:rPr>
        <w:t xml:space="preserve"> Samoa,</w:t>
      </w:r>
      <w:r w:rsidRPr="00AD6490">
        <w:rPr>
          <w:rFonts w:ascii="Verdana" w:hAnsi="Verdana"/>
          <w:color w:val="000000"/>
          <w:sz w:val="22"/>
          <w:szCs w:val="22"/>
        </w:rPr>
        <w:t xml:space="preserve"> </w:t>
      </w:r>
      <w:r w:rsidRPr="00AD6490">
        <w:rPr>
          <w:rFonts w:ascii="Verdana" w:eastAsia="Times New Roman" w:hAnsi="Verdana"/>
          <w:sz w:val="22"/>
          <w:szCs w:val="22"/>
        </w:rPr>
        <w:t xml:space="preserve">St. Kitts and Nevis, </w:t>
      </w:r>
      <w:r>
        <w:rPr>
          <w:rFonts w:ascii="Verdana" w:eastAsia="Times New Roman" w:hAnsi="Verdana"/>
          <w:sz w:val="22"/>
          <w:szCs w:val="22"/>
        </w:rPr>
        <w:t xml:space="preserve">St. Maarten, </w:t>
      </w:r>
      <w:r w:rsidRPr="00AD6490">
        <w:rPr>
          <w:rFonts w:ascii="Verdana" w:eastAsia="Times New Roman" w:hAnsi="Verdana"/>
          <w:sz w:val="22"/>
          <w:szCs w:val="22"/>
        </w:rPr>
        <w:t xml:space="preserve">St. Vincent and the Grenadine, Saudi Arabia, </w:t>
      </w:r>
      <w:r>
        <w:rPr>
          <w:rFonts w:ascii="Verdana" w:eastAsia="Times New Roman" w:hAnsi="Verdana"/>
          <w:sz w:val="22"/>
          <w:szCs w:val="22"/>
        </w:rPr>
        <w:t xml:space="preserve">Serbia, Sierra Leone, South Africa, </w:t>
      </w:r>
      <w:r w:rsidRPr="00AD6490">
        <w:rPr>
          <w:rFonts w:ascii="Verdana" w:hAnsi="Verdana"/>
          <w:color w:val="000000"/>
          <w:sz w:val="22"/>
          <w:szCs w:val="22"/>
        </w:rPr>
        <w:t>Spain</w:t>
      </w:r>
      <w:r>
        <w:rPr>
          <w:rFonts w:ascii="Verdana" w:eastAsia="Times New Roman" w:hAnsi="Verdana"/>
          <w:sz w:val="22"/>
          <w:szCs w:val="22"/>
        </w:rPr>
        <w:t xml:space="preserve">, Sri Lanka, </w:t>
      </w:r>
      <w:r w:rsidRPr="00AD6490">
        <w:rPr>
          <w:rFonts w:ascii="Verdana" w:hAnsi="Verdana"/>
          <w:color w:val="000000"/>
          <w:sz w:val="22"/>
          <w:szCs w:val="22"/>
        </w:rPr>
        <w:t>State of Palestine</w:t>
      </w:r>
      <w:r>
        <w:rPr>
          <w:rFonts w:ascii="Verdana" w:eastAsia="Times New Roman" w:hAnsi="Verdana"/>
          <w:sz w:val="22"/>
          <w:szCs w:val="22"/>
        </w:rPr>
        <w:t xml:space="preserve">, Sudan, </w:t>
      </w:r>
      <w:r w:rsidRPr="00AD6490">
        <w:rPr>
          <w:rFonts w:ascii="Verdana" w:eastAsia="Times New Roman" w:hAnsi="Verdana"/>
          <w:sz w:val="22"/>
          <w:szCs w:val="22"/>
        </w:rPr>
        <w:t xml:space="preserve">Suriname, </w:t>
      </w:r>
      <w:r>
        <w:rPr>
          <w:rFonts w:ascii="Verdana" w:eastAsia="Times New Roman" w:hAnsi="Verdana"/>
          <w:sz w:val="22"/>
          <w:szCs w:val="22"/>
        </w:rPr>
        <w:t>Swaziland</w:t>
      </w:r>
      <w:r w:rsidRPr="00AD6490">
        <w:rPr>
          <w:rFonts w:ascii="Verdana" w:hAnsi="Verdana"/>
          <w:color w:val="000000"/>
          <w:sz w:val="22"/>
          <w:szCs w:val="22"/>
        </w:rPr>
        <w:t xml:space="preserve">, </w:t>
      </w:r>
      <w:r>
        <w:rPr>
          <w:rFonts w:ascii="Verdana" w:hAnsi="Verdana"/>
          <w:color w:val="000000"/>
          <w:sz w:val="22"/>
          <w:szCs w:val="22"/>
        </w:rPr>
        <w:t xml:space="preserve">Tanzania, Taiwan, Thailand, </w:t>
      </w:r>
      <w:r w:rsidRPr="00AD6490">
        <w:rPr>
          <w:rFonts w:ascii="Verdana" w:eastAsia="Times New Roman" w:hAnsi="Verdana"/>
          <w:sz w:val="22"/>
          <w:szCs w:val="22"/>
        </w:rPr>
        <w:t>Trinidad and Tobago</w:t>
      </w:r>
      <w:r>
        <w:rPr>
          <w:rFonts w:ascii="Verdana" w:hAnsi="Verdana"/>
          <w:sz w:val="22"/>
          <w:szCs w:val="22"/>
        </w:rPr>
        <w:t>,</w:t>
      </w:r>
      <w:r w:rsidRPr="00AD6490">
        <w:rPr>
          <w:rFonts w:ascii="Verdana" w:hAnsi="Verdana"/>
          <w:b/>
          <w:sz w:val="22"/>
          <w:szCs w:val="22"/>
        </w:rPr>
        <w:t xml:space="preserve"> </w:t>
      </w:r>
      <w:r w:rsidRPr="00AD6490">
        <w:rPr>
          <w:rFonts w:ascii="Verdana" w:hAnsi="Verdana"/>
          <w:color w:val="000000"/>
          <w:sz w:val="22"/>
          <w:szCs w:val="22"/>
        </w:rPr>
        <w:t xml:space="preserve">Tunisia, Turkey, </w:t>
      </w:r>
      <w:r>
        <w:rPr>
          <w:rFonts w:ascii="Verdana" w:hAnsi="Verdana"/>
          <w:color w:val="000000"/>
          <w:sz w:val="22"/>
          <w:szCs w:val="22"/>
        </w:rPr>
        <w:t xml:space="preserve">Uganda, </w:t>
      </w:r>
      <w:r w:rsidRPr="00AD6490">
        <w:rPr>
          <w:rFonts w:ascii="Verdana" w:eastAsia="Times New Roman" w:hAnsi="Verdana"/>
          <w:sz w:val="22"/>
          <w:szCs w:val="22"/>
        </w:rPr>
        <w:t>United Arab Emirates</w:t>
      </w:r>
      <w:r w:rsidRPr="00AD6490">
        <w:rPr>
          <w:rFonts w:ascii="Verdana" w:hAnsi="Verdana"/>
          <w:color w:val="000000"/>
          <w:sz w:val="22"/>
          <w:szCs w:val="22"/>
        </w:rPr>
        <w:t>, United Kingdom, United States, Yemen, and Zambia.</w:t>
      </w:r>
    </w:p>
    <w:p w14:paraId="43F9400E" w14:textId="77777777" w:rsidR="002D1B92" w:rsidRPr="00AD6490" w:rsidRDefault="002D1B92" w:rsidP="002D1B92">
      <w:pPr>
        <w:jc w:val="both"/>
        <w:rPr>
          <w:rFonts w:ascii="Verdana" w:hAnsi="Verdana"/>
          <w:color w:val="000000"/>
          <w:sz w:val="22"/>
          <w:szCs w:val="22"/>
        </w:rPr>
      </w:pPr>
    </w:p>
    <w:p w14:paraId="4C1B31A7" w14:textId="77777777" w:rsidR="002D1B92" w:rsidRPr="00AD6490" w:rsidRDefault="002D1B92" w:rsidP="002D1B92">
      <w:pPr>
        <w:jc w:val="both"/>
        <w:rPr>
          <w:rFonts w:ascii="Verdana" w:eastAsia="Times New Roman" w:hAnsi="Verdana"/>
          <w:sz w:val="22"/>
          <w:szCs w:val="22"/>
        </w:rPr>
      </w:pPr>
      <w:r w:rsidRPr="00AD6490">
        <w:rPr>
          <w:rFonts w:ascii="Verdana" w:hAnsi="Verdana"/>
          <w:sz w:val="22"/>
          <w:szCs w:val="22"/>
        </w:rPr>
        <w:t>The listed countries support the Short Set of Questions by</w:t>
      </w:r>
      <w:r>
        <w:rPr>
          <w:rFonts w:ascii="Verdana" w:hAnsi="Verdana"/>
          <w:sz w:val="22"/>
          <w:szCs w:val="22"/>
        </w:rPr>
        <w:t>: (1)</w:t>
      </w:r>
      <w:r w:rsidRPr="00AD6490">
        <w:rPr>
          <w:rFonts w:ascii="Verdana" w:hAnsi="Verdana"/>
          <w:sz w:val="22"/>
          <w:szCs w:val="22"/>
        </w:rPr>
        <w:t xml:space="preserve"> </w:t>
      </w:r>
      <w:r>
        <w:rPr>
          <w:rFonts w:ascii="Verdana" w:hAnsi="Verdana"/>
          <w:sz w:val="22"/>
          <w:szCs w:val="22"/>
        </w:rPr>
        <w:t>explicit</w:t>
      </w:r>
      <w:r w:rsidRPr="00AD6490">
        <w:rPr>
          <w:rFonts w:ascii="Verdana" w:hAnsi="Verdana"/>
          <w:sz w:val="22"/>
          <w:szCs w:val="22"/>
        </w:rPr>
        <w:t xml:space="preserve"> support during the </w:t>
      </w:r>
      <w:r w:rsidRPr="00AD6490">
        <w:rPr>
          <w:rFonts w:ascii="Verdana" w:hAnsi="Verdana"/>
          <w:color w:val="000000" w:themeColor="text1"/>
          <w:sz w:val="22"/>
          <w:szCs w:val="22"/>
        </w:rPr>
        <w:t>Conference of States Parties to the Convention on the Rights of Persons with Disabilities</w:t>
      </w:r>
      <w:r w:rsidRPr="00AD6490">
        <w:rPr>
          <w:rFonts w:ascii="Verdana" w:hAnsi="Verdana"/>
          <w:sz w:val="22"/>
          <w:szCs w:val="22"/>
        </w:rPr>
        <w:t xml:space="preserve"> at the UN Headquarters in June 2017, </w:t>
      </w:r>
      <w:r>
        <w:rPr>
          <w:rFonts w:ascii="Verdana" w:hAnsi="Verdana"/>
          <w:sz w:val="22"/>
          <w:szCs w:val="22"/>
        </w:rPr>
        <w:t xml:space="preserve">(2) explicit support </w:t>
      </w:r>
      <w:r w:rsidRPr="00AD6490">
        <w:rPr>
          <w:rFonts w:ascii="Verdana" w:hAnsi="Verdana"/>
          <w:sz w:val="22"/>
          <w:szCs w:val="22"/>
        </w:rPr>
        <w:t xml:space="preserve">at the </w:t>
      </w:r>
      <w:r w:rsidRPr="00AD6490">
        <w:rPr>
          <w:rFonts w:ascii="Verdana" w:eastAsia="Times New Roman" w:hAnsi="Verdana"/>
          <w:sz w:val="22"/>
          <w:szCs w:val="22"/>
        </w:rPr>
        <w:t>48</w:t>
      </w:r>
      <w:r w:rsidRPr="00AD6490">
        <w:rPr>
          <w:rFonts w:ascii="Verdana" w:eastAsia="Times New Roman" w:hAnsi="Verdana"/>
          <w:sz w:val="22"/>
          <w:szCs w:val="22"/>
          <w:vertAlign w:val="superscript"/>
        </w:rPr>
        <w:t>th</w:t>
      </w:r>
      <w:r w:rsidRPr="00AD6490">
        <w:rPr>
          <w:rFonts w:ascii="Verdana" w:eastAsia="Times New Roman" w:hAnsi="Verdana"/>
          <w:sz w:val="22"/>
          <w:szCs w:val="22"/>
        </w:rPr>
        <w:t xml:space="preserve"> session of the UN Statistical Commission</w:t>
      </w:r>
      <w:r>
        <w:rPr>
          <w:rFonts w:ascii="Verdana" w:eastAsia="Times New Roman" w:hAnsi="Verdana"/>
          <w:sz w:val="22"/>
          <w:szCs w:val="22"/>
        </w:rPr>
        <w:t xml:space="preserve"> at the UN Headquarters</w:t>
      </w:r>
      <w:r w:rsidRPr="00AD6490">
        <w:rPr>
          <w:rFonts w:ascii="Verdana" w:eastAsia="Times New Roman" w:hAnsi="Verdana"/>
          <w:sz w:val="22"/>
          <w:szCs w:val="22"/>
        </w:rPr>
        <w:t xml:space="preserve"> in</w:t>
      </w:r>
      <w:r w:rsidRPr="00AD6490">
        <w:rPr>
          <w:rFonts w:ascii="Verdana" w:hAnsi="Verdana"/>
          <w:sz w:val="22"/>
          <w:szCs w:val="22"/>
        </w:rPr>
        <w:t xml:space="preserve"> March 2017, </w:t>
      </w:r>
      <w:r w:rsidRPr="00AD6490">
        <w:rPr>
          <w:rFonts w:ascii="Verdana" w:eastAsia="Times New Roman" w:hAnsi="Verdana"/>
          <w:sz w:val="22"/>
          <w:szCs w:val="22"/>
        </w:rPr>
        <w:t xml:space="preserve">or </w:t>
      </w:r>
      <w:r>
        <w:rPr>
          <w:rFonts w:ascii="Verdana" w:eastAsia="Times New Roman" w:hAnsi="Verdana"/>
          <w:sz w:val="22"/>
          <w:szCs w:val="22"/>
        </w:rPr>
        <w:t xml:space="preserve">(3) </w:t>
      </w:r>
      <w:r w:rsidRPr="00AD6490">
        <w:rPr>
          <w:rFonts w:ascii="Verdana" w:eastAsia="Times New Roman" w:hAnsi="Verdana"/>
          <w:sz w:val="22"/>
          <w:szCs w:val="22"/>
        </w:rPr>
        <w:t xml:space="preserve">are using the Short </w:t>
      </w:r>
      <w:r>
        <w:rPr>
          <w:rFonts w:ascii="Verdana" w:eastAsia="Times New Roman" w:hAnsi="Verdana"/>
          <w:sz w:val="22"/>
          <w:szCs w:val="22"/>
        </w:rPr>
        <w:t xml:space="preserve">Set of Questions in censuses, </w:t>
      </w:r>
      <w:r w:rsidRPr="00AD6490">
        <w:rPr>
          <w:rFonts w:ascii="Verdana" w:eastAsia="Times New Roman" w:hAnsi="Verdana"/>
          <w:sz w:val="22"/>
          <w:szCs w:val="22"/>
        </w:rPr>
        <w:t>surveys</w:t>
      </w:r>
      <w:r>
        <w:rPr>
          <w:rFonts w:ascii="Verdana" w:eastAsia="Times New Roman" w:hAnsi="Verdana"/>
          <w:sz w:val="22"/>
          <w:szCs w:val="22"/>
        </w:rPr>
        <w:t>, disability modules or pre-tests.</w:t>
      </w:r>
    </w:p>
    <w:p w14:paraId="065B3528" w14:textId="741304E9" w:rsidR="00705141" w:rsidRPr="00F22ACF" w:rsidRDefault="00705141" w:rsidP="00234194">
      <w:pPr>
        <w:jc w:val="both"/>
        <w:rPr>
          <w:rFonts w:ascii="Verdana" w:hAnsi="Verdana"/>
          <w:sz w:val="22"/>
          <w:szCs w:val="22"/>
        </w:rPr>
      </w:pPr>
    </w:p>
    <w:sectPr w:rsidR="00705141" w:rsidRPr="00F22ACF" w:rsidSect="00C8436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DF160A" w14:textId="77777777" w:rsidR="0027789E" w:rsidRDefault="0027789E" w:rsidP="000728E7">
      <w:r>
        <w:separator/>
      </w:r>
    </w:p>
  </w:endnote>
  <w:endnote w:type="continuationSeparator" w:id="0">
    <w:p w14:paraId="04B4DA54" w14:textId="77777777" w:rsidR="0027789E" w:rsidRDefault="0027789E" w:rsidP="00072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66C501" w14:textId="77777777" w:rsidR="0027789E" w:rsidRDefault="0027789E" w:rsidP="000728E7">
      <w:r>
        <w:separator/>
      </w:r>
    </w:p>
  </w:footnote>
  <w:footnote w:type="continuationSeparator" w:id="0">
    <w:p w14:paraId="7EDC0404" w14:textId="77777777" w:rsidR="0027789E" w:rsidRDefault="0027789E" w:rsidP="000728E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93352D"/>
    <w:multiLevelType w:val="hybridMultilevel"/>
    <w:tmpl w:val="82B6F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6AD"/>
    <w:rsid w:val="00007702"/>
    <w:rsid w:val="000345AA"/>
    <w:rsid w:val="00037D62"/>
    <w:rsid w:val="00057888"/>
    <w:rsid w:val="00071F48"/>
    <w:rsid w:val="000728E7"/>
    <w:rsid w:val="000D39A5"/>
    <w:rsid w:val="00102BB5"/>
    <w:rsid w:val="001213E3"/>
    <w:rsid w:val="00144490"/>
    <w:rsid w:val="00154AB3"/>
    <w:rsid w:val="0017223A"/>
    <w:rsid w:val="00184E76"/>
    <w:rsid w:val="00196437"/>
    <w:rsid w:val="001A10C8"/>
    <w:rsid w:val="001A3FED"/>
    <w:rsid w:val="001B1D27"/>
    <w:rsid w:val="001F1125"/>
    <w:rsid w:val="002047FB"/>
    <w:rsid w:val="002072B2"/>
    <w:rsid w:val="00234194"/>
    <w:rsid w:val="0025577E"/>
    <w:rsid w:val="00255FE0"/>
    <w:rsid w:val="0027195A"/>
    <w:rsid w:val="0027789E"/>
    <w:rsid w:val="002A2FEC"/>
    <w:rsid w:val="002A4695"/>
    <w:rsid w:val="002C2BAE"/>
    <w:rsid w:val="002C7AB4"/>
    <w:rsid w:val="002D1B92"/>
    <w:rsid w:val="00320F51"/>
    <w:rsid w:val="003221AC"/>
    <w:rsid w:val="00343CC0"/>
    <w:rsid w:val="00352FD1"/>
    <w:rsid w:val="00357BF5"/>
    <w:rsid w:val="00357CD6"/>
    <w:rsid w:val="0037530D"/>
    <w:rsid w:val="00376F6D"/>
    <w:rsid w:val="00385DEF"/>
    <w:rsid w:val="003C2E37"/>
    <w:rsid w:val="003C3650"/>
    <w:rsid w:val="003D331D"/>
    <w:rsid w:val="003F0811"/>
    <w:rsid w:val="0041763D"/>
    <w:rsid w:val="004324D7"/>
    <w:rsid w:val="00436E39"/>
    <w:rsid w:val="00441200"/>
    <w:rsid w:val="00462EEF"/>
    <w:rsid w:val="00472836"/>
    <w:rsid w:val="00486AE6"/>
    <w:rsid w:val="004E292E"/>
    <w:rsid w:val="005011A2"/>
    <w:rsid w:val="00510978"/>
    <w:rsid w:val="00512721"/>
    <w:rsid w:val="00535F47"/>
    <w:rsid w:val="005B4AEA"/>
    <w:rsid w:val="005B4B17"/>
    <w:rsid w:val="005D17E3"/>
    <w:rsid w:val="005E383B"/>
    <w:rsid w:val="00602443"/>
    <w:rsid w:val="006030F1"/>
    <w:rsid w:val="00614725"/>
    <w:rsid w:val="0062116F"/>
    <w:rsid w:val="00676230"/>
    <w:rsid w:val="00682339"/>
    <w:rsid w:val="006972EE"/>
    <w:rsid w:val="006A2724"/>
    <w:rsid w:val="006B1C64"/>
    <w:rsid w:val="006D6431"/>
    <w:rsid w:val="006F3935"/>
    <w:rsid w:val="00703636"/>
    <w:rsid w:val="00705141"/>
    <w:rsid w:val="0071335E"/>
    <w:rsid w:val="00713B8B"/>
    <w:rsid w:val="0071492E"/>
    <w:rsid w:val="007174F4"/>
    <w:rsid w:val="00755ED6"/>
    <w:rsid w:val="007620D4"/>
    <w:rsid w:val="00766EBB"/>
    <w:rsid w:val="00770FFF"/>
    <w:rsid w:val="00777C80"/>
    <w:rsid w:val="007B7CC9"/>
    <w:rsid w:val="007C2959"/>
    <w:rsid w:val="007D3F21"/>
    <w:rsid w:val="007F1E27"/>
    <w:rsid w:val="007F7252"/>
    <w:rsid w:val="008159A2"/>
    <w:rsid w:val="008561D2"/>
    <w:rsid w:val="0087295E"/>
    <w:rsid w:val="00877F94"/>
    <w:rsid w:val="00892EEB"/>
    <w:rsid w:val="008A4A85"/>
    <w:rsid w:val="008C27CD"/>
    <w:rsid w:val="00925B3E"/>
    <w:rsid w:val="009323EE"/>
    <w:rsid w:val="00936FB4"/>
    <w:rsid w:val="0096180B"/>
    <w:rsid w:val="00991D7E"/>
    <w:rsid w:val="009969BB"/>
    <w:rsid w:val="009A4903"/>
    <w:rsid w:val="009F1FC2"/>
    <w:rsid w:val="009F37DE"/>
    <w:rsid w:val="00A13C0E"/>
    <w:rsid w:val="00A213BA"/>
    <w:rsid w:val="00A22AB3"/>
    <w:rsid w:val="00A46902"/>
    <w:rsid w:val="00A874B4"/>
    <w:rsid w:val="00AA0C4E"/>
    <w:rsid w:val="00AC30BE"/>
    <w:rsid w:val="00AC4E1A"/>
    <w:rsid w:val="00AC59CD"/>
    <w:rsid w:val="00AD34F4"/>
    <w:rsid w:val="00AD72B0"/>
    <w:rsid w:val="00B24A48"/>
    <w:rsid w:val="00B75A98"/>
    <w:rsid w:val="00B955FE"/>
    <w:rsid w:val="00BA18CC"/>
    <w:rsid w:val="00BB7D94"/>
    <w:rsid w:val="00BD052D"/>
    <w:rsid w:val="00BD7312"/>
    <w:rsid w:val="00BE7FB4"/>
    <w:rsid w:val="00BF5B16"/>
    <w:rsid w:val="00C113E5"/>
    <w:rsid w:val="00C31BA7"/>
    <w:rsid w:val="00C500F3"/>
    <w:rsid w:val="00C6033D"/>
    <w:rsid w:val="00C713BF"/>
    <w:rsid w:val="00C82CE2"/>
    <w:rsid w:val="00C84368"/>
    <w:rsid w:val="00CB765F"/>
    <w:rsid w:val="00CC3C1F"/>
    <w:rsid w:val="00CD115E"/>
    <w:rsid w:val="00CE0113"/>
    <w:rsid w:val="00D01DD7"/>
    <w:rsid w:val="00D0671D"/>
    <w:rsid w:val="00D23637"/>
    <w:rsid w:val="00D27AAF"/>
    <w:rsid w:val="00D3183F"/>
    <w:rsid w:val="00D31D77"/>
    <w:rsid w:val="00D36EAE"/>
    <w:rsid w:val="00D52AA4"/>
    <w:rsid w:val="00D72359"/>
    <w:rsid w:val="00D76CC9"/>
    <w:rsid w:val="00D77C9B"/>
    <w:rsid w:val="00D81001"/>
    <w:rsid w:val="00DA5F8C"/>
    <w:rsid w:val="00DB2234"/>
    <w:rsid w:val="00DC5AC3"/>
    <w:rsid w:val="00DC7192"/>
    <w:rsid w:val="00DF0591"/>
    <w:rsid w:val="00DF5E07"/>
    <w:rsid w:val="00E3371C"/>
    <w:rsid w:val="00E54E36"/>
    <w:rsid w:val="00E64622"/>
    <w:rsid w:val="00E75514"/>
    <w:rsid w:val="00E811C1"/>
    <w:rsid w:val="00E821BA"/>
    <w:rsid w:val="00E82A3E"/>
    <w:rsid w:val="00E87819"/>
    <w:rsid w:val="00EA085A"/>
    <w:rsid w:val="00EB5CBC"/>
    <w:rsid w:val="00EB69F3"/>
    <w:rsid w:val="00EC37D5"/>
    <w:rsid w:val="00ED115E"/>
    <w:rsid w:val="00ED510C"/>
    <w:rsid w:val="00EF2D55"/>
    <w:rsid w:val="00F07B5C"/>
    <w:rsid w:val="00F226AD"/>
    <w:rsid w:val="00F22ACF"/>
    <w:rsid w:val="00F23D98"/>
    <w:rsid w:val="00F26515"/>
    <w:rsid w:val="00F3045F"/>
    <w:rsid w:val="00F36AAC"/>
    <w:rsid w:val="00F506D8"/>
    <w:rsid w:val="00F7401A"/>
    <w:rsid w:val="00F929BC"/>
    <w:rsid w:val="00FB4829"/>
    <w:rsid w:val="00FB4BAB"/>
    <w:rsid w:val="00FB54B1"/>
    <w:rsid w:val="00FD2789"/>
    <w:rsid w:val="00FE2D97"/>
    <w:rsid w:val="00FF42E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4751E9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B2234"/>
    <w:rPr>
      <w:rFonts w:ascii="Times New Roman" w:hAnsi="Times New Roman" w:cs="Times New Roman"/>
    </w:rPr>
  </w:style>
  <w:style w:type="paragraph" w:styleId="Heading1">
    <w:name w:val="heading 1"/>
    <w:basedOn w:val="Normal"/>
    <w:link w:val="Heading1Char"/>
    <w:uiPriority w:val="9"/>
    <w:qFormat/>
    <w:rsid w:val="00C6033D"/>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925B3E"/>
    <w:rPr>
      <w:sz w:val="15"/>
      <w:szCs w:val="15"/>
    </w:rPr>
  </w:style>
  <w:style w:type="character" w:styleId="Hyperlink">
    <w:name w:val="Hyperlink"/>
    <w:basedOn w:val="DefaultParagraphFont"/>
    <w:uiPriority w:val="99"/>
    <w:unhideWhenUsed/>
    <w:rsid w:val="00154AB3"/>
    <w:rPr>
      <w:color w:val="0563C1" w:themeColor="hyperlink"/>
      <w:u w:val="single"/>
    </w:rPr>
  </w:style>
  <w:style w:type="paragraph" w:styleId="ListParagraph">
    <w:name w:val="List Paragraph"/>
    <w:basedOn w:val="Normal"/>
    <w:uiPriority w:val="34"/>
    <w:qFormat/>
    <w:rsid w:val="00FD2789"/>
    <w:pPr>
      <w:ind w:left="720"/>
      <w:contextualSpacing/>
    </w:pPr>
    <w:rPr>
      <w:rFonts w:asciiTheme="minorHAnsi" w:hAnsiTheme="minorHAnsi" w:cstheme="minorBidi"/>
    </w:rPr>
  </w:style>
  <w:style w:type="character" w:customStyle="1" w:styleId="apple-converted-space">
    <w:name w:val="apple-converted-space"/>
    <w:basedOn w:val="DefaultParagraphFont"/>
    <w:rsid w:val="00BD052D"/>
  </w:style>
  <w:style w:type="paragraph" w:customStyle="1" w:styleId="SingleTxt">
    <w:name w:val="__Single Txt"/>
    <w:basedOn w:val="Normal"/>
    <w:rsid w:val="00E3371C"/>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rPr>
      <w:spacing w:val="4"/>
      <w:w w:val="103"/>
      <w:kern w:val="14"/>
      <w:sz w:val="20"/>
      <w:szCs w:val="20"/>
      <w:lang w:val="en-GB"/>
    </w:rPr>
  </w:style>
  <w:style w:type="paragraph" w:customStyle="1" w:styleId="TitleH1">
    <w:name w:val="Title_H1"/>
    <w:basedOn w:val="Normal"/>
    <w:next w:val="SingleTxt"/>
    <w:qFormat/>
    <w:rsid w:val="00E3371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left="1267" w:right="1267" w:hanging="1267"/>
      <w:outlineLvl w:val="0"/>
    </w:pPr>
    <w:rPr>
      <w:b/>
      <w:spacing w:val="4"/>
      <w:w w:val="103"/>
      <w:kern w:val="14"/>
      <w:szCs w:val="20"/>
      <w:lang w:val="en-GB"/>
    </w:rPr>
  </w:style>
  <w:style w:type="paragraph" w:customStyle="1" w:styleId="TitleHCH">
    <w:name w:val="Title_H_CH"/>
    <w:basedOn w:val="Normal"/>
    <w:next w:val="SingleTxt"/>
    <w:qFormat/>
    <w:rsid w:val="00E3371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300" w:lineRule="exact"/>
      <w:ind w:left="1267" w:right="1267" w:hanging="1267"/>
      <w:outlineLvl w:val="0"/>
    </w:pPr>
    <w:rPr>
      <w:b/>
      <w:spacing w:val="-2"/>
      <w:w w:val="103"/>
      <w:kern w:val="14"/>
      <w:sz w:val="28"/>
      <w:szCs w:val="20"/>
      <w:lang w:val="en-GB"/>
    </w:rPr>
  </w:style>
  <w:style w:type="character" w:customStyle="1" w:styleId="Heading1Char">
    <w:name w:val="Heading 1 Char"/>
    <w:basedOn w:val="DefaultParagraphFont"/>
    <w:link w:val="Heading1"/>
    <w:uiPriority w:val="9"/>
    <w:rsid w:val="00C6033D"/>
    <w:rPr>
      <w:rFonts w:ascii="Times New Roman" w:hAnsi="Times New Roman" w:cs="Times New Roman"/>
      <w:b/>
      <w:bCs/>
      <w:kern w:val="36"/>
      <w:sz w:val="48"/>
      <w:szCs w:val="48"/>
    </w:rPr>
  </w:style>
  <w:style w:type="paragraph" w:styleId="Header">
    <w:name w:val="header"/>
    <w:basedOn w:val="Normal"/>
    <w:link w:val="HeaderChar"/>
    <w:uiPriority w:val="99"/>
    <w:unhideWhenUsed/>
    <w:rsid w:val="000728E7"/>
    <w:pPr>
      <w:tabs>
        <w:tab w:val="center" w:pos="4680"/>
        <w:tab w:val="right" w:pos="9360"/>
      </w:tabs>
    </w:pPr>
  </w:style>
  <w:style w:type="character" w:customStyle="1" w:styleId="HeaderChar">
    <w:name w:val="Header Char"/>
    <w:basedOn w:val="DefaultParagraphFont"/>
    <w:link w:val="Header"/>
    <w:uiPriority w:val="99"/>
    <w:rsid w:val="000728E7"/>
    <w:rPr>
      <w:rFonts w:ascii="Times New Roman" w:hAnsi="Times New Roman" w:cs="Times New Roman"/>
    </w:rPr>
  </w:style>
  <w:style w:type="paragraph" w:styleId="Footer">
    <w:name w:val="footer"/>
    <w:basedOn w:val="Normal"/>
    <w:link w:val="FooterChar"/>
    <w:uiPriority w:val="99"/>
    <w:unhideWhenUsed/>
    <w:rsid w:val="000728E7"/>
    <w:pPr>
      <w:tabs>
        <w:tab w:val="center" w:pos="4680"/>
        <w:tab w:val="right" w:pos="9360"/>
      </w:tabs>
    </w:pPr>
  </w:style>
  <w:style w:type="character" w:customStyle="1" w:styleId="FooterChar">
    <w:name w:val="Footer Char"/>
    <w:basedOn w:val="DefaultParagraphFont"/>
    <w:link w:val="Footer"/>
    <w:uiPriority w:val="99"/>
    <w:rsid w:val="000728E7"/>
    <w:rPr>
      <w:rFonts w:ascii="Times New Roman" w:hAnsi="Times New Roman" w:cs="Times New Roman"/>
    </w:rPr>
  </w:style>
  <w:style w:type="character" w:customStyle="1" w:styleId="st">
    <w:name w:val="st"/>
    <w:basedOn w:val="DefaultParagraphFont"/>
    <w:rsid w:val="00357BF5"/>
  </w:style>
  <w:style w:type="character" w:styleId="Emphasis">
    <w:name w:val="Emphasis"/>
    <w:basedOn w:val="DefaultParagraphFont"/>
    <w:uiPriority w:val="20"/>
    <w:qFormat/>
    <w:rsid w:val="00357BF5"/>
    <w:rPr>
      <w:i/>
      <w:iCs/>
    </w:rPr>
  </w:style>
  <w:style w:type="character" w:styleId="FollowedHyperlink">
    <w:name w:val="FollowedHyperlink"/>
    <w:basedOn w:val="DefaultParagraphFont"/>
    <w:uiPriority w:val="99"/>
    <w:semiHidden/>
    <w:unhideWhenUsed/>
    <w:rsid w:val="004324D7"/>
    <w:rPr>
      <w:color w:val="954F72" w:themeColor="followedHyperlink"/>
      <w:u w:val="single"/>
    </w:rPr>
  </w:style>
  <w:style w:type="table" w:styleId="TableGrid">
    <w:name w:val="Table Grid"/>
    <w:basedOn w:val="TableNormal"/>
    <w:uiPriority w:val="39"/>
    <w:rsid w:val="003C36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B24A4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24A48"/>
    <w:rPr>
      <w:rFonts w:asciiTheme="majorHAnsi" w:eastAsiaTheme="majorEastAsia" w:hAnsiTheme="majorHAnsi" w:cstheme="majorBidi"/>
      <w:spacing w:val="-10"/>
      <w:kern w:val="28"/>
      <w:sz w:val="56"/>
      <w:szCs w:val="56"/>
    </w:rPr>
  </w:style>
  <w:style w:type="paragraph" w:styleId="FootnoteText">
    <w:name w:val="footnote text"/>
    <w:basedOn w:val="Normal"/>
    <w:link w:val="FootnoteTextChar"/>
    <w:uiPriority w:val="99"/>
    <w:unhideWhenUsed/>
    <w:rsid w:val="00DF0591"/>
  </w:style>
  <w:style w:type="character" w:customStyle="1" w:styleId="FootnoteTextChar">
    <w:name w:val="Footnote Text Char"/>
    <w:basedOn w:val="DefaultParagraphFont"/>
    <w:link w:val="FootnoteText"/>
    <w:uiPriority w:val="99"/>
    <w:rsid w:val="00DF0591"/>
    <w:rPr>
      <w:rFonts w:ascii="Times New Roman" w:hAnsi="Times New Roman" w:cs="Times New Roman"/>
    </w:rPr>
  </w:style>
  <w:style w:type="character" w:styleId="FootnoteReference">
    <w:name w:val="footnote reference"/>
    <w:basedOn w:val="DefaultParagraphFont"/>
    <w:uiPriority w:val="99"/>
    <w:unhideWhenUsed/>
    <w:rsid w:val="00DF059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675301">
      <w:bodyDiv w:val="1"/>
      <w:marLeft w:val="0"/>
      <w:marRight w:val="0"/>
      <w:marTop w:val="0"/>
      <w:marBottom w:val="0"/>
      <w:divBdr>
        <w:top w:val="none" w:sz="0" w:space="0" w:color="auto"/>
        <w:left w:val="none" w:sz="0" w:space="0" w:color="auto"/>
        <w:bottom w:val="none" w:sz="0" w:space="0" w:color="auto"/>
        <w:right w:val="none" w:sz="0" w:space="0" w:color="auto"/>
      </w:divBdr>
      <w:divsChild>
        <w:div w:id="1037389872">
          <w:marLeft w:val="0"/>
          <w:marRight w:val="0"/>
          <w:marTop w:val="0"/>
          <w:marBottom w:val="0"/>
          <w:divBdr>
            <w:top w:val="none" w:sz="0" w:space="0" w:color="auto"/>
            <w:left w:val="none" w:sz="0" w:space="0" w:color="auto"/>
            <w:bottom w:val="none" w:sz="0" w:space="0" w:color="auto"/>
            <w:right w:val="none" w:sz="0" w:space="0" w:color="auto"/>
          </w:divBdr>
        </w:div>
        <w:div w:id="1673945839">
          <w:marLeft w:val="0"/>
          <w:marRight w:val="0"/>
          <w:marTop w:val="0"/>
          <w:marBottom w:val="0"/>
          <w:divBdr>
            <w:top w:val="none" w:sz="0" w:space="0" w:color="auto"/>
            <w:left w:val="none" w:sz="0" w:space="0" w:color="auto"/>
            <w:bottom w:val="none" w:sz="0" w:space="0" w:color="auto"/>
            <w:right w:val="none" w:sz="0" w:space="0" w:color="auto"/>
          </w:divBdr>
        </w:div>
      </w:divsChild>
    </w:div>
    <w:div w:id="395780437">
      <w:bodyDiv w:val="1"/>
      <w:marLeft w:val="0"/>
      <w:marRight w:val="0"/>
      <w:marTop w:val="0"/>
      <w:marBottom w:val="0"/>
      <w:divBdr>
        <w:top w:val="none" w:sz="0" w:space="0" w:color="auto"/>
        <w:left w:val="none" w:sz="0" w:space="0" w:color="auto"/>
        <w:bottom w:val="none" w:sz="0" w:space="0" w:color="auto"/>
        <w:right w:val="none" w:sz="0" w:space="0" w:color="auto"/>
      </w:divBdr>
    </w:div>
    <w:div w:id="424964708">
      <w:bodyDiv w:val="1"/>
      <w:marLeft w:val="0"/>
      <w:marRight w:val="0"/>
      <w:marTop w:val="0"/>
      <w:marBottom w:val="0"/>
      <w:divBdr>
        <w:top w:val="none" w:sz="0" w:space="0" w:color="auto"/>
        <w:left w:val="none" w:sz="0" w:space="0" w:color="auto"/>
        <w:bottom w:val="none" w:sz="0" w:space="0" w:color="auto"/>
        <w:right w:val="none" w:sz="0" w:space="0" w:color="auto"/>
      </w:divBdr>
    </w:div>
    <w:div w:id="755247808">
      <w:bodyDiv w:val="1"/>
      <w:marLeft w:val="0"/>
      <w:marRight w:val="0"/>
      <w:marTop w:val="0"/>
      <w:marBottom w:val="0"/>
      <w:divBdr>
        <w:top w:val="none" w:sz="0" w:space="0" w:color="auto"/>
        <w:left w:val="none" w:sz="0" w:space="0" w:color="auto"/>
        <w:bottom w:val="none" w:sz="0" w:space="0" w:color="auto"/>
        <w:right w:val="none" w:sz="0" w:space="0" w:color="auto"/>
      </w:divBdr>
      <w:divsChild>
        <w:div w:id="1709529790">
          <w:marLeft w:val="0"/>
          <w:marRight w:val="0"/>
          <w:marTop w:val="0"/>
          <w:marBottom w:val="0"/>
          <w:divBdr>
            <w:top w:val="none" w:sz="0" w:space="0" w:color="auto"/>
            <w:left w:val="none" w:sz="0" w:space="0" w:color="auto"/>
            <w:bottom w:val="none" w:sz="0" w:space="0" w:color="auto"/>
            <w:right w:val="none" w:sz="0" w:space="0" w:color="auto"/>
          </w:divBdr>
        </w:div>
        <w:div w:id="1594319119">
          <w:marLeft w:val="0"/>
          <w:marRight w:val="0"/>
          <w:marTop w:val="0"/>
          <w:marBottom w:val="0"/>
          <w:divBdr>
            <w:top w:val="none" w:sz="0" w:space="0" w:color="auto"/>
            <w:left w:val="none" w:sz="0" w:space="0" w:color="auto"/>
            <w:bottom w:val="none" w:sz="0" w:space="0" w:color="auto"/>
            <w:right w:val="none" w:sz="0" w:space="0" w:color="auto"/>
          </w:divBdr>
        </w:div>
        <w:div w:id="477498479">
          <w:marLeft w:val="0"/>
          <w:marRight w:val="0"/>
          <w:marTop w:val="0"/>
          <w:marBottom w:val="0"/>
          <w:divBdr>
            <w:top w:val="none" w:sz="0" w:space="0" w:color="auto"/>
            <w:left w:val="none" w:sz="0" w:space="0" w:color="auto"/>
            <w:bottom w:val="none" w:sz="0" w:space="0" w:color="auto"/>
            <w:right w:val="none" w:sz="0" w:space="0" w:color="auto"/>
          </w:divBdr>
        </w:div>
        <w:div w:id="400520681">
          <w:marLeft w:val="0"/>
          <w:marRight w:val="0"/>
          <w:marTop w:val="0"/>
          <w:marBottom w:val="0"/>
          <w:divBdr>
            <w:top w:val="none" w:sz="0" w:space="0" w:color="auto"/>
            <w:left w:val="none" w:sz="0" w:space="0" w:color="auto"/>
            <w:bottom w:val="none" w:sz="0" w:space="0" w:color="auto"/>
            <w:right w:val="none" w:sz="0" w:space="0" w:color="auto"/>
          </w:divBdr>
        </w:div>
        <w:div w:id="310600005">
          <w:marLeft w:val="0"/>
          <w:marRight w:val="0"/>
          <w:marTop w:val="0"/>
          <w:marBottom w:val="0"/>
          <w:divBdr>
            <w:top w:val="none" w:sz="0" w:space="0" w:color="auto"/>
            <w:left w:val="none" w:sz="0" w:space="0" w:color="auto"/>
            <w:bottom w:val="none" w:sz="0" w:space="0" w:color="auto"/>
            <w:right w:val="none" w:sz="0" w:space="0" w:color="auto"/>
          </w:divBdr>
        </w:div>
        <w:div w:id="889539411">
          <w:marLeft w:val="0"/>
          <w:marRight w:val="0"/>
          <w:marTop w:val="0"/>
          <w:marBottom w:val="0"/>
          <w:divBdr>
            <w:top w:val="none" w:sz="0" w:space="0" w:color="auto"/>
            <w:left w:val="none" w:sz="0" w:space="0" w:color="auto"/>
            <w:bottom w:val="none" w:sz="0" w:space="0" w:color="auto"/>
            <w:right w:val="none" w:sz="0" w:space="0" w:color="auto"/>
          </w:divBdr>
        </w:div>
        <w:div w:id="1324548845">
          <w:marLeft w:val="0"/>
          <w:marRight w:val="0"/>
          <w:marTop w:val="0"/>
          <w:marBottom w:val="0"/>
          <w:divBdr>
            <w:top w:val="none" w:sz="0" w:space="0" w:color="auto"/>
            <w:left w:val="none" w:sz="0" w:space="0" w:color="auto"/>
            <w:bottom w:val="none" w:sz="0" w:space="0" w:color="auto"/>
            <w:right w:val="none" w:sz="0" w:space="0" w:color="auto"/>
          </w:divBdr>
        </w:div>
        <w:div w:id="930627634">
          <w:marLeft w:val="0"/>
          <w:marRight w:val="0"/>
          <w:marTop w:val="0"/>
          <w:marBottom w:val="0"/>
          <w:divBdr>
            <w:top w:val="none" w:sz="0" w:space="0" w:color="auto"/>
            <w:left w:val="none" w:sz="0" w:space="0" w:color="auto"/>
            <w:bottom w:val="none" w:sz="0" w:space="0" w:color="auto"/>
            <w:right w:val="none" w:sz="0" w:space="0" w:color="auto"/>
          </w:divBdr>
        </w:div>
        <w:div w:id="1609461121">
          <w:marLeft w:val="0"/>
          <w:marRight w:val="0"/>
          <w:marTop w:val="0"/>
          <w:marBottom w:val="0"/>
          <w:divBdr>
            <w:top w:val="none" w:sz="0" w:space="0" w:color="auto"/>
            <w:left w:val="none" w:sz="0" w:space="0" w:color="auto"/>
            <w:bottom w:val="none" w:sz="0" w:space="0" w:color="auto"/>
            <w:right w:val="none" w:sz="0" w:space="0" w:color="auto"/>
          </w:divBdr>
        </w:div>
        <w:div w:id="447240035">
          <w:marLeft w:val="0"/>
          <w:marRight w:val="0"/>
          <w:marTop w:val="0"/>
          <w:marBottom w:val="0"/>
          <w:divBdr>
            <w:top w:val="none" w:sz="0" w:space="0" w:color="auto"/>
            <w:left w:val="none" w:sz="0" w:space="0" w:color="auto"/>
            <w:bottom w:val="none" w:sz="0" w:space="0" w:color="auto"/>
            <w:right w:val="none" w:sz="0" w:space="0" w:color="auto"/>
          </w:divBdr>
        </w:div>
        <w:div w:id="249199523">
          <w:marLeft w:val="0"/>
          <w:marRight w:val="0"/>
          <w:marTop w:val="0"/>
          <w:marBottom w:val="0"/>
          <w:divBdr>
            <w:top w:val="none" w:sz="0" w:space="0" w:color="auto"/>
            <w:left w:val="none" w:sz="0" w:space="0" w:color="auto"/>
            <w:bottom w:val="none" w:sz="0" w:space="0" w:color="auto"/>
            <w:right w:val="none" w:sz="0" w:space="0" w:color="auto"/>
          </w:divBdr>
        </w:div>
        <w:div w:id="1250848926">
          <w:marLeft w:val="0"/>
          <w:marRight w:val="0"/>
          <w:marTop w:val="0"/>
          <w:marBottom w:val="0"/>
          <w:divBdr>
            <w:top w:val="none" w:sz="0" w:space="0" w:color="auto"/>
            <w:left w:val="none" w:sz="0" w:space="0" w:color="auto"/>
            <w:bottom w:val="none" w:sz="0" w:space="0" w:color="auto"/>
            <w:right w:val="none" w:sz="0" w:space="0" w:color="auto"/>
          </w:divBdr>
        </w:div>
        <w:div w:id="384834102">
          <w:marLeft w:val="0"/>
          <w:marRight w:val="0"/>
          <w:marTop w:val="0"/>
          <w:marBottom w:val="0"/>
          <w:divBdr>
            <w:top w:val="none" w:sz="0" w:space="0" w:color="auto"/>
            <w:left w:val="none" w:sz="0" w:space="0" w:color="auto"/>
            <w:bottom w:val="none" w:sz="0" w:space="0" w:color="auto"/>
            <w:right w:val="none" w:sz="0" w:space="0" w:color="auto"/>
          </w:divBdr>
        </w:div>
        <w:div w:id="226693135">
          <w:marLeft w:val="0"/>
          <w:marRight w:val="0"/>
          <w:marTop w:val="0"/>
          <w:marBottom w:val="0"/>
          <w:divBdr>
            <w:top w:val="none" w:sz="0" w:space="0" w:color="auto"/>
            <w:left w:val="none" w:sz="0" w:space="0" w:color="auto"/>
            <w:bottom w:val="none" w:sz="0" w:space="0" w:color="auto"/>
            <w:right w:val="none" w:sz="0" w:space="0" w:color="auto"/>
          </w:divBdr>
        </w:div>
        <w:div w:id="230115887">
          <w:marLeft w:val="0"/>
          <w:marRight w:val="0"/>
          <w:marTop w:val="0"/>
          <w:marBottom w:val="0"/>
          <w:divBdr>
            <w:top w:val="none" w:sz="0" w:space="0" w:color="auto"/>
            <w:left w:val="none" w:sz="0" w:space="0" w:color="auto"/>
            <w:bottom w:val="none" w:sz="0" w:space="0" w:color="auto"/>
            <w:right w:val="none" w:sz="0" w:space="0" w:color="auto"/>
          </w:divBdr>
        </w:div>
        <w:div w:id="80376886">
          <w:marLeft w:val="0"/>
          <w:marRight w:val="0"/>
          <w:marTop w:val="0"/>
          <w:marBottom w:val="0"/>
          <w:divBdr>
            <w:top w:val="none" w:sz="0" w:space="0" w:color="auto"/>
            <w:left w:val="none" w:sz="0" w:space="0" w:color="auto"/>
            <w:bottom w:val="none" w:sz="0" w:space="0" w:color="auto"/>
            <w:right w:val="none" w:sz="0" w:space="0" w:color="auto"/>
          </w:divBdr>
        </w:div>
        <w:div w:id="1974090760">
          <w:marLeft w:val="0"/>
          <w:marRight w:val="0"/>
          <w:marTop w:val="0"/>
          <w:marBottom w:val="0"/>
          <w:divBdr>
            <w:top w:val="none" w:sz="0" w:space="0" w:color="auto"/>
            <w:left w:val="none" w:sz="0" w:space="0" w:color="auto"/>
            <w:bottom w:val="none" w:sz="0" w:space="0" w:color="auto"/>
            <w:right w:val="none" w:sz="0" w:space="0" w:color="auto"/>
          </w:divBdr>
        </w:div>
        <w:div w:id="110780823">
          <w:marLeft w:val="0"/>
          <w:marRight w:val="0"/>
          <w:marTop w:val="0"/>
          <w:marBottom w:val="0"/>
          <w:divBdr>
            <w:top w:val="none" w:sz="0" w:space="0" w:color="auto"/>
            <w:left w:val="none" w:sz="0" w:space="0" w:color="auto"/>
            <w:bottom w:val="none" w:sz="0" w:space="0" w:color="auto"/>
            <w:right w:val="none" w:sz="0" w:space="0" w:color="auto"/>
          </w:divBdr>
        </w:div>
        <w:div w:id="339813825">
          <w:marLeft w:val="0"/>
          <w:marRight w:val="0"/>
          <w:marTop w:val="0"/>
          <w:marBottom w:val="0"/>
          <w:divBdr>
            <w:top w:val="none" w:sz="0" w:space="0" w:color="auto"/>
            <w:left w:val="none" w:sz="0" w:space="0" w:color="auto"/>
            <w:bottom w:val="none" w:sz="0" w:space="0" w:color="auto"/>
            <w:right w:val="none" w:sz="0" w:space="0" w:color="auto"/>
          </w:divBdr>
        </w:div>
        <w:div w:id="36316658">
          <w:marLeft w:val="0"/>
          <w:marRight w:val="0"/>
          <w:marTop w:val="0"/>
          <w:marBottom w:val="0"/>
          <w:divBdr>
            <w:top w:val="none" w:sz="0" w:space="0" w:color="auto"/>
            <w:left w:val="none" w:sz="0" w:space="0" w:color="auto"/>
            <w:bottom w:val="none" w:sz="0" w:space="0" w:color="auto"/>
            <w:right w:val="none" w:sz="0" w:space="0" w:color="auto"/>
          </w:divBdr>
        </w:div>
        <w:div w:id="898327296">
          <w:marLeft w:val="0"/>
          <w:marRight w:val="0"/>
          <w:marTop w:val="0"/>
          <w:marBottom w:val="0"/>
          <w:divBdr>
            <w:top w:val="none" w:sz="0" w:space="0" w:color="auto"/>
            <w:left w:val="none" w:sz="0" w:space="0" w:color="auto"/>
            <w:bottom w:val="none" w:sz="0" w:space="0" w:color="auto"/>
            <w:right w:val="none" w:sz="0" w:space="0" w:color="auto"/>
          </w:divBdr>
        </w:div>
        <w:div w:id="505632589">
          <w:marLeft w:val="0"/>
          <w:marRight w:val="0"/>
          <w:marTop w:val="0"/>
          <w:marBottom w:val="0"/>
          <w:divBdr>
            <w:top w:val="none" w:sz="0" w:space="0" w:color="auto"/>
            <w:left w:val="none" w:sz="0" w:space="0" w:color="auto"/>
            <w:bottom w:val="none" w:sz="0" w:space="0" w:color="auto"/>
            <w:right w:val="none" w:sz="0" w:space="0" w:color="auto"/>
          </w:divBdr>
        </w:div>
        <w:div w:id="1363359597">
          <w:marLeft w:val="0"/>
          <w:marRight w:val="0"/>
          <w:marTop w:val="0"/>
          <w:marBottom w:val="0"/>
          <w:divBdr>
            <w:top w:val="none" w:sz="0" w:space="0" w:color="auto"/>
            <w:left w:val="none" w:sz="0" w:space="0" w:color="auto"/>
            <w:bottom w:val="none" w:sz="0" w:space="0" w:color="auto"/>
            <w:right w:val="none" w:sz="0" w:space="0" w:color="auto"/>
          </w:divBdr>
        </w:div>
        <w:div w:id="1808742052">
          <w:marLeft w:val="0"/>
          <w:marRight w:val="0"/>
          <w:marTop w:val="0"/>
          <w:marBottom w:val="0"/>
          <w:divBdr>
            <w:top w:val="none" w:sz="0" w:space="0" w:color="auto"/>
            <w:left w:val="none" w:sz="0" w:space="0" w:color="auto"/>
            <w:bottom w:val="none" w:sz="0" w:space="0" w:color="auto"/>
            <w:right w:val="none" w:sz="0" w:space="0" w:color="auto"/>
          </w:divBdr>
        </w:div>
        <w:div w:id="1272737805">
          <w:marLeft w:val="0"/>
          <w:marRight w:val="0"/>
          <w:marTop w:val="0"/>
          <w:marBottom w:val="0"/>
          <w:divBdr>
            <w:top w:val="none" w:sz="0" w:space="0" w:color="auto"/>
            <w:left w:val="none" w:sz="0" w:space="0" w:color="auto"/>
            <w:bottom w:val="none" w:sz="0" w:space="0" w:color="auto"/>
            <w:right w:val="none" w:sz="0" w:space="0" w:color="auto"/>
          </w:divBdr>
        </w:div>
        <w:div w:id="1377855153">
          <w:marLeft w:val="0"/>
          <w:marRight w:val="0"/>
          <w:marTop w:val="0"/>
          <w:marBottom w:val="0"/>
          <w:divBdr>
            <w:top w:val="none" w:sz="0" w:space="0" w:color="auto"/>
            <w:left w:val="none" w:sz="0" w:space="0" w:color="auto"/>
            <w:bottom w:val="none" w:sz="0" w:space="0" w:color="auto"/>
            <w:right w:val="none" w:sz="0" w:space="0" w:color="auto"/>
          </w:divBdr>
        </w:div>
        <w:div w:id="1275358632">
          <w:marLeft w:val="0"/>
          <w:marRight w:val="0"/>
          <w:marTop w:val="0"/>
          <w:marBottom w:val="0"/>
          <w:divBdr>
            <w:top w:val="none" w:sz="0" w:space="0" w:color="auto"/>
            <w:left w:val="none" w:sz="0" w:space="0" w:color="auto"/>
            <w:bottom w:val="none" w:sz="0" w:space="0" w:color="auto"/>
            <w:right w:val="none" w:sz="0" w:space="0" w:color="auto"/>
          </w:divBdr>
        </w:div>
        <w:div w:id="1675456265">
          <w:marLeft w:val="0"/>
          <w:marRight w:val="0"/>
          <w:marTop w:val="0"/>
          <w:marBottom w:val="0"/>
          <w:divBdr>
            <w:top w:val="none" w:sz="0" w:space="0" w:color="auto"/>
            <w:left w:val="none" w:sz="0" w:space="0" w:color="auto"/>
            <w:bottom w:val="none" w:sz="0" w:space="0" w:color="auto"/>
            <w:right w:val="none" w:sz="0" w:space="0" w:color="auto"/>
          </w:divBdr>
        </w:div>
        <w:div w:id="1684476516">
          <w:marLeft w:val="0"/>
          <w:marRight w:val="0"/>
          <w:marTop w:val="0"/>
          <w:marBottom w:val="0"/>
          <w:divBdr>
            <w:top w:val="none" w:sz="0" w:space="0" w:color="auto"/>
            <w:left w:val="none" w:sz="0" w:space="0" w:color="auto"/>
            <w:bottom w:val="none" w:sz="0" w:space="0" w:color="auto"/>
            <w:right w:val="none" w:sz="0" w:space="0" w:color="auto"/>
          </w:divBdr>
        </w:div>
        <w:div w:id="474639806">
          <w:marLeft w:val="0"/>
          <w:marRight w:val="0"/>
          <w:marTop w:val="0"/>
          <w:marBottom w:val="0"/>
          <w:divBdr>
            <w:top w:val="none" w:sz="0" w:space="0" w:color="auto"/>
            <w:left w:val="none" w:sz="0" w:space="0" w:color="auto"/>
            <w:bottom w:val="none" w:sz="0" w:space="0" w:color="auto"/>
            <w:right w:val="none" w:sz="0" w:space="0" w:color="auto"/>
          </w:divBdr>
        </w:div>
      </w:divsChild>
    </w:div>
    <w:div w:id="785462176">
      <w:bodyDiv w:val="1"/>
      <w:marLeft w:val="0"/>
      <w:marRight w:val="0"/>
      <w:marTop w:val="0"/>
      <w:marBottom w:val="0"/>
      <w:divBdr>
        <w:top w:val="none" w:sz="0" w:space="0" w:color="auto"/>
        <w:left w:val="none" w:sz="0" w:space="0" w:color="auto"/>
        <w:bottom w:val="none" w:sz="0" w:space="0" w:color="auto"/>
        <w:right w:val="none" w:sz="0" w:space="0" w:color="auto"/>
      </w:divBdr>
    </w:div>
    <w:div w:id="854852328">
      <w:bodyDiv w:val="1"/>
      <w:marLeft w:val="0"/>
      <w:marRight w:val="0"/>
      <w:marTop w:val="0"/>
      <w:marBottom w:val="0"/>
      <w:divBdr>
        <w:top w:val="none" w:sz="0" w:space="0" w:color="auto"/>
        <w:left w:val="none" w:sz="0" w:space="0" w:color="auto"/>
        <w:bottom w:val="none" w:sz="0" w:space="0" w:color="auto"/>
        <w:right w:val="none" w:sz="0" w:space="0" w:color="auto"/>
      </w:divBdr>
    </w:div>
    <w:div w:id="911698468">
      <w:bodyDiv w:val="1"/>
      <w:marLeft w:val="0"/>
      <w:marRight w:val="0"/>
      <w:marTop w:val="0"/>
      <w:marBottom w:val="0"/>
      <w:divBdr>
        <w:top w:val="none" w:sz="0" w:space="0" w:color="auto"/>
        <w:left w:val="none" w:sz="0" w:space="0" w:color="auto"/>
        <w:bottom w:val="none" w:sz="0" w:space="0" w:color="auto"/>
        <w:right w:val="none" w:sz="0" w:space="0" w:color="auto"/>
      </w:divBdr>
      <w:divsChild>
        <w:div w:id="1568881907">
          <w:marLeft w:val="0"/>
          <w:marRight w:val="0"/>
          <w:marTop w:val="0"/>
          <w:marBottom w:val="0"/>
          <w:divBdr>
            <w:top w:val="none" w:sz="0" w:space="0" w:color="auto"/>
            <w:left w:val="none" w:sz="0" w:space="0" w:color="auto"/>
            <w:bottom w:val="none" w:sz="0" w:space="0" w:color="auto"/>
            <w:right w:val="none" w:sz="0" w:space="0" w:color="auto"/>
          </w:divBdr>
        </w:div>
        <w:div w:id="1599752776">
          <w:marLeft w:val="0"/>
          <w:marRight w:val="0"/>
          <w:marTop w:val="0"/>
          <w:marBottom w:val="0"/>
          <w:divBdr>
            <w:top w:val="none" w:sz="0" w:space="0" w:color="auto"/>
            <w:left w:val="none" w:sz="0" w:space="0" w:color="auto"/>
            <w:bottom w:val="none" w:sz="0" w:space="0" w:color="auto"/>
            <w:right w:val="none" w:sz="0" w:space="0" w:color="auto"/>
          </w:divBdr>
        </w:div>
        <w:div w:id="1130906165">
          <w:marLeft w:val="0"/>
          <w:marRight w:val="0"/>
          <w:marTop w:val="0"/>
          <w:marBottom w:val="0"/>
          <w:divBdr>
            <w:top w:val="none" w:sz="0" w:space="0" w:color="auto"/>
            <w:left w:val="none" w:sz="0" w:space="0" w:color="auto"/>
            <w:bottom w:val="none" w:sz="0" w:space="0" w:color="auto"/>
            <w:right w:val="none" w:sz="0" w:space="0" w:color="auto"/>
          </w:divBdr>
        </w:div>
        <w:div w:id="28533969">
          <w:marLeft w:val="0"/>
          <w:marRight w:val="0"/>
          <w:marTop w:val="0"/>
          <w:marBottom w:val="0"/>
          <w:divBdr>
            <w:top w:val="none" w:sz="0" w:space="0" w:color="auto"/>
            <w:left w:val="none" w:sz="0" w:space="0" w:color="auto"/>
            <w:bottom w:val="none" w:sz="0" w:space="0" w:color="auto"/>
            <w:right w:val="none" w:sz="0" w:space="0" w:color="auto"/>
          </w:divBdr>
        </w:div>
        <w:div w:id="1510556707">
          <w:marLeft w:val="0"/>
          <w:marRight w:val="0"/>
          <w:marTop w:val="0"/>
          <w:marBottom w:val="0"/>
          <w:divBdr>
            <w:top w:val="none" w:sz="0" w:space="0" w:color="auto"/>
            <w:left w:val="none" w:sz="0" w:space="0" w:color="auto"/>
            <w:bottom w:val="none" w:sz="0" w:space="0" w:color="auto"/>
            <w:right w:val="none" w:sz="0" w:space="0" w:color="auto"/>
          </w:divBdr>
        </w:div>
        <w:div w:id="296178964">
          <w:marLeft w:val="0"/>
          <w:marRight w:val="0"/>
          <w:marTop w:val="0"/>
          <w:marBottom w:val="0"/>
          <w:divBdr>
            <w:top w:val="none" w:sz="0" w:space="0" w:color="auto"/>
            <w:left w:val="none" w:sz="0" w:space="0" w:color="auto"/>
            <w:bottom w:val="none" w:sz="0" w:space="0" w:color="auto"/>
            <w:right w:val="none" w:sz="0" w:space="0" w:color="auto"/>
          </w:divBdr>
        </w:div>
        <w:div w:id="1963606292">
          <w:marLeft w:val="0"/>
          <w:marRight w:val="0"/>
          <w:marTop w:val="0"/>
          <w:marBottom w:val="0"/>
          <w:divBdr>
            <w:top w:val="none" w:sz="0" w:space="0" w:color="auto"/>
            <w:left w:val="none" w:sz="0" w:space="0" w:color="auto"/>
            <w:bottom w:val="none" w:sz="0" w:space="0" w:color="auto"/>
            <w:right w:val="none" w:sz="0" w:space="0" w:color="auto"/>
          </w:divBdr>
        </w:div>
        <w:div w:id="1075976774">
          <w:marLeft w:val="0"/>
          <w:marRight w:val="0"/>
          <w:marTop w:val="0"/>
          <w:marBottom w:val="0"/>
          <w:divBdr>
            <w:top w:val="none" w:sz="0" w:space="0" w:color="auto"/>
            <w:left w:val="none" w:sz="0" w:space="0" w:color="auto"/>
            <w:bottom w:val="none" w:sz="0" w:space="0" w:color="auto"/>
            <w:right w:val="none" w:sz="0" w:space="0" w:color="auto"/>
          </w:divBdr>
        </w:div>
        <w:div w:id="2028873297">
          <w:marLeft w:val="0"/>
          <w:marRight w:val="0"/>
          <w:marTop w:val="0"/>
          <w:marBottom w:val="0"/>
          <w:divBdr>
            <w:top w:val="none" w:sz="0" w:space="0" w:color="auto"/>
            <w:left w:val="none" w:sz="0" w:space="0" w:color="auto"/>
            <w:bottom w:val="none" w:sz="0" w:space="0" w:color="auto"/>
            <w:right w:val="none" w:sz="0" w:space="0" w:color="auto"/>
          </w:divBdr>
        </w:div>
        <w:div w:id="360056591">
          <w:marLeft w:val="0"/>
          <w:marRight w:val="0"/>
          <w:marTop w:val="0"/>
          <w:marBottom w:val="0"/>
          <w:divBdr>
            <w:top w:val="none" w:sz="0" w:space="0" w:color="auto"/>
            <w:left w:val="none" w:sz="0" w:space="0" w:color="auto"/>
            <w:bottom w:val="none" w:sz="0" w:space="0" w:color="auto"/>
            <w:right w:val="none" w:sz="0" w:space="0" w:color="auto"/>
          </w:divBdr>
        </w:div>
        <w:div w:id="1096368134">
          <w:marLeft w:val="0"/>
          <w:marRight w:val="0"/>
          <w:marTop w:val="0"/>
          <w:marBottom w:val="0"/>
          <w:divBdr>
            <w:top w:val="none" w:sz="0" w:space="0" w:color="auto"/>
            <w:left w:val="none" w:sz="0" w:space="0" w:color="auto"/>
            <w:bottom w:val="none" w:sz="0" w:space="0" w:color="auto"/>
            <w:right w:val="none" w:sz="0" w:space="0" w:color="auto"/>
          </w:divBdr>
        </w:div>
      </w:divsChild>
    </w:div>
    <w:div w:id="1021590619">
      <w:bodyDiv w:val="1"/>
      <w:marLeft w:val="0"/>
      <w:marRight w:val="0"/>
      <w:marTop w:val="0"/>
      <w:marBottom w:val="0"/>
      <w:divBdr>
        <w:top w:val="none" w:sz="0" w:space="0" w:color="auto"/>
        <w:left w:val="none" w:sz="0" w:space="0" w:color="auto"/>
        <w:bottom w:val="none" w:sz="0" w:space="0" w:color="auto"/>
        <w:right w:val="none" w:sz="0" w:space="0" w:color="auto"/>
      </w:divBdr>
    </w:div>
    <w:div w:id="1021711459">
      <w:bodyDiv w:val="1"/>
      <w:marLeft w:val="0"/>
      <w:marRight w:val="0"/>
      <w:marTop w:val="0"/>
      <w:marBottom w:val="0"/>
      <w:divBdr>
        <w:top w:val="none" w:sz="0" w:space="0" w:color="auto"/>
        <w:left w:val="none" w:sz="0" w:space="0" w:color="auto"/>
        <w:bottom w:val="none" w:sz="0" w:space="0" w:color="auto"/>
        <w:right w:val="none" w:sz="0" w:space="0" w:color="auto"/>
      </w:divBdr>
    </w:div>
    <w:div w:id="1089348021">
      <w:bodyDiv w:val="1"/>
      <w:marLeft w:val="0"/>
      <w:marRight w:val="0"/>
      <w:marTop w:val="0"/>
      <w:marBottom w:val="0"/>
      <w:divBdr>
        <w:top w:val="none" w:sz="0" w:space="0" w:color="auto"/>
        <w:left w:val="none" w:sz="0" w:space="0" w:color="auto"/>
        <w:bottom w:val="none" w:sz="0" w:space="0" w:color="auto"/>
        <w:right w:val="none" w:sz="0" w:space="0" w:color="auto"/>
      </w:divBdr>
    </w:div>
    <w:div w:id="1162313367">
      <w:bodyDiv w:val="1"/>
      <w:marLeft w:val="0"/>
      <w:marRight w:val="0"/>
      <w:marTop w:val="0"/>
      <w:marBottom w:val="0"/>
      <w:divBdr>
        <w:top w:val="none" w:sz="0" w:space="0" w:color="auto"/>
        <w:left w:val="none" w:sz="0" w:space="0" w:color="auto"/>
        <w:bottom w:val="none" w:sz="0" w:space="0" w:color="auto"/>
        <w:right w:val="none" w:sz="0" w:space="0" w:color="auto"/>
      </w:divBdr>
      <w:divsChild>
        <w:div w:id="1022710509">
          <w:marLeft w:val="0"/>
          <w:marRight w:val="0"/>
          <w:marTop w:val="0"/>
          <w:marBottom w:val="0"/>
          <w:divBdr>
            <w:top w:val="none" w:sz="0" w:space="0" w:color="auto"/>
            <w:left w:val="none" w:sz="0" w:space="0" w:color="auto"/>
            <w:bottom w:val="none" w:sz="0" w:space="0" w:color="auto"/>
            <w:right w:val="none" w:sz="0" w:space="0" w:color="auto"/>
          </w:divBdr>
        </w:div>
        <w:div w:id="1928686101">
          <w:marLeft w:val="0"/>
          <w:marRight w:val="0"/>
          <w:marTop w:val="0"/>
          <w:marBottom w:val="0"/>
          <w:divBdr>
            <w:top w:val="none" w:sz="0" w:space="0" w:color="auto"/>
            <w:left w:val="none" w:sz="0" w:space="0" w:color="auto"/>
            <w:bottom w:val="none" w:sz="0" w:space="0" w:color="auto"/>
            <w:right w:val="none" w:sz="0" w:space="0" w:color="auto"/>
          </w:divBdr>
        </w:div>
      </w:divsChild>
    </w:div>
    <w:div w:id="1166551207">
      <w:bodyDiv w:val="1"/>
      <w:marLeft w:val="0"/>
      <w:marRight w:val="0"/>
      <w:marTop w:val="0"/>
      <w:marBottom w:val="0"/>
      <w:divBdr>
        <w:top w:val="none" w:sz="0" w:space="0" w:color="auto"/>
        <w:left w:val="none" w:sz="0" w:space="0" w:color="auto"/>
        <w:bottom w:val="none" w:sz="0" w:space="0" w:color="auto"/>
        <w:right w:val="none" w:sz="0" w:space="0" w:color="auto"/>
      </w:divBdr>
    </w:div>
    <w:div w:id="1236748238">
      <w:bodyDiv w:val="1"/>
      <w:marLeft w:val="0"/>
      <w:marRight w:val="0"/>
      <w:marTop w:val="0"/>
      <w:marBottom w:val="0"/>
      <w:divBdr>
        <w:top w:val="none" w:sz="0" w:space="0" w:color="auto"/>
        <w:left w:val="none" w:sz="0" w:space="0" w:color="auto"/>
        <w:bottom w:val="none" w:sz="0" w:space="0" w:color="auto"/>
        <w:right w:val="none" w:sz="0" w:space="0" w:color="auto"/>
      </w:divBdr>
    </w:div>
    <w:div w:id="1304000396">
      <w:bodyDiv w:val="1"/>
      <w:marLeft w:val="0"/>
      <w:marRight w:val="0"/>
      <w:marTop w:val="0"/>
      <w:marBottom w:val="0"/>
      <w:divBdr>
        <w:top w:val="none" w:sz="0" w:space="0" w:color="auto"/>
        <w:left w:val="none" w:sz="0" w:space="0" w:color="auto"/>
        <w:bottom w:val="none" w:sz="0" w:space="0" w:color="auto"/>
        <w:right w:val="none" w:sz="0" w:space="0" w:color="auto"/>
      </w:divBdr>
    </w:div>
    <w:div w:id="1401978544">
      <w:bodyDiv w:val="1"/>
      <w:marLeft w:val="0"/>
      <w:marRight w:val="0"/>
      <w:marTop w:val="0"/>
      <w:marBottom w:val="0"/>
      <w:divBdr>
        <w:top w:val="none" w:sz="0" w:space="0" w:color="auto"/>
        <w:left w:val="none" w:sz="0" w:space="0" w:color="auto"/>
        <w:bottom w:val="none" w:sz="0" w:space="0" w:color="auto"/>
        <w:right w:val="none" w:sz="0" w:space="0" w:color="auto"/>
      </w:divBdr>
    </w:div>
    <w:div w:id="1643146933">
      <w:bodyDiv w:val="1"/>
      <w:marLeft w:val="0"/>
      <w:marRight w:val="0"/>
      <w:marTop w:val="0"/>
      <w:marBottom w:val="0"/>
      <w:divBdr>
        <w:top w:val="none" w:sz="0" w:space="0" w:color="auto"/>
        <w:left w:val="none" w:sz="0" w:space="0" w:color="auto"/>
        <w:bottom w:val="none" w:sz="0" w:space="0" w:color="auto"/>
        <w:right w:val="none" w:sz="0" w:space="0" w:color="auto"/>
      </w:divBdr>
    </w:div>
    <w:div w:id="209750919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664</Words>
  <Characters>3788</Characters>
  <Application>Microsoft Macintosh Word</Application>
  <DocSecurity>0</DocSecurity>
  <Lines>31</Lines>
  <Paragraphs>8</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In 2017 May, the Report of the Inter-agency Task Force on Financing for Developm</vt:lpstr>
    </vt:vector>
  </TitlesOfParts>
  <LinksUpToDate>false</LinksUpToDate>
  <CharactersWithSpaces>4444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M. Lockwood</dc:creator>
  <cp:keywords/>
  <dc:description/>
  <cp:lastModifiedBy>E. M. Lockwood</cp:lastModifiedBy>
  <cp:revision>3</cp:revision>
  <dcterms:created xsi:type="dcterms:W3CDTF">2017-11-20T21:02:00Z</dcterms:created>
  <dcterms:modified xsi:type="dcterms:W3CDTF">2017-11-20T21:03:00Z</dcterms:modified>
</cp:coreProperties>
</file>