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597E7" w14:textId="77777777" w:rsidR="005E553C" w:rsidRDefault="005E553C" w:rsidP="005E553C">
      <w:pPr>
        <w:jc w:val="center"/>
        <w:rPr>
          <w:rFonts w:ascii="Arial" w:eastAsia="Calibri" w:hAnsi="Arial" w:cs="Arial"/>
          <w:b/>
          <w:caps/>
          <w:color w:val="000000"/>
          <w:kern w:val="24"/>
          <w:u w:val="single"/>
        </w:rPr>
      </w:pPr>
    </w:p>
    <w:p w14:paraId="39B160C5" w14:textId="77777777" w:rsidR="005E553C" w:rsidRDefault="005E553C" w:rsidP="005E553C">
      <w:pPr>
        <w:jc w:val="center"/>
        <w:rPr>
          <w:rFonts w:ascii="Arial" w:eastAsia="Calibri" w:hAnsi="Arial" w:cs="Arial"/>
          <w:b/>
          <w:caps/>
          <w:color w:val="000000"/>
          <w:kern w:val="24"/>
          <w:u w:val="single"/>
        </w:rPr>
      </w:pPr>
    </w:p>
    <w:p w14:paraId="64DA35F6" w14:textId="77777777" w:rsidR="005E553C" w:rsidRDefault="005E553C" w:rsidP="005E553C">
      <w:pPr>
        <w:jc w:val="center"/>
        <w:rPr>
          <w:rFonts w:ascii="Arial" w:eastAsia="Calibri" w:hAnsi="Arial" w:cs="Arial"/>
          <w:b/>
          <w:caps/>
          <w:color w:val="000000"/>
          <w:kern w:val="24"/>
          <w:u w:val="single"/>
        </w:rPr>
      </w:pPr>
    </w:p>
    <w:p w14:paraId="22551AC0" w14:textId="77777777" w:rsidR="005E553C" w:rsidRDefault="005E553C" w:rsidP="005E553C">
      <w:pPr>
        <w:jc w:val="center"/>
        <w:rPr>
          <w:rFonts w:ascii="Arial" w:eastAsia="Calibri" w:hAnsi="Arial" w:cs="Arial"/>
          <w:b/>
          <w:caps/>
          <w:color w:val="000000"/>
          <w:kern w:val="24"/>
          <w:u w:val="single"/>
        </w:rPr>
      </w:pPr>
    </w:p>
    <w:p w14:paraId="35EFFF4F" w14:textId="77777777" w:rsidR="005E553C" w:rsidRDefault="005E553C" w:rsidP="005E553C">
      <w:pPr>
        <w:jc w:val="center"/>
        <w:rPr>
          <w:rFonts w:ascii="Arial" w:eastAsia="Calibri" w:hAnsi="Arial" w:cs="Arial"/>
          <w:b/>
          <w:caps/>
          <w:color w:val="000000"/>
          <w:kern w:val="24"/>
          <w:u w:val="single"/>
        </w:rPr>
      </w:pPr>
    </w:p>
    <w:p w14:paraId="53223F15" w14:textId="77777777" w:rsidR="005E553C" w:rsidRDefault="005E553C" w:rsidP="005E553C">
      <w:pPr>
        <w:jc w:val="center"/>
        <w:rPr>
          <w:rFonts w:ascii="Arial" w:eastAsia="Calibri" w:hAnsi="Arial" w:cs="Arial"/>
          <w:b/>
          <w:caps/>
          <w:color w:val="000000"/>
          <w:kern w:val="24"/>
          <w:u w:val="single"/>
        </w:rPr>
      </w:pPr>
    </w:p>
    <w:p w14:paraId="63DAEA1C" w14:textId="77777777" w:rsidR="005E553C" w:rsidRPr="00DC464B" w:rsidRDefault="005E553C" w:rsidP="005E553C">
      <w:pPr>
        <w:jc w:val="center"/>
        <w:rPr>
          <w:rFonts w:ascii="Arial" w:eastAsia="Calibri" w:hAnsi="Arial" w:cs="Arial"/>
          <w:b/>
          <w:caps/>
          <w:color w:val="000000"/>
          <w:kern w:val="24"/>
          <w:u w:val="single"/>
        </w:rPr>
      </w:pPr>
      <w:r w:rsidRPr="00DC464B">
        <w:rPr>
          <w:rFonts w:ascii="Arial" w:eastAsia="Calibri" w:hAnsi="Arial" w:cs="Arial"/>
          <w:b/>
          <w:caps/>
          <w:color w:val="000000"/>
          <w:kern w:val="24"/>
          <w:u w:val="single"/>
        </w:rPr>
        <w:t>In the European Court of Human Rights</w:t>
      </w:r>
    </w:p>
    <w:p w14:paraId="60541A13" w14:textId="77777777" w:rsidR="005E553C" w:rsidRPr="00DC464B" w:rsidRDefault="005E553C" w:rsidP="005E553C">
      <w:pPr>
        <w:jc w:val="center"/>
        <w:rPr>
          <w:rFonts w:ascii="Arial" w:eastAsia="Calibri" w:hAnsi="Arial" w:cs="Arial"/>
          <w:b/>
          <w:smallCaps/>
          <w:color w:val="000000"/>
          <w:kern w:val="24"/>
        </w:rPr>
      </w:pPr>
    </w:p>
    <w:p w14:paraId="157925F1" w14:textId="77777777" w:rsidR="005E553C" w:rsidRPr="00DC464B" w:rsidRDefault="005E553C" w:rsidP="005E553C">
      <w:pPr>
        <w:jc w:val="center"/>
        <w:rPr>
          <w:rFonts w:ascii="Arial" w:eastAsia="Calibri" w:hAnsi="Arial" w:cs="Arial"/>
          <w:b/>
          <w:smallCaps/>
          <w:color w:val="000000"/>
          <w:kern w:val="24"/>
        </w:rPr>
      </w:pPr>
    </w:p>
    <w:p w14:paraId="63B15CA0" w14:textId="38C1AD41" w:rsidR="005E553C" w:rsidRPr="003F79CF" w:rsidRDefault="005E553C" w:rsidP="005E553C">
      <w:pPr>
        <w:jc w:val="center"/>
        <w:rPr>
          <w:rFonts w:ascii="Arial" w:eastAsia="Calibri" w:hAnsi="Arial" w:cs="Arial"/>
          <w:b/>
          <w:smallCaps/>
          <w:color w:val="000000"/>
          <w:kern w:val="24"/>
        </w:rPr>
      </w:pPr>
      <w:r w:rsidRPr="003F79CF">
        <w:rPr>
          <w:rFonts w:ascii="Arial" w:eastAsia="Calibri" w:hAnsi="Arial" w:cs="Arial"/>
          <w:b/>
          <w:smallCaps/>
          <w:color w:val="000000"/>
          <w:kern w:val="24"/>
        </w:rPr>
        <w:t xml:space="preserve">(Application No </w:t>
      </w:r>
      <w:r w:rsidR="001618B6">
        <w:rPr>
          <w:rFonts w:ascii="Arial" w:eastAsia="Cambria" w:hAnsi="Arial" w:cs="Calibri-Bold"/>
          <w:b/>
          <w:bCs/>
          <w:sz w:val="22"/>
          <w:szCs w:val="22"/>
          <w:lang w:eastAsia="en-GB"/>
        </w:rPr>
        <w:t>289</w:t>
      </w:r>
      <w:r w:rsidRPr="003F79CF">
        <w:rPr>
          <w:rFonts w:ascii="Arial" w:eastAsia="Cambria" w:hAnsi="Arial" w:cs="Calibri-Bold"/>
          <w:b/>
          <w:bCs/>
          <w:sz w:val="22"/>
          <w:szCs w:val="22"/>
          <w:lang w:eastAsia="en-GB"/>
        </w:rPr>
        <w:t>/</w:t>
      </w:r>
      <w:r w:rsidR="001618B6">
        <w:rPr>
          <w:rFonts w:ascii="Arial" w:eastAsia="Cambria" w:hAnsi="Arial" w:cs="Calibri-Bold"/>
          <w:b/>
          <w:bCs/>
          <w:sz w:val="22"/>
          <w:szCs w:val="22"/>
          <w:lang w:eastAsia="en-GB"/>
        </w:rPr>
        <w:t>14</w:t>
      </w:r>
      <w:r w:rsidRPr="003F79CF">
        <w:rPr>
          <w:rFonts w:ascii="Arial" w:eastAsia="Calibri" w:hAnsi="Arial" w:cs="Arial"/>
          <w:b/>
          <w:smallCaps/>
          <w:color w:val="000000"/>
          <w:kern w:val="24"/>
        </w:rPr>
        <w:t>)</w:t>
      </w:r>
    </w:p>
    <w:p w14:paraId="263B4A4E" w14:textId="77777777" w:rsidR="005E553C" w:rsidRPr="00DC464B" w:rsidRDefault="005E553C" w:rsidP="005E553C">
      <w:pPr>
        <w:spacing w:after="240"/>
        <w:jc w:val="center"/>
        <w:rPr>
          <w:rFonts w:ascii="Arial" w:eastAsia="Times New Roman" w:hAnsi="Arial" w:cs="Arial"/>
          <w:b/>
          <w:smallCaps/>
          <w:color w:val="000000"/>
          <w:kern w:val="24"/>
        </w:rPr>
      </w:pPr>
      <w:bookmarkStart w:id="0" w:name="HIT1"/>
      <w:bookmarkStart w:id="1" w:name="HIT2"/>
      <w:bookmarkEnd w:id="0"/>
      <w:bookmarkEnd w:id="1"/>
      <w:r w:rsidRPr="00DC464B">
        <w:rPr>
          <w:rFonts w:ascii="Arial" w:eastAsia="Times New Roman" w:hAnsi="Arial" w:cs="Arial"/>
        </w:rPr>
        <w:br/>
      </w:r>
    </w:p>
    <w:p w14:paraId="4B9E668E" w14:textId="77777777" w:rsidR="005E553C" w:rsidRPr="00DC464B" w:rsidRDefault="005E553C" w:rsidP="005E553C">
      <w:pPr>
        <w:ind w:left="1418" w:firstLine="709"/>
        <w:jc w:val="center"/>
        <w:rPr>
          <w:rFonts w:ascii="Arial" w:eastAsia="Calibri" w:hAnsi="Arial" w:cs="Arial"/>
          <w:b/>
          <w:smallCaps/>
          <w:color w:val="000000"/>
          <w:kern w:val="24"/>
        </w:rPr>
      </w:pPr>
    </w:p>
    <w:p w14:paraId="16D135B9" w14:textId="63CE8F9F" w:rsidR="005E553C" w:rsidRPr="00DC464B" w:rsidRDefault="00B54A5E" w:rsidP="005E553C">
      <w:pPr>
        <w:ind w:left="720" w:firstLine="720"/>
        <w:rPr>
          <w:rFonts w:ascii="Arial" w:eastAsia="Calibri" w:hAnsi="Arial" w:cs="Arial"/>
          <w:b/>
          <w:smallCaps/>
          <w:color w:val="000000"/>
          <w:kern w:val="24"/>
        </w:rPr>
      </w:pPr>
      <w:proofErr w:type="spellStart"/>
      <w:r>
        <w:rPr>
          <w:rFonts w:ascii="Arial" w:eastAsia="Calibri" w:hAnsi="Arial" w:cs="Arial"/>
          <w:b/>
          <w:smallCaps/>
          <w:color w:val="000000"/>
          <w:kern w:val="24"/>
        </w:rPr>
        <w:t>Stoian</w:t>
      </w:r>
      <w:proofErr w:type="spellEnd"/>
      <w:r w:rsidR="005E553C">
        <w:rPr>
          <w:rFonts w:ascii="Arial" w:eastAsia="Calibri" w:hAnsi="Arial" w:cs="Arial"/>
          <w:b/>
          <w:smallCaps/>
          <w:color w:val="000000"/>
          <w:kern w:val="24"/>
        </w:rPr>
        <w:t xml:space="preserve"> and </w:t>
      </w:r>
      <w:proofErr w:type="spellStart"/>
      <w:r w:rsidR="005E553C">
        <w:rPr>
          <w:rFonts w:ascii="Arial" w:eastAsia="Calibri" w:hAnsi="Arial" w:cs="Arial"/>
          <w:b/>
          <w:smallCaps/>
          <w:color w:val="000000"/>
          <w:kern w:val="24"/>
        </w:rPr>
        <w:t>S</w:t>
      </w:r>
      <w:r>
        <w:rPr>
          <w:rFonts w:ascii="Arial" w:eastAsia="Calibri" w:hAnsi="Arial" w:cs="Arial"/>
          <w:b/>
          <w:smallCaps/>
          <w:color w:val="000000"/>
          <w:kern w:val="24"/>
        </w:rPr>
        <w:t>toian</w:t>
      </w:r>
      <w:proofErr w:type="spellEnd"/>
      <w:r w:rsidR="005E553C" w:rsidRPr="00DC464B">
        <w:rPr>
          <w:rFonts w:ascii="Arial" w:eastAsia="Calibri" w:hAnsi="Arial" w:cs="Arial"/>
          <w:b/>
          <w:smallCaps/>
          <w:color w:val="000000"/>
          <w:kern w:val="24"/>
        </w:rPr>
        <w:tab/>
      </w:r>
      <w:r w:rsidR="005E553C">
        <w:rPr>
          <w:rFonts w:ascii="Arial" w:eastAsia="Calibri" w:hAnsi="Arial" w:cs="Arial"/>
          <w:b/>
          <w:smallCaps/>
          <w:color w:val="000000"/>
          <w:kern w:val="24"/>
        </w:rPr>
        <w:tab/>
      </w:r>
      <w:r w:rsidR="005E553C">
        <w:rPr>
          <w:rFonts w:ascii="Arial" w:eastAsia="Calibri" w:hAnsi="Arial" w:cs="Arial"/>
          <w:b/>
          <w:smallCaps/>
          <w:color w:val="000000"/>
          <w:kern w:val="24"/>
        </w:rPr>
        <w:tab/>
      </w:r>
      <w:r>
        <w:rPr>
          <w:rFonts w:ascii="Arial" w:eastAsia="Calibri" w:hAnsi="Arial" w:cs="Arial"/>
          <w:b/>
          <w:smallCaps/>
          <w:color w:val="000000"/>
          <w:kern w:val="24"/>
        </w:rPr>
        <w:tab/>
      </w:r>
      <w:r w:rsidR="005E553C" w:rsidRPr="00DC464B">
        <w:rPr>
          <w:rFonts w:ascii="Arial" w:eastAsia="Calibri" w:hAnsi="Arial" w:cs="Arial"/>
          <w:b/>
          <w:smallCaps/>
          <w:color w:val="000000"/>
          <w:kern w:val="24"/>
          <w:u w:val="single"/>
        </w:rPr>
        <w:t>APPLICANT</w:t>
      </w:r>
      <w:r w:rsidR="005E553C">
        <w:rPr>
          <w:rFonts w:ascii="Arial" w:eastAsia="Calibri" w:hAnsi="Arial" w:cs="Arial"/>
          <w:b/>
          <w:smallCaps/>
          <w:color w:val="000000"/>
          <w:kern w:val="24"/>
          <w:u w:val="single"/>
        </w:rPr>
        <w:t>S</w:t>
      </w:r>
    </w:p>
    <w:p w14:paraId="7306AF67" w14:textId="77777777" w:rsidR="005E553C" w:rsidRPr="00DC464B" w:rsidRDefault="005E553C" w:rsidP="005E553C">
      <w:pPr>
        <w:jc w:val="center"/>
        <w:rPr>
          <w:rFonts w:ascii="Arial" w:eastAsia="Calibri" w:hAnsi="Arial" w:cs="Arial"/>
          <w:b/>
          <w:smallCaps/>
          <w:color w:val="000000"/>
          <w:kern w:val="24"/>
        </w:rPr>
      </w:pPr>
    </w:p>
    <w:p w14:paraId="62840145" w14:textId="77777777" w:rsidR="005E553C" w:rsidRPr="00DC464B" w:rsidRDefault="005E553C" w:rsidP="005E553C">
      <w:pPr>
        <w:ind w:left="3600" w:firstLine="720"/>
        <w:rPr>
          <w:rFonts w:ascii="Arial" w:eastAsia="Calibri" w:hAnsi="Arial" w:cs="Arial"/>
          <w:b/>
          <w:smallCaps/>
          <w:color w:val="000000"/>
          <w:kern w:val="24"/>
        </w:rPr>
      </w:pPr>
      <w:r w:rsidRPr="00DC464B">
        <w:rPr>
          <w:rFonts w:ascii="Arial" w:eastAsia="Calibri" w:hAnsi="Arial" w:cs="Arial"/>
          <w:b/>
          <w:smallCaps/>
          <w:color w:val="000000"/>
          <w:kern w:val="24"/>
        </w:rPr>
        <w:t>Against</w:t>
      </w:r>
    </w:p>
    <w:p w14:paraId="7D31A1D5" w14:textId="77777777" w:rsidR="005E553C" w:rsidRPr="00DC464B" w:rsidRDefault="005E553C" w:rsidP="005E553C">
      <w:pPr>
        <w:jc w:val="center"/>
        <w:rPr>
          <w:rFonts w:ascii="Arial" w:eastAsia="Calibri" w:hAnsi="Arial" w:cs="Arial"/>
          <w:b/>
          <w:smallCaps/>
          <w:color w:val="000000"/>
          <w:kern w:val="24"/>
        </w:rPr>
      </w:pPr>
    </w:p>
    <w:p w14:paraId="741A6C8D" w14:textId="36B1B15D" w:rsidR="005E553C" w:rsidRPr="00DC464B" w:rsidRDefault="00E544E3" w:rsidP="005E553C">
      <w:pPr>
        <w:ind w:left="720" w:firstLine="720"/>
        <w:rPr>
          <w:rFonts w:ascii="Arial" w:eastAsia="Calibri" w:hAnsi="Arial" w:cs="Arial"/>
          <w:b/>
          <w:smallCaps/>
          <w:color w:val="000000"/>
          <w:kern w:val="24"/>
        </w:rPr>
      </w:pPr>
      <w:r>
        <w:rPr>
          <w:rFonts w:ascii="Arial" w:eastAsia="Calibri" w:hAnsi="Arial" w:cs="Arial"/>
          <w:b/>
          <w:smallCaps/>
          <w:color w:val="000000"/>
          <w:kern w:val="24"/>
        </w:rPr>
        <w:t>Romania</w:t>
      </w:r>
      <w:r w:rsidR="005E553C" w:rsidRPr="00DC464B">
        <w:rPr>
          <w:rFonts w:ascii="Arial" w:eastAsia="Calibri" w:hAnsi="Arial" w:cs="Arial"/>
          <w:b/>
          <w:smallCaps/>
          <w:color w:val="000000"/>
          <w:kern w:val="24"/>
        </w:rPr>
        <w:tab/>
      </w:r>
      <w:r w:rsidR="005E553C" w:rsidRPr="00DC464B">
        <w:rPr>
          <w:rFonts w:ascii="Arial" w:eastAsia="Calibri" w:hAnsi="Arial" w:cs="Arial"/>
          <w:b/>
          <w:smallCaps/>
          <w:color w:val="000000"/>
          <w:kern w:val="24"/>
        </w:rPr>
        <w:tab/>
      </w:r>
      <w:r w:rsidR="005E553C" w:rsidRPr="00DC464B">
        <w:rPr>
          <w:rFonts w:ascii="Arial" w:eastAsia="Calibri" w:hAnsi="Arial" w:cs="Arial"/>
          <w:b/>
          <w:smallCaps/>
          <w:color w:val="000000"/>
          <w:kern w:val="24"/>
        </w:rPr>
        <w:tab/>
      </w:r>
      <w:r w:rsidR="005E553C" w:rsidRPr="00DC464B">
        <w:rPr>
          <w:rFonts w:ascii="Arial" w:eastAsia="Calibri" w:hAnsi="Arial" w:cs="Arial"/>
          <w:b/>
          <w:smallCaps/>
          <w:color w:val="000000"/>
          <w:kern w:val="24"/>
        </w:rPr>
        <w:tab/>
      </w:r>
      <w:r w:rsidR="005E553C" w:rsidRPr="00DC464B">
        <w:rPr>
          <w:rFonts w:ascii="Arial" w:eastAsia="Calibri" w:hAnsi="Arial" w:cs="Arial"/>
          <w:b/>
          <w:smallCaps/>
          <w:color w:val="000000"/>
          <w:kern w:val="24"/>
        </w:rPr>
        <w:tab/>
        <w:t xml:space="preserve"> </w:t>
      </w:r>
      <w:r w:rsidR="005E553C" w:rsidRPr="00DC464B">
        <w:rPr>
          <w:rFonts w:ascii="Arial" w:eastAsia="Calibri" w:hAnsi="Arial" w:cs="Arial"/>
          <w:b/>
          <w:smallCaps/>
          <w:color w:val="000000"/>
          <w:kern w:val="24"/>
          <w:u w:val="single"/>
        </w:rPr>
        <w:t>RESPONDENT</w:t>
      </w:r>
    </w:p>
    <w:p w14:paraId="34C346F3" w14:textId="77777777" w:rsidR="005E553C" w:rsidRPr="00DC464B" w:rsidRDefault="005E553C" w:rsidP="005E553C">
      <w:pPr>
        <w:jc w:val="center"/>
        <w:rPr>
          <w:rFonts w:ascii="Arial" w:eastAsia="Calibri" w:hAnsi="Arial" w:cs="Arial"/>
          <w:b/>
          <w:smallCaps/>
          <w:color w:val="000000"/>
          <w:kern w:val="24"/>
        </w:rPr>
      </w:pPr>
    </w:p>
    <w:p w14:paraId="42859724" w14:textId="77777777" w:rsidR="005E553C" w:rsidRPr="00DC464B" w:rsidRDefault="005E553C" w:rsidP="005E553C">
      <w:pPr>
        <w:jc w:val="center"/>
        <w:rPr>
          <w:rFonts w:ascii="Arial" w:eastAsia="Calibri" w:hAnsi="Arial" w:cs="Arial"/>
          <w:b/>
          <w:smallCaps/>
          <w:color w:val="000000"/>
          <w:kern w:val="24"/>
        </w:rPr>
      </w:pPr>
    </w:p>
    <w:p w14:paraId="1A042921" w14:textId="77777777" w:rsidR="005E553C" w:rsidRPr="00DC464B" w:rsidRDefault="005E553C" w:rsidP="005E553C">
      <w:pPr>
        <w:jc w:val="center"/>
        <w:rPr>
          <w:rFonts w:ascii="Arial" w:eastAsia="Calibri" w:hAnsi="Arial" w:cs="Arial"/>
          <w:b/>
          <w:smallCaps/>
          <w:color w:val="000000"/>
          <w:kern w:val="24"/>
        </w:rPr>
      </w:pPr>
    </w:p>
    <w:p w14:paraId="2CAAA3CB" w14:textId="77777777" w:rsidR="005E553C" w:rsidRPr="00DC464B" w:rsidRDefault="005E553C" w:rsidP="005E553C">
      <w:pPr>
        <w:jc w:val="center"/>
        <w:rPr>
          <w:rFonts w:ascii="Arial" w:eastAsia="Calibri" w:hAnsi="Arial" w:cs="Arial"/>
          <w:b/>
          <w:smallCaps/>
          <w:color w:val="000000"/>
          <w:kern w:val="24"/>
        </w:rPr>
      </w:pPr>
    </w:p>
    <w:p w14:paraId="295A5D31" w14:textId="77777777" w:rsidR="005E553C" w:rsidRPr="00DC464B" w:rsidRDefault="005E553C" w:rsidP="005E553C">
      <w:pPr>
        <w:jc w:val="center"/>
        <w:rPr>
          <w:rFonts w:ascii="Arial" w:eastAsia="Calibri" w:hAnsi="Arial" w:cs="Arial"/>
          <w:b/>
          <w:smallCaps/>
          <w:color w:val="000000"/>
          <w:kern w:val="24"/>
        </w:rPr>
      </w:pPr>
      <w:r w:rsidRPr="00DC464B">
        <w:rPr>
          <w:rFonts w:ascii="Arial" w:eastAsia="Calibri" w:hAnsi="Arial" w:cs="Arial"/>
          <w:b/>
          <w:smallCaps/>
          <w:color w:val="000000"/>
          <w:kern w:val="24"/>
        </w:rPr>
        <w:t>Written Comments Submitted Jointly</w:t>
      </w:r>
    </w:p>
    <w:p w14:paraId="0AB5EE5B" w14:textId="77777777" w:rsidR="005E553C" w:rsidRPr="00DC464B" w:rsidRDefault="005E553C" w:rsidP="005E553C">
      <w:pPr>
        <w:jc w:val="center"/>
        <w:rPr>
          <w:rFonts w:ascii="Arial" w:eastAsia="Calibri" w:hAnsi="Arial" w:cs="Arial"/>
          <w:b/>
          <w:smallCaps/>
          <w:color w:val="000000"/>
          <w:kern w:val="24"/>
        </w:rPr>
      </w:pPr>
    </w:p>
    <w:p w14:paraId="0085CC77" w14:textId="77777777" w:rsidR="005E553C" w:rsidRPr="00DC464B" w:rsidRDefault="005E553C" w:rsidP="005E553C">
      <w:pPr>
        <w:jc w:val="center"/>
        <w:rPr>
          <w:rFonts w:ascii="Arial" w:eastAsia="Calibri" w:hAnsi="Arial" w:cs="Arial"/>
          <w:b/>
          <w:smallCaps/>
          <w:color w:val="000000"/>
          <w:kern w:val="24"/>
        </w:rPr>
      </w:pPr>
      <w:r w:rsidRPr="00DC464B">
        <w:rPr>
          <w:rFonts w:ascii="Arial" w:eastAsia="Calibri" w:hAnsi="Arial" w:cs="Arial"/>
          <w:b/>
          <w:smallCaps/>
          <w:color w:val="000000"/>
          <w:kern w:val="24"/>
        </w:rPr>
        <w:t>by</w:t>
      </w:r>
    </w:p>
    <w:p w14:paraId="28019593" w14:textId="77777777" w:rsidR="005E553C" w:rsidRPr="00DC464B" w:rsidRDefault="005E553C" w:rsidP="005E553C">
      <w:pPr>
        <w:jc w:val="center"/>
        <w:rPr>
          <w:rFonts w:ascii="Arial" w:eastAsia="Calibri" w:hAnsi="Arial" w:cs="Arial"/>
          <w:b/>
          <w:smallCaps/>
          <w:color w:val="000000"/>
          <w:kern w:val="24"/>
        </w:rPr>
      </w:pPr>
    </w:p>
    <w:p w14:paraId="5FD3DF8D" w14:textId="77777777" w:rsidR="005E553C" w:rsidRPr="00DC464B" w:rsidRDefault="005E553C" w:rsidP="005E553C">
      <w:pPr>
        <w:jc w:val="center"/>
        <w:rPr>
          <w:rFonts w:ascii="Arial" w:eastAsia="Calibri" w:hAnsi="Arial" w:cs="Arial"/>
          <w:b/>
          <w:smallCaps/>
          <w:color w:val="000000"/>
          <w:kern w:val="24"/>
        </w:rPr>
      </w:pPr>
    </w:p>
    <w:p w14:paraId="5E33FD93" w14:textId="77777777" w:rsidR="005E553C" w:rsidRPr="00DC464B" w:rsidRDefault="005E553C" w:rsidP="005E553C">
      <w:pPr>
        <w:rPr>
          <w:rFonts w:ascii="Arial" w:eastAsia="Calibri" w:hAnsi="Arial" w:cs="Arial"/>
          <w:b/>
          <w:smallCaps/>
          <w:color w:val="000000"/>
          <w:kern w:val="24"/>
        </w:rPr>
      </w:pPr>
    </w:p>
    <w:p w14:paraId="72F99246" w14:textId="77777777" w:rsidR="00890AD0" w:rsidRDefault="00890AD0" w:rsidP="00890AD0">
      <w:pPr>
        <w:jc w:val="center"/>
        <w:rPr>
          <w:rFonts w:ascii="Arial" w:eastAsia="Calibri" w:hAnsi="Arial" w:cs="Arial"/>
          <w:b/>
          <w:smallCaps/>
          <w:color w:val="000000"/>
          <w:kern w:val="24"/>
        </w:rPr>
      </w:pPr>
    </w:p>
    <w:p w14:paraId="6B6D7892" w14:textId="77777777" w:rsidR="00890AD0" w:rsidRDefault="00890AD0" w:rsidP="00890AD0">
      <w:pPr>
        <w:jc w:val="center"/>
        <w:rPr>
          <w:rFonts w:ascii="Arial" w:eastAsia="Calibri" w:hAnsi="Arial" w:cs="Arial"/>
          <w:b/>
          <w:smallCaps/>
          <w:color w:val="000000"/>
          <w:kern w:val="24"/>
        </w:rPr>
      </w:pPr>
    </w:p>
    <w:p w14:paraId="40609715" w14:textId="48229D4E" w:rsidR="005E553C" w:rsidRDefault="005E553C" w:rsidP="00890AD0">
      <w:pPr>
        <w:jc w:val="center"/>
        <w:rPr>
          <w:rFonts w:ascii="Arial" w:eastAsia="Calibri" w:hAnsi="Arial" w:cs="Arial"/>
          <w:b/>
          <w:smallCaps/>
          <w:color w:val="000000"/>
          <w:kern w:val="24"/>
        </w:rPr>
      </w:pPr>
      <w:r w:rsidRPr="00DC464B">
        <w:rPr>
          <w:rFonts w:ascii="Arial" w:eastAsia="Calibri" w:hAnsi="Arial" w:cs="Arial"/>
          <w:b/>
          <w:smallCaps/>
          <w:color w:val="000000"/>
          <w:kern w:val="24"/>
        </w:rPr>
        <w:t>European Disability Forum</w:t>
      </w:r>
    </w:p>
    <w:p w14:paraId="40B7528F" w14:textId="77777777" w:rsidR="009437AA" w:rsidRDefault="009437AA" w:rsidP="00890AD0">
      <w:pPr>
        <w:jc w:val="center"/>
        <w:rPr>
          <w:rFonts w:ascii="Arial" w:eastAsia="Calibri" w:hAnsi="Arial" w:cs="Arial"/>
          <w:b/>
          <w:smallCaps/>
          <w:color w:val="000000"/>
          <w:kern w:val="24"/>
        </w:rPr>
      </w:pPr>
    </w:p>
    <w:p w14:paraId="53E6FF21" w14:textId="22D68136" w:rsidR="009437AA" w:rsidRDefault="009437AA" w:rsidP="00890AD0">
      <w:pPr>
        <w:jc w:val="center"/>
        <w:rPr>
          <w:rFonts w:ascii="Arial" w:eastAsia="Calibri" w:hAnsi="Arial" w:cs="Arial"/>
          <w:b/>
          <w:smallCaps/>
          <w:color w:val="000000"/>
          <w:kern w:val="24"/>
        </w:rPr>
      </w:pPr>
      <w:proofErr w:type="spellStart"/>
      <w:r w:rsidRPr="009437AA">
        <w:rPr>
          <w:rFonts w:ascii="Arial" w:eastAsia="Calibri" w:hAnsi="Arial" w:cs="Arial"/>
          <w:b/>
          <w:smallCaps/>
          <w:color w:val="000000"/>
          <w:kern w:val="24"/>
        </w:rPr>
        <w:t>Consiliul</w:t>
      </w:r>
      <w:proofErr w:type="spellEnd"/>
      <w:r w:rsidRPr="009437AA">
        <w:rPr>
          <w:rFonts w:ascii="Arial" w:eastAsia="Calibri" w:hAnsi="Arial" w:cs="Arial"/>
          <w:b/>
          <w:smallCaps/>
          <w:color w:val="000000"/>
          <w:kern w:val="24"/>
        </w:rPr>
        <w:t xml:space="preserve"> National al </w:t>
      </w:r>
      <w:proofErr w:type="spellStart"/>
      <w:r w:rsidRPr="009437AA">
        <w:rPr>
          <w:rFonts w:ascii="Arial" w:eastAsia="Calibri" w:hAnsi="Arial" w:cs="Arial"/>
          <w:b/>
          <w:smallCaps/>
          <w:color w:val="000000"/>
          <w:kern w:val="24"/>
        </w:rPr>
        <w:t>Dizabilitatii</w:t>
      </w:r>
      <w:proofErr w:type="spellEnd"/>
      <w:r w:rsidRPr="009437AA">
        <w:rPr>
          <w:rFonts w:ascii="Arial" w:eastAsia="Calibri" w:hAnsi="Arial" w:cs="Arial"/>
          <w:b/>
          <w:smallCaps/>
          <w:color w:val="000000"/>
          <w:kern w:val="24"/>
        </w:rPr>
        <w:t xml:space="preserve"> din Romania (CNDR)</w:t>
      </w:r>
    </w:p>
    <w:p w14:paraId="5FD01841" w14:textId="77777777" w:rsidR="005E553C" w:rsidRPr="00DC464B" w:rsidRDefault="005E553C" w:rsidP="005E553C">
      <w:pPr>
        <w:jc w:val="center"/>
        <w:rPr>
          <w:rFonts w:ascii="Arial" w:eastAsia="Calibri" w:hAnsi="Arial" w:cs="Arial"/>
          <w:b/>
          <w:smallCaps/>
          <w:color w:val="000000"/>
          <w:kern w:val="24"/>
        </w:rPr>
      </w:pPr>
    </w:p>
    <w:p w14:paraId="43986334" w14:textId="77777777" w:rsidR="00890AD0" w:rsidRPr="00DC464B" w:rsidRDefault="00890AD0" w:rsidP="00890AD0">
      <w:pPr>
        <w:jc w:val="center"/>
        <w:rPr>
          <w:rFonts w:ascii="Arial" w:eastAsia="Calibri" w:hAnsi="Arial" w:cs="Arial"/>
          <w:b/>
          <w:smallCaps/>
          <w:color w:val="000000"/>
          <w:kern w:val="24"/>
        </w:rPr>
      </w:pPr>
      <w:r w:rsidRPr="00DC464B">
        <w:rPr>
          <w:rFonts w:ascii="Arial" w:eastAsia="Calibri" w:hAnsi="Arial" w:cs="Arial"/>
          <w:b/>
          <w:smallCaps/>
          <w:color w:val="000000"/>
          <w:kern w:val="24"/>
        </w:rPr>
        <w:t>International Disability Alliance</w:t>
      </w:r>
    </w:p>
    <w:p w14:paraId="15D70D44" w14:textId="77777777" w:rsidR="005E553C" w:rsidRPr="00DC464B" w:rsidRDefault="005E553C" w:rsidP="005E553C">
      <w:pPr>
        <w:jc w:val="center"/>
        <w:rPr>
          <w:rFonts w:ascii="Arial" w:eastAsia="Calibri" w:hAnsi="Arial" w:cs="Arial"/>
          <w:b/>
          <w:smallCaps/>
          <w:color w:val="000000"/>
          <w:kern w:val="24"/>
        </w:rPr>
      </w:pPr>
    </w:p>
    <w:p w14:paraId="7624A44B" w14:textId="77777777" w:rsidR="005E553C" w:rsidRPr="00DC464B" w:rsidRDefault="005E553C" w:rsidP="005E553C">
      <w:pPr>
        <w:jc w:val="center"/>
        <w:rPr>
          <w:rFonts w:ascii="Arial" w:eastAsia="Calibri" w:hAnsi="Arial" w:cs="Arial"/>
          <w:b/>
          <w:smallCaps/>
          <w:color w:val="000000"/>
          <w:kern w:val="24"/>
        </w:rPr>
      </w:pPr>
    </w:p>
    <w:p w14:paraId="76BFD318" w14:textId="77777777" w:rsidR="005E553C" w:rsidRPr="00DC464B" w:rsidRDefault="005E553C" w:rsidP="005E553C">
      <w:pPr>
        <w:jc w:val="center"/>
        <w:rPr>
          <w:rFonts w:ascii="Arial" w:eastAsia="Calibri" w:hAnsi="Arial" w:cs="Arial"/>
          <w:b/>
          <w:color w:val="000000"/>
        </w:rPr>
      </w:pPr>
    </w:p>
    <w:p w14:paraId="381237AE" w14:textId="77777777" w:rsidR="005E553C" w:rsidRPr="00DC464B" w:rsidRDefault="005E553C" w:rsidP="005E553C">
      <w:pPr>
        <w:jc w:val="center"/>
        <w:rPr>
          <w:rFonts w:ascii="Arial" w:eastAsia="Calibri" w:hAnsi="Arial" w:cs="Arial"/>
          <w:b/>
          <w:smallCaps/>
          <w:color w:val="000000"/>
          <w:kern w:val="24"/>
        </w:rPr>
      </w:pPr>
    </w:p>
    <w:p w14:paraId="2DEEE0B5" w14:textId="5870135B" w:rsidR="005E553C" w:rsidRPr="00DC464B" w:rsidRDefault="00890AD0" w:rsidP="005E553C">
      <w:pPr>
        <w:jc w:val="center"/>
        <w:rPr>
          <w:rFonts w:ascii="Arial" w:eastAsia="Calibri" w:hAnsi="Arial" w:cs="Arial"/>
          <w:b/>
          <w:smallCaps/>
          <w:color w:val="000000"/>
          <w:kern w:val="24"/>
        </w:rPr>
      </w:pPr>
      <w:r>
        <w:rPr>
          <w:rFonts w:ascii="Arial" w:eastAsia="Calibri" w:hAnsi="Arial" w:cs="Arial"/>
          <w:b/>
          <w:smallCaps/>
          <w:color w:val="000000"/>
          <w:kern w:val="24"/>
        </w:rPr>
        <w:t>October</w:t>
      </w:r>
      <w:r w:rsidR="005E553C">
        <w:rPr>
          <w:rFonts w:ascii="Arial" w:eastAsia="Calibri" w:hAnsi="Arial" w:cs="Arial"/>
          <w:b/>
          <w:smallCaps/>
          <w:color w:val="000000"/>
          <w:kern w:val="24"/>
        </w:rPr>
        <w:t xml:space="preserve"> </w:t>
      </w:r>
      <w:r>
        <w:rPr>
          <w:rFonts w:ascii="Arial" w:eastAsia="Calibri" w:hAnsi="Arial" w:cs="Arial"/>
          <w:b/>
          <w:smallCaps/>
          <w:color w:val="000000"/>
          <w:kern w:val="24"/>
        </w:rPr>
        <w:t>2017</w:t>
      </w:r>
    </w:p>
    <w:p w14:paraId="402F5912" w14:textId="77777777" w:rsidR="005E553C" w:rsidRPr="00DC464B" w:rsidRDefault="005E553C" w:rsidP="005E553C">
      <w:pPr>
        <w:jc w:val="both"/>
        <w:rPr>
          <w:rFonts w:ascii="Arial" w:eastAsia="Calibri" w:hAnsi="Arial" w:cs="Arial"/>
          <w:b/>
          <w:smallCaps/>
          <w:color w:val="000000"/>
          <w:kern w:val="24"/>
        </w:rPr>
      </w:pPr>
    </w:p>
    <w:p w14:paraId="7378CECB" w14:textId="77777777" w:rsidR="005E553C" w:rsidRPr="00DC464B" w:rsidRDefault="005E553C" w:rsidP="005E553C">
      <w:pPr>
        <w:jc w:val="both"/>
        <w:rPr>
          <w:rFonts w:ascii="Arial" w:eastAsia="Calibri" w:hAnsi="Arial" w:cs="Arial"/>
          <w:b/>
          <w:color w:val="000000"/>
        </w:rPr>
      </w:pPr>
    </w:p>
    <w:p w14:paraId="7CA237FB" w14:textId="77777777" w:rsidR="005E553C" w:rsidRPr="00DC464B" w:rsidRDefault="005E553C" w:rsidP="005E553C">
      <w:pPr>
        <w:jc w:val="both"/>
        <w:rPr>
          <w:rFonts w:ascii="Arial" w:eastAsia="Calibri" w:hAnsi="Arial" w:cs="Arial"/>
          <w:color w:val="000000"/>
        </w:rPr>
      </w:pPr>
    </w:p>
    <w:p w14:paraId="764A8A4C" w14:textId="77777777" w:rsidR="005E553C" w:rsidRPr="00DC464B" w:rsidRDefault="005E553C" w:rsidP="005E553C">
      <w:pPr>
        <w:jc w:val="both"/>
        <w:rPr>
          <w:rFonts w:ascii="Arial" w:eastAsia="Calibri" w:hAnsi="Arial" w:cs="Arial"/>
          <w:color w:val="000000"/>
        </w:rPr>
      </w:pPr>
      <w:r w:rsidRPr="00DC464B">
        <w:rPr>
          <w:rFonts w:ascii="Arial" w:eastAsia="Calibri" w:hAnsi="Arial" w:cs="Arial"/>
          <w:color w:val="000000"/>
        </w:rPr>
        <w:br w:type="page"/>
      </w:r>
    </w:p>
    <w:tbl>
      <w:tblPr>
        <w:tblpPr w:leftFromText="180" w:rightFromText="180" w:vertAnchor="page" w:horzAnchor="margin" w:tblpY="1471"/>
        <w:tblW w:w="0" w:type="auto"/>
        <w:tblLook w:val="04A0" w:firstRow="1" w:lastRow="0" w:firstColumn="1" w:lastColumn="0" w:noHBand="0" w:noVBand="1"/>
      </w:tblPr>
      <w:tblGrid>
        <w:gridCol w:w="4229"/>
        <w:gridCol w:w="4287"/>
      </w:tblGrid>
      <w:tr w:rsidR="005E553C" w:rsidRPr="00DC464B" w14:paraId="65E4EB0C" w14:textId="77777777" w:rsidTr="00E544E3">
        <w:tc>
          <w:tcPr>
            <w:tcW w:w="4229" w:type="dxa"/>
          </w:tcPr>
          <w:p w14:paraId="24A87807" w14:textId="77777777" w:rsidR="005E553C" w:rsidRDefault="005E553C" w:rsidP="005A63FC">
            <w:pPr>
              <w:jc w:val="both"/>
              <w:rPr>
                <w:rFonts w:ascii="Arial" w:eastAsia="Calibri" w:hAnsi="Arial" w:cs="Arial"/>
                <w:b/>
                <w:smallCaps/>
              </w:rPr>
            </w:pPr>
            <w:r w:rsidRPr="00DC464B">
              <w:rPr>
                <w:rFonts w:ascii="Arial" w:eastAsia="Calibri" w:hAnsi="Arial" w:cs="Arial"/>
                <w:b/>
                <w:smallCaps/>
              </w:rPr>
              <w:lastRenderedPageBreak/>
              <w:t>European Disability Forum</w:t>
            </w:r>
          </w:p>
          <w:p w14:paraId="6E11661A" w14:textId="77777777" w:rsidR="005E553C" w:rsidRPr="004B66FC" w:rsidRDefault="005E553C" w:rsidP="005A63FC">
            <w:pPr>
              <w:jc w:val="both"/>
              <w:rPr>
                <w:rFonts w:ascii="Arial" w:eastAsia="Calibri" w:hAnsi="Arial" w:cs="Arial"/>
                <w:b/>
                <w:smallCaps/>
              </w:rPr>
            </w:pPr>
            <w:r>
              <w:rPr>
                <w:rFonts w:ascii="Arial" w:eastAsia="Calibri" w:hAnsi="Arial" w:cs="Arial"/>
              </w:rPr>
              <w:t>S</w:t>
            </w:r>
            <w:r w:rsidRPr="00DC464B">
              <w:rPr>
                <w:rFonts w:ascii="Arial" w:eastAsia="Calibri" w:hAnsi="Arial" w:cs="Arial"/>
              </w:rPr>
              <w:t xml:space="preserve">quare de </w:t>
            </w:r>
            <w:proofErr w:type="spellStart"/>
            <w:r w:rsidRPr="00DC464B">
              <w:rPr>
                <w:rFonts w:ascii="Arial" w:eastAsia="Calibri" w:hAnsi="Arial" w:cs="Arial"/>
              </w:rPr>
              <w:t>Meeûs</w:t>
            </w:r>
            <w:proofErr w:type="spellEnd"/>
            <w:r w:rsidRPr="00DC464B">
              <w:rPr>
                <w:rFonts w:ascii="Arial" w:eastAsia="Calibri" w:hAnsi="Arial" w:cs="Arial"/>
              </w:rPr>
              <w:t xml:space="preserve"> 35</w:t>
            </w:r>
          </w:p>
          <w:p w14:paraId="2C86F12D" w14:textId="77777777" w:rsidR="005E553C" w:rsidRPr="008B23EE" w:rsidRDefault="005E553C" w:rsidP="005A63FC">
            <w:pPr>
              <w:jc w:val="both"/>
              <w:rPr>
                <w:rFonts w:ascii="Arial" w:eastAsia="Calibri" w:hAnsi="Arial" w:cs="Arial"/>
                <w:lang w:val="nl-BE"/>
              </w:rPr>
            </w:pPr>
            <w:r w:rsidRPr="008B23EE">
              <w:rPr>
                <w:rFonts w:ascii="Arial" w:eastAsia="Calibri" w:hAnsi="Arial" w:cs="Arial"/>
                <w:lang w:val="nl-BE"/>
              </w:rPr>
              <w:t xml:space="preserve">B-1000 Brussels </w:t>
            </w:r>
          </w:p>
          <w:p w14:paraId="4FDF1D65" w14:textId="77777777" w:rsidR="005E553C" w:rsidRPr="008B23EE" w:rsidRDefault="005E553C" w:rsidP="005A63FC">
            <w:pPr>
              <w:jc w:val="both"/>
              <w:rPr>
                <w:rFonts w:ascii="Arial" w:eastAsia="Calibri" w:hAnsi="Arial" w:cs="Arial"/>
                <w:lang w:val="nl-BE"/>
              </w:rPr>
            </w:pPr>
            <w:r w:rsidRPr="008B23EE">
              <w:rPr>
                <w:rFonts w:ascii="Arial" w:eastAsia="Calibri" w:hAnsi="Arial" w:cs="Arial"/>
                <w:lang w:val="nl-BE"/>
              </w:rPr>
              <w:t>Belgium</w:t>
            </w:r>
          </w:p>
          <w:p w14:paraId="3D77818F" w14:textId="77777777" w:rsidR="005E553C" w:rsidRPr="008B23EE" w:rsidRDefault="005E553C" w:rsidP="005A63FC">
            <w:pPr>
              <w:jc w:val="both"/>
              <w:rPr>
                <w:rFonts w:ascii="Arial" w:eastAsia="Calibri" w:hAnsi="Arial" w:cs="Arial"/>
                <w:lang w:val="nl-BE"/>
              </w:rPr>
            </w:pPr>
            <w:r w:rsidRPr="008B23EE">
              <w:rPr>
                <w:rFonts w:ascii="Arial" w:eastAsia="Calibri" w:hAnsi="Arial" w:cs="Arial"/>
                <w:lang w:val="nl-BE"/>
              </w:rPr>
              <w:t>+32 2 282 4602</w:t>
            </w:r>
          </w:p>
          <w:p w14:paraId="2CB22AEF" w14:textId="77777777" w:rsidR="005E553C" w:rsidRPr="008B23EE" w:rsidRDefault="00512DEB" w:rsidP="005A63FC">
            <w:pPr>
              <w:jc w:val="both"/>
              <w:rPr>
                <w:rFonts w:ascii="Arial" w:eastAsia="Calibri" w:hAnsi="Arial" w:cs="Arial"/>
                <w:lang w:val="nl-BE"/>
              </w:rPr>
            </w:pPr>
            <w:hyperlink r:id="rId8" w:history="1">
              <w:r w:rsidR="005E553C" w:rsidRPr="008B23EE">
                <w:rPr>
                  <w:rFonts w:ascii="Arial" w:eastAsia="Calibri" w:hAnsi="Arial" w:cs="Arial"/>
                  <w:color w:val="0000FF"/>
                  <w:u w:val="single"/>
                  <w:lang w:val="nl-BE"/>
                </w:rPr>
                <w:t>www.edf-feph.org</w:t>
              </w:r>
            </w:hyperlink>
            <w:r w:rsidR="005E553C" w:rsidRPr="008B23EE">
              <w:rPr>
                <w:rFonts w:ascii="Arial" w:eastAsia="Calibri" w:hAnsi="Arial" w:cs="Arial"/>
                <w:lang w:val="nl-BE"/>
              </w:rPr>
              <w:t xml:space="preserve"> </w:t>
            </w:r>
          </w:p>
          <w:p w14:paraId="4A25E073" w14:textId="77777777" w:rsidR="005E553C" w:rsidRPr="008B23EE" w:rsidRDefault="005E553C" w:rsidP="005A63FC">
            <w:pPr>
              <w:jc w:val="both"/>
              <w:rPr>
                <w:rFonts w:ascii="Arial" w:eastAsia="Calibri" w:hAnsi="Arial" w:cs="Arial"/>
                <w:lang w:val="nl-BE"/>
              </w:rPr>
            </w:pPr>
          </w:p>
          <w:p w14:paraId="2A207C83" w14:textId="77777777" w:rsidR="005E553C" w:rsidRPr="008B23EE" w:rsidRDefault="005E553C" w:rsidP="005A63FC">
            <w:pPr>
              <w:jc w:val="both"/>
              <w:rPr>
                <w:rFonts w:ascii="Arial" w:eastAsia="Calibri" w:hAnsi="Arial" w:cs="Arial"/>
                <w:lang w:val="nl-BE"/>
              </w:rPr>
            </w:pPr>
            <w:r w:rsidRPr="008B23EE">
              <w:rPr>
                <w:rFonts w:ascii="Arial" w:eastAsia="Calibri" w:hAnsi="Arial" w:cs="Arial"/>
                <w:lang w:val="nl-BE"/>
              </w:rPr>
              <w:t>Yannis Vardakastanis</w:t>
            </w:r>
          </w:p>
          <w:p w14:paraId="3B55742C" w14:textId="77777777" w:rsidR="005E553C" w:rsidRPr="008B23EE" w:rsidRDefault="005E553C" w:rsidP="005A63FC">
            <w:pPr>
              <w:jc w:val="both"/>
              <w:rPr>
                <w:rFonts w:ascii="Arial" w:eastAsia="Calibri" w:hAnsi="Arial" w:cs="Arial"/>
                <w:lang w:val="nl-BE"/>
              </w:rPr>
            </w:pPr>
            <w:r w:rsidRPr="008B23EE">
              <w:rPr>
                <w:rFonts w:ascii="Arial" w:eastAsia="Calibri" w:hAnsi="Arial" w:cs="Arial"/>
                <w:lang w:val="nl-BE"/>
              </w:rPr>
              <w:t>President</w:t>
            </w:r>
          </w:p>
          <w:p w14:paraId="585699DE" w14:textId="77777777" w:rsidR="005E553C" w:rsidRPr="008B23EE" w:rsidRDefault="005E553C" w:rsidP="005A63FC">
            <w:pPr>
              <w:jc w:val="both"/>
              <w:rPr>
                <w:rFonts w:ascii="Arial" w:eastAsia="Calibri" w:hAnsi="Arial" w:cs="Arial"/>
                <w:lang w:val="nl-BE"/>
              </w:rPr>
            </w:pPr>
          </w:p>
          <w:p w14:paraId="0D59CA58" w14:textId="77777777" w:rsidR="005E553C" w:rsidRPr="008B23EE" w:rsidRDefault="005E553C" w:rsidP="005A63FC">
            <w:pPr>
              <w:jc w:val="both"/>
              <w:rPr>
                <w:rFonts w:ascii="Arial" w:eastAsia="Calibri" w:hAnsi="Arial" w:cs="Arial"/>
                <w:lang w:val="nl-BE"/>
              </w:rPr>
            </w:pPr>
            <w:r w:rsidRPr="008B23EE">
              <w:rPr>
                <w:rFonts w:ascii="Arial" w:eastAsia="Calibri" w:hAnsi="Arial" w:cs="Arial"/>
                <w:lang w:val="nl-BE"/>
              </w:rPr>
              <w:t>An Sofie Leenknecht</w:t>
            </w:r>
          </w:p>
          <w:p w14:paraId="48B44CA3" w14:textId="77777777" w:rsidR="005E553C" w:rsidRPr="00DC464B" w:rsidRDefault="005E553C" w:rsidP="005A63FC">
            <w:pPr>
              <w:jc w:val="both"/>
              <w:rPr>
                <w:rFonts w:ascii="Arial" w:eastAsia="Calibri" w:hAnsi="Arial" w:cs="Arial"/>
              </w:rPr>
            </w:pPr>
            <w:r w:rsidRPr="00DC464B">
              <w:rPr>
                <w:rFonts w:ascii="Arial" w:eastAsia="Calibri" w:hAnsi="Arial" w:cs="Arial"/>
              </w:rPr>
              <w:t>Human Rights Officer</w:t>
            </w:r>
          </w:p>
          <w:p w14:paraId="47ECEBAC" w14:textId="77777777" w:rsidR="005E553C" w:rsidRPr="00DC464B" w:rsidRDefault="00512DEB" w:rsidP="005A63FC">
            <w:pPr>
              <w:jc w:val="both"/>
              <w:rPr>
                <w:rFonts w:ascii="Arial" w:eastAsia="Calibri" w:hAnsi="Arial" w:cs="Arial"/>
              </w:rPr>
            </w:pPr>
            <w:hyperlink r:id="rId9" w:history="1">
              <w:r w:rsidR="005E553C" w:rsidRPr="00DC464B">
                <w:rPr>
                  <w:rStyle w:val="Hyperlink"/>
                  <w:rFonts w:ascii="Arial" w:eastAsia="Calibri" w:hAnsi="Arial" w:cs="Arial"/>
                </w:rPr>
                <w:t>Ansofie.Leenknecht@edf-feph.org</w:t>
              </w:r>
            </w:hyperlink>
            <w:r w:rsidR="005E553C" w:rsidRPr="00DC464B">
              <w:rPr>
                <w:rFonts w:ascii="Arial" w:eastAsia="Calibri" w:hAnsi="Arial" w:cs="Arial"/>
              </w:rPr>
              <w:t xml:space="preserve"> </w:t>
            </w:r>
          </w:p>
          <w:p w14:paraId="6719F2E2" w14:textId="77777777" w:rsidR="005E553C" w:rsidRPr="00DC464B" w:rsidRDefault="005E553C" w:rsidP="005A63FC">
            <w:pPr>
              <w:jc w:val="both"/>
              <w:rPr>
                <w:rFonts w:ascii="Arial" w:eastAsia="Calibri" w:hAnsi="Arial" w:cs="Arial"/>
              </w:rPr>
            </w:pPr>
          </w:p>
          <w:p w14:paraId="6987BA4A" w14:textId="77777777" w:rsidR="005E553C" w:rsidRPr="00DC464B" w:rsidRDefault="005E553C" w:rsidP="005A63FC">
            <w:pPr>
              <w:jc w:val="both"/>
              <w:rPr>
                <w:rFonts w:ascii="Arial" w:eastAsia="Calibri" w:hAnsi="Arial" w:cs="Arial"/>
                <w:b/>
                <w:smallCaps/>
              </w:rPr>
            </w:pPr>
          </w:p>
        </w:tc>
        <w:tc>
          <w:tcPr>
            <w:tcW w:w="4287" w:type="dxa"/>
            <w:shd w:val="clear" w:color="auto" w:fill="auto"/>
          </w:tcPr>
          <w:p w14:paraId="1702A232" w14:textId="77777777" w:rsidR="005E553C" w:rsidRPr="00DC464B" w:rsidRDefault="005E553C" w:rsidP="005A63FC">
            <w:pPr>
              <w:jc w:val="both"/>
              <w:rPr>
                <w:rFonts w:ascii="Arial" w:eastAsia="Calibri" w:hAnsi="Arial" w:cs="Arial"/>
                <w:b/>
                <w:smallCaps/>
              </w:rPr>
            </w:pPr>
            <w:r w:rsidRPr="00DC464B">
              <w:rPr>
                <w:rFonts w:ascii="Arial" w:eastAsia="Calibri" w:hAnsi="Arial" w:cs="Arial"/>
                <w:b/>
                <w:smallCaps/>
              </w:rPr>
              <w:t>International Disability Alliance</w:t>
            </w:r>
          </w:p>
          <w:p w14:paraId="5B150E90" w14:textId="77777777" w:rsidR="005E553C" w:rsidRPr="00DC464B" w:rsidRDefault="005E553C" w:rsidP="005A63FC">
            <w:pPr>
              <w:jc w:val="both"/>
              <w:rPr>
                <w:rFonts w:ascii="Arial" w:eastAsia="Calibri" w:hAnsi="Arial" w:cs="Arial"/>
              </w:rPr>
            </w:pPr>
            <w:r w:rsidRPr="00DC464B">
              <w:rPr>
                <w:rFonts w:ascii="Arial" w:eastAsia="Calibri" w:hAnsi="Arial" w:cs="Arial"/>
              </w:rPr>
              <w:t xml:space="preserve">150 Route de </w:t>
            </w:r>
            <w:proofErr w:type="spellStart"/>
            <w:r w:rsidRPr="00DC464B">
              <w:rPr>
                <w:rFonts w:ascii="Arial" w:eastAsia="Calibri" w:hAnsi="Arial" w:cs="Arial"/>
              </w:rPr>
              <w:t>Ferney</w:t>
            </w:r>
            <w:proofErr w:type="spellEnd"/>
          </w:p>
          <w:p w14:paraId="51DC7F35" w14:textId="77777777" w:rsidR="005E553C" w:rsidRPr="00DC464B" w:rsidRDefault="005E553C" w:rsidP="005A63FC">
            <w:pPr>
              <w:jc w:val="both"/>
              <w:rPr>
                <w:rFonts w:ascii="Arial" w:eastAsia="Calibri" w:hAnsi="Arial" w:cs="Arial"/>
              </w:rPr>
            </w:pPr>
            <w:r w:rsidRPr="00DC464B">
              <w:rPr>
                <w:rFonts w:ascii="Arial" w:eastAsia="Calibri" w:hAnsi="Arial" w:cs="Arial"/>
              </w:rPr>
              <w:t>CH-1211 Geneva 2</w:t>
            </w:r>
          </w:p>
          <w:p w14:paraId="1308E661" w14:textId="77777777" w:rsidR="005E553C" w:rsidRPr="008B23EE" w:rsidRDefault="005E553C" w:rsidP="005A63FC">
            <w:pPr>
              <w:jc w:val="both"/>
              <w:rPr>
                <w:rFonts w:ascii="Arial" w:eastAsia="Calibri" w:hAnsi="Arial" w:cs="Arial"/>
                <w:lang w:val="nl-BE"/>
              </w:rPr>
            </w:pPr>
            <w:r w:rsidRPr="008B23EE">
              <w:rPr>
                <w:rFonts w:ascii="Arial" w:eastAsia="Calibri" w:hAnsi="Arial" w:cs="Arial"/>
                <w:lang w:val="nl-BE"/>
              </w:rPr>
              <w:t>Switzerland</w:t>
            </w:r>
          </w:p>
          <w:p w14:paraId="577ACDB6" w14:textId="77777777" w:rsidR="005E553C" w:rsidRPr="008B23EE" w:rsidRDefault="005E553C" w:rsidP="005A63FC">
            <w:pPr>
              <w:jc w:val="both"/>
              <w:rPr>
                <w:rFonts w:ascii="Arial" w:eastAsia="Calibri" w:hAnsi="Arial" w:cs="Arial"/>
                <w:lang w:val="nl-BE"/>
              </w:rPr>
            </w:pPr>
            <w:r w:rsidRPr="008B23EE">
              <w:rPr>
                <w:rFonts w:ascii="Arial" w:eastAsia="Calibri" w:hAnsi="Arial" w:cs="Arial"/>
                <w:lang w:val="nl-BE"/>
              </w:rPr>
              <w:t>+41 22 788 4273</w:t>
            </w:r>
          </w:p>
          <w:p w14:paraId="1D329AFB" w14:textId="77777777" w:rsidR="005E553C" w:rsidRPr="008B23EE" w:rsidRDefault="00512DEB" w:rsidP="005A63FC">
            <w:pPr>
              <w:jc w:val="both"/>
              <w:rPr>
                <w:rFonts w:ascii="Arial" w:eastAsia="Calibri" w:hAnsi="Arial" w:cs="Arial"/>
                <w:lang w:val="nl-BE"/>
              </w:rPr>
            </w:pPr>
            <w:hyperlink r:id="rId10" w:history="1">
              <w:r w:rsidR="005E553C" w:rsidRPr="008B23EE">
                <w:rPr>
                  <w:rFonts w:ascii="Arial" w:eastAsia="Calibri" w:hAnsi="Arial" w:cs="Arial"/>
                  <w:color w:val="0000FF"/>
                  <w:u w:val="single"/>
                  <w:lang w:val="nl-BE"/>
                </w:rPr>
                <w:t>www.internationaldisabilityalliance.org</w:t>
              </w:r>
            </w:hyperlink>
            <w:r w:rsidR="005E553C" w:rsidRPr="008B23EE">
              <w:rPr>
                <w:rFonts w:ascii="Arial" w:eastAsia="Calibri" w:hAnsi="Arial" w:cs="Arial"/>
                <w:lang w:val="nl-BE"/>
              </w:rPr>
              <w:t xml:space="preserve"> </w:t>
            </w:r>
          </w:p>
          <w:p w14:paraId="39705D2F" w14:textId="77777777" w:rsidR="005E553C" w:rsidRPr="008B23EE" w:rsidRDefault="005E553C" w:rsidP="005A63FC">
            <w:pPr>
              <w:jc w:val="both"/>
              <w:rPr>
                <w:rFonts w:ascii="Arial" w:eastAsia="Calibri" w:hAnsi="Arial" w:cs="Arial"/>
                <w:lang w:val="nl-BE"/>
              </w:rPr>
            </w:pPr>
          </w:p>
          <w:p w14:paraId="26B3B149" w14:textId="77777777" w:rsidR="005E553C" w:rsidRPr="008B23EE" w:rsidRDefault="005E553C" w:rsidP="005A63FC">
            <w:pPr>
              <w:jc w:val="both"/>
              <w:rPr>
                <w:rFonts w:ascii="Arial" w:eastAsia="Calibri" w:hAnsi="Arial" w:cs="Arial"/>
                <w:lang w:val="nl-BE"/>
              </w:rPr>
            </w:pPr>
            <w:r w:rsidRPr="008B23EE">
              <w:rPr>
                <w:rFonts w:ascii="Arial" w:eastAsia="Calibri" w:hAnsi="Arial" w:cs="Arial"/>
                <w:lang w:val="nl-BE"/>
              </w:rPr>
              <w:t>Yannis Vardakastanis</w:t>
            </w:r>
          </w:p>
          <w:p w14:paraId="56A515DC" w14:textId="77777777" w:rsidR="005E553C" w:rsidRPr="00DC464B" w:rsidRDefault="005E553C" w:rsidP="005A63FC">
            <w:pPr>
              <w:jc w:val="both"/>
              <w:rPr>
                <w:rFonts w:ascii="Arial" w:eastAsia="Calibri" w:hAnsi="Arial" w:cs="Arial"/>
              </w:rPr>
            </w:pPr>
            <w:r w:rsidRPr="00DC464B">
              <w:rPr>
                <w:rFonts w:ascii="Arial" w:eastAsia="Calibri" w:hAnsi="Arial" w:cs="Arial"/>
              </w:rPr>
              <w:t xml:space="preserve">Chair </w:t>
            </w:r>
          </w:p>
          <w:p w14:paraId="164478AF" w14:textId="77777777" w:rsidR="005E553C" w:rsidRPr="00DC464B" w:rsidRDefault="005E553C" w:rsidP="005A63FC">
            <w:pPr>
              <w:jc w:val="both"/>
              <w:rPr>
                <w:rFonts w:ascii="Arial" w:eastAsia="Calibri" w:hAnsi="Arial" w:cs="Arial"/>
              </w:rPr>
            </w:pPr>
          </w:p>
          <w:p w14:paraId="5BD68A4B" w14:textId="45FC7786" w:rsidR="005E553C" w:rsidRPr="00DC464B" w:rsidRDefault="00E544E3" w:rsidP="005A63FC">
            <w:pPr>
              <w:jc w:val="both"/>
              <w:rPr>
                <w:rFonts w:ascii="Arial" w:eastAsia="Calibri" w:hAnsi="Arial" w:cs="Arial"/>
              </w:rPr>
            </w:pPr>
            <w:r>
              <w:rPr>
                <w:rFonts w:ascii="Arial" w:eastAsia="Calibri" w:hAnsi="Arial" w:cs="Arial"/>
              </w:rPr>
              <w:t xml:space="preserve">Silvia </w:t>
            </w:r>
            <w:proofErr w:type="spellStart"/>
            <w:r>
              <w:rPr>
                <w:rFonts w:ascii="Arial" w:eastAsia="Calibri" w:hAnsi="Arial" w:cs="Arial"/>
              </w:rPr>
              <w:t>Quan</w:t>
            </w:r>
            <w:proofErr w:type="spellEnd"/>
          </w:p>
          <w:p w14:paraId="50844C57" w14:textId="20868BFF" w:rsidR="005E553C" w:rsidRPr="00DC464B" w:rsidRDefault="00E544E3" w:rsidP="005A63FC">
            <w:pPr>
              <w:jc w:val="both"/>
              <w:rPr>
                <w:rFonts w:ascii="Arial" w:eastAsia="Calibri" w:hAnsi="Arial" w:cs="Arial"/>
              </w:rPr>
            </w:pPr>
            <w:r>
              <w:rPr>
                <w:rFonts w:ascii="Arial" w:eastAsia="Calibri" w:hAnsi="Arial" w:cs="Arial"/>
              </w:rPr>
              <w:t xml:space="preserve">Senior </w:t>
            </w:r>
            <w:r w:rsidR="005E553C" w:rsidRPr="00DC464B">
              <w:rPr>
                <w:rFonts w:ascii="Arial" w:eastAsia="Calibri" w:hAnsi="Arial" w:cs="Arial"/>
              </w:rPr>
              <w:t xml:space="preserve">Human Rights </w:t>
            </w:r>
            <w:r>
              <w:rPr>
                <w:rFonts w:ascii="Arial" w:eastAsia="Calibri" w:hAnsi="Arial" w:cs="Arial"/>
              </w:rPr>
              <w:t>Adviser</w:t>
            </w:r>
          </w:p>
          <w:p w14:paraId="7E71916C" w14:textId="4B989ADF" w:rsidR="005E553C" w:rsidRPr="00DC464B" w:rsidRDefault="00512DEB" w:rsidP="00E544E3">
            <w:pPr>
              <w:jc w:val="both"/>
              <w:rPr>
                <w:rFonts w:ascii="Arial" w:eastAsia="Calibri" w:hAnsi="Arial" w:cs="Arial"/>
              </w:rPr>
            </w:pPr>
            <w:hyperlink r:id="rId11" w:history="1">
              <w:r w:rsidR="00E544E3">
                <w:rPr>
                  <w:rFonts w:ascii="Arial" w:eastAsia="Calibri" w:hAnsi="Arial" w:cs="Arial"/>
                  <w:color w:val="0000FF"/>
                  <w:u w:val="single"/>
                </w:rPr>
                <w:t>squan@ida-secretariat.org</w:t>
              </w:r>
            </w:hyperlink>
            <w:r w:rsidR="005E553C" w:rsidRPr="00DC464B">
              <w:rPr>
                <w:rFonts w:ascii="Arial" w:eastAsia="Calibri" w:hAnsi="Arial" w:cs="Arial"/>
              </w:rPr>
              <w:t xml:space="preserve"> </w:t>
            </w:r>
          </w:p>
        </w:tc>
      </w:tr>
    </w:tbl>
    <w:p w14:paraId="0D69E1A4" w14:textId="3FCF271C" w:rsidR="009B584B" w:rsidRDefault="009B584B" w:rsidP="009B584B">
      <w:pPr>
        <w:spacing w:line="276" w:lineRule="auto"/>
      </w:pPr>
    </w:p>
    <w:p w14:paraId="74D4AB1C" w14:textId="77777777" w:rsidR="00BC099D" w:rsidRPr="0000098A" w:rsidRDefault="006D0605" w:rsidP="009B584B">
      <w:pPr>
        <w:spacing w:line="276" w:lineRule="auto"/>
        <w:rPr>
          <w:rFonts w:ascii="Arial" w:hAnsi="Arial"/>
          <w:b/>
        </w:rPr>
      </w:pPr>
      <w:r w:rsidRPr="0000098A">
        <w:rPr>
          <w:rFonts w:ascii="Arial" w:hAnsi="Arial"/>
          <w:b/>
        </w:rPr>
        <w:t xml:space="preserve">CONSILIUL NATIONAL AL </w:t>
      </w:r>
    </w:p>
    <w:p w14:paraId="091C2123" w14:textId="753769C5" w:rsidR="00BB6D27" w:rsidRPr="0000098A" w:rsidRDefault="006D0605" w:rsidP="009B584B">
      <w:pPr>
        <w:spacing w:line="276" w:lineRule="auto"/>
        <w:rPr>
          <w:rFonts w:ascii="Arial" w:hAnsi="Arial"/>
          <w:b/>
        </w:rPr>
      </w:pPr>
      <w:r w:rsidRPr="0000098A">
        <w:rPr>
          <w:rFonts w:ascii="Arial" w:hAnsi="Arial"/>
          <w:b/>
        </w:rPr>
        <w:t xml:space="preserve">DIZABILITATII DIN ROMANIA </w:t>
      </w:r>
    </w:p>
    <w:p w14:paraId="56D527F2" w14:textId="77777777" w:rsidR="009B584B" w:rsidRPr="0000098A" w:rsidRDefault="009B584B" w:rsidP="009B584B">
      <w:pPr>
        <w:rPr>
          <w:rFonts w:ascii="Arial" w:hAnsi="Arial" w:cs="Arial"/>
          <w:lang w:val="en-GB"/>
        </w:rPr>
      </w:pPr>
      <w:r w:rsidRPr="0000098A">
        <w:rPr>
          <w:rFonts w:ascii="Arial" w:hAnsi="Arial" w:cs="Arial"/>
          <w:lang w:val="en-GB"/>
        </w:rPr>
        <w:t xml:space="preserve">Str. </w:t>
      </w:r>
      <w:proofErr w:type="spellStart"/>
      <w:r w:rsidRPr="0000098A">
        <w:rPr>
          <w:rFonts w:ascii="Arial" w:hAnsi="Arial" w:cs="Arial"/>
          <w:lang w:val="en-GB"/>
        </w:rPr>
        <w:t>Cauzasi</w:t>
      </w:r>
      <w:proofErr w:type="spellEnd"/>
      <w:r w:rsidRPr="0000098A">
        <w:rPr>
          <w:rFonts w:ascii="Arial" w:hAnsi="Arial" w:cs="Arial"/>
          <w:lang w:val="en-GB"/>
        </w:rPr>
        <w:t xml:space="preserve">, </w:t>
      </w:r>
      <w:proofErr w:type="spellStart"/>
      <w:r w:rsidRPr="0000098A">
        <w:rPr>
          <w:rFonts w:ascii="Arial" w:hAnsi="Arial" w:cs="Arial"/>
          <w:lang w:val="en-GB"/>
        </w:rPr>
        <w:t>nr</w:t>
      </w:r>
      <w:proofErr w:type="spellEnd"/>
      <w:r w:rsidRPr="0000098A">
        <w:rPr>
          <w:rFonts w:ascii="Arial" w:hAnsi="Arial" w:cs="Arial"/>
          <w:lang w:val="en-GB"/>
        </w:rPr>
        <w:t>. 26</w:t>
      </w:r>
    </w:p>
    <w:p w14:paraId="6ED6F358" w14:textId="09F0BC7F" w:rsidR="009B584B" w:rsidRPr="0000098A" w:rsidRDefault="009B584B" w:rsidP="009B584B">
      <w:pPr>
        <w:rPr>
          <w:rFonts w:ascii="Arial" w:hAnsi="Arial" w:cs="Arial"/>
        </w:rPr>
      </w:pPr>
      <w:r w:rsidRPr="0000098A">
        <w:rPr>
          <w:rFonts w:ascii="Arial" w:hAnsi="Arial" w:cs="Arial"/>
          <w:lang w:val="fr-BE"/>
        </w:rPr>
        <w:t xml:space="preserve">Bucuresti, </w:t>
      </w:r>
      <w:proofErr w:type="spellStart"/>
      <w:r w:rsidRPr="0000098A">
        <w:rPr>
          <w:rFonts w:ascii="Arial" w:hAnsi="Arial" w:cs="Arial"/>
          <w:lang w:val="fr-BE"/>
        </w:rPr>
        <w:t>Sector</w:t>
      </w:r>
      <w:proofErr w:type="spellEnd"/>
      <w:r w:rsidRPr="0000098A">
        <w:rPr>
          <w:rFonts w:ascii="Arial" w:hAnsi="Arial" w:cs="Arial"/>
          <w:lang w:val="fr-BE"/>
        </w:rPr>
        <w:t xml:space="preserve"> 3</w:t>
      </w:r>
      <w:r w:rsidR="0000098A" w:rsidRPr="0000098A">
        <w:rPr>
          <w:rFonts w:ascii="Arial" w:hAnsi="Arial" w:cs="Arial"/>
          <w:lang w:val="fr-BE"/>
        </w:rPr>
        <w:t xml:space="preserve">, </w:t>
      </w:r>
      <w:r w:rsidRPr="0000098A">
        <w:rPr>
          <w:rFonts w:ascii="Arial" w:hAnsi="Arial" w:cs="Arial"/>
          <w:lang w:val="fr-BE"/>
        </w:rPr>
        <w:t>Romania</w:t>
      </w:r>
      <w:r w:rsidRPr="0000098A">
        <w:rPr>
          <w:rFonts w:ascii="Arial" w:hAnsi="Arial" w:cs="Arial"/>
        </w:rPr>
        <w:t xml:space="preserve"> </w:t>
      </w:r>
    </w:p>
    <w:p w14:paraId="52F8704B" w14:textId="77777777" w:rsidR="0000098A" w:rsidRDefault="0000098A" w:rsidP="0000098A">
      <w:pPr>
        <w:rPr>
          <w:rFonts w:ascii="Arial" w:hAnsi="Arial" w:cs="Arial"/>
          <w:lang w:val="en"/>
        </w:rPr>
      </w:pPr>
    </w:p>
    <w:p w14:paraId="723C92D2" w14:textId="1FD3657F" w:rsidR="000D5676" w:rsidRPr="00F12B65" w:rsidRDefault="000D5676" w:rsidP="0000098A">
      <w:pPr>
        <w:rPr>
          <w:rFonts w:ascii="Arial" w:hAnsi="Arial" w:cs="Arial"/>
          <w:lang w:val="en"/>
        </w:rPr>
      </w:pPr>
      <w:r w:rsidRPr="000D5676">
        <w:rPr>
          <w:rFonts w:ascii="Arial" w:hAnsi="Arial" w:cs="Arial"/>
          <w:lang w:val="en"/>
        </w:rPr>
        <w:t xml:space="preserve">Daniela </w:t>
      </w:r>
      <w:proofErr w:type="spellStart"/>
      <w:r w:rsidRPr="000D5676">
        <w:rPr>
          <w:rFonts w:ascii="Arial" w:hAnsi="Arial" w:cs="Arial"/>
          <w:lang w:val="en"/>
        </w:rPr>
        <w:t>Tontsch</w:t>
      </w:r>
      <w:proofErr w:type="spellEnd"/>
      <w:r w:rsidRPr="000D5676">
        <w:rPr>
          <w:rFonts w:ascii="Arial" w:hAnsi="Arial" w:cs="Arial"/>
          <w:lang w:val="en"/>
        </w:rPr>
        <w:t xml:space="preserve">' </w:t>
      </w:r>
    </w:p>
    <w:p w14:paraId="737C079C" w14:textId="1FF8C97C" w:rsidR="0000098A" w:rsidRPr="00F12B65" w:rsidRDefault="0000098A" w:rsidP="009B584B">
      <w:pPr>
        <w:rPr>
          <w:rFonts w:ascii="Arial" w:hAnsi="Arial" w:cs="Arial"/>
          <w:lang w:val="en"/>
        </w:rPr>
      </w:pPr>
      <w:r w:rsidRPr="00F12B65">
        <w:rPr>
          <w:rFonts w:ascii="Arial" w:hAnsi="Arial" w:cs="Arial"/>
          <w:lang w:val="en"/>
        </w:rPr>
        <w:t xml:space="preserve">President </w:t>
      </w:r>
    </w:p>
    <w:p w14:paraId="6ACFBB7B" w14:textId="0BE97ED3" w:rsidR="005E553C" w:rsidRPr="00E544E3" w:rsidRDefault="000D5676" w:rsidP="005E553C">
      <w:pPr>
        <w:pStyle w:val="MediumGrid21"/>
        <w:jc w:val="both"/>
        <w:rPr>
          <w:rFonts w:ascii="Arial" w:hAnsi="Arial"/>
          <w:b/>
          <w:szCs w:val="24"/>
          <w:lang w:val="en-GB"/>
        </w:rPr>
      </w:pPr>
      <w:hyperlink r:id="rId12" w:history="1">
        <w:r w:rsidRPr="009E1036">
          <w:rPr>
            <w:rStyle w:val="Hyperlink"/>
            <w:rFonts w:ascii="Arial" w:hAnsi="Arial" w:cs="Arial"/>
            <w:lang w:val="en"/>
          </w:rPr>
          <w:t>danielatontsch@yahoo.com</w:t>
        </w:r>
      </w:hyperlink>
    </w:p>
    <w:p w14:paraId="3E583AE5" w14:textId="77777777" w:rsidR="005E553C" w:rsidRPr="00E544E3" w:rsidRDefault="005E553C" w:rsidP="005E553C">
      <w:pPr>
        <w:pStyle w:val="MediumGrid21"/>
        <w:jc w:val="both"/>
        <w:rPr>
          <w:rFonts w:ascii="Arial" w:hAnsi="Arial"/>
          <w:b/>
          <w:szCs w:val="24"/>
          <w:lang w:val="en-GB"/>
        </w:rPr>
      </w:pPr>
    </w:p>
    <w:p w14:paraId="59D83B88" w14:textId="77777777" w:rsidR="005E553C" w:rsidRPr="00E544E3" w:rsidRDefault="005E553C" w:rsidP="005E553C">
      <w:pPr>
        <w:pStyle w:val="MediumGrid21"/>
        <w:jc w:val="both"/>
        <w:rPr>
          <w:rFonts w:ascii="Arial" w:hAnsi="Arial"/>
          <w:b/>
          <w:szCs w:val="24"/>
          <w:lang w:val="en-GB"/>
        </w:rPr>
      </w:pPr>
    </w:p>
    <w:p w14:paraId="5770B02A" w14:textId="77777777" w:rsidR="005E553C" w:rsidRPr="00E544E3" w:rsidRDefault="005E553C" w:rsidP="005E553C">
      <w:pPr>
        <w:pStyle w:val="MediumGrid21"/>
        <w:jc w:val="both"/>
        <w:rPr>
          <w:rFonts w:ascii="Arial" w:hAnsi="Arial"/>
          <w:b/>
          <w:szCs w:val="24"/>
          <w:lang w:val="en-GB"/>
        </w:rPr>
      </w:pPr>
    </w:p>
    <w:p w14:paraId="19231A58" w14:textId="77777777" w:rsidR="005E553C" w:rsidRPr="00E544E3" w:rsidRDefault="005E553C" w:rsidP="005E553C">
      <w:pPr>
        <w:pStyle w:val="MediumGrid21"/>
        <w:jc w:val="center"/>
        <w:rPr>
          <w:rFonts w:ascii="Arial" w:hAnsi="Arial"/>
          <w:b/>
          <w:szCs w:val="24"/>
          <w:lang w:val="en-GB"/>
        </w:rPr>
      </w:pPr>
      <w:r w:rsidRPr="00E544E3">
        <w:rPr>
          <w:rFonts w:ascii="Arial" w:hAnsi="Arial"/>
          <w:b/>
          <w:szCs w:val="24"/>
          <w:lang w:val="en-GB"/>
        </w:rPr>
        <w:br w:type="page"/>
      </w:r>
    </w:p>
    <w:p w14:paraId="72B668B3" w14:textId="77777777" w:rsidR="005E553C" w:rsidRPr="00DC464B" w:rsidRDefault="005E553C" w:rsidP="005E553C">
      <w:pPr>
        <w:pStyle w:val="MediumGrid21"/>
        <w:jc w:val="center"/>
        <w:rPr>
          <w:rFonts w:ascii="Arial" w:hAnsi="Arial"/>
          <w:b/>
          <w:color w:val="000000"/>
          <w:lang w:val="en-GB"/>
        </w:rPr>
      </w:pPr>
      <w:r w:rsidRPr="00DC464B">
        <w:rPr>
          <w:rFonts w:ascii="Arial" w:hAnsi="Arial"/>
          <w:b/>
          <w:color w:val="000000"/>
          <w:lang w:val="en-GB"/>
        </w:rPr>
        <w:lastRenderedPageBreak/>
        <w:t>CONTENTS</w:t>
      </w:r>
    </w:p>
    <w:p w14:paraId="5ADB86D9" w14:textId="77777777" w:rsidR="005E553C" w:rsidRPr="00DC464B" w:rsidRDefault="005E553C" w:rsidP="005E553C">
      <w:pPr>
        <w:pStyle w:val="MediumGrid21"/>
        <w:jc w:val="both"/>
        <w:rPr>
          <w:rFonts w:ascii="Arial" w:hAnsi="Arial"/>
          <w:color w:val="000000"/>
          <w:lang w:val="en-GB"/>
        </w:rPr>
      </w:pPr>
    </w:p>
    <w:p w14:paraId="32D11B5C" w14:textId="77777777" w:rsidR="005E553C" w:rsidRPr="00DC464B" w:rsidRDefault="005E553C" w:rsidP="005E553C">
      <w:pPr>
        <w:pStyle w:val="MediumGrid21"/>
        <w:jc w:val="both"/>
        <w:rPr>
          <w:rFonts w:ascii="Arial" w:hAnsi="Arial"/>
          <w:color w:val="000000"/>
          <w:lang w:val="en-GB"/>
        </w:rPr>
      </w:pPr>
    </w:p>
    <w:p w14:paraId="1B135AD0" w14:textId="77777777" w:rsidR="005E553C" w:rsidRPr="00DC464B" w:rsidRDefault="005E553C" w:rsidP="005E553C">
      <w:pPr>
        <w:pStyle w:val="MediumGrid21"/>
        <w:jc w:val="both"/>
        <w:rPr>
          <w:rFonts w:ascii="Arial" w:hAnsi="Arial"/>
          <w:b/>
          <w:caps/>
          <w:color w:val="000000"/>
          <w:lang w:val="en-GB"/>
        </w:rPr>
      </w:pPr>
    </w:p>
    <w:p w14:paraId="508F8E7D" w14:textId="77777777" w:rsidR="005E553C" w:rsidRPr="00DC464B" w:rsidRDefault="005E553C" w:rsidP="005E553C">
      <w:pPr>
        <w:pStyle w:val="MediumGrid21"/>
        <w:numPr>
          <w:ilvl w:val="0"/>
          <w:numId w:val="2"/>
        </w:numPr>
        <w:rPr>
          <w:rFonts w:ascii="Arial" w:hAnsi="Arial"/>
          <w:b/>
          <w:caps/>
          <w:color w:val="000000"/>
          <w:lang w:val="en-GB"/>
        </w:rPr>
      </w:pPr>
      <w:r w:rsidRPr="00DC464B">
        <w:rPr>
          <w:rFonts w:ascii="Arial" w:hAnsi="Arial"/>
          <w:b/>
          <w:caps/>
          <w:color w:val="000000"/>
          <w:lang w:val="en-GB"/>
        </w:rPr>
        <w:t xml:space="preserve">INTRODUCTION </w:t>
      </w:r>
    </w:p>
    <w:p w14:paraId="2E5A42B4" w14:textId="77777777" w:rsidR="005E553C" w:rsidRPr="00DC464B" w:rsidRDefault="005E553C" w:rsidP="005E553C">
      <w:pPr>
        <w:pStyle w:val="MediumGrid21"/>
        <w:ind w:left="1430"/>
        <w:rPr>
          <w:rFonts w:ascii="Arial" w:hAnsi="Arial"/>
          <w:b/>
          <w:caps/>
          <w:color w:val="000000"/>
          <w:lang w:val="en-GB"/>
        </w:rPr>
      </w:pPr>
    </w:p>
    <w:p w14:paraId="3429D168" w14:textId="68EB1E66" w:rsidR="00D61C40" w:rsidRPr="00305018" w:rsidRDefault="00D61C40" w:rsidP="00346BD4">
      <w:pPr>
        <w:ind w:left="1430" w:hanging="720"/>
        <w:jc w:val="both"/>
        <w:rPr>
          <w:rFonts w:ascii="Arial" w:hAnsi="Arial" w:cs="Arial"/>
          <w:b/>
          <w:sz w:val="22"/>
          <w:szCs w:val="22"/>
          <w:lang w:val="en-GB"/>
        </w:rPr>
      </w:pPr>
      <w:r w:rsidRPr="00305018">
        <w:rPr>
          <w:rFonts w:ascii="Arial" w:hAnsi="Arial" w:cs="Arial"/>
          <w:b/>
          <w:sz w:val="22"/>
          <w:szCs w:val="22"/>
          <w:lang w:val="en-GB"/>
        </w:rPr>
        <w:t xml:space="preserve">II. </w:t>
      </w:r>
      <w:r w:rsidR="00346BD4">
        <w:rPr>
          <w:rFonts w:ascii="Arial" w:hAnsi="Arial" w:cs="Arial"/>
          <w:b/>
          <w:sz w:val="22"/>
          <w:szCs w:val="22"/>
          <w:lang w:val="en-GB"/>
        </w:rPr>
        <w:tab/>
      </w:r>
      <w:r w:rsidRPr="00305018">
        <w:rPr>
          <w:rFonts w:ascii="Arial" w:hAnsi="Arial" w:cs="Arial"/>
          <w:b/>
          <w:sz w:val="22"/>
          <w:szCs w:val="22"/>
          <w:lang w:val="en-GB"/>
        </w:rPr>
        <w:t>INTERNATIONAL STANDARDS ON RIGHTS OF PERSONS WITH DISABILITIES</w:t>
      </w:r>
    </w:p>
    <w:p w14:paraId="256639E7" w14:textId="77777777" w:rsidR="005E553C" w:rsidRDefault="005E553C" w:rsidP="005E553C">
      <w:pPr>
        <w:pStyle w:val="MediumGrid21"/>
        <w:rPr>
          <w:rFonts w:ascii="Arial" w:hAnsi="Arial"/>
          <w:b/>
          <w:caps/>
          <w:color w:val="000000"/>
          <w:lang w:val="en-GB"/>
        </w:rPr>
      </w:pPr>
    </w:p>
    <w:p w14:paraId="6E01495B" w14:textId="22CB423F" w:rsidR="00D61C40" w:rsidRDefault="00D61C40" w:rsidP="00D61C40">
      <w:pPr>
        <w:pStyle w:val="ListParagraph"/>
        <w:numPr>
          <w:ilvl w:val="0"/>
          <w:numId w:val="3"/>
        </w:numPr>
        <w:jc w:val="both"/>
        <w:rPr>
          <w:rFonts w:ascii="Arial" w:hAnsi="Arial" w:cs="Arial"/>
          <w:b/>
          <w:sz w:val="22"/>
          <w:szCs w:val="22"/>
          <w:lang w:val="en-GB"/>
        </w:rPr>
      </w:pPr>
      <w:r w:rsidRPr="00D61C40">
        <w:rPr>
          <w:rFonts w:ascii="Arial" w:hAnsi="Arial" w:cs="Arial"/>
          <w:b/>
          <w:sz w:val="22"/>
          <w:szCs w:val="22"/>
          <w:lang w:val="en-GB"/>
        </w:rPr>
        <w:t>United Nations Convention on the Rights of Persons with Disabilities</w:t>
      </w:r>
    </w:p>
    <w:p w14:paraId="46A6C20B" w14:textId="77777777" w:rsidR="00D61C40" w:rsidRPr="00D61C40" w:rsidRDefault="00D61C40" w:rsidP="00D61C40">
      <w:pPr>
        <w:pStyle w:val="ListParagraph"/>
        <w:ind w:left="1790"/>
        <w:jc w:val="both"/>
        <w:rPr>
          <w:rFonts w:ascii="Arial" w:hAnsi="Arial" w:cs="Arial"/>
          <w:b/>
          <w:sz w:val="22"/>
          <w:szCs w:val="22"/>
          <w:lang w:val="en-GB"/>
        </w:rPr>
      </w:pPr>
    </w:p>
    <w:p w14:paraId="30114D32" w14:textId="066EF24F" w:rsidR="00D61C40" w:rsidRDefault="00D61C40" w:rsidP="00D61C40">
      <w:pPr>
        <w:pStyle w:val="ListParagraph"/>
        <w:numPr>
          <w:ilvl w:val="0"/>
          <w:numId w:val="3"/>
        </w:numPr>
        <w:jc w:val="both"/>
        <w:rPr>
          <w:rFonts w:ascii="Arial" w:hAnsi="Arial" w:cs="Arial"/>
          <w:b/>
          <w:sz w:val="22"/>
          <w:szCs w:val="22"/>
          <w:lang w:val="en-GB"/>
        </w:rPr>
      </w:pPr>
      <w:r w:rsidRPr="00D61C40">
        <w:rPr>
          <w:rFonts w:ascii="Arial" w:hAnsi="Arial" w:cs="Arial"/>
          <w:b/>
          <w:sz w:val="22"/>
          <w:szCs w:val="22"/>
          <w:lang w:val="en-GB"/>
        </w:rPr>
        <w:t>Key principles of the CRPD: accessibility, non-discrimination and reasonable accommodation</w:t>
      </w:r>
    </w:p>
    <w:p w14:paraId="0F25104B" w14:textId="77777777" w:rsidR="00A202D9" w:rsidRPr="00A202D9" w:rsidRDefault="00A202D9" w:rsidP="00A202D9">
      <w:pPr>
        <w:jc w:val="both"/>
        <w:rPr>
          <w:rFonts w:ascii="Arial" w:hAnsi="Arial" w:cs="Arial"/>
          <w:b/>
          <w:sz w:val="22"/>
          <w:szCs w:val="22"/>
          <w:lang w:val="en-GB"/>
        </w:rPr>
      </w:pPr>
    </w:p>
    <w:p w14:paraId="76575356" w14:textId="3B524076" w:rsidR="00A202D9" w:rsidRDefault="00A202D9" w:rsidP="00A202D9">
      <w:pPr>
        <w:pStyle w:val="ListParagraph"/>
        <w:ind w:left="1790"/>
        <w:jc w:val="both"/>
        <w:rPr>
          <w:rFonts w:ascii="Arial" w:hAnsi="Arial" w:cs="Arial"/>
          <w:b/>
          <w:sz w:val="22"/>
          <w:szCs w:val="22"/>
          <w:lang w:val="en-GB"/>
        </w:rPr>
      </w:pPr>
      <w:r w:rsidRPr="00A202D9">
        <w:rPr>
          <w:rFonts w:ascii="Arial" w:hAnsi="Arial" w:cs="Arial"/>
          <w:b/>
          <w:sz w:val="22"/>
          <w:szCs w:val="22"/>
          <w:lang w:val="en-GB"/>
        </w:rPr>
        <w:t>Non-discrimination and reasonable accommodation</w:t>
      </w:r>
    </w:p>
    <w:p w14:paraId="083B50D6" w14:textId="77777777" w:rsidR="00A202D9" w:rsidRDefault="00A202D9" w:rsidP="00A202D9">
      <w:pPr>
        <w:pStyle w:val="ListParagraph"/>
        <w:ind w:left="1790"/>
        <w:jc w:val="both"/>
        <w:rPr>
          <w:rFonts w:ascii="Arial" w:hAnsi="Arial" w:cs="Arial"/>
          <w:b/>
          <w:sz w:val="22"/>
          <w:szCs w:val="22"/>
          <w:lang w:val="en-GB"/>
        </w:rPr>
      </w:pPr>
    </w:p>
    <w:p w14:paraId="6698E5C6" w14:textId="58BA7DF6" w:rsidR="00A202D9" w:rsidRDefault="00A202D9" w:rsidP="00A202D9">
      <w:pPr>
        <w:pStyle w:val="ListParagraph"/>
        <w:ind w:left="1790"/>
        <w:jc w:val="both"/>
        <w:rPr>
          <w:rFonts w:ascii="Arial" w:hAnsi="Arial" w:cs="Arial"/>
          <w:b/>
          <w:sz w:val="22"/>
          <w:szCs w:val="22"/>
          <w:lang w:val="en-GB"/>
        </w:rPr>
      </w:pPr>
      <w:r w:rsidRPr="00A202D9">
        <w:rPr>
          <w:rFonts w:ascii="Arial" w:hAnsi="Arial" w:cs="Arial"/>
          <w:b/>
          <w:sz w:val="22"/>
          <w:szCs w:val="22"/>
          <w:lang w:val="en-GB"/>
        </w:rPr>
        <w:t>Accessibility</w:t>
      </w:r>
    </w:p>
    <w:p w14:paraId="7C4ABD29" w14:textId="77777777" w:rsidR="00A202D9" w:rsidRDefault="00A202D9" w:rsidP="00A202D9">
      <w:pPr>
        <w:pStyle w:val="ListParagraph"/>
        <w:ind w:left="1790"/>
        <w:jc w:val="both"/>
        <w:rPr>
          <w:rFonts w:ascii="Arial" w:hAnsi="Arial" w:cs="Arial"/>
          <w:b/>
          <w:sz w:val="22"/>
          <w:szCs w:val="22"/>
          <w:lang w:val="en-GB"/>
        </w:rPr>
      </w:pPr>
    </w:p>
    <w:p w14:paraId="0D8CBFEC" w14:textId="77777777" w:rsidR="00A202D9" w:rsidRDefault="00A202D9" w:rsidP="00A202D9">
      <w:pPr>
        <w:ind w:left="1790"/>
        <w:jc w:val="both"/>
        <w:rPr>
          <w:rFonts w:ascii="Arial" w:hAnsi="Arial" w:cs="Arial"/>
          <w:b/>
          <w:sz w:val="22"/>
          <w:szCs w:val="22"/>
        </w:rPr>
      </w:pPr>
      <w:r w:rsidRPr="00B61C4B">
        <w:rPr>
          <w:rFonts w:ascii="Arial" w:hAnsi="Arial" w:cs="Arial"/>
          <w:b/>
          <w:i/>
          <w:iCs/>
          <w:sz w:val="22"/>
          <w:szCs w:val="22"/>
        </w:rPr>
        <w:t xml:space="preserve">Intimate link and interactions between accessibility and </w:t>
      </w:r>
      <w:r>
        <w:rPr>
          <w:rFonts w:ascii="Arial" w:hAnsi="Arial" w:cs="Arial"/>
          <w:b/>
          <w:i/>
          <w:iCs/>
          <w:sz w:val="22"/>
          <w:szCs w:val="22"/>
        </w:rPr>
        <w:t xml:space="preserve">the duty to provide </w:t>
      </w:r>
      <w:r w:rsidRPr="00B61C4B">
        <w:rPr>
          <w:rFonts w:ascii="Arial" w:hAnsi="Arial" w:cs="Arial"/>
          <w:b/>
          <w:i/>
          <w:iCs/>
          <w:sz w:val="22"/>
          <w:szCs w:val="22"/>
        </w:rPr>
        <w:t xml:space="preserve">reasonable accommodation </w:t>
      </w:r>
      <w:r w:rsidRPr="00B61C4B">
        <w:rPr>
          <w:rFonts w:ascii="Arial" w:hAnsi="Arial" w:cs="Arial"/>
          <w:b/>
          <w:sz w:val="22"/>
          <w:szCs w:val="22"/>
        </w:rPr>
        <w:t> </w:t>
      </w:r>
    </w:p>
    <w:p w14:paraId="1892035C" w14:textId="77777777" w:rsidR="00A202D9" w:rsidRDefault="00A202D9" w:rsidP="00A202D9">
      <w:pPr>
        <w:jc w:val="both"/>
        <w:rPr>
          <w:rFonts w:ascii="Arial" w:hAnsi="Arial" w:cs="Arial"/>
          <w:b/>
          <w:sz w:val="22"/>
          <w:szCs w:val="22"/>
          <w:lang w:val="en-GB"/>
        </w:rPr>
      </w:pPr>
    </w:p>
    <w:p w14:paraId="1B2AF5CD" w14:textId="77777777" w:rsidR="00A202D9" w:rsidRDefault="00A202D9" w:rsidP="00A202D9">
      <w:pPr>
        <w:pStyle w:val="ListParagraph"/>
        <w:numPr>
          <w:ilvl w:val="0"/>
          <w:numId w:val="3"/>
        </w:numPr>
        <w:jc w:val="both"/>
        <w:rPr>
          <w:rFonts w:ascii="Arial" w:hAnsi="Arial" w:cs="Arial"/>
          <w:b/>
          <w:sz w:val="22"/>
          <w:szCs w:val="22"/>
          <w:lang w:val="en-GB"/>
        </w:rPr>
      </w:pPr>
      <w:r w:rsidRPr="00A202D9">
        <w:rPr>
          <w:rFonts w:ascii="Arial" w:hAnsi="Arial" w:cs="Arial"/>
          <w:b/>
          <w:sz w:val="22"/>
          <w:szCs w:val="22"/>
          <w:u w:val="single"/>
          <w:lang w:val="en-GB"/>
        </w:rPr>
        <w:t>Obligation to ensure the right to inclusive education</w:t>
      </w:r>
      <w:r w:rsidRPr="00A202D9">
        <w:rPr>
          <w:rFonts w:ascii="Arial" w:hAnsi="Arial" w:cs="Arial"/>
          <w:b/>
          <w:sz w:val="22"/>
          <w:szCs w:val="22"/>
          <w:lang w:val="en-GB"/>
        </w:rPr>
        <w:t xml:space="preserve"> </w:t>
      </w:r>
    </w:p>
    <w:p w14:paraId="46656A8E" w14:textId="77777777" w:rsidR="00A202D9" w:rsidRDefault="00A202D9" w:rsidP="00A202D9">
      <w:pPr>
        <w:pStyle w:val="ListParagraph"/>
        <w:ind w:left="1790"/>
        <w:jc w:val="both"/>
        <w:rPr>
          <w:rFonts w:ascii="Arial" w:hAnsi="Arial" w:cs="Arial"/>
          <w:b/>
          <w:sz w:val="22"/>
          <w:szCs w:val="22"/>
          <w:lang w:val="en-GB"/>
        </w:rPr>
      </w:pPr>
    </w:p>
    <w:p w14:paraId="5413D9A9" w14:textId="5A24873F" w:rsidR="00A202D9" w:rsidRDefault="00A202D9" w:rsidP="00A202D9">
      <w:pPr>
        <w:pStyle w:val="ListParagraph"/>
        <w:ind w:left="1790"/>
        <w:jc w:val="both"/>
        <w:rPr>
          <w:rFonts w:ascii="Arial" w:hAnsi="Arial" w:cs="Arial"/>
          <w:b/>
          <w:i/>
          <w:sz w:val="22"/>
          <w:szCs w:val="22"/>
          <w:lang w:val="en-GB"/>
        </w:rPr>
      </w:pPr>
      <w:r w:rsidRPr="00A202D9">
        <w:rPr>
          <w:rFonts w:ascii="Arial" w:hAnsi="Arial" w:cs="Arial"/>
          <w:b/>
          <w:i/>
          <w:sz w:val="22"/>
          <w:szCs w:val="22"/>
          <w:lang w:val="en-GB"/>
        </w:rPr>
        <w:t xml:space="preserve">The right to education in international law </w:t>
      </w:r>
    </w:p>
    <w:p w14:paraId="43EC2B84" w14:textId="77777777" w:rsidR="00A202D9" w:rsidRDefault="00A202D9" w:rsidP="00A202D9">
      <w:pPr>
        <w:pStyle w:val="ListParagraph"/>
        <w:ind w:left="1790"/>
        <w:jc w:val="both"/>
        <w:rPr>
          <w:rFonts w:ascii="Arial" w:hAnsi="Arial" w:cs="Arial"/>
          <w:b/>
          <w:i/>
          <w:sz w:val="22"/>
          <w:szCs w:val="22"/>
          <w:lang w:val="en-GB"/>
        </w:rPr>
      </w:pPr>
    </w:p>
    <w:p w14:paraId="564E509A" w14:textId="6C11336F" w:rsidR="00A202D9" w:rsidRDefault="00A202D9" w:rsidP="00A202D9">
      <w:pPr>
        <w:pStyle w:val="ListParagraph"/>
        <w:ind w:left="1790"/>
        <w:jc w:val="both"/>
        <w:rPr>
          <w:rFonts w:ascii="Arial" w:hAnsi="Arial" w:cs="Arial"/>
          <w:b/>
          <w:i/>
          <w:sz w:val="22"/>
          <w:szCs w:val="22"/>
          <w:lang w:val="en-GB"/>
        </w:rPr>
      </w:pPr>
      <w:r w:rsidRPr="00A202D9">
        <w:rPr>
          <w:rFonts w:ascii="Arial" w:hAnsi="Arial" w:cs="Arial"/>
          <w:b/>
          <w:i/>
          <w:sz w:val="22"/>
          <w:szCs w:val="22"/>
          <w:lang w:val="en-GB"/>
        </w:rPr>
        <w:t>Components of the right to inclusive education of persons with disabilities</w:t>
      </w:r>
    </w:p>
    <w:p w14:paraId="5D543794" w14:textId="77777777" w:rsidR="00A202D9" w:rsidRPr="00A202D9" w:rsidRDefault="00A202D9" w:rsidP="00A202D9">
      <w:pPr>
        <w:pStyle w:val="ListParagraph"/>
        <w:ind w:left="1790"/>
        <w:jc w:val="both"/>
        <w:rPr>
          <w:rFonts w:ascii="Arial" w:hAnsi="Arial" w:cs="Arial"/>
          <w:i/>
          <w:sz w:val="22"/>
          <w:szCs w:val="22"/>
          <w:lang w:val="en-GB"/>
        </w:rPr>
      </w:pPr>
    </w:p>
    <w:p w14:paraId="02E512A5" w14:textId="3904FF84" w:rsidR="00A202D9" w:rsidRDefault="00A202D9" w:rsidP="00A202D9">
      <w:pPr>
        <w:pStyle w:val="ListParagraph"/>
        <w:ind w:left="1790"/>
        <w:jc w:val="both"/>
        <w:rPr>
          <w:rFonts w:ascii="Arial" w:hAnsi="Arial" w:cs="Arial"/>
          <w:i/>
          <w:sz w:val="22"/>
          <w:szCs w:val="22"/>
          <w:lang w:val="en-GB"/>
        </w:rPr>
      </w:pPr>
      <w:r w:rsidRPr="00A202D9">
        <w:rPr>
          <w:rFonts w:ascii="Arial" w:hAnsi="Arial" w:cs="Arial"/>
          <w:i/>
          <w:sz w:val="22"/>
          <w:szCs w:val="22"/>
          <w:lang w:val="en-GB"/>
        </w:rPr>
        <w:tab/>
        <w:t>Non-discrimination in education: No-rejection clause</w:t>
      </w:r>
    </w:p>
    <w:p w14:paraId="5310BC50" w14:textId="794AB0B3" w:rsidR="00B75C3C" w:rsidRDefault="00B75C3C" w:rsidP="00A202D9">
      <w:pPr>
        <w:pStyle w:val="ListParagraph"/>
        <w:ind w:left="1790"/>
        <w:jc w:val="both"/>
        <w:rPr>
          <w:rFonts w:ascii="Arial" w:hAnsi="Arial" w:cs="Arial"/>
          <w:i/>
          <w:sz w:val="22"/>
          <w:szCs w:val="22"/>
          <w:lang w:val="en-GB"/>
        </w:rPr>
      </w:pPr>
      <w:r>
        <w:rPr>
          <w:rFonts w:ascii="Arial" w:hAnsi="Arial" w:cs="Arial"/>
          <w:i/>
          <w:sz w:val="22"/>
          <w:szCs w:val="22"/>
          <w:lang w:val="en-GB"/>
        </w:rPr>
        <w:tab/>
      </w:r>
    </w:p>
    <w:p w14:paraId="44151EC8" w14:textId="21AF26E3" w:rsidR="00B75C3C" w:rsidRPr="00A202D9" w:rsidRDefault="00B75C3C" w:rsidP="00B75C3C">
      <w:pPr>
        <w:pStyle w:val="ListParagraph"/>
        <w:ind w:left="2160"/>
        <w:jc w:val="both"/>
        <w:rPr>
          <w:rFonts w:ascii="Arial" w:hAnsi="Arial" w:cs="Arial"/>
          <w:i/>
          <w:sz w:val="22"/>
          <w:szCs w:val="22"/>
          <w:lang w:val="en-GB"/>
        </w:rPr>
      </w:pPr>
      <w:r w:rsidRPr="00B75C3C">
        <w:rPr>
          <w:rFonts w:ascii="Arial" w:hAnsi="Arial" w:cs="Arial"/>
          <w:i/>
          <w:sz w:val="22"/>
          <w:szCs w:val="22"/>
          <w:lang w:val="en-GB"/>
        </w:rPr>
        <w:t>Provision of reasonable accommodation to prevent discrimination and exclusion: reasonable accommodation as a mean to request individualised support in a particular case</w:t>
      </w:r>
    </w:p>
    <w:p w14:paraId="1EF46694" w14:textId="77777777" w:rsidR="00107890" w:rsidRDefault="00107890" w:rsidP="005A63FC">
      <w:pPr>
        <w:jc w:val="both"/>
        <w:rPr>
          <w:rFonts w:ascii="Arial" w:hAnsi="Arial" w:cs="Arial"/>
          <w:b/>
          <w:sz w:val="22"/>
          <w:szCs w:val="22"/>
          <w:lang w:val="en-GB"/>
        </w:rPr>
      </w:pPr>
    </w:p>
    <w:p w14:paraId="72F5994C" w14:textId="13741F8D" w:rsidR="00B75C3C" w:rsidRPr="00446D2E" w:rsidRDefault="00B75C3C" w:rsidP="00B75C3C">
      <w:pPr>
        <w:ind w:firstLine="720"/>
        <w:jc w:val="both"/>
        <w:rPr>
          <w:rFonts w:ascii="Arial" w:hAnsi="Arial" w:cs="Arial"/>
          <w:b/>
          <w:sz w:val="22"/>
          <w:szCs w:val="22"/>
          <w:lang w:val="en-GB"/>
        </w:rPr>
      </w:pPr>
      <w:r w:rsidRPr="00446D2E">
        <w:rPr>
          <w:rFonts w:ascii="Arial" w:hAnsi="Arial" w:cs="Arial"/>
          <w:b/>
          <w:sz w:val="22"/>
          <w:szCs w:val="22"/>
          <w:lang w:val="en-GB"/>
        </w:rPr>
        <w:t xml:space="preserve">III. </w:t>
      </w:r>
      <w:r w:rsidR="00346BD4">
        <w:rPr>
          <w:rFonts w:ascii="Arial" w:hAnsi="Arial" w:cs="Arial"/>
          <w:b/>
          <w:sz w:val="22"/>
          <w:szCs w:val="22"/>
          <w:lang w:val="en-GB"/>
        </w:rPr>
        <w:tab/>
      </w:r>
      <w:r w:rsidRPr="00446D2E">
        <w:rPr>
          <w:rFonts w:ascii="Arial" w:hAnsi="Arial" w:cs="Arial"/>
          <w:b/>
          <w:sz w:val="22"/>
          <w:szCs w:val="22"/>
          <w:lang w:val="en-GB"/>
        </w:rPr>
        <w:t xml:space="preserve">COMPARATIVE LAW AND PRACTICES </w:t>
      </w:r>
    </w:p>
    <w:p w14:paraId="52749B02" w14:textId="77777777" w:rsidR="005E553C" w:rsidRDefault="005E553C" w:rsidP="00B75C3C">
      <w:pPr>
        <w:pStyle w:val="MediumGrid21"/>
        <w:rPr>
          <w:rFonts w:ascii="Arial" w:hAnsi="Arial"/>
          <w:b/>
          <w:caps/>
          <w:color w:val="000000"/>
          <w:lang w:val="en-GB"/>
        </w:rPr>
      </w:pPr>
    </w:p>
    <w:p w14:paraId="5E6B7FE7" w14:textId="25AA39ED" w:rsidR="005E553C" w:rsidRDefault="005E553C" w:rsidP="00346BD4">
      <w:pPr>
        <w:pStyle w:val="MediumGrid21"/>
        <w:numPr>
          <w:ilvl w:val="0"/>
          <w:numId w:val="6"/>
        </w:numPr>
        <w:rPr>
          <w:rFonts w:ascii="Arial" w:hAnsi="Arial"/>
          <w:b/>
          <w:caps/>
          <w:color w:val="000000"/>
          <w:lang w:val="en-GB"/>
        </w:rPr>
      </w:pPr>
      <w:r w:rsidRPr="00DC464B">
        <w:rPr>
          <w:rFonts w:ascii="Arial" w:hAnsi="Arial"/>
          <w:b/>
          <w:caps/>
          <w:color w:val="000000"/>
          <w:lang w:val="en-GB"/>
        </w:rPr>
        <w:t xml:space="preserve">CONCLUSION </w:t>
      </w:r>
    </w:p>
    <w:p w14:paraId="7CCAE657" w14:textId="77777777" w:rsidR="00711F00" w:rsidRDefault="00711F00" w:rsidP="00711F00">
      <w:pPr>
        <w:pStyle w:val="MediumGrid21"/>
        <w:rPr>
          <w:rFonts w:ascii="Arial" w:hAnsi="Arial"/>
          <w:b/>
          <w:caps/>
          <w:color w:val="000000"/>
          <w:lang w:val="en-GB"/>
        </w:rPr>
      </w:pPr>
    </w:p>
    <w:p w14:paraId="0EF38108" w14:textId="0639D314" w:rsidR="00711F00" w:rsidRPr="00DC464B" w:rsidRDefault="00711F00" w:rsidP="00711F00">
      <w:pPr>
        <w:pStyle w:val="MediumGrid21"/>
        <w:ind w:left="710"/>
        <w:rPr>
          <w:rFonts w:ascii="Arial" w:hAnsi="Arial"/>
          <w:b/>
          <w:caps/>
          <w:color w:val="000000"/>
          <w:lang w:val="en-GB"/>
        </w:rPr>
      </w:pPr>
      <w:r>
        <w:rPr>
          <w:rFonts w:ascii="Arial" w:hAnsi="Arial"/>
          <w:b/>
          <w:caps/>
          <w:color w:val="000000"/>
          <w:lang w:val="en-GB"/>
        </w:rPr>
        <w:t xml:space="preserve">ANNEX I – Statement of interest of </w:t>
      </w:r>
      <w:r w:rsidRPr="00711F00">
        <w:rPr>
          <w:rFonts w:ascii="Arial" w:hAnsi="Arial"/>
          <w:b/>
          <w:caps/>
          <w:color w:val="000000"/>
          <w:lang w:val="en-GB"/>
        </w:rPr>
        <w:t>IDA, EDF and CNDR</w:t>
      </w:r>
    </w:p>
    <w:p w14:paraId="5D16BB80" w14:textId="77777777" w:rsidR="005E553C" w:rsidRPr="00DC464B" w:rsidRDefault="005E553C" w:rsidP="005E553C">
      <w:pPr>
        <w:pStyle w:val="MediumGrid21"/>
        <w:ind w:left="709"/>
        <w:rPr>
          <w:rFonts w:ascii="Arial" w:hAnsi="Arial"/>
          <w:b/>
          <w:caps/>
          <w:color w:val="000000"/>
          <w:lang w:val="en-GB"/>
        </w:rPr>
      </w:pPr>
    </w:p>
    <w:p w14:paraId="1BC60B6B" w14:textId="77777777" w:rsidR="005E553C" w:rsidRDefault="005E553C" w:rsidP="005E553C">
      <w:pPr>
        <w:pStyle w:val="MediumGrid21"/>
        <w:ind w:left="1843" w:hanging="1134"/>
        <w:rPr>
          <w:rFonts w:ascii="Arial" w:hAnsi="Arial"/>
          <w:b/>
          <w:color w:val="000000"/>
          <w:lang w:val="en-GB"/>
        </w:rPr>
      </w:pPr>
    </w:p>
    <w:p w14:paraId="17B0BA00" w14:textId="77777777" w:rsidR="005E553C" w:rsidRDefault="005E553C" w:rsidP="005E553C">
      <w:pPr>
        <w:pStyle w:val="MediumGrid21"/>
        <w:ind w:left="1843" w:hanging="1134"/>
        <w:rPr>
          <w:rFonts w:ascii="Arial" w:hAnsi="Arial"/>
          <w:b/>
          <w:color w:val="000000"/>
          <w:lang w:val="en-GB"/>
        </w:rPr>
      </w:pPr>
    </w:p>
    <w:p w14:paraId="2D5BE8B9" w14:textId="77777777" w:rsidR="005E553C" w:rsidRDefault="005E553C">
      <w:pPr>
        <w:rPr>
          <w:rFonts w:ascii="Arial" w:hAnsi="Arial" w:cs="Arial"/>
          <w:b/>
          <w:sz w:val="22"/>
          <w:szCs w:val="22"/>
          <w:lang w:val="en-GB"/>
        </w:rPr>
      </w:pPr>
      <w:r>
        <w:rPr>
          <w:rFonts w:ascii="Arial" w:hAnsi="Arial" w:cs="Arial"/>
          <w:b/>
          <w:sz w:val="22"/>
          <w:szCs w:val="22"/>
          <w:lang w:val="en-GB"/>
        </w:rPr>
        <w:br w:type="page"/>
      </w:r>
    </w:p>
    <w:p w14:paraId="09736CFC" w14:textId="71DC5954" w:rsidR="005E0993" w:rsidRPr="00305018" w:rsidRDefault="00AC6716" w:rsidP="00010AB7">
      <w:pPr>
        <w:jc w:val="both"/>
        <w:rPr>
          <w:rFonts w:ascii="Arial" w:hAnsi="Arial" w:cs="Arial"/>
          <w:b/>
          <w:sz w:val="22"/>
          <w:szCs w:val="22"/>
          <w:lang w:val="en-GB"/>
        </w:rPr>
      </w:pPr>
      <w:r w:rsidRPr="00305018">
        <w:rPr>
          <w:rFonts w:ascii="Arial" w:hAnsi="Arial" w:cs="Arial"/>
          <w:b/>
          <w:sz w:val="22"/>
          <w:szCs w:val="22"/>
          <w:lang w:val="en-GB"/>
        </w:rPr>
        <w:lastRenderedPageBreak/>
        <w:t xml:space="preserve">I. INTRODUCTION </w:t>
      </w:r>
    </w:p>
    <w:p w14:paraId="2C28C622" w14:textId="77777777" w:rsidR="00AC6716" w:rsidRPr="00305018" w:rsidRDefault="00AC6716" w:rsidP="00010AB7">
      <w:pPr>
        <w:jc w:val="both"/>
        <w:rPr>
          <w:rFonts w:ascii="Arial" w:hAnsi="Arial" w:cs="Arial"/>
          <w:sz w:val="22"/>
          <w:szCs w:val="22"/>
          <w:lang w:val="en-GB"/>
        </w:rPr>
      </w:pPr>
    </w:p>
    <w:p w14:paraId="08EB06AD" w14:textId="069B5814" w:rsidR="00743B9C" w:rsidRPr="00305018" w:rsidRDefault="00743B9C" w:rsidP="00010AB7">
      <w:pPr>
        <w:jc w:val="both"/>
        <w:rPr>
          <w:rFonts w:ascii="Arial" w:hAnsi="Arial" w:cs="Arial"/>
          <w:sz w:val="22"/>
          <w:szCs w:val="22"/>
          <w:lang w:val="en-GB"/>
        </w:rPr>
      </w:pPr>
      <w:r w:rsidRPr="00B75C3C">
        <w:rPr>
          <w:rFonts w:ascii="Arial" w:hAnsi="Arial" w:cs="Arial"/>
          <w:sz w:val="22"/>
          <w:szCs w:val="22"/>
          <w:lang w:val="en-GB"/>
        </w:rPr>
        <w:t>These written comments are submitted by International Disability Alliance (IDA)</w:t>
      </w:r>
      <w:r w:rsidR="00937109" w:rsidRPr="00B75C3C">
        <w:rPr>
          <w:rFonts w:ascii="Arial" w:hAnsi="Arial" w:cs="Arial"/>
          <w:sz w:val="22"/>
          <w:szCs w:val="22"/>
          <w:lang w:val="en-GB"/>
        </w:rPr>
        <w:t>,</w:t>
      </w:r>
      <w:r w:rsidR="007A2C3B" w:rsidRPr="00B75C3C">
        <w:rPr>
          <w:rFonts w:ascii="Arial" w:hAnsi="Arial" w:cs="Arial"/>
          <w:sz w:val="22"/>
          <w:szCs w:val="22"/>
          <w:lang w:val="en-GB"/>
        </w:rPr>
        <w:t xml:space="preserve"> the European Disability Forum (EDF) and the National Council of Persons with </w:t>
      </w:r>
      <w:r w:rsidR="00FF6D6F" w:rsidRPr="00B75C3C">
        <w:rPr>
          <w:rFonts w:ascii="Arial" w:hAnsi="Arial" w:cs="Arial"/>
          <w:sz w:val="22"/>
          <w:szCs w:val="22"/>
          <w:lang w:val="en-GB"/>
        </w:rPr>
        <w:t xml:space="preserve">Disability of </w:t>
      </w:r>
      <w:r w:rsidR="00F45A68" w:rsidRPr="00B75C3C">
        <w:rPr>
          <w:rFonts w:ascii="Arial" w:hAnsi="Arial" w:cs="Arial"/>
          <w:sz w:val="22"/>
          <w:szCs w:val="22"/>
          <w:lang w:val="en-GB"/>
        </w:rPr>
        <w:t xml:space="preserve">Romania, </w:t>
      </w:r>
      <w:r w:rsidRPr="00B75C3C">
        <w:rPr>
          <w:rFonts w:ascii="Arial" w:hAnsi="Arial" w:cs="Arial"/>
          <w:sz w:val="22"/>
          <w:szCs w:val="22"/>
          <w:lang w:val="en-GB"/>
        </w:rPr>
        <w:t xml:space="preserve">pursuant to leave granted by </w:t>
      </w:r>
      <w:r w:rsidR="00820871" w:rsidRPr="00B75C3C">
        <w:rPr>
          <w:rFonts w:ascii="Arial" w:hAnsi="Arial" w:cs="Arial"/>
          <w:sz w:val="22"/>
          <w:szCs w:val="22"/>
          <w:lang w:val="en-GB"/>
        </w:rPr>
        <w:t>the President of the Fourth Section</w:t>
      </w:r>
      <w:r w:rsidR="00D37675" w:rsidRPr="00B75C3C">
        <w:rPr>
          <w:rFonts w:ascii="Arial" w:hAnsi="Arial" w:cs="Arial"/>
          <w:sz w:val="22"/>
          <w:szCs w:val="22"/>
          <w:lang w:val="en-GB"/>
        </w:rPr>
        <w:t xml:space="preserve"> of the European Court of Human Rights</w:t>
      </w:r>
      <w:r w:rsidRPr="00B75C3C">
        <w:rPr>
          <w:rFonts w:ascii="Arial" w:hAnsi="Arial" w:cs="Arial"/>
          <w:sz w:val="22"/>
          <w:szCs w:val="22"/>
          <w:lang w:val="en-GB"/>
        </w:rPr>
        <w:t xml:space="preserve"> on </w:t>
      </w:r>
      <w:r w:rsidR="00D37675" w:rsidRPr="00B75C3C">
        <w:rPr>
          <w:rFonts w:ascii="Arial" w:hAnsi="Arial" w:cs="Arial"/>
          <w:sz w:val="22"/>
          <w:szCs w:val="22"/>
          <w:lang w:val="en-GB"/>
        </w:rPr>
        <w:t>22 September 2017</w:t>
      </w:r>
      <w:r w:rsidRPr="00B75C3C">
        <w:rPr>
          <w:rFonts w:ascii="Arial" w:hAnsi="Arial" w:cs="Arial"/>
          <w:sz w:val="22"/>
          <w:szCs w:val="22"/>
          <w:lang w:val="en-GB"/>
        </w:rPr>
        <w:t xml:space="preserve"> in accordance with Rule 44(3)(a) of the Rules of Court.</w:t>
      </w:r>
      <w:r w:rsidRPr="00305018">
        <w:rPr>
          <w:rFonts w:ascii="Arial" w:hAnsi="Arial" w:cs="Arial"/>
          <w:sz w:val="22"/>
          <w:szCs w:val="22"/>
          <w:lang w:val="en-GB"/>
        </w:rPr>
        <w:t xml:space="preserve"> </w:t>
      </w:r>
    </w:p>
    <w:p w14:paraId="7D9A37FE" w14:textId="77777777" w:rsidR="00743B9C" w:rsidRPr="00305018" w:rsidRDefault="00743B9C" w:rsidP="00010AB7">
      <w:pPr>
        <w:jc w:val="both"/>
        <w:rPr>
          <w:rFonts w:ascii="Arial" w:hAnsi="Arial" w:cs="Arial"/>
          <w:sz w:val="22"/>
          <w:szCs w:val="22"/>
          <w:lang w:val="en-GB"/>
        </w:rPr>
      </w:pPr>
    </w:p>
    <w:p w14:paraId="1E229425" w14:textId="7B4818B0" w:rsidR="002C47EA" w:rsidRPr="00305018" w:rsidRDefault="00C9355E" w:rsidP="00010AB7">
      <w:pPr>
        <w:jc w:val="both"/>
        <w:rPr>
          <w:rFonts w:ascii="Arial" w:hAnsi="Arial" w:cs="Arial"/>
          <w:sz w:val="22"/>
          <w:szCs w:val="22"/>
          <w:lang w:val="en-GB"/>
        </w:rPr>
      </w:pPr>
      <w:r w:rsidRPr="00305018">
        <w:rPr>
          <w:rFonts w:ascii="Arial" w:hAnsi="Arial" w:cs="Arial"/>
          <w:sz w:val="22"/>
          <w:szCs w:val="22"/>
          <w:lang w:val="en-GB"/>
        </w:rPr>
        <w:t xml:space="preserve">The present case concerns the lack of access to inclusive education of a </w:t>
      </w:r>
      <w:r w:rsidR="00B75C3C" w:rsidRPr="00B75C3C">
        <w:rPr>
          <w:rFonts w:ascii="Arial" w:hAnsi="Arial" w:cs="Arial"/>
          <w:sz w:val="22"/>
          <w:szCs w:val="22"/>
          <w:lang w:val="en-GB"/>
        </w:rPr>
        <w:t>child</w:t>
      </w:r>
      <w:r w:rsidRPr="00305018">
        <w:rPr>
          <w:rFonts w:ascii="Arial" w:hAnsi="Arial" w:cs="Arial"/>
          <w:sz w:val="22"/>
          <w:szCs w:val="22"/>
          <w:lang w:val="en-GB"/>
        </w:rPr>
        <w:t xml:space="preserve"> with </w:t>
      </w:r>
      <w:r w:rsidR="002B0F8A">
        <w:rPr>
          <w:rFonts w:ascii="Arial" w:hAnsi="Arial" w:cs="Arial"/>
          <w:sz w:val="22"/>
          <w:szCs w:val="22"/>
          <w:lang w:val="en-GB"/>
        </w:rPr>
        <w:t>physical disability</w:t>
      </w:r>
      <w:r w:rsidR="002C37A7">
        <w:rPr>
          <w:rFonts w:ascii="Arial" w:hAnsi="Arial" w:cs="Arial"/>
          <w:sz w:val="22"/>
          <w:szCs w:val="22"/>
          <w:lang w:val="en-GB"/>
        </w:rPr>
        <w:t>. He</w:t>
      </w:r>
      <w:r w:rsidR="002C47EA" w:rsidRPr="00305018">
        <w:rPr>
          <w:rFonts w:ascii="Arial" w:hAnsi="Arial" w:cs="Arial"/>
          <w:sz w:val="22"/>
          <w:szCs w:val="22"/>
          <w:lang w:val="en-GB"/>
        </w:rPr>
        <w:t xml:space="preserve"> claims a violation of his right to education </w:t>
      </w:r>
      <w:r w:rsidR="00633E35" w:rsidRPr="00305018">
        <w:rPr>
          <w:rFonts w:ascii="Arial" w:hAnsi="Arial" w:cs="Arial"/>
          <w:sz w:val="22"/>
          <w:szCs w:val="22"/>
          <w:lang w:val="en-GB"/>
        </w:rPr>
        <w:t>due to</w:t>
      </w:r>
      <w:r w:rsidR="00721426" w:rsidRPr="00305018">
        <w:rPr>
          <w:rFonts w:ascii="Arial" w:hAnsi="Arial" w:cs="Arial"/>
          <w:sz w:val="22"/>
          <w:szCs w:val="22"/>
          <w:lang w:val="en-GB"/>
        </w:rPr>
        <w:t xml:space="preserve"> the</w:t>
      </w:r>
      <w:r w:rsidR="00633E35" w:rsidRPr="00305018">
        <w:rPr>
          <w:rFonts w:ascii="Arial" w:hAnsi="Arial" w:cs="Arial"/>
          <w:sz w:val="22"/>
          <w:szCs w:val="22"/>
          <w:lang w:val="en-GB"/>
        </w:rPr>
        <w:t xml:space="preserve"> refusal of schools to admit him</w:t>
      </w:r>
      <w:r w:rsidR="002C47EA" w:rsidRPr="00305018">
        <w:rPr>
          <w:rFonts w:ascii="Arial" w:hAnsi="Arial" w:cs="Arial"/>
          <w:sz w:val="22"/>
          <w:szCs w:val="22"/>
          <w:lang w:val="en-GB"/>
        </w:rPr>
        <w:t xml:space="preserve"> and constant </w:t>
      </w:r>
      <w:r w:rsidR="00633E35" w:rsidRPr="00305018">
        <w:rPr>
          <w:rFonts w:ascii="Arial" w:hAnsi="Arial" w:cs="Arial"/>
          <w:sz w:val="22"/>
          <w:szCs w:val="22"/>
          <w:lang w:val="en-GB"/>
        </w:rPr>
        <w:t>failure</w:t>
      </w:r>
      <w:r w:rsidR="00721426" w:rsidRPr="00305018">
        <w:rPr>
          <w:rFonts w:ascii="Arial" w:hAnsi="Arial" w:cs="Arial"/>
          <w:sz w:val="22"/>
          <w:szCs w:val="22"/>
          <w:lang w:val="en-GB"/>
        </w:rPr>
        <w:t>s</w:t>
      </w:r>
      <w:r w:rsidR="00633E35" w:rsidRPr="00305018">
        <w:rPr>
          <w:rFonts w:ascii="Arial" w:hAnsi="Arial" w:cs="Arial"/>
          <w:sz w:val="22"/>
          <w:szCs w:val="22"/>
          <w:lang w:val="en-GB"/>
        </w:rPr>
        <w:t xml:space="preserve"> to</w:t>
      </w:r>
      <w:r w:rsidR="002B0F8A">
        <w:rPr>
          <w:rFonts w:ascii="Arial" w:hAnsi="Arial" w:cs="Arial"/>
          <w:sz w:val="22"/>
          <w:szCs w:val="22"/>
          <w:lang w:val="en-GB"/>
        </w:rPr>
        <w:t xml:space="preserve"> provide </w:t>
      </w:r>
      <w:r w:rsidR="002C47EA" w:rsidRPr="00305018">
        <w:rPr>
          <w:rFonts w:ascii="Arial" w:hAnsi="Arial" w:cs="Arial"/>
          <w:sz w:val="22"/>
          <w:szCs w:val="22"/>
          <w:lang w:val="en-GB"/>
        </w:rPr>
        <w:t>reasonable accommodation and individual</w:t>
      </w:r>
      <w:r w:rsidR="002C37A7">
        <w:rPr>
          <w:rFonts w:ascii="Arial" w:hAnsi="Arial" w:cs="Arial"/>
          <w:sz w:val="22"/>
          <w:szCs w:val="22"/>
          <w:lang w:val="en-GB"/>
        </w:rPr>
        <w:t>ised</w:t>
      </w:r>
      <w:r w:rsidR="002C47EA" w:rsidRPr="00305018">
        <w:rPr>
          <w:rFonts w:ascii="Arial" w:hAnsi="Arial" w:cs="Arial"/>
          <w:sz w:val="22"/>
          <w:szCs w:val="22"/>
          <w:lang w:val="en-GB"/>
        </w:rPr>
        <w:t xml:space="preserve"> support</w:t>
      </w:r>
      <w:r w:rsidR="002C37A7">
        <w:rPr>
          <w:rFonts w:ascii="Arial" w:hAnsi="Arial" w:cs="Arial"/>
          <w:sz w:val="22"/>
          <w:szCs w:val="22"/>
          <w:lang w:val="en-GB"/>
        </w:rPr>
        <w:t>, and to ensure</w:t>
      </w:r>
      <w:r w:rsidR="002C37A7" w:rsidRPr="00305018">
        <w:rPr>
          <w:rFonts w:ascii="Arial" w:hAnsi="Arial" w:cs="Arial"/>
          <w:sz w:val="22"/>
          <w:szCs w:val="22"/>
          <w:lang w:val="en-GB"/>
        </w:rPr>
        <w:t xml:space="preserve"> accessibility</w:t>
      </w:r>
      <w:r w:rsidR="00721426" w:rsidRPr="00305018">
        <w:rPr>
          <w:rFonts w:ascii="Arial" w:hAnsi="Arial" w:cs="Arial"/>
          <w:sz w:val="22"/>
          <w:szCs w:val="22"/>
          <w:lang w:val="en-GB"/>
        </w:rPr>
        <w:t xml:space="preserve"> to ensure the full enjoyment of his right</w:t>
      </w:r>
      <w:r w:rsidR="002C47EA" w:rsidRPr="00305018">
        <w:rPr>
          <w:rFonts w:ascii="Arial" w:hAnsi="Arial" w:cs="Arial"/>
          <w:sz w:val="22"/>
          <w:szCs w:val="22"/>
          <w:lang w:val="en-GB"/>
        </w:rPr>
        <w:t>. The case also raises issues of degrading treatment and violence in educational setting</w:t>
      </w:r>
      <w:r w:rsidR="004D496B" w:rsidRPr="00305018">
        <w:rPr>
          <w:rFonts w:ascii="Arial" w:hAnsi="Arial" w:cs="Arial"/>
          <w:sz w:val="22"/>
          <w:szCs w:val="22"/>
          <w:lang w:val="en-GB"/>
        </w:rPr>
        <w:t>s</w:t>
      </w:r>
      <w:r w:rsidR="00721426" w:rsidRPr="00305018">
        <w:rPr>
          <w:rFonts w:ascii="Arial" w:hAnsi="Arial" w:cs="Arial"/>
          <w:sz w:val="22"/>
          <w:szCs w:val="22"/>
          <w:lang w:val="en-GB"/>
        </w:rPr>
        <w:t xml:space="preserve"> </w:t>
      </w:r>
      <w:r w:rsidR="002C37A7">
        <w:rPr>
          <w:rFonts w:ascii="Arial" w:hAnsi="Arial" w:cs="Arial"/>
          <w:sz w:val="22"/>
          <w:szCs w:val="22"/>
          <w:lang w:val="en-GB"/>
        </w:rPr>
        <w:t xml:space="preserve">and </w:t>
      </w:r>
      <w:r w:rsidR="002C47EA" w:rsidRPr="00305018">
        <w:rPr>
          <w:rFonts w:ascii="Arial" w:hAnsi="Arial" w:cs="Arial"/>
          <w:sz w:val="22"/>
          <w:szCs w:val="22"/>
          <w:lang w:val="en-GB"/>
        </w:rPr>
        <w:t>lack of effective remedy. While both th</w:t>
      </w:r>
      <w:r w:rsidR="002C37A7">
        <w:rPr>
          <w:rFonts w:ascii="Arial" w:hAnsi="Arial" w:cs="Arial"/>
          <w:sz w:val="22"/>
          <w:szCs w:val="22"/>
          <w:lang w:val="en-GB"/>
        </w:rPr>
        <w:t>e child (the “first applicant”)</w:t>
      </w:r>
      <w:r w:rsidR="002C47EA" w:rsidRPr="00305018">
        <w:rPr>
          <w:rFonts w:ascii="Arial" w:hAnsi="Arial" w:cs="Arial"/>
          <w:sz w:val="22"/>
          <w:szCs w:val="22"/>
          <w:lang w:val="en-GB"/>
        </w:rPr>
        <w:t xml:space="preserve"> and his m</w:t>
      </w:r>
      <w:r w:rsidR="002C37A7">
        <w:rPr>
          <w:rFonts w:ascii="Arial" w:hAnsi="Arial" w:cs="Arial"/>
          <w:sz w:val="22"/>
          <w:szCs w:val="22"/>
          <w:lang w:val="en-GB"/>
        </w:rPr>
        <w:t>other (the “second applicant”)</w:t>
      </w:r>
      <w:r w:rsidR="00721426" w:rsidRPr="00305018">
        <w:rPr>
          <w:rFonts w:ascii="Arial" w:hAnsi="Arial" w:cs="Arial"/>
          <w:sz w:val="22"/>
          <w:szCs w:val="22"/>
          <w:lang w:val="en-GB"/>
        </w:rPr>
        <w:t xml:space="preserve"> </w:t>
      </w:r>
      <w:r w:rsidR="009B56C5" w:rsidRPr="00305018">
        <w:rPr>
          <w:rFonts w:ascii="Arial" w:hAnsi="Arial" w:cs="Arial"/>
          <w:sz w:val="22"/>
          <w:szCs w:val="22"/>
          <w:lang w:val="en-GB"/>
        </w:rPr>
        <w:t>claim</w:t>
      </w:r>
      <w:r w:rsidR="00721426" w:rsidRPr="00305018">
        <w:rPr>
          <w:rFonts w:ascii="Arial" w:hAnsi="Arial" w:cs="Arial"/>
          <w:sz w:val="22"/>
          <w:szCs w:val="22"/>
          <w:lang w:val="en-GB"/>
        </w:rPr>
        <w:t xml:space="preserve"> </w:t>
      </w:r>
      <w:r w:rsidR="002C37A7">
        <w:rPr>
          <w:rFonts w:ascii="Arial" w:hAnsi="Arial" w:cs="Arial"/>
          <w:sz w:val="22"/>
          <w:szCs w:val="22"/>
          <w:lang w:val="en-GB"/>
        </w:rPr>
        <w:t xml:space="preserve">violations </w:t>
      </w:r>
      <w:r w:rsidR="00721426" w:rsidRPr="00305018">
        <w:rPr>
          <w:rFonts w:ascii="Arial" w:hAnsi="Arial" w:cs="Arial"/>
          <w:sz w:val="22"/>
          <w:szCs w:val="22"/>
          <w:lang w:val="en-GB"/>
        </w:rPr>
        <w:t>of their rights under the European Convention on Human Rights (hereinafter the ‘Convention’</w:t>
      </w:r>
      <w:r w:rsidR="009B56C5" w:rsidRPr="00305018">
        <w:rPr>
          <w:rFonts w:ascii="Arial" w:hAnsi="Arial" w:cs="Arial"/>
          <w:sz w:val="22"/>
          <w:szCs w:val="22"/>
          <w:lang w:val="en-GB"/>
        </w:rPr>
        <w:t>), these</w:t>
      </w:r>
      <w:r w:rsidR="00721426" w:rsidRPr="00305018">
        <w:rPr>
          <w:rFonts w:ascii="Arial" w:hAnsi="Arial" w:cs="Arial"/>
          <w:sz w:val="22"/>
          <w:szCs w:val="22"/>
          <w:lang w:val="en-GB"/>
        </w:rPr>
        <w:t xml:space="preserve"> comments</w:t>
      </w:r>
      <w:r w:rsidR="009B56C5" w:rsidRPr="00305018">
        <w:rPr>
          <w:rFonts w:ascii="Arial" w:hAnsi="Arial" w:cs="Arial"/>
          <w:sz w:val="22"/>
          <w:szCs w:val="22"/>
          <w:lang w:val="en-GB"/>
        </w:rPr>
        <w:t xml:space="preserve"> </w:t>
      </w:r>
      <w:r w:rsidR="002C37A7">
        <w:rPr>
          <w:rFonts w:ascii="Arial" w:hAnsi="Arial" w:cs="Arial"/>
          <w:sz w:val="22"/>
          <w:szCs w:val="22"/>
          <w:lang w:val="en-GB"/>
        </w:rPr>
        <w:t>will</w:t>
      </w:r>
      <w:r w:rsidR="00721426" w:rsidRPr="00305018">
        <w:rPr>
          <w:rFonts w:ascii="Arial" w:hAnsi="Arial" w:cs="Arial"/>
          <w:sz w:val="22"/>
          <w:szCs w:val="22"/>
          <w:lang w:val="en-GB"/>
        </w:rPr>
        <w:t xml:space="preserve"> </w:t>
      </w:r>
      <w:r w:rsidR="002C37A7">
        <w:rPr>
          <w:rFonts w:ascii="Arial" w:hAnsi="Arial" w:cs="Arial"/>
          <w:sz w:val="22"/>
          <w:szCs w:val="22"/>
          <w:lang w:val="en-GB"/>
        </w:rPr>
        <w:t>mainly focus</w:t>
      </w:r>
      <w:r w:rsidR="00721426" w:rsidRPr="00305018">
        <w:rPr>
          <w:rFonts w:ascii="Arial" w:hAnsi="Arial" w:cs="Arial"/>
          <w:sz w:val="22"/>
          <w:szCs w:val="22"/>
          <w:lang w:val="en-GB"/>
        </w:rPr>
        <w:t xml:space="preserve"> on the right to education</w:t>
      </w:r>
      <w:r w:rsidR="00110554" w:rsidRPr="00305018">
        <w:rPr>
          <w:rFonts w:ascii="Arial" w:hAnsi="Arial" w:cs="Arial"/>
          <w:sz w:val="22"/>
          <w:szCs w:val="22"/>
          <w:lang w:val="en-GB"/>
        </w:rPr>
        <w:t xml:space="preserve"> </w:t>
      </w:r>
      <w:r w:rsidR="002C37A7">
        <w:rPr>
          <w:rFonts w:ascii="Arial" w:hAnsi="Arial" w:cs="Arial"/>
          <w:sz w:val="22"/>
          <w:szCs w:val="22"/>
          <w:lang w:val="en-GB"/>
        </w:rPr>
        <w:t xml:space="preserve">of the </w:t>
      </w:r>
      <w:r w:rsidR="00721426" w:rsidRPr="00305018">
        <w:rPr>
          <w:rFonts w:ascii="Arial" w:hAnsi="Arial" w:cs="Arial"/>
          <w:sz w:val="22"/>
          <w:szCs w:val="22"/>
          <w:lang w:val="en-GB"/>
        </w:rPr>
        <w:t xml:space="preserve">first applicant. </w:t>
      </w:r>
    </w:p>
    <w:p w14:paraId="6F9F8BF2" w14:textId="77777777" w:rsidR="00C9355E" w:rsidRPr="00305018" w:rsidRDefault="00C9355E" w:rsidP="00010AB7">
      <w:pPr>
        <w:jc w:val="both"/>
        <w:rPr>
          <w:rFonts w:ascii="Arial" w:hAnsi="Arial" w:cs="Arial"/>
          <w:sz w:val="22"/>
          <w:szCs w:val="22"/>
          <w:lang w:val="en-GB"/>
        </w:rPr>
      </w:pPr>
    </w:p>
    <w:p w14:paraId="65A99B71" w14:textId="704321BB" w:rsidR="00BD5183" w:rsidRPr="00305018" w:rsidRDefault="00C9355E" w:rsidP="00C9355E">
      <w:pPr>
        <w:jc w:val="both"/>
        <w:rPr>
          <w:rFonts w:ascii="Arial" w:hAnsi="Arial" w:cs="Arial"/>
          <w:sz w:val="22"/>
          <w:szCs w:val="22"/>
          <w:lang w:val="en-GB"/>
        </w:rPr>
      </w:pPr>
      <w:r w:rsidRPr="00305018">
        <w:rPr>
          <w:rFonts w:ascii="Arial" w:hAnsi="Arial" w:cs="Arial"/>
          <w:sz w:val="22"/>
          <w:szCs w:val="22"/>
          <w:lang w:val="en-GB"/>
        </w:rPr>
        <w:t>This case presents the European Court of Human Rights (</w:t>
      </w:r>
      <w:r w:rsidR="00A66643" w:rsidRPr="00305018">
        <w:rPr>
          <w:rFonts w:ascii="Arial" w:hAnsi="Arial" w:cs="Arial"/>
          <w:sz w:val="22"/>
          <w:szCs w:val="22"/>
          <w:lang w:val="en-GB"/>
        </w:rPr>
        <w:t>hereinafter the ‘Court’) with a new</w:t>
      </w:r>
      <w:r w:rsidRPr="00305018">
        <w:rPr>
          <w:rFonts w:ascii="Arial" w:hAnsi="Arial" w:cs="Arial"/>
          <w:sz w:val="22"/>
          <w:szCs w:val="22"/>
          <w:lang w:val="en-GB"/>
        </w:rPr>
        <w:t xml:space="preserve"> opportunity to examine States’ obligations under </w:t>
      </w:r>
      <w:r w:rsidR="00DA125C" w:rsidRPr="00305018">
        <w:rPr>
          <w:rFonts w:ascii="Arial" w:hAnsi="Arial" w:cs="Arial"/>
          <w:sz w:val="22"/>
          <w:szCs w:val="22"/>
          <w:lang w:val="en-GB"/>
        </w:rPr>
        <w:t xml:space="preserve">the Convention </w:t>
      </w:r>
      <w:r w:rsidRPr="00305018">
        <w:rPr>
          <w:rFonts w:ascii="Arial" w:hAnsi="Arial" w:cs="Arial"/>
          <w:sz w:val="22"/>
          <w:szCs w:val="22"/>
          <w:lang w:val="en-GB"/>
        </w:rPr>
        <w:t>and the Additional Protocol No 1 (hereinafter ‘Protocol No 1’) to guarantee non-discrimination</w:t>
      </w:r>
      <w:r w:rsidR="00D8532D">
        <w:rPr>
          <w:rFonts w:ascii="Arial" w:hAnsi="Arial" w:cs="Arial"/>
          <w:sz w:val="22"/>
          <w:szCs w:val="22"/>
          <w:lang w:val="en-GB"/>
        </w:rPr>
        <w:t xml:space="preserve"> and accessibility</w:t>
      </w:r>
      <w:r w:rsidRPr="00305018">
        <w:rPr>
          <w:rFonts w:ascii="Arial" w:hAnsi="Arial" w:cs="Arial"/>
          <w:sz w:val="22"/>
          <w:szCs w:val="22"/>
          <w:lang w:val="en-GB"/>
        </w:rPr>
        <w:t xml:space="preserve"> within </w:t>
      </w:r>
      <w:r w:rsidR="00B97C17" w:rsidRPr="00305018">
        <w:rPr>
          <w:rFonts w:ascii="Arial" w:hAnsi="Arial" w:cs="Arial"/>
          <w:sz w:val="22"/>
          <w:szCs w:val="22"/>
          <w:lang w:val="en-GB"/>
        </w:rPr>
        <w:t xml:space="preserve">the </w:t>
      </w:r>
      <w:r w:rsidRPr="00305018">
        <w:rPr>
          <w:rFonts w:ascii="Arial" w:hAnsi="Arial" w:cs="Arial"/>
          <w:sz w:val="22"/>
          <w:szCs w:val="22"/>
          <w:lang w:val="en-GB"/>
        </w:rPr>
        <w:t xml:space="preserve">mainstream education system. </w:t>
      </w:r>
      <w:r w:rsidR="00BD5183" w:rsidRPr="00305018">
        <w:rPr>
          <w:rFonts w:ascii="Arial" w:hAnsi="Arial" w:cs="Arial"/>
          <w:sz w:val="22"/>
          <w:szCs w:val="22"/>
          <w:lang w:val="en-GB"/>
        </w:rPr>
        <w:t xml:space="preserve">While complex, this case </w:t>
      </w:r>
      <w:r w:rsidR="009E223B" w:rsidRPr="00305018">
        <w:rPr>
          <w:rFonts w:ascii="Arial" w:hAnsi="Arial" w:cs="Arial"/>
          <w:sz w:val="22"/>
          <w:szCs w:val="22"/>
          <w:lang w:val="en-GB"/>
        </w:rPr>
        <w:t>allow</w:t>
      </w:r>
      <w:r w:rsidR="00DB2D58" w:rsidRPr="00305018">
        <w:rPr>
          <w:rFonts w:ascii="Arial" w:hAnsi="Arial" w:cs="Arial"/>
          <w:sz w:val="22"/>
          <w:szCs w:val="22"/>
          <w:lang w:val="en-GB"/>
        </w:rPr>
        <w:t>s</w:t>
      </w:r>
      <w:r w:rsidR="009E223B" w:rsidRPr="00305018">
        <w:rPr>
          <w:rFonts w:ascii="Arial" w:hAnsi="Arial" w:cs="Arial"/>
          <w:sz w:val="22"/>
          <w:szCs w:val="22"/>
          <w:lang w:val="en-GB"/>
        </w:rPr>
        <w:t xml:space="preserve"> the Court</w:t>
      </w:r>
      <w:r w:rsidR="00B97C17" w:rsidRPr="00305018">
        <w:rPr>
          <w:rFonts w:ascii="Arial" w:hAnsi="Arial" w:cs="Arial"/>
          <w:sz w:val="22"/>
          <w:szCs w:val="22"/>
          <w:lang w:val="en-GB"/>
        </w:rPr>
        <w:t xml:space="preserve"> to </w:t>
      </w:r>
      <w:r w:rsidR="002C37A7">
        <w:rPr>
          <w:rFonts w:ascii="Arial" w:hAnsi="Arial" w:cs="Arial"/>
          <w:sz w:val="22"/>
          <w:szCs w:val="22"/>
          <w:lang w:val="en-GB"/>
        </w:rPr>
        <w:t>embrace and uphold the</w:t>
      </w:r>
      <w:r w:rsidR="00B97C17" w:rsidRPr="00305018">
        <w:rPr>
          <w:rFonts w:ascii="Arial" w:hAnsi="Arial" w:cs="Arial"/>
          <w:sz w:val="22"/>
          <w:szCs w:val="22"/>
          <w:lang w:val="en-GB"/>
        </w:rPr>
        <w:t xml:space="preserve"> right to inclusive education</w:t>
      </w:r>
      <w:r w:rsidR="002C37A7">
        <w:rPr>
          <w:rFonts w:ascii="Arial" w:hAnsi="Arial" w:cs="Arial"/>
          <w:sz w:val="22"/>
          <w:szCs w:val="22"/>
          <w:lang w:val="en-GB"/>
        </w:rPr>
        <w:t>, elaborating also on</w:t>
      </w:r>
      <w:r w:rsidR="00B97C17" w:rsidRPr="00305018">
        <w:rPr>
          <w:rFonts w:ascii="Arial" w:hAnsi="Arial" w:cs="Arial"/>
          <w:sz w:val="22"/>
          <w:szCs w:val="22"/>
          <w:lang w:val="en-GB"/>
        </w:rPr>
        <w:t xml:space="preserve"> the concepts of</w:t>
      </w:r>
      <w:r w:rsidR="00235F38">
        <w:rPr>
          <w:rFonts w:ascii="Arial" w:hAnsi="Arial" w:cs="Arial"/>
          <w:sz w:val="22"/>
          <w:szCs w:val="22"/>
          <w:lang w:val="en-GB"/>
        </w:rPr>
        <w:t xml:space="preserve"> discrimination on the basis of disability and</w:t>
      </w:r>
      <w:r w:rsidR="00B97C17" w:rsidRPr="00305018">
        <w:rPr>
          <w:rFonts w:ascii="Arial" w:hAnsi="Arial" w:cs="Arial"/>
          <w:sz w:val="22"/>
          <w:szCs w:val="22"/>
          <w:lang w:val="en-GB"/>
        </w:rPr>
        <w:t xml:space="preserve"> reasonable accommodation</w:t>
      </w:r>
      <w:r w:rsidR="009E223B" w:rsidRPr="00305018">
        <w:rPr>
          <w:rFonts w:ascii="Arial" w:hAnsi="Arial" w:cs="Arial"/>
          <w:sz w:val="22"/>
          <w:szCs w:val="22"/>
          <w:lang w:val="en-GB"/>
        </w:rPr>
        <w:t>,</w:t>
      </w:r>
      <w:r w:rsidR="00235F38">
        <w:rPr>
          <w:rFonts w:ascii="Arial" w:hAnsi="Arial" w:cs="Arial"/>
          <w:sz w:val="22"/>
          <w:szCs w:val="22"/>
          <w:lang w:val="en-GB"/>
        </w:rPr>
        <w:t xml:space="preserve"> and </w:t>
      </w:r>
      <w:r w:rsidR="00235F38" w:rsidRPr="00305018">
        <w:rPr>
          <w:rFonts w:ascii="Arial" w:hAnsi="Arial" w:cs="Arial"/>
          <w:sz w:val="22"/>
          <w:szCs w:val="22"/>
          <w:lang w:val="en-GB"/>
        </w:rPr>
        <w:t>accessibility</w:t>
      </w:r>
      <w:r w:rsidR="00E868C0">
        <w:rPr>
          <w:rFonts w:ascii="Arial" w:hAnsi="Arial" w:cs="Arial"/>
          <w:sz w:val="22"/>
          <w:szCs w:val="22"/>
          <w:lang w:val="en-GB"/>
        </w:rPr>
        <w:t>.</w:t>
      </w:r>
    </w:p>
    <w:p w14:paraId="6E540EAE" w14:textId="77777777" w:rsidR="00C9355E" w:rsidRPr="00305018" w:rsidRDefault="00C9355E" w:rsidP="00010AB7">
      <w:pPr>
        <w:jc w:val="both"/>
        <w:rPr>
          <w:rFonts w:ascii="Arial" w:hAnsi="Arial" w:cs="Arial"/>
          <w:sz w:val="22"/>
          <w:szCs w:val="22"/>
          <w:lang w:val="en-GB"/>
        </w:rPr>
      </w:pPr>
    </w:p>
    <w:p w14:paraId="77826C0F" w14:textId="3C5D0354" w:rsidR="003F3A8A" w:rsidRPr="00305018" w:rsidRDefault="005731AB" w:rsidP="003F3A8A">
      <w:pPr>
        <w:jc w:val="both"/>
        <w:rPr>
          <w:rFonts w:ascii="Arial" w:hAnsi="Arial" w:cs="Arial"/>
          <w:sz w:val="22"/>
          <w:szCs w:val="22"/>
          <w:lang w:val="en-GB"/>
        </w:rPr>
      </w:pPr>
      <w:r w:rsidRPr="00305018">
        <w:rPr>
          <w:rFonts w:ascii="Arial" w:hAnsi="Arial" w:cs="Arial"/>
          <w:sz w:val="22"/>
          <w:szCs w:val="22"/>
          <w:lang w:val="en-GB"/>
        </w:rPr>
        <w:t>These comments set forth the latest international human rights standards with respect to the right of persons with disabilities</w:t>
      </w:r>
      <w:r w:rsidR="00235F38">
        <w:rPr>
          <w:rFonts w:ascii="Arial" w:hAnsi="Arial" w:cs="Arial"/>
          <w:sz w:val="22"/>
          <w:szCs w:val="22"/>
          <w:lang w:val="en-GB"/>
        </w:rPr>
        <w:t xml:space="preserve"> to inclusive education</w:t>
      </w:r>
      <w:r w:rsidRPr="00305018">
        <w:rPr>
          <w:rFonts w:ascii="Arial" w:hAnsi="Arial" w:cs="Arial"/>
          <w:sz w:val="22"/>
          <w:szCs w:val="22"/>
          <w:lang w:val="en-GB"/>
        </w:rPr>
        <w:t>, particularly regarding the obli</w:t>
      </w:r>
      <w:r w:rsidR="000D5BC0" w:rsidRPr="00305018">
        <w:rPr>
          <w:rFonts w:ascii="Arial" w:hAnsi="Arial" w:cs="Arial"/>
          <w:sz w:val="22"/>
          <w:szCs w:val="22"/>
          <w:lang w:val="en-GB"/>
        </w:rPr>
        <w:t xml:space="preserve">gation </w:t>
      </w:r>
      <w:r w:rsidR="002C37A7">
        <w:rPr>
          <w:rFonts w:ascii="Arial" w:hAnsi="Arial" w:cs="Arial"/>
          <w:sz w:val="22"/>
          <w:szCs w:val="22"/>
          <w:lang w:val="en-GB"/>
        </w:rPr>
        <w:t xml:space="preserve">to enrol persons with disabilities in regular education, </w:t>
      </w:r>
      <w:r w:rsidR="000D5BC0" w:rsidRPr="00305018">
        <w:rPr>
          <w:rFonts w:ascii="Arial" w:hAnsi="Arial" w:cs="Arial"/>
          <w:sz w:val="22"/>
          <w:szCs w:val="22"/>
          <w:lang w:val="en-GB"/>
        </w:rPr>
        <w:t>t</w:t>
      </w:r>
      <w:r w:rsidR="00235F38">
        <w:rPr>
          <w:rFonts w:ascii="Arial" w:hAnsi="Arial" w:cs="Arial"/>
          <w:sz w:val="22"/>
          <w:szCs w:val="22"/>
          <w:lang w:val="en-GB"/>
        </w:rPr>
        <w:t>o provide</w:t>
      </w:r>
      <w:r w:rsidR="009812B6">
        <w:rPr>
          <w:rFonts w:ascii="Arial" w:hAnsi="Arial" w:cs="Arial"/>
          <w:sz w:val="22"/>
          <w:szCs w:val="22"/>
          <w:lang w:val="en-GB"/>
        </w:rPr>
        <w:t xml:space="preserve"> </w:t>
      </w:r>
      <w:r w:rsidR="00235F38">
        <w:rPr>
          <w:rFonts w:ascii="Arial" w:hAnsi="Arial" w:cs="Arial"/>
          <w:sz w:val="22"/>
          <w:szCs w:val="22"/>
          <w:lang w:val="en-GB"/>
        </w:rPr>
        <w:t xml:space="preserve">reasonable accommodation </w:t>
      </w:r>
      <w:r w:rsidR="009812B6">
        <w:rPr>
          <w:rFonts w:ascii="Arial" w:hAnsi="Arial" w:cs="Arial"/>
          <w:sz w:val="22"/>
          <w:szCs w:val="22"/>
          <w:lang w:val="en-GB"/>
        </w:rPr>
        <w:t>(</w:t>
      </w:r>
      <w:r w:rsidR="00235F38">
        <w:rPr>
          <w:rFonts w:ascii="Arial" w:hAnsi="Arial" w:cs="Arial"/>
          <w:sz w:val="22"/>
          <w:szCs w:val="22"/>
          <w:lang w:val="en-GB"/>
        </w:rPr>
        <w:t>as part of non-discrimination</w:t>
      </w:r>
      <w:r w:rsidR="009812B6">
        <w:rPr>
          <w:rFonts w:ascii="Arial" w:hAnsi="Arial" w:cs="Arial"/>
          <w:sz w:val="22"/>
          <w:szCs w:val="22"/>
          <w:lang w:val="en-GB"/>
        </w:rPr>
        <w:t xml:space="preserve">) and </w:t>
      </w:r>
      <w:r w:rsidR="009812B6" w:rsidRPr="00305018">
        <w:rPr>
          <w:rFonts w:ascii="Arial" w:hAnsi="Arial" w:cs="Arial"/>
          <w:sz w:val="22"/>
          <w:szCs w:val="22"/>
          <w:lang w:val="en-GB"/>
        </w:rPr>
        <w:t>individualised support</w:t>
      </w:r>
      <w:r w:rsidR="009812B6">
        <w:rPr>
          <w:rFonts w:ascii="Arial" w:hAnsi="Arial" w:cs="Arial"/>
          <w:sz w:val="22"/>
          <w:szCs w:val="22"/>
          <w:lang w:val="en-GB"/>
        </w:rPr>
        <w:t>,</w:t>
      </w:r>
      <w:r w:rsidR="00235F38">
        <w:rPr>
          <w:rFonts w:ascii="Arial" w:hAnsi="Arial" w:cs="Arial"/>
          <w:sz w:val="22"/>
          <w:szCs w:val="22"/>
          <w:lang w:val="en-GB"/>
        </w:rPr>
        <w:t xml:space="preserve"> and</w:t>
      </w:r>
      <w:r w:rsidR="009812B6">
        <w:rPr>
          <w:rFonts w:ascii="Arial" w:hAnsi="Arial" w:cs="Arial"/>
          <w:sz w:val="22"/>
          <w:szCs w:val="22"/>
          <w:lang w:val="en-GB"/>
        </w:rPr>
        <w:t xml:space="preserve"> to</w:t>
      </w:r>
      <w:r w:rsidR="00235F38">
        <w:rPr>
          <w:rFonts w:ascii="Arial" w:hAnsi="Arial" w:cs="Arial"/>
          <w:sz w:val="22"/>
          <w:szCs w:val="22"/>
          <w:lang w:val="en-GB"/>
        </w:rPr>
        <w:t xml:space="preserve"> ensure</w:t>
      </w:r>
      <w:r w:rsidR="000D5BC0" w:rsidRPr="00305018">
        <w:rPr>
          <w:rFonts w:ascii="Arial" w:hAnsi="Arial" w:cs="Arial"/>
          <w:sz w:val="22"/>
          <w:szCs w:val="22"/>
          <w:lang w:val="en-GB"/>
        </w:rPr>
        <w:t xml:space="preserve"> accessibility </w:t>
      </w:r>
      <w:r w:rsidR="009812B6">
        <w:rPr>
          <w:rFonts w:ascii="Arial" w:hAnsi="Arial" w:cs="Arial"/>
          <w:sz w:val="22"/>
          <w:szCs w:val="22"/>
          <w:lang w:val="en-GB"/>
        </w:rPr>
        <w:t>of school facilities;</w:t>
      </w:r>
      <w:r w:rsidR="003F3A8A" w:rsidRPr="00305018">
        <w:rPr>
          <w:rFonts w:ascii="Arial" w:hAnsi="Arial" w:cs="Arial"/>
          <w:sz w:val="22"/>
          <w:szCs w:val="22"/>
          <w:lang w:val="en-GB"/>
        </w:rPr>
        <w:t xml:space="preserve">  </w:t>
      </w:r>
      <w:r w:rsidR="009E781C" w:rsidRPr="00305018">
        <w:rPr>
          <w:rFonts w:ascii="Arial" w:hAnsi="Arial" w:cs="Arial"/>
          <w:sz w:val="22"/>
          <w:szCs w:val="22"/>
          <w:lang w:val="en-GB"/>
        </w:rPr>
        <w:t>in particular since the adoption</w:t>
      </w:r>
      <w:r w:rsidR="00C368D5" w:rsidRPr="00305018">
        <w:rPr>
          <w:rFonts w:ascii="Arial" w:hAnsi="Arial" w:cs="Arial"/>
          <w:sz w:val="22"/>
          <w:szCs w:val="22"/>
          <w:lang w:val="en-GB"/>
        </w:rPr>
        <w:t xml:space="preserve"> by the Committee on the Rights of Persons with Disabilities (hereinafter the ‘Committee’)</w:t>
      </w:r>
      <w:r w:rsidR="009E781C" w:rsidRPr="00305018">
        <w:rPr>
          <w:rFonts w:ascii="Arial" w:hAnsi="Arial" w:cs="Arial"/>
          <w:sz w:val="22"/>
          <w:szCs w:val="22"/>
          <w:lang w:val="en-GB"/>
        </w:rPr>
        <w:t xml:space="preserve"> of General Comment No 4 on the right to inclusive education</w:t>
      </w:r>
      <w:r w:rsidR="00E0690D" w:rsidRPr="00305018">
        <w:rPr>
          <w:rFonts w:ascii="Arial" w:hAnsi="Arial" w:cs="Arial"/>
          <w:sz w:val="22"/>
          <w:szCs w:val="22"/>
          <w:lang w:val="en-GB"/>
        </w:rPr>
        <w:t xml:space="preserve"> (hereinafter the ‘General Comment No 4’</w:t>
      </w:r>
      <w:r w:rsidR="00E0690D" w:rsidRPr="00E868C0">
        <w:rPr>
          <w:rFonts w:ascii="Arial" w:hAnsi="Arial" w:cs="Arial"/>
          <w:sz w:val="22"/>
          <w:szCs w:val="22"/>
          <w:lang w:val="en-GB"/>
        </w:rPr>
        <w:t>)</w:t>
      </w:r>
      <w:r w:rsidRPr="00E868C0">
        <w:rPr>
          <w:rFonts w:ascii="Arial" w:hAnsi="Arial" w:cs="Arial"/>
          <w:sz w:val="22"/>
          <w:szCs w:val="22"/>
          <w:lang w:val="en-GB"/>
        </w:rPr>
        <w:t>.</w:t>
      </w:r>
      <w:r w:rsidR="000A51D1" w:rsidRPr="00E868C0">
        <w:rPr>
          <w:rStyle w:val="FootnoteReference"/>
          <w:rFonts w:ascii="Arial" w:hAnsi="Arial" w:cs="Arial"/>
          <w:sz w:val="22"/>
          <w:szCs w:val="22"/>
          <w:lang w:val="en-GB"/>
        </w:rPr>
        <w:footnoteReference w:id="1"/>
      </w:r>
      <w:r w:rsidRPr="00E868C0">
        <w:rPr>
          <w:rFonts w:ascii="Arial" w:hAnsi="Arial" w:cs="Arial"/>
          <w:sz w:val="22"/>
          <w:szCs w:val="22"/>
          <w:lang w:val="en-GB"/>
        </w:rPr>
        <w:t xml:space="preserve"> </w:t>
      </w:r>
      <w:r w:rsidR="003F3A8A" w:rsidRPr="00E868C0">
        <w:rPr>
          <w:rFonts w:ascii="Arial" w:hAnsi="Arial" w:cs="Arial"/>
          <w:sz w:val="22"/>
          <w:szCs w:val="22"/>
          <w:lang w:val="en-GB"/>
        </w:rPr>
        <w:t xml:space="preserve">They also aim to provide </w:t>
      </w:r>
      <w:r w:rsidR="00E868C0" w:rsidRPr="00E868C0">
        <w:rPr>
          <w:rFonts w:ascii="Arial" w:hAnsi="Arial" w:cs="Arial"/>
          <w:sz w:val="22"/>
          <w:szCs w:val="22"/>
          <w:lang w:val="en-GB"/>
        </w:rPr>
        <w:t xml:space="preserve">some </w:t>
      </w:r>
      <w:r w:rsidR="003F3A8A" w:rsidRPr="00E868C0">
        <w:rPr>
          <w:rFonts w:ascii="Arial" w:hAnsi="Arial" w:cs="Arial"/>
          <w:sz w:val="22"/>
          <w:szCs w:val="22"/>
          <w:lang w:val="en-GB"/>
        </w:rPr>
        <w:t>information on laws, polic</w:t>
      </w:r>
      <w:r w:rsidR="00E868C0" w:rsidRPr="00E868C0">
        <w:rPr>
          <w:rFonts w:ascii="Arial" w:hAnsi="Arial" w:cs="Arial"/>
          <w:sz w:val="22"/>
          <w:szCs w:val="22"/>
          <w:lang w:val="en-GB"/>
        </w:rPr>
        <w:t>ies and practices pertaining to inclusive education</w:t>
      </w:r>
      <w:r w:rsidR="003F3A8A" w:rsidRPr="00E868C0">
        <w:rPr>
          <w:rFonts w:ascii="Arial" w:hAnsi="Arial" w:cs="Arial"/>
          <w:sz w:val="22"/>
          <w:szCs w:val="22"/>
          <w:lang w:val="en-GB"/>
        </w:rPr>
        <w:t>.  </w:t>
      </w:r>
    </w:p>
    <w:p w14:paraId="26064EBE" w14:textId="3F655944" w:rsidR="005731AB" w:rsidRPr="00305018" w:rsidRDefault="005731AB" w:rsidP="00010AB7">
      <w:pPr>
        <w:jc w:val="both"/>
        <w:rPr>
          <w:rFonts w:ascii="Arial" w:hAnsi="Arial" w:cs="Arial"/>
          <w:sz w:val="22"/>
          <w:szCs w:val="22"/>
          <w:lang w:val="en-GB"/>
        </w:rPr>
      </w:pPr>
    </w:p>
    <w:p w14:paraId="16752AD0" w14:textId="452AE570" w:rsidR="008D10FF" w:rsidRPr="00305018" w:rsidRDefault="008D10FF" w:rsidP="008D10FF">
      <w:pPr>
        <w:jc w:val="both"/>
        <w:rPr>
          <w:rFonts w:ascii="Arial" w:hAnsi="Arial" w:cs="Arial"/>
          <w:sz w:val="22"/>
          <w:szCs w:val="22"/>
          <w:lang w:val="en-GB"/>
        </w:rPr>
      </w:pPr>
      <w:r w:rsidRPr="00305018">
        <w:rPr>
          <w:rFonts w:ascii="Arial" w:hAnsi="Arial" w:cs="Arial"/>
          <w:sz w:val="22"/>
          <w:szCs w:val="22"/>
          <w:lang w:val="en-GB"/>
        </w:rPr>
        <w:t>It has been established that in interpreting the provisions of the Convention and the scope of the States’ obligations in specific cases, the Court will look “</w:t>
      </w:r>
      <w:r w:rsidRPr="00305018">
        <w:rPr>
          <w:rFonts w:ascii="Arial" w:hAnsi="Arial" w:cs="Arial"/>
          <w:i/>
          <w:iCs/>
          <w:sz w:val="22"/>
          <w:szCs w:val="22"/>
          <w:lang w:val="en-GB"/>
        </w:rPr>
        <w:t>for any consensus and common values emerging from the practices of European States and specialised international instruments... as well as giving heed to the evolution of norms and principles in international law.</w:t>
      </w:r>
      <w:r w:rsidRPr="00305018">
        <w:rPr>
          <w:rFonts w:ascii="Arial" w:hAnsi="Arial" w:cs="Arial"/>
          <w:sz w:val="22"/>
          <w:szCs w:val="22"/>
          <w:lang w:val="en-GB"/>
        </w:rPr>
        <w:t>”</w:t>
      </w:r>
      <w:r w:rsidRPr="00305018">
        <w:rPr>
          <w:rStyle w:val="FootnoteReference"/>
          <w:rFonts w:ascii="Arial" w:hAnsi="Arial" w:cs="Arial"/>
          <w:sz w:val="22"/>
          <w:szCs w:val="22"/>
          <w:lang w:val="en-GB"/>
        </w:rPr>
        <w:footnoteReference w:id="2"/>
      </w:r>
      <w:r w:rsidRPr="00305018">
        <w:rPr>
          <w:rFonts w:ascii="Arial" w:hAnsi="Arial" w:cs="Arial"/>
          <w:sz w:val="22"/>
          <w:szCs w:val="22"/>
          <w:lang w:val="en-GB"/>
        </w:rPr>
        <w:t xml:space="preserve"> It is respectfully submitted that standards enshrined in international law and accepted by consensus in European countries, should inform the Court’s interpretation in this case.  </w:t>
      </w:r>
    </w:p>
    <w:p w14:paraId="3345BDE0" w14:textId="77777777" w:rsidR="00010AB7" w:rsidRPr="00305018" w:rsidRDefault="00010AB7" w:rsidP="00010AB7">
      <w:pPr>
        <w:jc w:val="both"/>
        <w:rPr>
          <w:rFonts w:ascii="Arial" w:hAnsi="Arial" w:cs="Arial"/>
          <w:sz w:val="22"/>
          <w:szCs w:val="22"/>
          <w:lang w:val="en-GB"/>
        </w:rPr>
      </w:pPr>
    </w:p>
    <w:p w14:paraId="159204B5" w14:textId="6A9FD397" w:rsidR="00AC6716" w:rsidRPr="00305018" w:rsidRDefault="00AC6716" w:rsidP="00010AB7">
      <w:pPr>
        <w:jc w:val="both"/>
        <w:rPr>
          <w:rFonts w:ascii="Arial" w:hAnsi="Arial" w:cs="Arial"/>
          <w:b/>
          <w:sz w:val="22"/>
          <w:szCs w:val="22"/>
          <w:lang w:val="en-GB"/>
        </w:rPr>
      </w:pPr>
      <w:r w:rsidRPr="00305018">
        <w:rPr>
          <w:rFonts w:ascii="Arial" w:hAnsi="Arial" w:cs="Arial"/>
          <w:b/>
          <w:sz w:val="22"/>
          <w:szCs w:val="22"/>
          <w:lang w:val="en-GB"/>
        </w:rPr>
        <w:t>II. INTERNATIONAL STANDARDS ON RIGH</w:t>
      </w:r>
      <w:r w:rsidR="00440F3C" w:rsidRPr="00305018">
        <w:rPr>
          <w:rFonts w:ascii="Arial" w:hAnsi="Arial" w:cs="Arial"/>
          <w:b/>
          <w:sz w:val="22"/>
          <w:szCs w:val="22"/>
          <w:lang w:val="en-GB"/>
        </w:rPr>
        <w:t>TS OF PERSONS WITH DISABILITIES</w:t>
      </w:r>
    </w:p>
    <w:p w14:paraId="1DCB4E6D" w14:textId="77777777" w:rsidR="00AC6716" w:rsidRPr="00305018" w:rsidRDefault="00AC6716" w:rsidP="00010AB7">
      <w:pPr>
        <w:jc w:val="both"/>
        <w:rPr>
          <w:rFonts w:ascii="Arial" w:hAnsi="Arial" w:cs="Arial"/>
          <w:sz w:val="22"/>
          <w:szCs w:val="22"/>
          <w:lang w:val="en-GB"/>
        </w:rPr>
      </w:pPr>
    </w:p>
    <w:p w14:paraId="1B8C67B1" w14:textId="77777777" w:rsidR="00AC6716" w:rsidRPr="00305018" w:rsidRDefault="00A27E45" w:rsidP="00010AB7">
      <w:pPr>
        <w:jc w:val="both"/>
        <w:rPr>
          <w:rFonts w:ascii="Arial" w:hAnsi="Arial" w:cs="Arial"/>
          <w:b/>
          <w:sz w:val="22"/>
          <w:szCs w:val="22"/>
          <w:lang w:val="en-GB"/>
        </w:rPr>
      </w:pPr>
      <w:r w:rsidRPr="00305018">
        <w:rPr>
          <w:rFonts w:ascii="Arial" w:hAnsi="Arial" w:cs="Arial"/>
          <w:b/>
          <w:sz w:val="22"/>
          <w:szCs w:val="22"/>
          <w:lang w:val="en-GB"/>
        </w:rPr>
        <w:t xml:space="preserve">A. </w:t>
      </w:r>
      <w:r w:rsidR="00AC6716" w:rsidRPr="00305018">
        <w:rPr>
          <w:rFonts w:ascii="Arial" w:hAnsi="Arial" w:cs="Arial"/>
          <w:b/>
          <w:sz w:val="22"/>
          <w:szCs w:val="22"/>
          <w:u w:val="single"/>
          <w:lang w:val="en-GB"/>
        </w:rPr>
        <w:t>United Nations Convention on the Rights of Persons with Disabilities</w:t>
      </w:r>
    </w:p>
    <w:p w14:paraId="7472BEB3" w14:textId="77777777" w:rsidR="00AC6716" w:rsidRPr="00305018" w:rsidRDefault="00AC6716" w:rsidP="00010AB7">
      <w:pPr>
        <w:jc w:val="both"/>
        <w:rPr>
          <w:rFonts w:ascii="Arial" w:hAnsi="Arial" w:cs="Arial"/>
          <w:sz w:val="22"/>
          <w:szCs w:val="22"/>
          <w:lang w:val="en-GB"/>
        </w:rPr>
      </w:pPr>
    </w:p>
    <w:p w14:paraId="303A081C" w14:textId="301E6244" w:rsidR="005C4A11" w:rsidRPr="00305018" w:rsidRDefault="005C4A11" w:rsidP="005C4A11">
      <w:pPr>
        <w:jc w:val="both"/>
        <w:rPr>
          <w:rFonts w:ascii="Arial" w:hAnsi="Arial" w:cs="Arial"/>
          <w:sz w:val="22"/>
          <w:szCs w:val="22"/>
          <w:lang w:val="en-GB"/>
        </w:rPr>
      </w:pPr>
      <w:r w:rsidRPr="00305018">
        <w:rPr>
          <w:rFonts w:ascii="Arial" w:hAnsi="Arial" w:cs="Arial"/>
          <w:sz w:val="22"/>
          <w:szCs w:val="22"/>
          <w:lang w:val="en-GB"/>
        </w:rPr>
        <w:t>In considerin</w:t>
      </w:r>
      <w:r w:rsidR="007D6916" w:rsidRPr="00305018">
        <w:rPr>
          <w:rFonts w:ascii="Arial" w:hAnsi="Arial" w:cs="Arial"/>
          <w:sz w:val="22"/>
          <w:szCs w:val="22"/>
          <w:lang w:val="en-GB"/>
        </w:rPr>
        <w:t>g the responsibility of member S</w:t>
      </w:r>
      <w:r w:rsidRPr="00305018">
        <w:rPr>
          <w:rFonts w:ascii="Arial" w:hAnsi="Arial" w:cs="Arial"/>
          <w:sz w:val="22"/>
          <w:szCs w:val="22"/>
          <w:lang w:val="en-GB"/>
        </w:rPr>
        <w:t xml:space="preserve">tates to uphold the rights of persons with disabilities, the Court is encouraged to have regard to the latest international standards on the human rights of persons with disabilities, namely the provisions of </w:t>
      </w:r>
      <w:r w:rsidRPr="00305018">
        <w:rPr>
          <w:rFonts w:ascii="Arial" w:hAnsi="Arial" w:cs="Arial"/>
          <w:sz w:val="22"/>
          <w:szCs w:val="22"/>
          <w:lang w:val="en-GB"/>
        </w:rPr>
        <w:lastRenderedPageBreak/>
        <w:t>the United Nations Convention on the Rights of Persons with Disabilities (hereinafter ‘CRPD’) and its guiding principles, which include respect for inherent dignity, non-discrimination, full and effective participation in society, respect for difference, equality of opportunity, and accessibility.</w:t>
      </w:r>
      <w:r w:rsidRPr="00305018">
        <w:rPr>
          <w:rStyle w:val="FootnoteReference"/>
          <w:rFonts w:ascii="Arial" w:hAnsi="Arial" w:cs="Arial"/>
          <w:sz w:val="22"/>
          <w:szCs w:val="22"/>
          <w:lang w:val="en-GB"/>
        </w:rPr>
        <w:footnoteReference w:id="3"/>
      </w:r>
      <w:r w:rsidR="00321D5D" w:rsidRPr="00305018">
        <w:rPr>
          <w:rFonts w:ascii="Arial" w:hAnsi="Arial" w:cs="Arial"/>
          <w:sz w:val="22"/>
          <w:szCs w:val="22"/>
          <w:lang w:val="en-GB"/>
        </w:rPr>
        <w:t xml:space="preserve"> </w:t>
      </w:r>
      <w:r w:rsidR="00605F44" w:rsidRPr="00305018">
        <w:rPr>
          <w:rFonts w:ascii="Arial" w:hAnsi="Arial" w:cs="Arial"/>
          <w:sz w:val="22"/>
          <w:szCs w:val="22"/>
          <w:lang w:val="en-GB"/>
        </w:rPr>
        <w:t>Moreover, t</w:t>
      </w:r>
      <w:r w:rsidR="00321D5D" w:rsidRPr="00305018">
        <w:rPr>
          <w:rFonts w:ascii="Arial" w:hAnsi="Arial" w:cs="Arial"/>
          <w:sz w:val="22"/>
          <w:szCs w:val="22"/>
          <w:lang w:val="en-GB"/>
        </w:rPr>
        <w:t xml:space="preserve">he </w:t>
      </w:r>
      <w:r w:rsidR="00E0690D" w:rsidRPr="001641E5">
        <w:rPr>
          <w:rFonts w:ascii="Arial" w:hAnsi="Arial" w:cs="Arial"/>
          <w:b/>
          <w:sz w:val="22"/>
          <w:szCs w:val="22"/>
          <w:lang w:val="en-GB"/>
        </w:rPr>
        <w:t xml:space="preserve">General Comment No 4 on </w:t>
      </w:r>
      <w:r w:rsidR="001641E5">
        <w:rPr>
          <w:rFonts w:ascii="Arial" w:hAnsi="Arial" w:cs="Arial"/>
          <w:b/>
          <w:sz w:val="22"/>
          <w:szCs w:val="22"/>
          <w:lang w:val="en-GB"/>
        </w:rPr>
        <w:t xml:space="preserve">the right to </w:t>
      </w:r>
      <w:r w:rsidR="00E0690D" w:rsidRPr="001641E5">
        <w:rPr>
          <w:rFonts w:ascii="Arial" w:hAnsi="Arial" w:cs="Arial"/>
          <w:b/>
          <w:sz w:val="22"/>
          <w:szCs w:val="22"/>
          <w:lang w:val="en-GB"/>
        </w:rPr>
        <w:t>inclusive education</w:t>
      </w:r>
      <w:r w:rsidR="00E0690D" w:rsidRPr="00305018">
        <w:rPr>
          <w:rFonts w:ascii="Arial" w:hAnsi="Arial" w:cs="Arial"/>
          <w:sz w:val="22"/>
          <w:szCs w:val="22"/>
          <w:lang w:val="en-GB"/>
        </w:rPr>
        <w:t xml:space="preserve"> adopted by the Committee on 25 November 2016 is of particular importance</w:t>
      </w:r>
      <w:r w:rsidR="00436461" w:rsidRPr="00305018">
        <w:rPr>
          <w:rFonts w:ascii="Arial" w:hAnsi="Arial" w:cs="Arial"/>
          <w:sz w:val="22"/>
          <w:szCs w:val="22"/>
          <w:lang w:val="en-GB"/>
        </w:rPr>
        <w:t xml:space="preserve"> to </w:t>
      </w:r>
      <w:r w:rsidR="00CB3953" w:rsidRPr="00305018">
        <w:rPr>
          <w:rFonts w:ascii="Arial" w:hAnsi="Arial" w:cs="Arial"/>
          <w:sz w:val="22"/>
          <w:szCs w:val="22"/>
          <w:lang w:val="en-GB"/>
        </w:rPr>
        <w:t>apprehend</w:t>
      </w:r>
      <w:r w:rsidR="00436461" w:rsidRPr="00305018">
        <w:rPr>
          <w:rFonts w:ascii="Arial" w:hAnsi="Arial" w:cs="Arial"/>
          <w:sz w:val="22"/>
          <w:szCs w:val="22"/>
          <w:lang w:val="en-GB"/>
        </w:rPr>
        <w:t xml:space="preserve"> the concept of inclus</w:t>
      </w:r>
      <w:r w:rsidR="00334476">
        <w:rPr>
          <w:rFonts w:ascii="Arial" w:hAnsi="Arial" w:cs="Arial"/>
          <w:sz w:val="22"/>
          <w:szCs w:val="22"/>
          <w:lang w:val="en-GB"/>
        </w:rPr>
        <w:t>ive education</w:t>
      </w:r>
      <w:r w:rsidR="00E0690D" w:rsidRPr="00305018">
        <w:rPr>
          <w:rFonts w:ascii="Arial" w:hAnsi="Arial" w:cs="Arial"/>
          <w:sz w:val="22"/>
          <w:szCs w:val="22"/>
          <w:lang w:val="en-GB"/>
        </w:rPr>
        <w:t>.</w:t>
      </w:r>
    </w:p>
    <w:p w14:paraId="6BE06493" w14:textId="77777777" w:rsidR="00BA55F3" w:rsidRPr="00305018" w:rsidRDefault="00BA55F3" w:rsidP="00010AB7">
      <w:pPr>
        <w:jc w:val="both"/>
        <w:rPr>
          <w:rFonts w:ascii="Arial" w:hAnsi="Arial" w:cs="Arial"/>
          <w:sz w:val="22"/>
          <w:szCs w:val="22"/>
          <w:lang w:val="en-GB"/>
        </w:rPr>
      </w:pPr>
    </w:p>
    <w:p w14:paraId="0E3897B7" w14:textId="10B0F8BD" w:rsidR="00ED114E" w:rsidRPr="00305018" w:rsidRDefault="00ED114E" w:rsidP="00ED114E">
      <w:pPr>
        <w:jc w:val="both"/>
        <w:rPr>
          <w:rFonts w:ascii="Arial" w:hAnsi="Arial" w:cs="Arial"/>
          <w:sz w:val="22"/>
          <w:szCs w:val="22"/>
          <w:lang w:val="en-GB"/>
        </w:rPr>
      </w:pPr>
      <w:r w:rsidRPr="00305018">
        <w:rPr>
          <w:rFonts w:ascii="Arial" w:hAnsi="Arial" w:cs="Arial"/>
          <w:sz w:val="22"/>
          <w:szCs w:val="22"/>
          <w:lang w:val="en-GB"/>
        </w:rPr>
        <w:t xml:space="preserve">To date, the CRPD counts </w:t>
      </w:r>
      <w:r w:rsidR="00E91A3D" w:rsidRPr="00305018">
        <w:rPr>
          <w:rFonts w:ascii="Arial" w:hAnsi="Arial" w:cs="Arial"/>
          <w:sz w:val="22"/>
          <w:szCs w:val="22"/>
          <w:lang w:val="en-GB"/>
        </w:rPr>
        <w:t>174</w:t>
      </w:r>
      <w:r w:rsidRPr="00305018">
        <w:rPr>
          <w:rFonts w:ascii="Arial" w:hAnsi="Arial" w:cs="Arial"/>
          <w:sz w:val="22"/>
          <w:szCs w:val="22"/>
          <w:lang w:val="en-GB"/>
        </w:rPr>
        <w:t xml:space="preserve"> ratifications/accessions including Romania which ratified it</w:t>
      </w:r>
      <w:r w:rsidR="007D6916" w:rsidRPr="00305018">
        <w:rPr>
          <w:rFonts w:ascii="Arial" w:hAnsi="Arial" w:cs="Arial"/>
          <w:sz w:val="22"/>
          <w:szCs w:val="22"/>
          <w:lang w:val="en-GB"/>
        </w:rPr>
        <w:t xml:space="preserve"> on 31 January 2011. Further, 27 out of the 28 member S</w:t>
      </w:r>
      <w:r w:rsidRPr="00305018">
        <w:rPr>
          <w:rFonts w:ascii="Arial" w:hAnsi="Arial" w:cs="Arial"/>
          <w:sz w:val="22"/>
          <w:szCs w:val="22"/>
          <w:lang w:val="en-GB"/>
        </w:rPr>
        <w:t>tates of the European Union have ratified or acceded to the CRPD,</w:t>
      </w:r>
      <w:r w:rsidR="007D6916" w:rsidRPr="00305018">
        <w:rPr>
          <w:rStyle w:val="FootnoteReference"/>
          <w:rFonts w:ascii="Arial" w:hAnsi="Arial" w:cs="Arial"/>
          <w:sz w:val="22"/>
          <w:szCs w:val="22"/>
          <w:lang w:val="en-GB"/>
        </w:rPr>
        <w:footnoteReference w:id="4"/>
      </w:r>
      <w:r w:rsidRPr="00305018">
        <w:rPr>
          <w:rFonts w:ascii="Arial" w:hAnsi="Arial" w:cs="Arial"/>
          <w:sz w:val="22"/>
          <w:szCs w:val="22"/>
          <w:lang w:val="en-GB"/>
        </w:rPr>
        <w:t xml:space="preserve"> and the CRPD is the first international human rights instrument to which </w:t>
      </w:r>
      <w:proofErr w:type="gramStart"/>
      <w:r w:rsidRPr="00305018">
        <w:rPr>
          <w:rFonts w:ascii="Arial" w:hAnsi="Arial" w:cs="Arial"/>
          <w:sz w:val="22"/>
          <w:szCs w:val="22"/>
          <w:lang w:val="en-GB"/>
        </w:rPr>
        <w:t>an</w:t>
      </w:r>
      <w:proofErr w:type="gramEnd"/>
      <w:r w:rsidRPr="00305018">
        <w:rPr>
          <w:rFonts w:ascii="Arial" w:hAnsi="Arial" w:cs="Arial"/>
          <w:sz w:val="22"/>
          <w:szCs w:val="22"/>
          <w:lang w:val="en-GB"/>
        </w:rPr>
        <w:t xml:space="preserve"> </w:t>
      </w:r>
      <w:r w:rsidR="0098241F">
        <w:rPr>
          <w:rFonts w:ascii="Arial" w:hAnsi="Arial" w:cs="Arial"/>
          <w:sz w:val="22"/>
          <w:szCs w:val="22"/>
          <w:lang w:val="en-GB"/>
        </w:rPr>
        <w:t xml:space="preserve">regional integration </w:t>
      </w:r>
      <w:r w:rsidRPr="00305018">
        <w:rPr>
          <w:rFonts w:ascii="Arial" w:hAnsi="Arial" w:cs="Arial"/>
          <w:sz w:val="22"/>
          <w:szCs w:val="22"/>
          <w:lang w:val="en-GB"/>
        </w:rPr>
        <w:t xml:space="preserve">body is a party, i.e. the European Union, which acceded to it on 23 December 2010. </w:t>
      </w:r>
      <w:r w:rsidR="007D6916" w:rsidRPr="00305018">
        <w:rPr>
          <w:rFonts w:ascii="Arial" w:hAnsi="Arial" w:cs="Arial"/>
          <w:sz w:val="22"/>
          <w:szCs w:val="22"/>
          <w:lang w:val="en-GB"/>
        </w:rPr>
        <w:t>Within the Council of Europe, 44</w:t>
      </w:r>
      <w:r w:rsidR="00C9723B" w:rsidRPr="00305018">
        <w:rPr>
          <w:rFonts w:ascii="Arial" w:hAnsi="Arial" w:cs="Arial"/>
          <w:sz w:val="22"/>
          <w:szCs w:val="22"/>
          <w:lang w:val="en-GB"/>
        </w:rPr>
        <w:t xml:space="preserve"> of the 47 members are States p</w:t>
      </w:r>
      <w:r w:rsidRPr="00305018">
        <w:rPr>
          <w:rFonts w:ascii="Arial" w:hAnsi="Arial" w:cs="Arial"/>
          <w:sz w:val="22"/>
          <w:szCs w:val="22"/>
          <w:lang w:val="en-GB"/>
        </w:rPr>
        <w:t>arties to the CRPD.</w:t>
      </w:r>
      <w:r w:rsidR="007D6916" w:rsidRPr="00305018">
        <w:rPr>
          <w:rStyle w:val="FootnoteReference"/>
          <w:rFonts w:ascii="Arial" w:hAnsi="Arial" w:cs="Arial"/>
          <w:sz w:val="22"/>
          <w:szCs w:val="22"/>
          <w:lang w:val="en-GB"/>
        </w:rPr>
        <w:footnoteReference w:id="5"/>
      </w:r>
      <w:r w:rsidR="001C0500" w:rsidRPr="00305018">
        <w:rPr>
          <w:rFonts w:ascii="Arial" w:hAnsi="Arial" w:cs="Arial"/>
          <w:sz w:val="22"/>
          <w:szCs w:val="22"/>
          <w:lang w:val="en-GB"/>
        </w:rPr>
        <w:t xml:space="preserve"> The Court recognised in 2009 in </w:t>
      </w:r>
      <w:proofErr w:type="spellStart"/>
      <w:r w:rsidR="001C0500" w:rsidRPr="00607CC7">
        <w:rPr>
          <w:rFonts w:ascii="Arial" w:hAnsi="Arial" w:cs="Arial"/>
          <w:b/>
          <w:i/>
          <w:sz w:val="22"/>
          <w:szCs w:val="22"/>
          <w:lang w:val="en-GB"/>
        </w:rPr>
        <w:t>Glor</w:t>
      </w:r>
      <w:proofErr w:type="spellEnd"/>
      <w:r w:rsidR="001C0500" w:rsidRPr="00607CC7">
        <w:rPr>
          <w:rFonts w:ascii="Arial" w:hAnsi="Arial" w:cs="Arial"/>
          <w:b/>
          <w:i/>
          <w:sz w:val="22"/>
          <w:szCs w:val="22"/>
          <w:lang w:val="en-GB"/>
        </w:rPr>
        <w:t xml:space="preserve"> v Switzerland</w:t>
      </w:r>
      <w:r w:rsidR="001C0500" w:rsidRPr="00305018">
        <w:rPr>
          <w:rFonts w:ascii="Arial" w:hAnsi="Arial" w:cs="Arial"/>
          <w:sz w:val="22"/>
          <w:szCs w:val="22"/>
          <w:lang w:val="en-GB"/>
        </w:rPr>
        <w:t xml:space="preserve"> that the CRPD reflects “a</w:t>
      </w:r>
      <w:r w:rsidR="00017BDF" w:rsidRPr="00305018">
        <w:rPr>
          <w:rFonts w:ascii="Arial" w:hAnsi="Arial" w:cs="Arial"/>
          <w:sz w:val="22"/>
          <w:szCs w:val="22"/>
          <w:lang w:val="en-GB"/>
        </w:rPr>
        <w:t>n</w:t>
      </w:r>
      <w:r w:rsidR="001C0500" w:rsidRPr="00305018">
        <w:rPr>
          <w:rFonts w:ascii="Arial" w:hAnsi="Arial" w:cs="Arial"/>
          <w:sz w:val="22"/>
          <w:szCs w:val="22"/>
          <w:lang w:val="en-GB"/>
        </w:rPr>
        <w:t xml:space="preserve"> European and worldwide consensus on the need to protect people with disabilitie</w:t>
      </w:r>
      <w:r w:rsidR="00A3061D">
        <w:rPr>
          <w:rFonts w:ascii="Arial" w:hAnsi="Arial" w:cs="Arial"/>
          <w:sz w:val="22"/>
          <w:szCs w:val="22"/>
          <w:lang w:val="en-GB"/>
        </w:rPr>
        <w:t>s from discriminatory treatment.</w:t>
      </w:r>
      <w:r w:rsidR="001C0500" w:rsidRPr="00305018">
        <w:rPr>
          <w:rFonts w:ascii="Arial" w:hAnsi="Arial" w:cs="Arial"/>
          <w:sz w:val="22"/>
          <w:szCs w:val="22"/>
          <w:lang w:val="en-GB"/>
        </w:rPr>
        <w:t>”</w:t>
      </w:r>
      <w:r w:rsidR="001C0500" w:rsidRPr="00305018">
        <w:rPr>
          <w:rStyle w:val="FootnoteReference"/>
          <w:rFonts w:ascii="Arial" w:hAnsi="Arial" w:cs="Arial"/>
          <w:sz w:val="22"/>
          <w:szCs w:val="22"/>
          <w:lang w:val="en-GB"/>
        </w:rPr>
        <w:footnoteReference w:id="6"/>
      </w:r>
      <w:r w:rsidR="00A3061D">
        <w:rPr>
          <w:rFonts w:ascii="Arial" w:hAnsi="Arial" w:cs="Arial"/>
          <w:sz w:val="22"/>
          <w:szCs w:val="22"/>
          <w:lang w:val="en-GB"/>
        </w:rPr>
        <w:t xml:space="preserve"> M</w:t>
      </w:r>
      <w:r w:rsidR="00E03033" w:rsidRPr="00305018">
        <w:rPr>
          <w:rFonts w:ascii="Arial" w:hAnsi="Arial" w:cs="Arial"/>
          <w:sz w:val="22"/>
          <w:szCs w:val="22"/>
          <w:lang w:val="en-GB"/>
        </w:rPr>
        <w:t>ore recent</w:t>
      </w:r>
      <w:r w:rsidR="00A3061D">
        <w:rPr>
          <w:rFonts w:ascii="Arial" w:hAnsi="Arial" w:cs="Arial"/>
          <w:sz w:val="22"/>
          <w:szCs w:val="22"/>
          <w:lang w:val="en-GB"/>
        </w:rPr>
        <w:t>ly,</w:t>
      </w:r>
      <w:r w:rsidR="00E03033" w:rsidRPr="00305018">
        <w:rPr>
          <w:rFonts w:ascii="Arial" w:hAnsi="Arial" w:cs="Arial"/>
          <w:sz w:val="22"/>
          <w:szCs w:val="22"/>
          <w:lang w:val="en-GB"/>
        </w:rPr>
        <w:t xml:space="preserve"> </w:t>
      </w:r>
      <w:r w:rsidR="00A3061D">
        <w:rPr>
          <w:rFonts w:ascii="Arial" w:hAnsi="Arial" w:cs="Arial"/>
          <w:sz w:val="22"/>
          <w:szCs w:val="22"/>
          <w:lang w:val="en-GB"/>
        </w:rPr>
        <w:t>in</w:t>
      </w:r>
      <w:r w:rsidR="00E03033" w:rsidRPr="00305018">
        <w:rPr>
          <w:rFonts w:ascii="Arial" w:hAnsi="Arial" w:cs="Arial"/>
          <w:sz w:val="22"/>
          <w:szCs w:val="22"/>
          <w:lang w:val="en-GB"/>
        </w:rPr>
        <w:t xml:space="preserve"> </w:t>
      </w:r>
      <w:proofErr w:type="spellStart"/>
      <w:r w:rsidR="00E03033" w:rsidRPr="00607CC7">
        <w:rPr>
          <w:rFonts w:ascii="Arial" w:hAnsi="Arial" w:cs="Arial"/>
          <w:b/>
          <w:i/>
          <w:sz w:val="22"/>
          <w:szCs w:val="22"/>
          <w:lang w:val="en-GB"/>
        </w:rPr>
        <w:t>Çam</w:t>
      </w:r>
      <w:proofErr w:type="spellEnd"/>
      <w:r w:rsidR="00E03033" w:rsidRPr="00607CC7">
        <w:rPr>
          <w:rFonts w:ascii="Arial" w:hAnsi="Arial" w:cs="Arial"/>
          <w:b/>
          <w:i/>
          <w:sz w:val="22"/>
          <w:szCs w:val="22"/>
          <w:lang w:val="en-GB"/>
        </w:rPr>
        <w:t xml:space="preserve"> v. Turkey</w:t>
      </w:r>
      <w:r w:rsidR="00A3061D" w:rsidRPr="00A3061D">
        <w:rPr>
          <w:rFonts w:ascii="Arial" w:hAnsi="Arial" w:cs="Arial"/>
          <w:i/>
          <w:sz w:val="22"/>
          <w:szCs w:val="22"/>
          <w:lang w:val="en-GB"/>
        </w:rPr>
        <w:t>,</w:t>
      </w:r>
      <w:r w:rsidR="00A3061D">
        <w:rPr>
          <w:rFonts w:ascii="Arial" w:hAnsi="Arial" w:cs="Arial"/>
          <w:b/>
          <w:i/>
          <w:sz w:val="22"/>
          <w:szCs w:val="22"/>
          <w:lang w:val="en-GB"/>
        </w:rPr>
        <w:t xml:space="preserve"> </w:t>
      </w:r>
      <w:r w:rsidR="00A3061D" w:rsidRPr="00A3061D">
        <w:rPr>
          <w:rFonts w:ascii="Arial" w:hAnsi="Arial" w:cs="Arial"/>
          <w:sz w:val="22"/>
          <w:szCs w:val="22"/>
          <w:lang w:val="en-GB"/>
        </w:rPr>
        <w:t>related to education of persons with disabilities</w:t>
      </w:r>
      <w:r w:rsidR="00E03033" w:rsidRPr="00A3061D">
        <w:rPr>
          <w:rFonts w:ascii="Arial" w:hAnsi="Arial" w:cs="Arial"/>
          <w:sz w:val="22"/>
          <w:szCs w:val="22"/>
          <w:lang w:val="en-GB"/>
        </w:rPr>
        <w:t>,</w:t>
      </w:r>
      <w:r w:rsidR="00E03033" w:rsidRPr="00305018">
        <w:rPr>
          <w:rFonts w:ascii="Arial" w:hAnsi="Arial" w:cs="Arial"/>
          <w:sz w:val="22"/>
          <w:szCs w:val="22"/>
          <w:lang w:val="en-GB"/>
        </w:rPr>
        <w:t xml:space="preserve"> the Court reiterated that</w:t>
      </w:r>
      <w:r w:rsidR="00017BDF" w:rsidRPr="00305018">
        <w:rPr>
          <w:rFonts w:ascii="Arial" w:hAnsi="Arial" w:cs="Arial"/>
          <w:sz w:val="22"/>
          <w:szCs w:val="22"/>
          <w:lang w:val="en-GB"/>
        </w:rPr>
        <w:t xml:space="preserve"> the Convention and Protocol No </w:t>
      </w:r>
      <w:r w:rsidR="00E03033" w:rsidRPr="00305018">
        <w:rPr>
          <w:rFonts w:ascii="Arial" w:hAnsi="Arial" w:cs="Arial"/>
          <w:sz w:val="22"/>
          <w:szCs w:val="22"/>
          <w:lang w:val="en-GB"/>
        </w:rPr>
        <w:t>1 have to be interpreted in the light of relevant intern</w:t>
      </w:r>
      <w:r w:rsidR="00A3061D">
        <w:rPr>
          <w:rFonts w:ascii="Arial" w:hAnsi="Arial" w:cs="Arial"/>
          <w:sz w:val="22"/>
          <w:szCs w:val="22"/>
          <w:lang w:val="en-GB"/>
        </w:rPr>
        <w:t>ational law, including the CRPD</w:t>
      </w:r>
      <w:r w:rsidR="00E03033" w:rsidRPr="00305018">
        <w:rPr>
          <w:rFonts w:ascii="Arial" w:hAnsi="Arial" w:cs="Arial"/>
          <w:sz w:val="22"/>
          <w:szCs w:val="22"/>
          <w:lang w:val="en-GB"/>
        </w:rPr>
        <w:t>.</w:t>
      </w:r>
      <w:r w:rsidR="004F6873" w:rsidRPr="00305018">
        <w:rPr>
          <w:rStyle w:val="FootnoteReference"/>
          <w:rFonts w:ascii="Arial" w:hAnsi="Arial" w:cs="Arial"/>
          <w:sz w:val="22"/>
          <w:szCs w:val="22"/>
          <w:lang w:val="en-GB"/>
        </w:rPr>
        <w:footnoteReference w:id="7"/>
      </w:r>
    </w:p>
    <w:p w14:paraId="7B167D85" w14:textId="77777777" w:rsidR="00335EEA" w:rsidRPr="00305018" w:rsidRDefault="00335EEA" w:rsidP="00ED114E">
      <w:pPr>
        <w:jc w:val="both"/>
        <w:rPr>
          <w:rFonts w:ascii="Arial" w:hAnsi="Arial" w:cs="Arial"/>
          <w:sz w:val="22"/>
          <w:szCs w:val="22"/>
          <w:lang w:val="en-GB"/>
        </w:rPr>
      </w:pPr>
    </w:p>
    <w:p w14:paraId="28DA6349" w14:textId="0CD74D7E" w:rsidR="00335EEA" w:rsidRPr="00305018" w:rsidRDefault="00335EEA" w:rsidP="00ED114E">
      <w:pPr>
        <w:jc w:val="both"/>
        <w:rPr>
          <w:rFonts w:ascii="Arial" w:hAnsi="Arial" w:cs="Arial"/>
          <w:sz w:val="22"/>
          <w:szCs w:val="22"/>
          <w:lang w:val="en-GB"/>
        </w:rPr>
      </w:pPr>
      <w:r w:rsidRPr="00305018">
        <w:rPr>
          <w:rFonts w:ascii="Arial" w:hAnsi="Arial" w:cs="Arial"/>
          <w:sz w:val="22"/>
          <w:szCs w:val="22"/>
          <w:lang w:val="en-GB"/>
        </w:rPr>
        <w:t>The CRPD represents a significant paradigm shift in the discourse on the rights of persons with disabilities, moving from a medical and charity based approach to disability, in which persons with disabilities were considered as objects of treatment or charity, to a social model and human rights approach which recognises persons with disabilities as subjects of their own rights and focuses on the attitudinal and environmental barriers that hinder their full and effective participation in society on an equal basis with others.</w:t>
      </w:r>
      <w:r w:rsidR="00861267" w:rsidRPr="00305018">
        <w:rPr>
          <w:rStyle w:val="FootnoteReference"/>
          <w:rFonts w:ascii="Arial" w:hAnsi="Arial" w:cs="Arial"/>
          <w:sz w:val="22"/>
          <w:szCs w:val="22"/>
          <w:lang w:val="en-GB"/>
        </w:rPr>
        <w:footnoteReference w:id="8"/>
      </w:r>
      <w:r w:rsidRPr="00305018">
        <w:rPr>
          <w:rFonts w:ascii="Arial" w:hAnsi="Arial" w:cs="Arial"/>
          <w:sz w:val="22"/>
          <w:szCs w:val="22"/>
          <w:lang w:val="en-GB"/>
        </w:rPr>
        <w:t xml:space="preserve"> Importantly, the CRPD acknowledges that concerted steps and specific measures are necessary to accelerate or achieve </w:t>
      </w:r>
      <w:r w:rsidRPr="00305018">
        <w:rPr>
          <w:rFonts w:ascii="Arial" w:hAnsi="Arial" w:cs="Arial"/>
          <w:i/>
          <w:iCs/>
          <w:sz w:val="22"/>
          <w:szCs w:val="22"/>
          <w:lang w:val="en-GB"/>
        </w:rPr>
        <w:t xml:space="preserve">de facto </w:t>
      </w:r>
      <w:r w:rsidRPr="00305018">
        <w:rPr>
          <w:rFonts w:ascii="Arial" w:hAnsi="Arial" w:cs="Arial"/>
          <w:sz w:val="22"/>
          <w:szCs w:val="22"/>
          <w:lang w:val="en-GB"/>
        </w:rPr>
        <w:t>equality of persons with disabilities in society.</w:t>
      </w:r>
      <w:r w:rsidR="00861267" w:rsidRPr="00305018">
        <w:rPr>
          <w:rStyle w:val="FootnoteReference"/>
          <w:rFonts w:ascii="Arial" w:hAnsi="Arial" w:cs="Arial"/>
          <w:sz w:val="22"/>
          <w:szCs w:val="22"/>
          <w:lang w:val="en-GB"/>
        </w:rPr>
        <w:footnoteReference w:id="9"/>
      </w:r>
    </w:p>
    <w:p w14:paraId="2D486980" w14:textId="77777777" w:rsidR="00ED114E" w:rsidRPr="00305018" w:rsidRDefault="00ED114E" w:rsidP="00010AB7">
      <w:pPr>
        <w:jc w:val="both"/>
        <w:rPr>
          <w:rFonts w:ascii="Arial" w:hAnsi="Arial" w:cs="Arial"/>
          <w:sz w:val="22"/>
          <w:szCs w:val="22"/>
          <w:lang w:val="en-GB"/>
        </w:rPr>
      </w:pPr>
    </w:p>
    <w:p w14:paraId="4622F64A" w14:textId="1639BDB0" w:rsidR="00AC6716" w:rsidRPr="00305018" w:rsidRDefault="00A27E45" w:rsidP="00010AB7">
      <w:pPr>
        <w:jc w:val="both"/>
        <w:rPr>
          <w:rFonts w:ascii="Arial" w:hAnsi="Arial" w:cs="Arial"/>
          <w:b/>
          <w:sz w:val="22"/>
          <w:szCs w:val="22"/>
          <w:lang w:val="en-GB"/>
        </w:rPr>
      </w:pPr>
      <w:r w:rsidRPr="00305018">
        <w:rPr>
          <w:rFonts w:ascii="Arial" w:hAnsi="Arial" w:cs="Arial"/>
          <w:b/>
          <w:sz w:val="22"/>
          <w:szCs w:val="22"/>
          <w:lang w:val="en-GB"/>
        </w:rPr>
        <w:t xml:space="preserve">B. </w:t>
      </w:r>
      <w:r w:rsidR="00AC6716" w:rsidRPr="00305018">
        <w:rPr>
          <w:rFonts w:ascii="Arial" w:hAnsi="Arial" w:cs="Arial"/>
          <w:b/>
          <w:sz w:val="22"/>
          <w:szCs w:val="22"/>
          <w:u w:val="single"/>
          <w:lang w:val="en-GB"/>
        </w:rPr>
        <w:t xml:space="preserve">Key principles of the CRPD: </w:t>
      </w:r>
      <w:r w:rsidR="00535BCE" w:rsidRPr="00305018">
        <w:rPr>
          <w:rFonts w:ascii="Arial" w:hAnsi="Arial" w:cs="Arial"/>
          <w:b/>
          <w:sz w:val="22"/>
          <w:szCs w:val="22"/>
          <w:u w:val="single"/>
          <w:lang w:val="en-GB"/>
        </w:rPr>
        <w:t>accessibility, non-discrimination</w:t>
      </w:r>
      <w:r w:rsidR="000F3F8F" w:rsidRPr="00305018">
        <w:rPr>
          <w:rFonts w:ascii="Arial" w:hAnsi="Arial" w:cs="Arial"/>
          <w:b/>
          <w:sz w:val="22"/>
          <w:szCs w:val="22"/>
          <w:u w:val="single"/>
          <w:lang w:val="en-GB"/>
        </w:rPr>
        <w:t xml:space="preserve"> and reasonable accommodation </w:t>
      </w:r>
    </w:p>
    <w:p w14:paraId="7CC594A8" w14:textId="77777777" w:rsidR="00563621" w:rsidRPr="00305018" w:rsidRDefault="00563621" w:rsidP="00010AB7">
      <w:pPr>
        <w:jc w:val="both"/>
        <w:rPr>
          <w:rFonts w:ascii="Arial" w:hAnsi="Arial" w:cs="Arial"/>
          <w:sz w:val="22"/>
          <w:szCs w:val="22"/>
          <w:lang w:val="en-GB"/>
        </w:rPr>
      </w:pPr>
    </w:p>
    <w:p w14:paraId="0534972A" w14:textId="4D97D9F5" w:rsidR="007962F3" w:rsidRPr="00305018" w:rsidRDefault="007962F3" w:rsidP="00010AB7">
      <w:pPr>
        <w:jc w:val="both"/>
        <w:rPr>
          <w:rFonts w:ascii="Arial" w:hAnsi="Arial" w:cs="Arial"/>
          <w:b/>
          <w:i/>
          <w:sz w:val="22"/>
          <w:szCs w:val="22"/>
          <w:lang w:val="en-GB"/>
        </w:rPr>
      </w:pPr>
      <w:r w:rsidRPr="00305018">
        <w:rPr>
          <w:rFonts w:ascii="Arial" w:hAnsi="Arial" w:cs="Arial"/>
          <w:b/>
          <w:i/>
          <w:sz w:val="22"/>
          <w:szCs w:val="22"/>
          <w:lang w:val="en-GB"/>
        </w:rPr>
        <w:t xml:space="preserve">Non-discrimination and reasonable accommodation </w:t>
      </w:r>
    </w:p>
    <w:p w14:paraId="62F7566D" w14:textId="77777777" w:rsidR="007962F3" w:rsidRPr="00305018" w:rsidRDefault="007962F3" w:rsidP="00010AB7">
      <w:pPr>
        <w:jc w:val="both"/>
        <w:rPr>
          <w:rFonts w:ascii="Arial" w:hAnsi="Arial" w:cs="Arial"/>
          <w:sz w:val="22"/>
          <w:szCs w:val="22"/>
          <w:lang w:val="en-GB"/>
        </w:rPr>
      </w:pPr>
    </w:p>
    <w:p w14:paraId="05951A9F" w14:textId="0D84CF0D" w:rsidR="005946FE" w:rsidRPr="00305018" w:rsidRDefault="005946FE" w:rsidP="005946FE">
      <w:pPr>
        <w:jc w:val="both"/>
        <w:rPr>
          <w:rFonts w:ascii="Arial" w:hAnsi="Arial" w:cs="Arial"/>
          <w:sz w:val="22"/>
          <w:szCs w:val="22"/>
          <w:lang w:val="en-GB"/>
        </w:rPr>
      </w:pPr>
      <w:r w:rsidRPr="00305018">
        <w:rPr>
          <w:rFonts w:ascii="Arial" w:hAnsi="Arial" w:cs="Arial"/>
          <w:sz w:val="22"/>
          <w:szCs w:val="22"/>
          <w:lang w:val="en-GB"/>
        </w:rPr>
        <w:t>The CRPD presents a fully developed concept of equality which moves beyond formal equality of treating persons identically towards substantive equality</w:t>
      </w:r>
      <w:r w:rsidR="008A7A2F">
        <w:rPr>
          <w:rFonts w:ascii="Arial" w:hAnsi="Arial" w:cs="Arial"/>
          <w:sz w:val="22"/>
          <w:szCs w:val="22"/>
          <w:lang w:val="en-GB"/>
        </w:rPr>
        <w:t>,</w:t>
      </w:r>
      <w:r w:rsidRPr="00305018">
        <w:rPr>
          <w:rFonts w:ascii="Arial" w:hAnsi="Arial" w:cs="Arial"/>
          <w:sz w:val="22"/>
          <w:szCs w:val="22"/>
          <w:lang w:val="en-GB"/>
        </w:rPr>
        <w:t xml:space="preserve"> and encompasses the prohibition of all acts that have the “purpose or effect” of impairing or nullifying human rights, thereby covering both direct and indirect discrimination.</w:t>
      </w:r>
      <w:r w:rsidRPr="00305018">
        <w:rPr>
          <w:rStyle w:val="FootnoteReference"/>
          <w:rFonts w:ascii="Arial" w:hAnsi="Arial" w:cs="Arial"/>
          <w:sz w:val="22"/>
          <w:szCs w:val="22"/>
          <w:lang w:val="en-GB"/>
        </w:rPr>
        <w:footnoteReference w:id="10"/>
      </w:r>
      <w:r w:rsidRPr="00305018">
        <w:rPr>
          <w:rFonts w:ascii="Arial" w:hAnsi="Arial" w:cs="Arial"/>
          <w:sz w:val="22"/>
          <w:szCs w:val="22"/>
          <w:lang w:val="en-GB"/>
        </w:rPr>
        <w:t xml:space="preserve"> Discrimination on the basis of disability” is defined as:   </w:t>
      </w:r>
    </w:p>
    <w:p w14:paraId="43903075" w14:textId="77777777" w:rsidR="00563621" w:rsidRPr="00305018" w:rsidRDefault="00563621" w:rsidP="00010AB7">
      <w:pPr>
        <w:jc w:val="both"/>
        <w:rPr>
          <w:rFonts w:ascii="Arial" w:hAnsi="Arial" w:cs="Arial"/>
          <w:sz w:val="22"/>
          <w:szCs w:val="22"/>
          <w:lang w:val="en-GB"/>
        </w:rPr>
      </w:pPr>
    </w:p>
    <w:p w14:paraId="0DAA75B2" w14:textId="10300748" w:rsidR="005946FE" w:rsidRPr="00305018" w:rsidRDefault="005946FE" w:rsidP="005946FE">
      <w:pPr>
        <w:ind w:left="720"/>
        <w:jc w:val="both"/>
        <w:rPr>
          <w:rFonts w:ascii="Arial" w:hAnsi="Arial" w:cs="Arial"/>
          <w:sz w:val="20"/>
          <w:szCs w:val="18"/>
          <w:lang w:val="en-GB"/>
        </w:rPr>
      </w:pPr>
      <w:r w:rsidRPr="00305018">
        <w:rPr>
          <w:rFonts w:ascii="Arial" w:hAnsi="Arial" w:cs="Arial"/>
          <w:sz w:val="20"/>
          <w:szCs w:val="18"/>
          <w:lang w:val="en-GB"/>
        </w:rPr>
        <w:t xml:space="preserve">any distinction, exclusion or restriction on the basis of disability which has the purpose or effect of impairing or nullifying the recognition, enjoyment or exercise, on an equal basis with others, of all human rights and fundamental freedoms in the political, </w:t>
      </w:r>
      <w:proofErr w:type="spellStart"/>
      <w:r w:rsidRPr="00305018">
        <w:rPr>
          <w:rFonts w:ascii="Arial" w:hAnsi="Arial" w:cs="Arial"/>
          <w:sz w:val="20"/>
          <w:szCs w:val="18"/>
          <w:lang w:val="en-GB"/>
        </w:rPr>
        <w:t>economical</w:t>
      </w:r>
      <w:proofErr w:type="spellEnd"/>
      <w:r w:rsidRPr="00305018">
        <w:rPr>
          <w:rFonts w:ascii="Arial" w:hAnsi="Arial" w:cs="Arial"/>
          <w:sz w:val="20"/>
          <w:szCs w:val="18"/>
          <w:lang w:val="en-GB"/>
        </w:rPr>
        <w:t xml:space="preserve">, social, cultural, civil or any other field. It includes all forms of discrimination, </w:t>
      </w:r>
      <w:r w:rsidRPr="00305018">
        <w:rPr>
          <w:rFonts w:ascii="Arial" w:hAnsi="Arial" w:cs="Arial"/>
          <w:b/>
          <w:i/>
          <w:iCs/>
          <w:sz w:val="20"/>
          <w:szCs w:val="18"/>
          <w:lang w:val="en-GB"/>
        </w:rPr>
        <w:t>including denial of reasonable accommodation</w:t>
      </w:r>
      <w:r w:rsidRPr="00305018">
        <w:rPr>
          <w:rFonts w:ascii="Arial" w:hAnsi="Arial" w:cs="Arial"/>
          <w:iCs/>
          <w:sz w:val="20"/>
          <w:szCs w:val="18"/>
          <w:lang w:val="en-GB"/>
        </w:rPr>
        <w:t>.</w:t>
      </w:r>
      <w:r w:rsidRPr="00305018">
        <w:rPr>
          <w:rStyle w:val="FootnoteReference"/>
          <w:rFonts w:ascii="Arial" w:hAnsi="Arial" w:cs="Arial"/>
          <w:iCs/>
          <w:sz w:val="20"/>
          <w:szCs w:val="18"/>
          <w:lang w:val="en-GB"/>
        </w:rPr>
        <w:footnoteReference w:id="11"/>
      </w:r>
      <w:r w:rsidRPr="00305018">
        <w:rPr>
          <w:rFonts w:ascii="Arial" w:hAnsi="Arial" w:cs="Arial"/>
          <w:iCs/>
          <w:sz w:val="20"/>
          <w:szCs w:val="18"/>
          <w:lang w:val="en-GB"/>
        </w:rPr>
        <w:t xml:space="preserve"> </w:t>
      </w:r>
    </w:p>
    <w:p w14:paraId="4297AD6A" w14:textId="77777777" w:rsidR="008A7A2F" w:rsidRDefault="008A7A2F" w:rsidP="008A7A2F">
      <w:pPr>
        <w:jc w:val="both"/>
        <w:rPr>
          <w:rFonts w:ascii="Arial" w:hAnsi="Arial" w:cs="Arial"/>
          <w:sz w:val="22"/>
          <w:szCs w:val="22"/>
          <w:lang w:val="en-GB"/>
        </w:rPr>
      </w:pPr>
    </w:p>
    <w:p w14:paraId="4FE4865C" w14:textId="10D0B9D3" w:rsidR="008A7A2F" w:rsidRPr="00652BD5" w:rsidRDefault="008A7A2F" w:rsidP="008A7A2F">
      <w:pPr>
        <w:jc w:val="both"/>
        <w:rPr>
          <w:rFonts w:ascii="Arial" w:hAnsi="Arial" w:cs="Arial"/>
          <w:sz w:val="22"/>
          <w:szCs w:val="22"/>
          <w:lang w:val="en-GB"/>
        </w:rPr>
      </w:pPr>
      <w:r>
        <w:rPr>
          <w:rFonts w:ascii="Arial" w:hAnsi="Arial" w:cs="Arial"/>
          <w:sz w:val="22"/>
          <w:szCs w:val="22"/>
          <w:lang w:val="en-GB"/>
        </w:rPr>
        <w:t xml:space="preserve">The concept of reasonable accommodation is fundamental to combat discrimination. </w:t>
      </w:r>
      <w:r w:rsidRPr="00305018">
        <w:rPr>
          <w:rFonts w:ascii="Arial" w:hAnsi="Arial" w:cs="Arial"/>
          <w:sz w:val="22"/>
          <w:szCs w:val="22"/>
          <w:lang w:val="en-GB"/>
        </w:rPr>
        <w:t>Article 5(3) of the CRPD sets out that “[</w:t>
      </w:r>
      <w:proofErr w:type="spellStart"/>
      <w:r w:rsidRPr="00305018">
        <w:rPr>
          <w:rFonts w:ascii="Arial" w:hAnsi="Arial" w:cs="Arial"/>
          <w:sz w:val="22"/>
          <w:szCs w:val="22"/>
          <w:lang w:val="en-GB"/>
        </w:rPr>
        <w:t>i</w:t>
      </w:r>
      <w:proofErr w:type="spellEnd"/>
      <w:r w:rsidRPr="00305018">
        <w:rPr>
          <w:rFonts w:ascii="Arial" w:hAnsi="Arial" w:cs="Arial"/>
          <w:sz w:val="22"/>
          <w:szCs w:val="22"/>
          <w:lang w:val="en-GB"/>
        </w:rPr>
        <w:t xml:space="preserve">]n order to promote equality and eliminate discrimination, States Parties shall take all appropriate steps to ensure that reasonable accommodation is provided.” </w:t>
      </w:r>
      <w:r w:rsidRPr="00427729">
        <w:rPr>
          <w:rFonts w:ascii="Arial" w:hAnsi="Arial" w:cs="Arial"/>
          <w:b/>
          <w:sz w:val="22"/>
          <w:szCs w:val="22"/>
          <w:lang w:val="en-GB"/>
        </w:rPr>
        <w:t>This provision is part of the non-discrimination obligation on States, and as such is an obligation of immediate effect,</w:t>
      </w:r>
      <w:r w:rsidRPr="00305018">
        <w:rPr>
          <w:rFonts w:ascii="Arial" w:hAnsi="Arial" w:cs="Arial"/>
          <w:sz w:val="22"/>
          <w:szCs w:val="22"/>
          <w:lang w:val="en-GB"/>
        </w:rPr>
        <w:t xml:space="preserve"> not subject to progressive realisation,</w:t>
      </w:r>
      <w:r w:rsidRPr="00305018">
        <w:rPr>
          <w:rStyle w:val="FootnoteReference"/>
          <w:rFonts w:ascii="Arial" w:hAnsi="Arial" w:cs="Arial"/>
          <w:sz w:val="22"/>
          <w:szCs w:val="22"/>
          <w:lang w:val="en-GB"/>
        </w:rPr>
        <w:footnoteReference w:id="12"/>
      </w:r>
      <w:r w:rsidRPr="00305018">
        <w:rPr>
          <w:rFonts w:ascii="Arial" w:hAnsi="Arial" w:cs="Arial"/>
          <w:sz w:val="22"/>
          <w:szCs w:val="22"/>
          <w:lang w:val="en-GB"/>
        </w:rPr>
        <w:t xml:space="preserve"> as the CRPD Committee has elaborated, in particular concerning the right to inclusive education.</w:t>
      </w:r>
      <w:r w:rsidRPr="00305018">
        <w:rPr>
          <w:rStyle w:val="FootnoteReference"/>
          <w:rFonts w:ascii="Arial" w:hAnsi="Arial" w:cs="Arial"/>
          <w:sz w:val="22"/>
          <w:szCs w:val="22"/>
          <w:lang w:val="en-GB"/>
        </w:rPr>
        <w:footnoteReference w:id="13"/>
      </w:r>
      <w:r w:rsidRPr="00305018">
        <w:rPr>
          <w:rFonts w:ascii="Arial" w:hAnsi="Arial" w:cs="Arial"/>
          <w:sz w:val="22"/>
          <w:szCs w:val="22"/>
          <w:lang w:val="en-GB"/>
        </w:rPr>
        <w:t xml:space="preserve"> Consequently, the failure to provide “reasonable accommodation” is a form of disability-based discrimination recognised by the CRPD.</w:t>
      </w:r>
      <w:r w:rsidRPr="00305018">
        <w:rPr>
          <w:rStyle w:val="FootnoteReference"/>
          <w:rFonts w:ascii="Arial" w:hAnsi="Arial" w:cs="Arial"/>
          <w:sz w:val="22"/>
          <w:szCs w:val="22"/>
          <w:lang w:val="en-GB"/>
        </w:rPr>
        <w:footnoteReference w:id="14"/>
      </w:r>
    </w:p>
    <w:p w14:paraId="0D0362DF" w14:textId="77777777" w:rsidR="008A7A2F" w:rsidRPr="00305018" w:rsidRDefault="008A7A2F" w:rsidP="008A7A2F">
      <w:pPr>
        <w:jc w:val="both"/>
        <w:rPr>
          <w:rFonts w:ascii="Arial" w:hAnsi="Arial" w:cs="Arial"/>
          <w:sz w:val="22"/>
          <w:szCs w:val="22"/>
          <w:lang w:val="en-GB"/>
        </w:rPr>
      </w:pPr>
    </w:p>
    <w:p w14:paraId="0B99C8DE" w14:textId="77777777" w:rsidR="003D397F" w:rsidRDefault="008A7A2F" w:rsidP="00010AB7">
      <w:pPr>
        <w:jc w:val="both"/>
        <w:rPr>
          <w:rFonts w:ascii="Arial" w:hAnsi="Arial" w:cs="Arial"/>
          <w:sz w:val="22"/>
          <w:szCs w:val="22"/>
          <w:lang w:val="en-GB"/>
        </w:rPr>
      </w:pPr>
      <w:r>
        <w:rPr>
          <w:rFonts w:ascii="Arial" w:hAnsi="Arial" w:cs="Arial"/>
          <w:sz w:val="22"/>
          <w:szCs w:val="22"/>
        </w:rPr>
        <w:t xml:space="preserve">Under </w:t>
      </w:r>
      <w:r w:rsidRPr="00AC6326">
        <w:rPr>
          <w:rFonts w:ascii="Arial" w:hAnsi="Arial" w:cs="Arial"/>
          <w:sz w:val="22"/>
          <w:szCs w:val="22"/>
        </w:rPr>
        <w:t xml:space="preserve">Article 2 of the CRPD </w:t>
      </w:r>
      <w:r>
        <w:rPr>
          <w:rFonts w:ascii="Arial" w:hAnsi="Arial" w:cs="Arial"/>
          <w:sz w:val="22"/>
          <w:szCs w:val="22"/>
        </w:rPr>
        <w:t>reasonable accommodation is defined as</w:t>
      </w:r>
      <w:r w:rsidRPr="00AC6326">
        <w:rPr>
          <w:rFonts w:ascii="Arial" w:hAnsi="Arial" w:cs="Arial"/>
          <w:sz w:val="22"/>
          <w:szCs w:val="22"/>
        </w:rPr>
        <w:t> “necessary and appropriate modification and adjustments not imposing a disproportionate or undue burden, where needed in a particular case, to ensure to persons with disabilities the enjoyment or exercise on an equal basis with others of all human rights and fundamental</w:t>
      </w:r>
      <w:r>
        <w:rPr>
          <w:rFonts w:ascii="Arial" w:hAnsi="Arial" w:cs="Arial"/>
          <w:sz w:val="22"/>
          <w:szCs w:val="22"/>
        </w:rPr>
        <w:t xml:space="preserve"> freedoms.” </w:t>
      </w:r>
      <w:r w:rsidR="00165DEA">
        <w:rPr>
          <w:rFonts w:ascii="Arial" w:hAnsi="Arial" w:cs="Arial"/>
          <w:sz w:val="22"/>
          <w:szCs w:val="22"/>
          <w:lang w:val="en-GB"/>
        </w:rPr>
        <w:t xml:space="preserve">The concept of reasonable accommodation has been internationally developed and recognised. </w:t>
      </w:r>
    </w:p>
    <w:p w14:paraId="292326FF" w14:textId="77777777" w:rsidR="003D397F" w:rsidRDefault="003D397F" w:rsidP="00010AB7">
      <w:pPr>
        <w:jc w:val="both"/>
        <w:rPr>
          <w:rFonts w:ascii="Arial" w:hAnsi="Arial" w:cs="Arial"/>
          <w:sz w:val="22"/>
          <w:szCs w:val="22"/>
          <w:lang w:val="en-GB"/>
        </w:rPr>
      </w:pPr>
    </w:p>
    <w:p w14:paraId="7DCB7D49" w14:textId="77777777" w:rsidR="003D397F" w:rsidRDefault="00165DEA" w:rsidP="00010AB7">
      <w:pPr>
        <w:jc w:val="both"/>
        <w:rPr>
          <w:rFonts w:ascii="Arial" w:hAnsi="Arial" w:cs="Arial"/>
          <w:sz w:val="22"/>
          <w:szCs w:val="22"/>
        </w:rPr>
      </w:pPr>
      <w:r w:rsidRPr="00165DEA">
        <w:rPr>
          <w:rFonts w:ascii="Arial" w:hAnsi="Arial" w:cs="Arial"/>
          <w:sz w:val="22"/>
          <w:szCs w:val="22"/>
        </w:rPr>
        <w:t>Originating in the U</w:t>
      </w:r>
      <w:r w:rsidR="003D397F">
        <w:rPr>
          <w:rFonts w:ascii="Arial" w:hAnsi="Arial" w:cs="Arial"/>
          <w:sz w:val="22"/>
          <w:szCs w:val="22"/>
        </w:rPr>
        <w:t>SA law</w:t>
      </w:r>
      <w:r w:rsidRPr="00165DEA">
        <w:rPr>
          <w:rFonts w:ascii="Arial" w:hAnsi="Arial" w:cs="Arial"/>
          <w:sz w:val="22"/>
          <w:szCs w:val="22"/>
        </w:rPr>
        <w:t>,</w:t>
      </w:r>
      <w:r>
        <w:rPr>
          <w:rStyle w:val="FootnoteReference"/>
          <w:rFonts w:ascii="Arial" w:hAnsi="Arial" w:cs="Arial"/>
          <w:sz w:val="22"/>
          <w:szCs w:val="22"/>
        </w:rPr>
        <w:footnoteReference w:id="15"/>
      </w:r>
      <w:r w:rsidRPr="00165DEA">
        <w:rPr>
          <w:rFonts w:ascii="Arial" w:hAnsi="Arial" w:cs="Arial"/>
          <w:sz w:val="22"/>
          <w:szCs w:val="22"/>
        </w:rPr>
        <w:t xml:space="preserve"> reasonable accommodation raised to prominence in the context of disability by the </w:t>
      </w:r>
      <w:r w:rsidRPr="00165DEA">
        <w:rPr>
          <w:rFonts w:ascii="Arial" w:hAnsi="Arial" w:cs="Arial"/>
          <w:i/>
          <w:iCs/>
          <w:sz w:val="22"/>
          <w:szCs w:val="22"/>
        </w:rPr>
        <w:t>Americans with Disabilities Act</w:t>
      </w:r>
      <w:r w:rsidRPr="00165DEA">
        <w:rPr>
          <w:rFonts w:ascii="Arial" w:hAnsi="Arial" w:cs="Arial"/>
          <w:sz w:val="22"/>
          <w:szCs w:val="22"/>
        </w:rPr>
        <w:t>, in 1990.</w:t>
      </w:r>
      <w:r>
        <w:rPr>
          <w:rStyle w:val="FootnoteReference"/>
          <w:rFonts w:ascii="Arial" w:hAnsi="Arial" w:cs="Arial"/>
          <w:sz w:val="22"/>
          <w:szCs w:val="22"/>
        </w:rPr>
        <w:footnoteReference w:id="16"/>
      </w:r>
      <w:r w:rsidRPr="00165DEA">
        <w:rPr>
          <w:rFonts w:ascii="Arial" w:hAnsi="Arial" w:cs="Arial"/>
          <w:sz w:val="22"/>
          <w:szCs w:val="22"/>
        </w:rPr>
        <w:t xml:space="preserve"> It was adopted into the international framework of human rights and appears in the CES</w:t>
      </w:r>
      <w:r w:rsidR="001C7354">
        <w:rPr>
          <w:rFonts w:ascii="Arial" w:hAnsi="Arial" w:cs="Arial"/>
          <w:sz w:val="22"/>
          <w:szCs w:val="22"/>
        </w:rPr>
        <w:t>CR Committee’s General Comment N</w:t>
      </w:r>
      <w:r w:rsidRPr="00165DEA">
        <w:rPr>
          <w:rFonts w:ascii="Arial" w:hAnsi="Arial" w:cs="Arial"/>
          <w:sz w:val="22"/>
          <w:szCs w:val="22"/>
        </w:rPr>
        <w:t>o 5 on persons with disabilities,</w:t>
      </w:r>
      <w:r>
        <w:rPr>
          <w:rStyle w:val="FootnoteReference"/>
          <w:rFonts w:ascii="Arial" w:hAnsi="Arial" w:cs="Arial"/>
          <w:sz w:val="22"/>
          <w:szCs w:val="22"/>
        </w:rPr>
        <w:footnoteReference w:id="17"/>
      </w:r>
      <w:r w:rsidRPr="00165DEA">
        <w:rPr>
          <w:rFonts w:ascii="Arial" w:hAnsi="Arial" w:cs="Arial"/>
          <w:sz w:val="22"/>
          <w:szCs w:val="22"/>
        </w:rPr>
        <w:t xml:space="preserve"> and more r</w:t>
      </w:r>
      <w:r w:rsidR="001C7354">
        <w:rPr>
          <w:rFonts w:ascii="Arial" w:hAnsi="Arial" w:cs="Arial"/>
          <w:sz w:val="22"/>
          <w:szCs w:val="22"/>
        </w:rPr>
        <w:t>ecently in its General Comment N</w:t>
      </w:r>
      <w:r w:rsidRPr="00165DEA">
        <w:rPr>
          <w:rFonts w:ascii="Arial" w:hAnsi="Arial" w:cs="Arial"/>
          <w:sz w:val="22"/>
          <w:szCs w:val="22"/>
        </w:rPr>
        <w:t>o 20 on non-discrimination.</w:t>
      </w:r>
      <w:r>
        <w:rPr>
          <w:rStyle w:val="FootnoteReference"/>
          <w:rFonts w:ascii="Arial" w:hAnsi="Arial" w:cs="Arial"/>
          <w:sz w:val="22"/>
          <w:szCs w:val="22"/>
        </w:rPr>
        <w:footnoteReference w:id="18"/>
      </w:r>
      <w:r w:rsidR="00061FAF">
        <w:rPr>
          <w:rFonts w:ascii="Arial" w:hAnsi="Arial" w:cs="Arial"/>
          <w:sz w:val="22"/>
          <w:szCs w:val="22"/>
        </w:rPr>
        <w:t xml:space="preserve"> </w:t>
      </w:r>
      <w:r w:rsidR="00B61C4B" w:rsidRPr="00B61C4B">
        <w:rPr>
          <w:rFonts w:ascii="Arial" w:hAnsi="Arial" w:cs="Arial"/>
          <w:sz w:val="22"/>
          <w:szCs w:val="22"/>
        </w:rPr>
        <w:t>On the same line, the CRPD Committee confirmed that adoption of reasonable accommodations is part of the “</w:t>
      </w:r>
      <w:r w:rsidR="00B61C4B" w:rsidRPr="00B61C4B">
        <w:rPr>
          <w:rFonts w:ascii="Arial" w:hAnsi="Arial" w:cs="Arial"/>
          <w:i/>
          <w:sz w:val="22"/>
          <w:szCs w:val="22"/>
        </w:rPr>
        <w:t>minimum core obligation</w:t>
      </w:r>
      <w:r w:rsidR="00B61C4B" w:rsidRPr="00B61C4B">
        <w:rPr>
          <w:rFonts w:ascii="Arial" w:hAnsi="Arial" w:cs="Arial"/>
          <w:sz w:val="22"/>
          <w:szCs w:val="22"/>
        </w:rPr>
        <w:t xml:space="preserve"> to ensure the satisfaction of, at the very least, minimum essential levels of each aspect of the right to education.”</w:t>
      </w:r>
      <w:r w:rsidR="00B61C4B" w:rsidRPr="00B61C4B">
        <w:rPr>
          <w:rFonts w:ascii="Arial" w:hAnsi="Arial" w:cs="Arial"/>
          <w:sz w:val="22"/>
          <w:szCs w:val="22"/>
          <w:vertAlign w:val="superscript"/>
        </w:rPr>
        <w:footnoteReference w:id="19"/>
      </w:r>
      <w:r w:rsidR="00B61C4B">
        <w:rPr>
          <w:rFonts w:ascii="Arial" w:hAnsi="Arial" w:cs="Arial"/>
          <w:sz w:val="22"/>
          <w:szCs w:val="22"/>
        </w:rPr>
        <w:t xml:space="preserve"> </w:t>
      </w:r>
      <w:r w:rsidRPr="00165DEA">
        <w:rPr>
          <w:rFonts w:ascii="Arial" w:hAnsi="Arial" w:cs="Arial"/>
          <w:sz w:val="22"/>
          <w:szCs w:val="22"/>
        </w:rPr>
        <w:t>The EU Framework directive on equal treatment in employment and occupation also requires providing reasonable accommodation to guarantee compliance with the principle of equal treatment in relation to persons with disabilities.</w:t>
      </w:r>
      <w:r>
        <w:rPr>
          <w:rStyle w:val="FootnoteReference"/>
          <w:rFonts w:ascii="Arial" w:hAnsi="Arial" w:cs="Arial"/>
          <w:sz w:val="22"/>
          <w:szCs w:val="22"/>
        </w:rPr>
        <w:footnoteReference w:id="20"/>
      </w:r>
      <w:r w:rsidRPr="00165DEA">
        <w:rPr>
          <w:rFonts w:ascii="Arial" w:hAnsi="Arial" w:cs="Arial"/>
          <w:sz w:val="22"/>
          <w:szCs w:val="22"/>
        </w:rPr>
        <w:t xml:space="preserve"> </w:t>
      </w:r>
    </w:p>
    <w:p w14:paraId="4F446CE2" w14:textId="77777777" w:rsidR="003D397F" w:rsidRDefault="003D397F" w:rsidP="00010AB7">
      <w:pPr>
        <w:jc w:val="both"/>
        <w:rPr>
          <w:rFonts w:ascii="Arial" w:hAnsi="Arial" w:cs="Arial"/>
          <w:sz w:val="22"/>
          <w:szCs w:val="22"/>
        </w:rPr>
      </w:pPr>
    </w:p>
    <w:p w14:paraId="13D7F597" w14:textId="251A1518" w:rsidR="005946FE" w:rsidRDefault="003D397F" w:rsidP="00010AB7">
      <w:pPr>
        <w:jc w:val="both"/>
        <w:rPr>
          <w:rFonts w:ascii="Arial" w:hAnsi="Arial" w:cs="Arial"/>
          <w:sz w:val="22"/>
          <w:szCs w:val="22"/>
        </w:rPr>
      </w:pPr>
      <w:r>
        <w:rPr>
          <w:rFonts w:ascii="Arial" w:hAnsi="Arial" w:cs="Arial"/>
          <w:sz w:val="22"/>
          <w:szCs w:val="22"/>
        </w:rPr>
        <w:t xml:space="preserve">Recently, the Office of the High Commissioner for Human Rights developed the more thorough and detailed guidance at the international level in its Thematic Study on the </w:t>
      </w:r>
      <w:r>
        <w:rPr>
          <w:rFonts w:ascii="Arial" w:hAnsi="Arial" w:cs="Arial"/>
          <w:sz w:val="22"/>
          <w:szCs w:val="22"/>
        </w:rPr>
        <w:lastRenderedPageBreak/>
        <w:t>Right to Equality and Non-Discrimination of Persons wit</w:t>
      </w:r>
      <w:r w:rsidR="00F17BED">
        <w:rPr>
          <w:rFonts w:ascii="Arial" w:hAnsi="Arial" w:cs="Arial"/>
          <w:sz w:val="22"/>
          <w:szCs w:val="22"/>
        </w:rPr>
        <w:t>h Disabilities,</w:t>
      </w:r>
      <w:r>
        <w:rPr>
          <w:rStyle w:val="FootnoteReference"/>
          <w:rFonts w:ascii="Arial" w:hAnsi="Arial" w:cs="Arial"/>
          <w:sz w:val="22"/>
          <w:szCs w:val="22"/>
        </w:rPr>
        <w:footnoteReference w:id="21"/>
      </w:r>
      <w:r w:rsidR="00F17BED">
        <w:rPr>
          <w:rFonts w:ascii="Arial" w:hAnsi="Arial" w:cs="Arial"/>
          <w:sz w:val="22"/>
          <w:szCs w:val="22"/>
        </w:rPr>
        <w:t xml:space="preserve"> which we highly encourage the Court to consider. Furthermore, it is important to point out that the CRPD Committee is developing its General Comment No. 6 on Article 5 of the CRPD, and there is already a draft available.</w:t>
      </w:r>
      <w:r w:rsidR="00F17BED">
        <w:rPr>
          <w:rStyle w:val="FootnoteReference"/>
          <w:rFonts w:ascii="Arial" w:hAnsi="Arial" w:cs="Arial"/>
          <w:sz w:val="22"/>
          <w:szCs w:val="22"/>
        </w:rPr>
        <w:footnoteReference w:id="22"/>
      </w:r>
      <w:r>
        <w:rPr>
          <w:rFonts w:ascii="Arial" w:hAnsi="Arial" w:cs="Arial"/>
          <w:sz w:val="22"/>
          <w:szCs w:val="22"/>
        </w:rPr>
        <w:t xml:space="preserve">  </w:t>
      </w:r>
      <w:r w:rsidR="00165DEA" w:rsidRPr="00165DEA">
        <w:rPr>
          <w:rFonts w:ascii="Arial" w:hAnsi="Arial" w:cs="Arial"/>
          <w:sz w:val="22"/>
          <w:szCs w:val="22"/>
        </w:rPr>
        <w:t> </w:t>
      </w:r>
    </w:p>
    <w:p w14:paraId="2DB5DC09" w14:textId="77777777" w:rsidR="00306F43" w:rsidRPr="001C7354" w:rsidRDefault="00306F43" w:rsidP="00010AB7">
      <w:pPr>
        <w:jc w:val="both"/>
        <w:rPr>
          <w:rFonts w:ascii="Arial" w:hAnsi="Arial" w:cs="Arial"/>
          <w:sz w:val="22"/>
          <w:szCs w:val="22"/>
        </w:rPr>
      </w:pPr>
    </w:p>
    <w:p w14:paraId="52363997" w14:textId="31B4601F" w:rsidR="00B61C4B" w:rsidRPr="00B61C4B" w:rsidRDefault="00F17BED" w:rsidP="00B61C4B">
      <w:pPr>
        <w:jc w:val="both"/>
        <w:rPr>
          <w:rFonts w:ascii="Arial" w:hAnsi="Arial" w:cs="Arial"/>
          <w:sz w:val="22"/>
          <w:szCs w:val="22"/>
        </w:rPr>
      </w:pPr>
      <w:r>
        <w:rPr>
          <w:rFonts w:ascii="Arial" w:hAnsi="Arial" w:cs="Arial"/>
          <w:sz w:val="22"/>
          <w:szCs w:val="22"/>
        </w:rPr>
        <w:t>Provision of r</w:t>
      </w:r>
      <w:r w:rsidR="00B61C4B" w:rsidRPr="00B61C4B">
        <w:rPr>
          <w:rFonts w:ascii="Arial" w:hAnsi="Arial" w:cs="Arial"/>
          <w:sz w:val="22"/>
          <w:szCs w:val="22"/>
        </w:rPr>
        <w:t>easonable accommodation requires that considerations are made in response to a particular person’s situation. The obligation to provide reasonable accommodation is carried out on a case by case basis in order to offer a solution which corresponds to the individual concerned whose specific preferences and needs will vary fr</w:t>
      </w:r>
      <w:r w:rsidR="00C84CDB">
        <w:rPr>
          <w:rFonts w:ascii="Arial" w:hAnsi="Arial" w:cs="Arial"/>
          <w:sz w:val="22"/>
          <w:szCs w:val="22"/>
        </w:rPr>
        <w:t>om others</w:t>
      </w:r>
      <w:r w:rsidR="00B61C4B" w:rsidRPr="00B61C4B">
        <w:rPr>
          <w:rFonts w:ascii="Arial" w:hAnsi="Arial" w:cs="Arial"/>
          <w:sz w:val="22"/>
          <w:szCs w:val="22"/>
        </w:rPr>
        <w:t>. It “seeks to achieve individual justice in the sense that non-discrimination or equality is assured, taking the dignity, autonomy and choices of the individual into account”,</w:t>
      </w:r>
      <w:r w:rsidR="000058E7">
        <w:rPr>
          <w:rStyle w:val="FootnoteReference"/>
          <w:rFonts w:ascii="Arial" w:hAnsi="Arial" w:cs="Arial"/>
          <w:sz w:val="22"/>
          <w:szCs w:val="22"/>
        </w:rPr>
        <w:footnoteReference w:id="23"/>
      </w:r>
      <w:r w:rsidR="00B61C4B" w:rsidRPr="00B61C4B">
        <w:rPr>
          <w:rFonts w:ascii="Arial" w:hAnsi="Arial" w:cs="Arial"/>
          <w:sz w:val="22"/>
          <w:szCs w:val="22"/>
        </w:rPr>
        <w:t xml:space="preserve"> </w:t>
      </w:r>
      <w:r w:rsidR="003D397F" w:rsidRPr="00B61C4B">
        <w:rPr>
          <w:rFonts w:ascii="Arial" w:hAnsi="Arial" w:cs="Arial"/>
          <w:sz w:val="22"/>
          <w:szCs w:val="22"/>
        </w:rPr>
        <w:t>recognizing</w:t>
      </w:r>
      <w:r w:rsidR="00B61C4B" w:rsidRPr="00B61C4B">
        <w:rPr>
          <w:rFonts w:ascii="Arial" w:hAnsi="Arial" w:cs="Arial"/>
          <w:sz w:val="22"/>
          <w:szCs w:val="22"/>
        </w:rPr>
        <w:t xml:space="preserve"> that there is no one size fits all solution. Further, it aims to ensure a proportionate and reasonable means to remove a barrier by a duty bearer, and the nature of the obligation will vary according to the particular individual and circumstances, the barrier(s) and duty bearer involved.  </w:t>
      </w:r>
    </w:p>
    <w:p w14:paraId="7441E4A1" w14:textId="77777777" w:rsidR="00165DEA" w:rsidRDefault="00165DEA" w:rsidP="00010AB7">
      <w:pPr>
        <w:jc w:val="both"/>
        <w:rPr>
          <w:rFonts w:ascii="Arial" w:hAnsi="Arial" w:cs="Arial"/>
          <w:sz w:val="22"/>
          <w:szCs w:val="22"/>
          <w:lang w:val="en-GB"/>
        </w:rPr>
      </w:pPr>
    </w:p>
    <w:p w14:paraId="08FDA3B5" w14:textId="77777777" w:rsidR="00E836C7" w:rsidRPr="00305018" w:rsidRDefault="00E836C7" w:rsidP="00E836C7">
      <w:pPr>
        <w:jc w:val="both"/>
        <w:rPr>
          <w:rFonts w:ascii="Arial" w:hAnsi="Arial" w:cs="Arial"/>
          <w:b/>
          <w:i/>
          <w:sz w:val="22"/>
          <w:szCs w:val="22"/>
          <w:lang w:val="en-GB"/>
        </w:rPr>
      </w:pPr>
      <w:r w:rsidRPr="00305018">
        <w:rPr>
          <w:rFonts w:ascii="Arial" w:hAnsi="Arial" w:cs="Arial"/>
          <w:b/>
          <w:i/>
          <w:sz w:val="22"/>
          <w:szCs w:val="22"/>
          <w:lang w:val="en-GB"/>
        </w:rPr>
        <w:t>Accessibility</w:t>
      </w:r>
    </w:p>
    <w:p w14:paraId="057E12A1" w14:textId="77777777" w:rsidR="00E836C7" w:rsidRPr="00305018" w:rsidRDefault="00E836C7" w:rsidP="00E836C7">
      <w:pPr>
        <w:jc w:val="both"/>
        <w:rPr>
          <w:rFonts w:ascii="Arial" w:hAnsi="Arial" w:cs="Arial"/>
          <w:sz w:val="22"/>
          <w:szCs w:val="22"/>
          <w:lang w:val="en-GB"/>
        </w:rPr>
      </w:pPr>
    </w:p>
    <w:p w14:paraId="509D539D" w14:textId="77777777" w:rsidR="00E836C7" w:rsidRPr="00305018" w:rsidRDefault="00E836C7" w:rsidP="00E836C7">
      <w:pPr>
        <w:jc w:val="both"/>
        <w:rPr>
          <w:rFonts w:ascii="Arial" w:hAnsi="Arial" w:cs="Arial"/>
          <w:sz w:val="22"/>
          <w:szCs w:val="22"/>
          <w:lang w:val="en-GB"/>
        </w:rPr>
      </w:pPr>
      <w:r w:rsidRPr="00305018">
        <w:rPr>
          <w:rFonts w:ascii="Arial" w:hAnsi="Arial" w:cs="Arial"/>
          <w:sz w:val="22"/>
          <w:szCs w:val="22"/>
          <w:lang w:val="en-GB"/>
        </w:rPr>
        <w:t xml:space="preserve">Accessibility is enshrined as both a principle of the CRPD in its article 3(f) and a </w:t>
      </w:r>
      <w:proofErr w:type="spellStart"/>
      <w:proofErr w:type="gramStart"/>
      <w:r w:rsidRPr="00305018">
        <w:rPr>
          <w:rFonts w:ascii="Arial" w:hAnsi="Arial" w:cs="Arial"/>
          <w:sz w:val="22"/>
          <w:szCs w:val="22"/>
          <w:lang w:val="en-GB"/>
        </w:rPr>
        <w:t>stand alone</w:t>
      </w:r>
      <w:proofErr w:type="spellEnd"/>
      <w:proofErr w:type="gramEnd"/>
      <w:r w:rsidRPr="00305018">
        <w:rPr>
          <w:rFonts w:ascii="Arial" w:hAnsi="Arial" w:cs="Arial"/>
          <w:sz w:val="22"/>
          <w:szCs w:val="22"/>
          <w:lang w:val="en-GB"/>
        </w:rPr>
        <w:t xml:space="preserve"> provision in article 9 which reflects the significance of removing barriers posed in society– be they physical, environmental, communicational, informational or attitudinal – to ensure access to and equal opportunities for the realisation of all human rights.</w:t>
      </w:r>
      <w:r w:rsidRPr="00305018">
        <w:rPr>
          <w:rStyle w:val="FootnoteReference"/>
          <w:rFonts w:ascii="Arial" w:hAnsi="Arial" w:cs="Arial"/>
          <w:sz w:val="22"/>
          <w:szCs w:val="22"/>
          <w:lang w:val="en-GB"/>
        </w:rPr>
        <w:footnoteReference w:id="24"/>
      </w:r>
      <w:r w:rsidRPr="00305018">
        <w:rPr>
          <w:rFonts w:ascii="Arial" w:hAnsi="Arial" w:cs="Arial"/>
          <w:sz w:val="22"/>
          <w:szCs w:val="22"/>
          <w:lang w:val="en-GB"/>
        </w:rPr>
        <w:t xml:space="preserve"> Article 9 of the CRPD on accessibility, states: </w:t>
      </w:r>
      <w:r w:rsidRPr="00305018">
        <w:rPr>
          <w:rFonts w:ascii="MS Mincho" w:eastAsia="MS Mincho" w:hAnsi="MS Mincho" w:cs="MS Mincho"/>
          <w:sz w:val="22"/>
          <w:szCs w:val="22"/>
          <w:lang w:val="en-GB"/>
        </w:rPr>
        <w:t> </w:t>
      </w:r>
    </w:p>
    <w:p w14:paraId="3E9D9444" w14:textId="77777777" w:rsidR="00E836C7" w:rsidRPr="00305018" w:rsidRDefault="00E836C7" w:rsidP="00E836C7">
      <w:pPr>
        <w:jc w:val="both"/>
        <w:rPr>
          <w:rFonts w:ascii="Arial" w:hAnsi="Arial" w:cs="Arial"/>
          <w:sz w:val="22"/>
          <w:szCs w:val="22"/>
          <w:lang w:val="en-GB"/>
        </w:rPr>
      </w:pPr>
    </w:p>
    <w:p w14:paraId="3E4DCCAB" w14:textId="77777777" w:rsidR="00E836C7" w:rsidRPr="00305018" w:rsidRDefault="00E836C7" w:rsidP="00E836C7">
      <w:pPr>
        <w:ind w:left="720"/>
        <w:jc w:val="both"/>
        <w:rPr>
          <w:rFonts w:ascii="Arial" w:hAnsi="Arial" w:cs="Arial"/>
          <w:sz w:val="18"/>
          <w:szCs w:val="22"/>
          <w:lang w:val="en-GB"/>
        </w:rPr>
      </w:pPr>
      <w:r w:rsidRPr="00305018">
        <w:rPr>
          <w:rFonts w:ascii="Arial" w:hAnsi="Arial" w:cs="Arial"/>
          <w:sz w:val="18"/>
          <w:szCs w:val="22"/>
          <w:lang w:val="en-GB"/>
        </w:rPr>
        <w:t xml:space="preserve">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w:t>
      </w:r>
      <w:r w:rsidRPr="00305018">
        <w:rPr>
          <w:rFonts w:ascii="Arial" w:hAnsi="Arial" w:cs="Arial"/>
          <w:sz w:val="20"/>
          <w:szCs w:val="20"/>
          <w:lang w:val="en-GB"/>
        </w:rPr>
        <w:t xml:space="preserve">systems, and to other facilities and services open or provided to the public, both in urban and in rural areas. These measures, which shall include the identification and elimination of obstacles and barriers to accessibility, shall apply to, inter alia: (a) Buildings, roads, transportation and other indoor and outdoor facilities, </w:t>
      </w:r>
      <w:r w:rsidRPr="00305018">
        <w:rPr>
          <w:rFonts w:ascii="Arial" w:hAnsi="Arial" w:cs="Arial"/>
          <w:b/>
          <w:i/>
          <w:sz w:val="20"/>
          <w:szCs w:val="20"/>
          <w:lang w:val="en-GB"/>
        </w:rPr>
        <w:t>including schools</w:t>
      </w:r>
      <w:r w:rsidRPr="00305018">
        <w:rPr>
          <w:rFonts w:ascii="Arial" w:hAnsi="Arial" w:cs="Arial"/>
          <w:sz w:val="20"/>
          <w:szCs w:val="20"/>
          <w:lang w:val="en-GB"/>
        </w:rPr>
        <w:t>, housing, medical facilities and workplaces; (…)</w:t>
      </w:r>
      <w:r w:rsidRPr="00305018">
        <w:rPr>
          <w:rStyle w:val="FootnoteReference"/>
          <w:rFonts w:ascii="Arial" w:hAnsi="Arial" w:cs="Arial"/>
          <w:sz w:val="20"/>
          <w:szCs w:val="20"/>
          <w:lang w:val="en-GB"/>
        </w:rPr>
        <w:footnoteReference w:id="25"/>
      </w:r>
    </w:p>
    <w:p w14:paraId="49B19F67" w14:textId="77777777" w:rsidR="00E836C7" w:rsidRPr="00305018" w:rsidRDefault="00E836C7" w:rsidP="00E836C7">
      <w:pPr>
        <w:jc w:val="both"/>
        <w:rPr>
          <w:rFonts w:ascii="Arial" w:hAnsi="Arial" w:cs="Arial"/>
          <w:sz w:val="22"/>
          <w:szCs w:val="22"/>
          <w:lang w:val="en-GB"/>
        </w:rPr>
      </w:pPr>
    </w:p>
    <w:p w14:paraId="3E3CFFBF" w14:textId="77777777" w:rsidR="00E836C7" w:rsidRPr="00305018" w:rsidRDefault="00E836C7" w:rsidP="00E836C7">
      <w:pPr>
        <w:jc w:val="both"/>
        <w:rPr>
          <w:rFonts w:ascii="Arial" w:hAnsi="Arial" w:cs="Arial"/>
          <w:sz w:val="22"/>
          <w:szCs w:val="22"/>
          <w:lang w:val="en-GB"/>
        </w:rPr>
      </w:pPr>
      <w:r w:rsidRPr="00305018">
        <w:rPr>
          <w:rFonts w:ascii="Arial" w:hAnsi="Arial" w:cs="Arial"/>
          <w:sz w:val="22"/>
          <w:szCs w:val="22"/>
          <w:lang w:val="en-GB"/>
        </w:rPr>
        <w:t>In 2014, the CRPD Committee adopted its General Comment No 2 on accessibility</w:t>
      </w:r>
      <w:r w:rsidRPr="00305018">
        <w:rPr>
          <w:rStyle w:val="FootnoteReference"/>
          <w:rFonts w:ascii="Arial" w:hAnsi="Arial" w:cs="Arial"/>
          <w:sz w:val="22"/>
          <w:szCs w:val="22"/>
          <w:lang w:val="en-GB"/>
        </w:rPr>
        <w:footnoteReference w:id="26"/>
      </w:r>
      <w:r w:rsidRPr="00305018">
        <w:rPr>
          <w:rFonts w:ascii="Arial" w:hAnsi="Arial" w:cs="Arial"/>
          <w:sz w:val="22"/>
          <w:szCs w:val="22"/>
          <w:lang w:val="en-GB"/>
        </w:rPr>
        <w:t xml:space="preserve"> in which it states that “accessibility is a precondition for persons with disabilities to live independently and participate fully and equally in society”,</w:t>
      </w:r>
      <w:r w:rsidRPr="00305018">
        <w:rPr>
          <w:rStyle w:val="FootnoteReference"/>
          <w:rFonts w:ascii="Arial" w:hAnsi="Arial" w:cs="Arial"/>
          <w:sz w:val="22"/>
          <w:szCs w:val="22"/>
          <w:lang w:val="en-GB"/>
        </w:rPr>
        <w:footnoteReference w:id="27"/>
      </w:r>
      <w:r w:rsidRPr="00305018">
        <w:rPr>
          <w:rFonts w:ascii="Arial" w:hAnsi="Arial" w:cs="Arial"/>
          <w:sz w:val="22"/>
          <w:szCs w:val="22"/>
          <w:lang w:val="en-GB"/>
        </w:rPr>
        <w:t xml:space="preserve"> and its absence entails for them unequal opportunities of participation.</w:t>
      </w:r>
      <w:r w:rsidRPr="00305018">
        <w:rPr>
          <w:rStyle w:val="FootnoteReference"/>
          <w:rFonts w:ascii="Arial" w:hAnsi="Arial" w:cs="Arial"/>
          <w:sz w:val="22"/>
          <w:szCs w:val="22"/>
          <w:lang w:val="en-GB"/>
        </w:rPr>
        <w:footnoteReference w:id="28"/>
      </w:r>
      <w:r w:rsidRPr="00305018">
        <w:rPr>
          <w:rFonts w:ascii="Arial" w:hAnsi="Arial" w:cs="Arial"/>
          <w:sz w:val="22"/>
          <w:szCs w:val="22"/>
          <w:lang w:val="en-GB"/>
        </w:rPr>
        <w:t xml:space="preserve"> As such, accessibility is to be considered in connection with equality and non-discrimination.</w:t>
      </w:r>
      <w:r w:rsidRPr="00305018">
        <w:rPr>
          <w:rStyle w:val="FootnoteReference"/>
          <w:rFonts w:ascii="Arial" w:hAnsi="Arial" w:cs="Arial"/>
          <w:sz w:val="22"/>
          <w:szCs w:val="22"/>
          <w:lang w:val="en-GB"/>
        </w:rPr>
        <w:footnoteReference w:id="29"/>
      </w:r>
      <w:r w:rsidRPr="00305018">
        <w:rPr>
          <w:rFonts w:ascii="Arial" w:hAnsi="Arial" w:cs="Arial"/>
          <w:sz w:val="22"/>
          <w:szCs w:val="22"/>
          <w:lang w:val="en-GB"/>
        </w:rPr>
        <w:t xml:space="preserve"> In fact, denial of access is considered a prohibited act of discrimination.</w:t>
      </w:r>
      <w:r w:rsidRPr="00305018">
        <w:rPr>
          <w:rStyle w:val="FootnoteReference"/>
          <w:rFonts w:ascii="Arial" w:hAnsi="Arial" w:cs="Arial"/>
          <w:sz w:val="22"/>
          <w:szCs w:val="22"/>
          <w:lang w:val="en-GB"/>
        </w:rPr>
        <w:footnoteReference w:id="30"/>
      </w:r>
      <w:r w:rsidRPr="00305018">
        <w:rPr>
          <w:rFonts w:ascii="Arial" w:hAnsi="Arial" w:cs="Arial"/>
          <w:sz w:val="22"/>
          <w:szCs w:val="22"/>
          <w:lang w:val="en-GB"/>
        </w:rPr>
        <w:t xml:space="preserve"> In 2016, the Committee stressed the connection between accessibility and inclusive education in its General Comment No 4.</w:t>
      </w:r>
      <w:r w:rsidRPr="00305018">
        <w:rPr>
          <w:rStyle w:val="FootnoteReference"/>
          <w:rFonts w:ascii="Arial" w:hAnsi="Arial" w:cs="Arial"/>
          <w:sz w:val="22"/>
          <w:szCs w:val="22"/>
          <w:lang w:val="en-GB"/>
        </w:rPr>
        <w:footnoteReference w:id="31"/>
      </w:r>
      <w:r w:rsidRPr="00305018">
        <w:rPr>
          <w:rFonts w:ascii="Arial" w:hAnsi="Arial" w:cs="Arial"/>
          <w:sz w:val="22"/>
          <w:szCs w:val="22"/>
          <w:lang w:val="en-GB"/>
        </w:rPr>
        <w:t xml:space="preserve"> The significance of accessibility</w:t>
      </w:r>
      <w:r w:rsidRPr="00305018">
        <w:rPr>
          <w:rFonts w:ascii="MS Mincho" w:eastAsia="MS Mincho" w:hAnsi="MS Mincho" w:cs="MS Mincho"/>
          <w:sz w:val="22"/>
          <w:szCs w:val="22"/>
          <w:lang w:val="en-GB"/>
        </w:rPr>
        <w:t> </w:t>
      </w:r>
      <w:r w:rsidRPr="00305018">
        <w:rPr>
          <w:rFonts w:ascii="Arial" w:hAnsi="Arial" w:cs="Arial"/>
          <w:sz w:val="22"/>
          <w:szCs w:val="22"/>
          <w:lang w:val="en-GB"/>
        </w:rPr>
        <w:t>has also been acknowledged by other UN treaty bodies as required to guarantee equalisation of opportunities and prevent marginalisation of persons with disabilities.</w:t>
      </w:r>
      <w:r w:rsidRPr="00305018">
        <w:rPr>
          <w:rStyle w:val="FootnoteReference"/>
          <w:rFonts w:ascii="Arial" w:hAnsi="Arial" w:cs="Arial"/>
          <w:sz w:val="22"/>
          <w:szCs w:val="22"/>
          <w:lang w:val="en-GB"/>
        </w:rPr>
        <w:footnoteReference w:id="32"/>
      </w:r>
      <w:r w:rsidRPr="00305018">
        <w:rPr>
          <w:rFonts w:ascii="Arial" w:hAnsi="Arial" w:cs="Arial"/>
          <w:sz w:val="22"/>
          <w:szCs w:val="22"/>
          <w:lang w:val="en-GB"/>
        </w:rPr>
        <w:t xml:space="preserve"> </w:t>
      </w:r>
    </w:p>
    <w:p w14:paraId="452C073F" w14:textId="77777777" w:rsidR="00E836C7" w:rsidRPr="00305018" w:rsidRDefault="00E836C7" w:rsidP="00E836C7">
      <w:pPr>
        <w:jc w:val="both"/>
        <w:rPr>
          <w:rFonts w:ascii="Arial" w:hAnsi="Arial" w:cs="Arial"/>
          <w:sz w:val="22"/>
          <w:szCs w:val="22"/>
          <w:lang w:val="en-GB"/>
        </w:rPr>
      </w:pPr>
    </w:p>
    <w:p w14:paraId="451ED2F4" w14:textId="77777777" w:rsidR="00E836C7" w:rsidRPr="00305018" w:rsidRDefault="00E836C7" w:rsidP="00E836C7">
      <w:pPr>
        <w:jc w:val="both"/>
        <w:rPr>
          <w:rFonts w:ascii="Arial" w:hAnsi="Arial" w:cs="Arial"/>
          <w:sz w:val="22"/>
          <w:szCs w:val="22"/>
          <w:lang w:val="en-GB"/>
        </w:rPr>
      </w:pPr>
      <w:r w:rsidRPr="00305018">
        <w:rPr>
          <w:rFonts w:ascii="Arial" w:hAnsi="Arial" w:cs="Arial"/>
          <w:sz w:val="22"/>
          <w:szCs w:val="22"/>
          <w:lang w:val="en-GB"/>
        </w:rPr>
        <w:t>The CRPD Committee has consistently made recommendations on accessibility</w:t>
      </w:r>
      <w:r w:rsidRPr="00305018">
        <w:rPr>
          <w:rStyle w:val="FootnoteReference"/>
          <w:rFonts w:ascii="Arial" w:hAnsi="Arial" w:cs="Arial"/>
          <w:sz w:val="22"/>
          <w:szCs w:val="22"/>
          <w:lang w:val="en-GB"/>
        </w:rPr>
        <w:footnoteReference w:id="33"/>
      </w:r>
      <w:r w:rsidRPr="00305018">
        <w:rPr>
          <w:rFonts w:ascii="Arial" w:hAnsi="Arial" w:cs="Arial"/>
          <w:sz w:val="22"/>
          <w:szCs w:val="22"/>
          <w:lang w:val="en-GB"/>
        </w:rPr>
        <w:t xml:space="preserve"> and identified, as a major obstacle, the lack of an adequate monitoring mechanism to ensure the practical implementation of relevant legislation.</w:t>
      </w:r>
      <w:r w:rsidRPr="00305018">
        <w:rPr>
          <w:rStyle w:val="FootnoteReference"/>
          <w:rFonts w:ascii="Arial" w:hAnsi="Arial" w:cs="Arial"/>
          <w:sz w:val="22"/>
          <w:szCs w:val="22"/>
          <w:lang w:val="en-GB"/>
        </w:rPr>
        <w:footnoteReference w:id="34"/>
      </w:r>
      <w:r w:rsidRPr="00305018">
        <w:rPr>
          <w:rFonts w:ascii="Arial" w:hAnsi="Arial" w:cs="Arial"/>
          <w:sz w:val="22"/>
          <w:szCs w:val="22"/>
          <w:lang w:val="en-GB"/>
        </w:rPr>
        <w:t xml:space="preserve"> In </w:t>
      </w:r>
      <w:proofErr w:type="spellStart"/>
      <w:r w:rsidRPr="00305018">
        <w:rPr>
          <w:rFonts w:ascii="Arial" w:hAnsi="Arial" w:cs="Arial"/>
          <w:i/>
          <w:iCs/>
          <w:sz w:val="22"/>
          <w:szCs w:val="22"/>
          <w:lang w:val="en-GB"/>
        </w:rPr>
        <w:t>Szilvia</w:t>
      </w:r>
      <w:proofErr w:type="spellEnd"/>
      <w:r w:rsidRPr="00305018">
        <w:rPr>
          <w:rFonts w:ascii="Arial" w:hAnsi="Arial" w:cs="Arial"/>
          <w:i/>
          <w:iCs/>
          <w:sz w:val="22"/>
          <w:szCs w:val="22"/>
          <w:lang w:val="en-GB"/>
        </w:rPr>
        <w:t xml:space="preserve"> </w:t>
      </w:r>
      <w:proofErr w:type="spellStart"/>
      <w:r w:rsidRPr="00305018">
        <w:rPr>
          <w:rFonts w:ascii="Arial" w:hAnsi="Arial" w:cs="Arial"/>
          <w:i/>
          <w:iCs/>
          <w:sz w:val="22"/>
          <w:szCs w:val="22"/>
          <w:lang w:val="en-GB"/>
        </w:rPr>
        <w:t>Nyusti</w:t>
      </w:r>
      <w:proofErr w:type="spellEnd"/>
      <w:r w:rsidRPr="00305018">
        <w:rPr>
          <w:rFonts w:ascii="Arial" w:hAnsi="Arial" w:cs="Arial"/>
          <w:i/>
          <w:iCs/>
          <w:sz w:val="22"/>
          <w:szCs w:val="22"/>
          <w:lang w:val="en-GB"/>
        </w:rPr>
        <w:t xml:space="preserve"> et al v Hungary</w:t>
      </w:r>
      <w:r w:rsidRPr="00305018">
        <w:rPr>
          <w:rFonts w:ascii="Arial" w:hAnsi="Arial" w:cs="Arial"/>
          <w:sz w:val="22"/>
          <w:szCs w:val="22"/>
          <w:lang w:val="en-GB"/>
        </w:rPr>
        <w:t xml:space="preserve">, the Committee highlighted that Article 9 paragraphs 2(a) and (b) require States to “take appropriate measures to develop, promulgate and monitor the implementation of minimum standards and guidelines for the accessibility </w:t>
      </w:r>
      <w:r w:rsidRPr="00305018">
        <w:rPr>
          <w:rFonts w:ascii="Arial" w:hAnsi="Arial" w:cs="Arial"/>
          <w:i/>
          <w:iCs/>
          <w:sz w:val="22"/>
          <w:szCs w:val="22"/>
          <w:lang w:val="en-GB"/>
        </w:rPr>
        <w:t xml:space="preserve">of facilities and services open or provided to the public </w:t>
      </w:r>
      <w:r w:rsidRPr="00305018">
        <w:rPr>
          <w:rFonts w:ascii="Arial" w:hAnsi="Arial" w:cs="Arial"/>
          <w:sz w:val="22"/>
          <w:szCs w:val="22"/>
          <w:lang w:val="en-GB"/>
        </w:rPr>
        <w:t xml:space="preserve">[...], and ensure that </w:t>
      </w:r>
      <w:r w:rsidRPr="00305018">
        <w:rPr>
          <w:rFonts w:ascii="Arial" w:hAnsi="Arial" w:cs="Arial"/>
          <w:i/>
          <w:iCs/>
          <w:sz w:val="22"/>
          <w:szCs w:val="22"/>
          <w:lang w:val="en-GB"/>
        </w:rPr>
        <w:t xml:space="preserve">private entities that offer facilities and services </w:t>
      </w:r>
      <w:r w:rsidRPr="00305018">
        <w:rPr>
          <w:rFonts w:ascii="Arial" w:hAnsi="Arial" w:cs="Arial"/>
          <w:sz w:val="22"/>
          <w:szCs w:val="22"/>
          <w:lang w:val="en-GB"/>
        </w:rPr>
        <w:t>which are open or provided to the public take into account all aspects of accessibility for persons with disabilities.</w:t>
      </w:r>
      <w:r w:rsidRPr="00305018">
        <w:rPr>
          <w:rStyle w:val="FootnoteReference"/>
          <w:rFonts w:ascii="Arial" w:hAnsi="Arial" w:cs="Arial"/>
          <w:sz w:val="22"/>
          <w:szCs w:val="22"/>
          <w:lang w:val="en-GB"/>
        </w:rPr>
        <w:footnoteReference w:id="35"/>
      </w:r>
      <w:r w:rsidRPr="00305018">
        <w:rPr>
          <w:rFonts w:ascii="Arial" w:hAnsi="Arial" w:cs="Arial"/>
          <w:sz w:val="22"/>
          <w:szCs w:val="22"/>
          <w:lang w:val="en-GB"/>
        </w:rPr>
        <w:t xml:space="preserve"> </w:t>
      </w:r>
      <w:r w:rsidRPr="00305018">
        <w:rPr>
          <w:rFonts w:ascii="MS Mincho" w:eastAsia="MS Mincho" w:hAnsi="MS Mincho" w:cs="MS Mincho"/>
          <w:sz w:val="22"/>
          <w:szCs w:val="22"/>
          <w:lang w:val="en-GB"/>
        </w:rPr>
        <w:t> </w:t>
      </w:r>
    </w:p>
    <w:p w14:paraId="4A8FB707" w14:textId="77777777" w:rsidR="00E836C7" w:rsidRPr="00305018" w:rsidRDefault="00E836C7" w:rsidP="00E836C7">
      <w:pPr>
        <w:jc w:val="both"/>
        <w:rPr>
          <w:rFonts w:ascii="Arial" w:hAnsi="Arial" w:cs="Arial"/>
          <w:sz w:val="22"/>
          <w:szCs w:val="22"/>
          <w:lang w:val="en-GB"/>
        </w:rPr>
      </w:pPr>
    </w:p>
    <w:p w14:paraId="066D5FF6" w14:textId="77777777" w:rsidR="00E836C7" w:rsidRPr="00305018" w:rsidRDefault="00E836C7" w:rsidP="00E836C7">
      <w:pPr>
        <w:jc w:val="both"/>
        <w:rPr>
          <w:rFonts w:ascii="Arial" w:hAnsi="Arial" w:cs="Arial"/>
          <w:sz w:val="22"/>
          <w:szCs w:val="22"/>
          <w:lang w:val="en-GB"/>
        </w:rPr>
      </w:pPr>
      <w:r w:rsidRPr="00305018">
        <w:rPr>
          <w:rFonts w:ascii="Arial" w:hAnsi="Arial" w:cs="Arial"/>
          <w:sz w:val="22"/>
          <w:szCs w:val="22"/>
          <w:lang w:val="en-GB"/>
        </w:rPr>
        <w:t xml:space="preserve">Importantly, the CRPD Committee has stressed that </w:t>
      </w:r>
      <w:r w:rsidRPr="008D5AB4">
        <w:rPr>
          <w:rFonts w:ascii="Arial" w:hAnsi="Arial" w:cs="Arial"/>
          <w:b/>
          <w:sz w:val="22"/>
          <w:szCs w:val="22"/>
          <w:lang w:val="en-GB"/>
        </w:rPr>
        <w:t xml:space="preserve">the obligation to implement accessibility is </w:t>
      </w:r>
      <w:r w:rsidRPr="008D5AB4">
        <w:rPr>
          <w:rFonts w:ascii="Arial" w:hAnsi="Arial" w:cs="Arial"/>
          <w:b/>
          <w:i/>
          <w:iCs/>
          <w:sz w:val="22"/>
          <w:szCs w:val="22"/>
          <w:lang w:val="en-GB"/>
        </w:rPr>
        <w:t>unconditional</w:t>
      </w:r>
      <w:r w:rsidRPr="00305018">
        <w:rPr>
          <w:rFonts w:ascii="Arial" w:hAnsi="Arial" w:cs="Arial"/>
          <w:i/>
          <w:iCs/>
          <w:sz w:val="22"/>
          <w:szCs w:val="22"/>
          <w:lang w:val="en-GB"/>
        </w:rPr>
        <w:t>.</w:t>
      </w:r>
      <w:r w:rsidRPr="00305018">
        <w:rPr>
          <w:rStyle w:val="FootnoteReference"/>
          <w:rFonts w:ascii="Arial" w:hAnsi="Arial" w:cs="Arial"/>
          <w:i/>
          <w:iCs/>
          <w:sz w:val="22"/>
          <w:szCs w:val="22"/>
          <w:lang w:val="en-GB"/>
        </w:rPr>
        <w:footnoteReference w:id="36"/>
      </w:r>
      <w:r w:rsidRPr="00305018">
        <w:rPr>
          <w:rFonts w:ascii="Arial" w:hAnsi="Arial" w:cs="Arial"/>
          <w:sz w:val="22"/>
          <w:szCs w:val="22"/>
          <w:lang w:val="en-GB"/>
        </w:rPr>
        <w:t xml:space="preserve"> That is to say that the duty bearers cannot excuse their lack of implementation of accessibility measures alleging that they constitute a burden or a disproportionate cost.</w:t>
      </w:r>
      <w:r w:rsidRPr="00305018">
        <w:rPr>
          <w:rStyle w:val="FootnoteReference"/>
          <w:rFonts w:ascii="Arial" w:hAnsi="Arial" w:cs="Arial"/>
          <w:sz w:val="22"/>
          <w:szCs w:val="22"/>
          <w:lang w:val="en-GB"/>
        </w:rPr>
        <w:footnoteReference w:id="37"/>
      </w:r>
    </w:p>
    <w:p w14:paraId="0326F7D0" w14:textId="77777777" w:rsidR="00E836C7" w:rsidRDefault="00E836C7" w:rsidP="00B61C4B">
      <w:pPr>
        <w:jc w:val="both"/>
        <w:rPr>
          <w:rFonts w:ascii="Arial" w:hAnsi="Arial" w:cs="Arial"/>
          <w:b/>
          <w:i/>
          <w:iCs/>
          <w:sz w:val="22"/>
          <w:szCs w:val="22"/>
        </w:rPr>
      </w:pPr>
    </w:p>
    <w:p w14:paraId="5797D6AB" w14:textId="604A09E2" w:rsidR="00B61C4B" w:rsidRPr="00B61C4B" w:rsidRDefault="00B61C4B" w:rsidP="00B61C4B">
      <w:pPr>
        <w:jc w:val="both"/>
        <w:rPr>
          <w:rFonts w:ascii="Arial" w:hAnsi="Arial" w:cs="Arial"/>
          <w:b/>
          <w:sz w:val="22"/>
          <w:szCs w:val="22"/>
        </w:rPr>
      </w:pPr>
      <w:r w:rsidRPr="00B61C4B">
        <w:rPr>
          <w:rFonts w:ascii="Arial" w:hAnsi="Arial" w:cs="Arial"/>
          <w:b/>
          <w:i/>
          <w:iCs/>
          <w:sz w:val="22"/>
          <w:szCs w:val="22"/>
        </w:rPr>
        <w:t xml:space="preserve">Intimate link and interactions between accessibility and </w:t>
      </w:r>
      <w:r w:rsidR="00E836C7">
        <w:rPr>
          <w:rFonts w:ascii="Arial" w:hAnsi="Arial" w:cs="Arial"/>
          <w:b/>
          <w:i/>
          <w:iCs/>
          <w:sz w:val="22"/>
          <w:szCs w:val="22"/>
        </w:rPr>
        <w:t xml:space="preserve">the duty to provide </w:t>
      </w:r>
      <w:r w:rsidRPr="00B61C4B">
        <w:rPr>
          <w:rFonts w:ascii="Arial" w:hAnsi="Arial" w:cs="Arial"/>
          <w:b/>
          <w:i/>
          <w:iCs/>
          <w:sz w:val="22"/>
          <w:szCs w:val="22"/>
        </w:rPr>
        <w:t xml:space="preserve">reasonable accommodation </w:t>
      </w:r>
      <w:r w:rsidRPr="00B61C4B">
        <w:rPr>
          <w:rFonts w:ascii="Arial" w:hAnsi="Arial" w:cs="Arial"/>
          <w:b/>
          <w:sz w:val="22"/>
          <w:szCs w:val="22"/>
        </w:rPr>
        <w:t> </w:t>
      </w:r>
    </w:p>
    <w:p w14:paraId="17C1C75B" w14:textId="77777777" w:rsidR="00A02315" w:rsidRDefault="00A02315" w:rsidP="001C7354">
      <w:pPr>
        <w:jc w:val="both"/>
        <w:rPr>
          <w:rFonts w:ascii="Arial" w:hAnsi="Arial" w:cs="Arial"/>
          <w:b/>
          <w:sz w:val="22"/>
          <w:szCs w:val="22"/>
        </w:rPr>
      </w:pPr>
    </w:p>
    <w:p w14:paraId="4D95591F" w14:textId="00EAFF5D" w:rsidR="00F066A0" w:rsidRDefault="00A02315" w:rsidP="00A02315">
      <w:pPr>
        <w:jc w:val="both"/>
        <w:rPr>
          <w:rFonts w:ascii="Arial" w:hAnsi="Arial" w:cs="Arial"/>
          <w:sz w:val="22"/>
          <w:szCs w:val="22"/>
        </w:rPr>
      </w:pPr>
      <w:r w:rsidRPr="00A02315">
        <w:rPr>
          <w:rFonts w:ascii="Arial" w:hAnsi="Arial" w:cs="Arial"/>
          <w:sz w:val="22"/>
          <w:szCs w:val="22"/>
        </w:rPr>
        <w:t>Both accessibility</w:t>
      </w:r>
      <w:r w:rsidR="008D5AB4">
        <w:rPr>
          <w:rFonts w:ascii="Arial" w:hAnsi="Arial" w:cs="Arial"/>
          <w:sz w:val="22"/>
          <w:szCs w:val="22"/>
        </w:rPr>
        <w:t>,</w:t>
      </w:r>
      <w:r w:rsidRPr="00A02315">
        <w:rPr>
          <w:rFonts w:ascii="Arial" w:hAnsi="Arial" w:cs="Arial"/>
          <w:sz w:val="22"/>
          <w:szCs w:val="22"/>
        </w:rPr>
        <w:t xml:space="preserve"> and reasonable accommodation</w:t>
      </w:r>
      <w:r w:rsidR="008D5AB4">
        <w:rPr>
          <w:rFonts w:ascii="Arial" w:hAnsi="Arial" w:cs="Arial"/>
          <w:sz w:val="22"/>
          <w:szCs w:val="22"/>
        </w:rPr>
        <w:t xml:space="preserve"> as part of non-discrimination,</w:t>
      </w:r>
      <w:r w:rsidRPr="00A02315">
        <w:rPr>
          <w:rFonts w:ascii="Arial" w:hAnsi="Arial" w:cs="Arial"/>
          <w:sz w:val="22"/>
          <w:szCs w:val="22"/>
        </w:rPr>
        <w:t xml:space="preserve"> aim at ensuring effective enjoyment of rights on an equal basis with others preventing </w:t>
      </w:r>
      <w:r w:rsidR="008D5AB4">
        <w:rPr>
          <w:rFonts w:ascii="Arial" w:hAnsi="Arial" w:cs="Arial"/>
          <w:sz w:val="22"/>
          <w:szCs w:val="22"/>
        </w:rPr>
        <w:t>restrictions or exclusion</w:t>
      </w:r>
      <w:r w:rsidRPr="00A02315">
        <w:rPr>
          <w:rFonts w:ascii="Arial" w:hAnsi="Arial" w:cs="Arial"/>
          <w:sz w:val="22"/>
          <w:szCs w:val="22"/>
        </w:rPr>
        <w:t xml:space="preserve"> on the basis of disability, </w:t>
      </w:r>
      <w:r w:rsidRPr="008D5AB4">
        <w:rPr>
          <w:rFonts w:ascii="Arial" w:hAnsi="Arial" w:cs="Arial"/>
          <w:b/>
          <w:sz w:val="22"/>
          <w:szCs w:val="22"/>
        </w:rPr>
        <w:t>yet they are still clearly distinct</w:t>
      </w:r>
      <w:r w:rsidRPr="00A02315">
        <w:rPr>
          <w:rFonts w:ascii="Arial" w:hAnsi="Arial" w:cs="Arial"/>
          <w:sz w:val="22"/>
          <w:szCs w:val="22"/>
        </w:rPr>
        <w:t>. First, general accessibility measures</w:t>
      </w:r>
      <w:r w:rsidR="00902E1E">
        <w:rPr>
          <w:rFonts w:ascii="Arial" w:hAnsi="Arial" w:cs="Arial"/>
          <w:sz w:val="22"/>
          <w:szCs w:val="22"/>
        </w:rPr>
        <w:t xml:space="preserve"> are unconditional and</w:t>
      </w:r>
      <w:r w:rsidRPr="00A02315">
        <w:rPr>
          <w:rFonts w:ascii="Arial" w:hAnsi="Arial" w:cs="Arial"/>
          <w:sz w:val="22"/>
          <w:szCs w:val="22"/>
        </w:rPr>
        <w:t xml:space="preserve"> must be implemented in anticipation of the accessibility needs of </w:t>
      </w:r>
      <w:r>
        <w:rPr>
          <w:rFonts w:ascii="Arial" w:hAnsi="Arial" w:cs="Arial"/>
          <w:sz w:val="22"/>
          <w:szCs w:val="22"/>
        </w:rPr>
        <w:t>persons with disabilities</w:t>
      </w:r>
      <w:r w:rsidR="008D5AB4">
        <w:rPr>
          <w:rFonts w:ascii="Arial" w:hAnsi="Arial" w:cs="Arial"/>
          <w:sz w:val="22"/>
          <w:szCs w:val="22"/>
        </w:rPr>
        <w:t>.</w:t>
      </w:r>
      <w:r w:rsidR="00902E1E">
        <w:rPr>
          <w:rStyle w:val="FootnoteReference"/>
          <w:rFonts w:ascii="Arial" w:hAnsi="Arial" w:cs="Arial"/>
          <w:sz w:val="22"/>
          <w:szCs w:val="22"/>
        </w:rPr>
        <w:footnoteReference w:id="38"/>
      </w:r>
      <w:r w:rsidR="00F066A0">
        <w:rPr>
          <w:rFonts w:ascii="Arial" w:hAnsi="Arial" w:cs="Arial"/>
          <w:sz w:val="22"/>
          <w:szCs w:val="22"/>
        </w:rPr>
        <w:t xml:space="preserve"> </w:t>
      </w:r>
      <w:r w:rsidR="008D5AB4">
        <w:rPr>
          <w:rFonts w:ascii="Arial" w:hAnsi="Arial" w:cs="Arial"/>
          <w:sz w:val="22"/>
          <w:szCs w:val="22"/>
        </w:rPr>
        <w:t xml:space="preserve">Instead, </w:t>
      </w:r>
      <w:r w:rsidR="008D5AB4" w:rsidRPr="00A02315">
        <w:rPr>
          <w:rFonts w:ascii="Arial" w:hAnsi="Arial" w:cs="Arial"/>
          <w:sz w:val="22"/>
          <w:szCs w:val="22"/>
        </w:rPr>
        <w:t xml:space="preserve">being </w:t>
      </w:r>
      <w:r w:rsidR="008D5AB4">
        <w:rPr>
          <w:rFonts w:ascii="Arial" w:hAnsi="Arial" w:cs="Arial"/>
          <w:sz w:val="22"/>
          <w:szCs w:val="22"/>
        </w:rPr>
        <w:t>part of non-discrimination</w:t>
      </w:r>
      <w:r w:rsidR="00F066A0">
        <w:rPr>
          <w:rFonts w:ascii="Arial" w:hAnsi="Arial" w:cs="Arial"/>
          <w:sz w:val="22"/>
          <w:szCs w:val="22"/>
        </w:rPr>
        <w:t xml:space="preserve"> applicable to all rights</w:t>
      </w:r>
      <w:r w:rsidR="008D5AB4">
        <w:rPr>
          <w:rFonts w:ascii="Arial" w:hAnsi="Arial" w:cs="Arial"/>
          <w:sz w:val="22"/>
          <w:szCs w:val="22"/>
        </w:rPr>
        <w:t>,</w:t>
      </w:r>
      <w:r w:rsidRPr="00A02315">
        <w:rPr>
          <w:rFonts w:ascii="Arial" w:hAnsi="Arial" w:cs="Arial"/>
          <w:sz w:val="22"/>
          <w:szCs w:val="22"/>
        </w:rPr>
        <w:t xml:space="preserve"> </w:t>
      </w:r>
      <w:r w:rsidRPr="00F066A0">
        <w:rPr>
          <w:rFonts w:ascii="Arial" w:hAnsi="Arial" w:cs="Arial"/>
          <w:b/>
          <w:sz w:val="22"/>
          <w:szCs w:val="22"/>
        </w:rPr>
        <w:t>reasonable accommodation</w:t>
      </w:r>
      <w:r w:rsidR="008D5AB4" w:rsidRPr="00F066A0">
        <w:rPr>
          <w:rFonts w:ascii="Arial" w:hAnsi="Arial" w:cs="Arial"/>
          <w:b/>
          <w:sz w:val="22"/>
          <w:szCs w:val="22"/>
        </w:rPr>
        <w:t xml:space="preserve"> </w:t>
      </w:r>
      <w:r w:rsidRPr="00A02315">
        <w:rPr>
          <w:rFonts w:ascii="Arial" w:hAnsi="Arial" w:cs="Arial"/>
          <w:sz w:val="22"/>
          <w:szCs w:val="22"/>
        </w:rPr>
        <w:t>consists of specific measures directed at a particular individual</w:t>
      </w:r>
      <w:r w:rsidR="008D5AB4">
        <w:rPr>
          <w:rFonts w:ascii="Arial" w:hAnsi="Arial" w:cs="Arial"/>
          <w:sz w:val="22"/>
          <w:szCs w:val="22"/>
        </w:rPr>
        <w:t xml:space="preserve"> in a particular </w:t>
      </w:r>
      <w:r w:rsidR="001B656D">
        <w:rPr>
          <w:rFonts w:ascii="Arial" w:hAnsi="Arial" w:cs="Arial"/>
          <w:sz w:val="22"/>
          <w:szCs w:val="22"/>
        </w:rPr>
        <w:t>situation</w:t>
      </w:r>
      <w:r w:rsidR="00F066A0">
        <w:rPr>
          <w:rFonts w:ascii="Arial" w:hAnsi="Arial" w:cs="Arial"/>
          <w:sz w:val="22"/>
          <w:szCs w:val="22"/>
        </w:rPr>
        <w:t xml:space="preserve"> to ensure enjoyment of rights</w:t>
      </w:r>
      <w:r w:rsidR="00295DBD">
        <w:rPr>
          <w:rFonts w:ascii="Arial" w:hAnsi="Arial" w:cs="Arial"/>
          <w:sz w:val="22"/>
          <w:szCs w:val="22"/>
        </w:rPr>
        <w:t xml:space="preserve"> and</w:t>
      </w:r>
      <w:r w:rsidR="00F066A0">
        <w:rPr>
          <w:rFonts w:ascii="Arial" w:hAnsi="Arial" w:cs="Arial"/>
          <w:sz w:val="22"/>
          <w:szCs w:val="22"/>
        </w:rPr>
        <w:t xml:space="preserve"> is</w:t>
      </w:r>
      <w:r w:rsidR="00295DBD">
        <w:rPr>
          <w:rFonts w:ascii="Arial" w:hAnsi="Arial" w:cs="Arial"/>
          <w:sz w:val="22"/>
          <w:szCs w:val="22"/>
        </w:rPr>
        <w:t xml:space="preserve"> subject to a proportionality test</w:t>
      </w:r>
      <w:r>
        <w:rPr>
          <w:rFonts w:ascii="Arial" w:hAnsi="Arial" w:cs="Arial"/>
          <w:sz w:val="22"/>
          <w:szCs w:val="22"/>
        </w:rPr>
        <w:t>.</w:t>
      </w:r>
      <w:r w:rsidR="00295DBD">
        <w:rPr>
          <w:rStyle w:val="FootnoteReference"/>
          <w:rFonts w:ascii="Arial" w:hAnsi="Arial" w:cs="Arial"/>
          <w:sz w:val="22"/>
          <w:szCs w:val="22"/>
        </w:rPr>
        <w:footnoteReference w:id="39"/>
      </w:r>
      <w:r>
        <w:rPr>
          <w:rFonts w:ascii="Arial" w:hAnsi="Arial" w:cs="Arial"/>
          <w:sz w:val="22"/>
          <w:szCs w:val="22"/>
        </w:rPr>
        <w:t xml:space="preserve"> </w:t>
      </w:r>
    </w:p>
    <w:p w14:paraId="1B385266" w14:textId="77777777" w:rsidR="00F066A0" w:rsidRDefault="00F066A0" w:rsidP="00A02315">
      <w:pPr>
        <w:jc w:val="both"/>
        <w:rPr>
          <w:rFonts w:ascii="Arial" w:hAnsi="Arial" w:cs="Arial"/>
          <w:sz w:val="22"/>
          <w:szCs w:val="22"/>
        </w:rPr>
      </w:pPr>
    </w:p>
    <w:p w14:paraId="6C4AADBF" w14:textId="32C7E6D1" w:rsidR="00A02315" w:rsidRPr="00F066A0" w:rsidRDefault="00F066A0" w:rsidP="00A02315">
      <w:pPr>
        <w:jc w:val="both"/>
        <w:rPr>
          <w:rFonts w:ascii="Arial" w:hAnsi="Arial" w:cs="Arial"/>
          <w:sz w:val="22"/>
          <w:szCs w:val="22"/>
        </w:rPr>
      </w:pPr>
      <w:r>
        <w:rPr>
          <w:rFonts w:ascii="Arial" w:hAnsi="Arial" w:cs="Arial"/>
          <w:sz w:val="22"/>
          <w:szCs w:val="22"/>
        </w:rPr>
        <w:t>T</w:t>
      </w:r>
      <w:r w:rsidR="00A02315" w:rsidRPr="00A02315">
        <w:rPr>
          <w:rFonts w:ascii="Arial" w:hAnsi="Arial" w:cs="Arial"/>
          <w:sz w:val="22"/>
          <w:szCs w:val="22"/>
        </w:rPr>
        <w:t>he CRPD Committee stated: “[r]</w:t>
      </w:r>
      <w:proofErr w:type="spellStart"/>
      <w:r w:rsidR="00A02315" w:rsidRPr="00A02315">
        <w:rPr>
          <w:rFonts w:ascii="Arial" w:hAnsi="Arial" w:cs="Arial"/>
          <w:sz w:val="22"/>
          <w:szCs w:val="22"/>
        </w:rPr>
        <w:t>easonable</w:t>
      </w:r>
      <w:proofErr w:type="spellEnd"/>
      <w:r w:rsidR="00A02315" w:rsidRPr="00A02315">
        <w:rPr>
          <w:rFonts w:ascii="Arial" w:hAnsi="Arial" w:cs="Arial"/>
          <w:sz w:val="22"/>
          <w:szCs w:val="22"/>
        </w:rPr>
        <w:t xml:space="preserve"> accommodation can be used </w:t>
      </w:r>
      <w:r w:rsidR="00A02315" w:rsidRPr="00F066A0">
        <w:rPr>
          <w:rFonts w:ascii="Arial" w:hAnsi="Arial" w:cs="Arial"/>
          <w:b/>
          <w:i/>
          <w:sz w:val="22"/>
          <w:szCs w:val="22"/>
          <w:u w:val="single"/>
        </w:rPr>
        <w:t>as a means of</w:t>
      </w:r>
      <w:r w:rsidR="00A02315" w:rsidRPr="008D5AB4">
        <w:rPr>
          <w:rFonts w:ascii="Arial" w:hAnsi="Arial" w:cs="Arial"/>
          <w:b/>
          <w:i/>
          <w:sz w:val="22"/>
          <w:szCs w:val="22"/>
        </w:rPr>
        <w:t xml:space="preserve"> ensuring accessibility</w:t>
      </w:r>
      <w:r w:rsidR="00A02315" w:rsidRPr="00A02315">
        <w:rPr>
          <w:rFonts w:ascii="Arial" w:hAnsi="Arial" w:cs="Arial"/>
          <w:sz w:val="22"/>
          <w:szCs w:val="22"/>
        </w:rPr>
        <w:t xml:space="preserve"> </w:t>
      </w:r>
      <w:r w:rsidR="00A02315" w:rsidRPr="00A02315">
        <w:rPr>
          <w:rFonts w:ascii="Arial" w:hAnsi="Arial" w:cs="Arial"/>
          <w:i/>
          <w:iCs/>
          <w:sz w:val="22"/>
          <w:szCs w:val="22"/>
        </w:rPr>
        <w:t>for an individual with a disability in a particular situation</w:t>
      </w:r>
      <w:r>
        <w:rPr>
          <w:rFonts w:ascii="Arial" w:hAnsi="Arial" w:cs="Arial"/>
          <w:sz w:val="22"/>
          <w:szCs w:val="22"/>
        </w:rPr>
        <w:t>”</w:t>
      </w:r>
      <w:r w:rsidR="00A02315">
        <w:rPr>
          <w:rStyle w:val="FootnoteReference"/>
          <w:rFonts w:ascii="Arial" w:hAnsi="Arial" w:cs="Arial"/>
          <w:sz w:val="22"/>
          <w:szCs w:val="22"/>
        </w:rPr>
        <w:footnoteReference w:id="40"/>
      </w:r>
      <w:r>
        <w:rPr>
          <w:rFonts w:ascii="Arial" w:hAnsi="Arial" w:cs="Arial"/>
          <w:sz w:val="22"/>
          <w:szCs w:val="22"/>
        </w:rPr>
        <w:t xml:space="preserve">, functioning then as </w:t>
      </w:r>
      <w:r w:rsidRPr="00A02315">
        <w:rPr>
          <w:rFonts w:ascii="Arial" w:hAnsi="Arial" w:cs="Arial"/>
          <w:sz w:val="22"/>
          <w:szCs w:val="22"/>
        </w:rPr>
        <w:t>complementary to ge</w:t>
      </w:r>
      <w:r>
        <w:rPr>
          <w:rFonts w:ascii="Arial" w:hAnsi="Arial" w:cs="Arial"/>
          <w:sz w:val="22"/>
          <w:szCs w:val="22"/>
        </w:rPr>
        <w:t>neral accessibility measures.</w:t>
      </w:r>
      <w:r w:rsidR="00A02315" w:rsidRPr="00A02315">
        <w:rPr>
          <w:rFonts w:ascii="Arial" w:hAnsi="Arial" w:cs="Arial"/>
          <w:sz w:val="22"/>
          <w:szCs w:val="22"/>
        </w:rPr>
        <w:t xml:space="preserve"> </w:t>
      </w:r>
      <w:r w:rsidRPr="00F066A0">
        <w:rPr>
          <w:rFonts w:ascii="Arial" w:hAnsi="Arial" w:cs="Arial"/>
          <w:b/>
          <w:sz w:val="22"/>
          <w:szCs w:val="22"/>
        </w:rPr>
        <w:t>However, the duty to provide reasonable accommodation never replaces the efforts due to achieve general accessibility across all sectors</w:t>
      </w:r>
      <w:r w:rsidRPr="00A02315">
        <w:rPr>
          <w:rFonts w:ascii="Arial" w:hAnsi="Arial" w:cs="Arial"/>
          <w:sz w:val="22"/>
          <w:szCs w:val="22"/>
        </w:rPr>
        <w:t xml:space="preserve">. </w:t>
      </w:r>
      <w:r w:rsidR="00A02315" w:rsidRPr="00A02315">
        <w:rPr>
          <w:rFonts w:ascii="Arial" w:hAnsi="Arial" w:cs="Arial"/>
          <w:sz w:val="22"/>
          <w:szCs w:val="22"/>
        </w:rPr>
        <w:t>Certainly, there is an intimate link between accessibilit</w:t>
      </w:r>
      <w:r w:rsidR="00902E1E">
        <w:rPr>
          <w:rFonts w:ascii="Arial" w:hAnsi="Arial" w:cs="Arial"/>
          <w:sz w:val="22"/>
          <w:szCs w:val="22"/>
        </w:rPr>
        <w:t xml:space="preserve">y and reasonable accommodation. </w:t>
      </w:r>
      <w:r w:rsidR="00A02315" w:rsidRPr="00A02315">
        <w:rPr>
          <w:rFonts w:ascii="Arial" w:hAnsi="Arial" w:cs="Arial"/>
          <w:sz w:val="22"/>
          <w:szCs w:val="22"/>
        </w:rPr>
        <w:t xml:space="preserve">The more that accessibility is implemented across the board, the </w:t>
      </w:r>
      <w:r w:rsidR="00A02315" w:rsidRPr="00D81929">
        <w:rPr>
          <w:rFonts w:ascii="Arial" w:hAnsi="Arial" w:cs="Arial"/>
          <w:sz w:val="22"/>
          <w:szCs w:val="22"/>
          <w:lang w:val="en-GB"/>
        </w:rPr>
        <w:t xml:space="preserve">less need there would be to provide reasonable accommodation </w:t>
      </w:r>
      <w:r w:rsidR="00A02315" w:rsidRPr="008D5AB4">
        <w:rPr>
          <w:rFonts w:ascii="Arial" w:hAnsi="Arial" w:cs="Arial"/>
          <w:b/>
          <w:sz w:val="22"/>
          <w:szCs w:val="22"/>
          <w:lang w:val="en-GB"/>
        </w:rPr>
        <w:t xml:space="preserve">as a means of </w:t>
      </w:r>
      <w:r w:rsidR="00A02315" w:rsidRPr="00D81929">
        <w:rPr>
          <w:rFonts w:ascii="Arial" w:hAnsi="Arial" w:cs="Arial"/>
          <w:sz w:val="22"/>
          <w:szCs w:val="22"/>
          <w:lang w:val="en-GB"/>
        </w:rPr>
        <w:t>ensuring accessibility (particularly in terms of environmental accessibility)</w:t>
      </w:r>
      <w:r w:rsidR="00902E1E" w:rsidRPr="00D81929">
        <w:rPr>
          <w:rFonts w:ascii="Arial" w:hAnsi="Arial" w:cs="Arial"/>
          <w:sz w:val="22"/>
          <w:szCs w:val="22"/>
          <w:lang w:val="en-GB"/>
        </w:rPr>
        <w:t>.</w:t>
      </w:r>
    </w:p>
    <w:p w14:paraId="627367CF" w14:textId="77777777" w:rsidR="00A02315" w:rsidRPr="00D81929" w:rsidRDefault="00A02315" w:rsidP="00A02315">
      <w:pPr>
        <w:jc w:val="both"/>
        <w:rPr>
          <w:rFonts w:ascii="Arial" w:hAnsi="Arial" w:cs="Arial"/>
          <w:sz w:val="22"/>
          <w:szCs w:val="22"/>
          <w:lang w:val="en-GB"/>
        </w:rPr>
      </w:pPr>
    </w:p>
    <w:p w14:paraId="2737B3F7" w14:textId="4BD54954" w:rsidR="00A02315" w:rsidRPr="00D81929" w:rsidRDefault="00A02315" w:rsidP="00A02315">
      <w:pPr>
        <w:jc w:val="both"/>
        <w:rPr>
          <w:rFonts w:ascii="Arial" w:hAnsi="Arial" w:cs="Arial"/>
          <w:sz w:val="22"/>
          <w:szCs w:val="22"/>
          <w:lang w:val="en-GB"/>
        </w:rPr>
      </w:pPr>
      <w:r w:rsidRPr="00D81929">
        <w:rPr>
          <w:rFonts w:ascii="Arial" w:hAnsi="Arial" w:cs="Arial"/>
          <w:sz w:val="22"/>
          <w:szCs w:val="22"/>
          <w:lang w:val="en-GB"/>
        </w:rPr>
        <w:t>Second,</w:t>
      </w:r>
      <w:r w:rsidR="00F066A0">
        <w:rPr>
          <w:rFonts w:ascii="Arial" w:hAnsi="Arial" w:cs="Arial"/>
          <w:sz w:val="22"/>
          <w:szCs w:val="22"/>
          <w:lang w:val="en-GB"/>
        </w:rPr>
        <w:t xml:space="preserve"> reasonable accommodation </w:t>
      </w:r>
      <w:r w:rsidR="00F066A0" w:rsidRPr="00F066A0">
        <w:rPr>
          <w:rFonts w:ascii="Arial" w:hAnsi="Arial" w:cs="Arial"/>
          <w:b/>
          <w:sz w:val="22"/>
          <w:szCs w:val="22"/>
        </w:rPr>
        <w:t>is not limited to the area of accessibility</w:t>
      </w:r>
      <w:r w:rsidR="00F066A0">
        <w:rPr>
          <w:rFonts w:ascii="Arial" w:hAnsi="Arial" w:cs="Arial"/>
          <w:b/>
          <w:sz w:val="22"/>
          <w:szCs w:val="22"/>
        </w:rPr>
        <w:t>,</w:t>
      </w:r>
      <w:r w:rsidRPr="00D81929">
        <w:rPr>
          <w:rFonts w:ascii="Arial" w:hAnsi="Arial" w:cs="Arial"/>
          <w:sz w:val="22"/>
          <w:szCs w:val="22"/>
          <w:lang w:val="en-GB"/>
        </w:rPr>
        <w:t xml:space="preserve"> </w:t>
      </w:r>
      <w:r w:rsidR="00F066A0">
        <w:rPr>
          <w:rFonts w:ascii="Arial" w:hAnsi="Arial" w:cs="Arial"/>
          <w:sz w:val="22"/>
          <w:szCs w:val="22"/>
          <w:lang w:val="en-GB"/>
        </w:rPr>
        <w:t xml:space="preserve">and its </w:t>
      </w:r>
      <w:r w:rsidRPr="00D81929">
        <w:rPr>
          <w:rFonts w:ascii="Arial" w:hAnsi="Arial" w:cs="Arial"/>
          <w:sz w:val="22"/>
          <w:szCs w:val="22"/>
          <w:lang w:val="en-GB"/>
        </w:rPr>
        <w:t>scope of application goes far beyond being “a means of ensuring accessibility</w:t>
      </w:r>
      <w:r w:rsidR="007F7118" w:rsidRPr="00D81929">
        <w:rPr>
          <w:rFonts w:ascii="Arial" w:hAnsi="Arial" w:cs="Arial"/>
          <w:sz w:val="22"/>
          <w:szCs w:val="22"/>
          <w:lang w:val="en-GB"/>
        </w:rPr>
        <w:t>.”</w:t>
      </w:r>
      <w:r w:rsidRPr="00D81929">
        <w:rPr>
          <w:rFonts w:ascii="Arial" w:hAnsi="Arial" w:cs="Arial"/>
          <w:sz w:val="22"/>
          <w:szCs w:val="22"/>
          <w:lang w:val="en-GB"/>
        </w:rPr>
        <w:t xml:space="preserve"> For example, with respect to exercising the right to</w:t>
      </w:r>
      <w:r w:rsidR="00AD237E" w:rsidRPr="00D81929">
        <w:rPr>
          <w:rFonts w:ascii="Arial" w:hAnsi="Arial" w:cs="Arial"/>
          <w:sz w:val="22"/>
          <w:szCs w:val="22"/>
          <w:lang w:val="en-GB"/>
        </w:rPr>
        <w:t xml:space="preserve"> inclusive</w:t>
      </w:r>
      <w:r w:rsidRPr="00D81929">
        <w:rPr>
          <w:rFonts w:ascii="Arial" w:hAnsi="Arial" w:cs="Arial"/>
          <w:sz w:val="22"/>
          <w:szCs w:val="22"/>
          <w:lang w:val="en-GB"/>
        </w:rPr>
        <w:t xml:space="preserve"> education, it could be required as a measure of reasonable accommodation to provide</w:t>
      </w:r>
      <w:r w:rsidR="00AD237E" w:rsidRPr="00D81929">
        <w:rPr>
          <w:rFonts w:ascii="Arial" w:hAnsi="Arial" w:cs="Arial"/>
          <w:sz w:val="22"/>
          <w:szCs w:val="22"/>
          <w:lang w:val="en-GB"/>
        </w:rPr>
        <w:t xml:space="preserve"> different forms of in class communication or using alternative evaluation methods and replacing an element of the curriculum with an alternative</w:t>
      </w:r>
      <w:r w:rsidRPr="00D81929">
        <w:rPr>
          <w:rFonts w:ascii="Arial" w:hAnsi="Arial" w:cs="Arial"/>
          <w:sz w:val="22"/>
          <w:szCs w:val="22"/>
          <w:lang w:val="en-GB"/>
        </w:rPr>
        <w:t>.</w:t>
      </w:r>
      <w:r w:rsidR="00AD237E" w:rsidRPr="00D81929">
        <w:rPr>
          <w:rStyle w:val="FootnoteReference"/>
          <w:rFonts w:ascii="Arial" w:hAnsi="Arial" w:cs="Arial"/>
          <w:sz w:val="22"/>
          <w:szCs w:val="22"/>
          <w:lang w:val="en-GB"/>
        </w:rPr>
        <w:footnoteReference w:id="41"/>
      </w:r>
      <w:r w:rsidRPr="00D81929">
        <w:rPr>
          <w:rFonts w:ascii="Arial" w:hAnsi="Arial" w:cs="Arial"/>
          <w:sz w:val="22"/>
          <w:szCs w:val="22"/>
          <w:lang w:val="en-GB"/>
        </w:rPr>
        <w:t xml:space="preserve"> </w:t>
      </w:r>
    </w:p>
    <w:p w14:paraId="60A42707" w14:textId="77777777" w:rsidR="001C7354" w:rsidRPr="00D81929" w:rsidRDefault="001C7354" w:rsidP="00010AB7">
      <w:pPr>
        <w:jc w:val="both"/>
        <w:rPr>
          <w:rFonts w:ascii="Arial" w:hAnsi="Arial" w:cs="Arial"/>
          <w:sz w:val="22"/>
          <w:szCs w:val="22"/>
          <w:lang w:val="en-GB"/>
        </w:rPr>
      </w:pPr>
    </w:p>
    <w:p w14:paraId="464F51B8" w14:textId="1AD3A6E0" w:rsidR="00AC6716" w:rsidRPr="00D81929" w:rsidRDefault="00A27E45" w:rsidP="00010AB7">
      <w:pPr>
        <w:jc w:val="both"/>
        <w:rPr>
          <w:rFonts w:ascii="Arial" w:hAnsi="Arial" w:cs="Arial"/>
          <w:b/>
          <w:sz w:val="22"/>
          <w:szCs w:val="22"/>
          <w:lang w:val="en-GB"/>
        </w:rPr>
      </w:pPr>
      <w:r w:rsidRPr="00E868C0">
        <w:rPr>
          <w:rFonts w:ascii="Arial" w:hAnsi="Arial" w:cs="Arial"/>
          <w:b/>
          <w:sz w:val="22"/>
          <w:szCs w:val="22"/>
          <w:lang w:val="en-GB"/>
        </w:rPr>
        <w:t xml:space="preserve">C. </w:t>
      </w:r>
      <w:r w:rsidR="00FA4E04" w:rsidRPr="00E868C0">
        <w:rPr>
          <w:rFonts w:ascii="Arial" w:hAnsi="Arial" w:cs="Arial"/>
          <w:b/>
          <w:sz w:val="22"/>
          <w:szCs w:val="22"/>
          <w:u w:val="single"/>
          <w:lang w:val="en-GB"/>
        </w:rPr>
        <w:t>Obligation to</w:t>
      </w:r>
      <w:r w:rsidR="00AC6716" w:rsidRPr="00E868C0">
        <w:rPr>
          <w:rFonts w:ascii="Arial" w:hAnsi="Arial" w:cs="Arial"/>
          <w:b/>
          <w:sz w:val="22"/>
          <w:szCs w:val="22"/>
          <w:u w:val="single"/>
          <w:lang w:val="en-GB"/>
        </w:rPr>
        <w:t xml:space="preserve"> ensure </w:t>
      </w:r>
      <w:r w:rsidR="00535BCE" w:rsidRPr="00E868C0">
        <w:rPr>
          <w:rFonts w:ascii="Arial" w:hAnsi="Arial" w:cs="Arial"/>
          <w:b/>
          <w:sz w:val="22"/>
          <w:szCs w:val="22"/>
          <w:u w:val="single"/>
          <w:lang w:val="en-GB"/>
        </w:rPr>
        <w:t xml:space="preserve">the right </w:t>
      </w:r>
      <w:r w:rsidR="004929D0" w:rsidRPr="00E868C0">
        <w:rPr>
          <w:rFonts w:ascii="Arial" w:hAnsi="Arial" w:cs="Arial"/>
          <w:b/>
          <w:sz w:val="22"/>
          <w:szCs w:val="22"/>
          <w:u w:val="single"/>
          <w:lang w:val="en-GB"/>
        </w:rPr>
        <w:t xml:space="preserve">to </w:t>
      </w:r>
      <w:r w:rsidR="00535BCE" w:rsidRPr="00E868C0">
        <w:rPr>
          <w:rFonts w:ascii="Arial" w:hAnsi="Arial" w:cs="Arial"/>
          <w:b/>
          <w:sz w:val="22"/>
          <w:szCs w:val="22"/>
          <w:u w:val="single"/>
          <w:lang w:val="en-GB"/>
        </w:rPr>
        <w:t>inclusive education</w:t>
      </w:r>
      <w:r w:rsidR="00535BCE" w:rsidRPr="00D81929">
        <w:rPr>
          <w:rFonts w:ascii="Arial" w:hAnsi="Arial" w:cs="Arial"/>
          <w:b/>
          <w:sz w:val="22"/>
          <w:szCs w:val="22"/>
          <w:lang w:val="en-GB"/>
        </w:rPr>
        <w:t xml:space="preserve"> </w:t>
      </w:r>
    </w:p>
    <w:p w14:paraId="0EC245DE" w14:textId="77777777" w:rsidR="006B0435" w:rsidRPr="00D81929" w:rsidRDefault="006B0435" w:rsidP="00010AB7">
      <w:pPr>
        <w:jc w:val="both"/>
        <w:rPr>
          <w:rFonts w:ascii="Arial" w:hAnsi="Arial" w:cs="Arial"/>
          <w:sz w:val="22"/>
          <w:szCs w:val="22"/>
          <w:lang w:val="en-GB"/>
        </w:rPr>
      </w:pPr>
    </w:p>
    <w:p w14:paraId="2475A1BE" w14:textId="7FD6EBA7" w:rsidR="003F34C0" w:rsidRPr="00D81929" w:rsidRDefault="006B0435" w:rsidP="00010AB7">
      <w:pPr>
        <w:jc w:val="both"/>
        <w:rPr>
          <w:rFonts w:ascii="Arial" w:hAnsi="Arial" w:cs="Arial"/>
          <w:b/>
          <w:i/>
          <w:sz w:val="22"/>
          <w:szCs w:val="22"/>
          <w:lang w:val="en-GB"/>
        </w:rPr>
      </w:pPr>
      <w:r w:rsidRPr="00D81929">
        <w:rPr>
          <w:rFonts w:ascii="Arial" w:hAnsi="Arial" w:cs="Arial"/>
          <w:b/>
          <w:i/>
          <w:sz w:val="22"/>
          <w:szCs w:val="22"/>
          <w:lang w:val="en-GB"/>
        </w:rPr>
        <w:t xml:space="preserve">The right to education in international law </w:t>
      </w:r>
    </w:p>
    <w:p w14:paraId="1C1CDB40" w14:textId="77777777" w:rsidR="00E27032" w:rsidRPr="00D81929" w:rsidRDefault="00E27032" w:rsidP="00010AB7">
      <w:pPr>
        <w:jc w:val="both"/>
        <w:rPr>
          <w:rFonts w:ascii="Arial" w:hAnsi="Arial" w:cs="Arial"/>
          <w:sz w:val="22"/>
          <w:szCs w:val="22"/>
          <w:lang w:val="en-GB"/>
        </w:rPr>
      </w:pPr>
    </w:p>
    <w:p w14:paraId="1E0DFDA8" w14:textId="3F22F07C" w:rsidR="00E27032" w:rsidRPr="00D81929" w:rsidRDefault="00E27032" w:rsidP="00F16C9B">
      <w:pPr>
        <w:jc w:val="both"/>
        <w:rPr>
          <w:rFonts w:ascii="Arial" w:hAnsi="Arial" w:cs="Arial"/>
          <w:sz w:val="22"/>
          <w:szCs w:val="22"/>
          <w:lang w:val="en-GB"/>
        </w:rPr>
      </w:pPr>
      <w:r w:rsidRPr="00D81929">
        <w:rPr>
          <w:rFonts w:ascii="Arial" w:hAnsi="Arial" w:cs="Arial"/>
          <w:sz w:val="22"/>
          <w:szCs w:val="22"/>
          <w:lang w:val="en-GB"/>
        </w:rPr>
        <w:t>The right to education has been widely recognised in international and regional human rights instruments since the Universal Declaration of Human Rights.</w:t>
      </w:r>
      <w:r w:rsidRPr="00D81929">
        <w:rPr>
          <w:rStyle w:val="FootnoteReference"/>
          <w:rFonts w:ascii="Arial" w:hAnsi="Arial" w:cs="Arial"/>
          <w:sz w:val="22"/>
          <w:szCs w:val="22"/>
          <w:lang w:val="en-GB"/>
        </w:rPr>
        <w:footnoteReference w:id="42"/>
      </w:r>
      <w:r w:rsidR="00003B98" w:rsidRPr="00D81929">
        <w:rPr>
          <w:rFonts w:ascii="Arial" w:hAnsi="Arial" w:cs="Arial"/>
          <w:sz w:val="22"/>
          <w:szCs w:val="22"/>
          <w:lang w:val="en-GB"/>
        </w:rPr>
        <w:t xml:space="preserve"> </w:t>
      </w:r>
      <w:r w:rsidRPr="00D81929">
        <w:rPr>
          <w:rFonts w:ascii="Arial" w:hAnsi="Arial" w:cs="Arial"/>
          <w:sz w:val="22"/>
          <w:szCs w:val="22"/>
          <w:lang w:val="en-GB"/>
        </w:rPr>
        <w:t>The UN Committee on Economic, Social and Cultural Rights (CESCR Committee) elaborated on the main components of this right: availability, accessibility, adaptability and quality.</w:t>
      </w:r>
      <w:r w:rsidRPr="00D81929">
        <w:rPr>
          <w:rStyle w:val="FootnoteReference"/>
          <w:rFonts w:ascii="Arial" w:hAnsi="Arial" w:cs="Arial"/>
          <w:sz w:val="22"/>
          <w:szCs w:val="22"/>
          <w:lang w:val="en-GB"/>
        </w:rPr>
        <w:footnoteReference w:id="43"/>
      </w:r>
      <w:r w:rsidRPr="00D81929">
        <w:rPr>
          <w:rFonts w:ascii="Arial" w:hAnsi="Arial" w:cs="Arial"/>
          <w:sz w:val="22"/>
          <w:szCs w:val="22"/>
          <w:lang w:val="en-GB"/>
        </w:rPr>
        <w:t xml:space="preserve"> Accessibility includes geographical accessibility, affordability and non-discrimination in the exercise of the right to education.</w:t>
      </w:r>
      <w:r w:rsidRPr="00D81929">
        <w:rPr>
          <w:rStyle w:val="FootnoteReference"/>
          <w:rFonts w:ascii="Arial" w:hAnsi="Arial" w:cs="Arial"/>
          <w:sz w:val="22"/>
          <w:szCs w:val="22"/>
          <w:lang w:val="en-GB"/>
        </w:rPr>
        <w:footnoteReference w:id="44"/>
      </w:r>
      <w:r w:rsidRPr="00D81929">
        <w:rPr>
          <w:rFonts w:ascii="Arial" w:hAnsi="Arial" w:cs="Arial"/>
          <w:sz w:val="22"/>
          <w:szCs w:val="22"/>
          <w:lang w:val="en-GB"/>
        </w:rPr>
        <w:t xml:space="preserve"> </w:t>
      </w:r>
    </w:p>
    <w:p w14:paraId="2945CA67" w14:textId="77777777" w:rsidR="00E27032" w:rsidRPr="00D81929" w:rsidRDefault="00E27032" w:rsidP="00F16C9B">
      <w:pPr>
        <w:jc w:val="both"/>
        <w:rPr>
          <w:rFonts w:ascii="Arial" w:hAnsi="Arial" w:cs="Arial"/>
          <w:sz w:val="22"/>
          <w:szCs w:val="22"/>
          <w:lang w:val="en-GB"/>
        </w:rPr>
      </w:pPr>
    </w:p>
    <w:p w14:paraId="3DAD511E" w14:textId="4E9AA62C" w:rsidR="00625ED3" w:rsidRPr="00D81929" w:rsidRDefault="00E27032" w:rsidP="00F16C9B">
      <w:pPr>
        <w:jc w:val="both"/>
        <w:rPr>
          <w:rFonts w:ascii="Arial" w:hAnsi="Arial" w:cs="Arial"/>
          <w:sz w:val="22"/>
          <w:szCs w:val="22"/>
          <w:lang w:val="en-GB"/>
        </w:rPr>
      </w:pPr>
      <w:r w:rsidRPr="00D81929">
        <w:rPr>
          <w:rFonts w:ascii="Arial" w:hAnsi="Arial" w:cs="Arial"/>
          <w:sz w:val="22"/>
          <w:szCs w:val="22"/>
          <w:lang w:val="en-GB"/>
        </w:rPr>
        <w:t>Despite this recognition, persons with disabilities continue to</w:t>
      </w:r>
      <w:r w:rsidR="00B27021" w:rsidRPr="00D81929">
        <w:rPr>
          <w:rFonts w:ascii="Arial" w:hAnsi="Arial" w:cs="Arial"/>
          <w:sz w:val="22"/>
          <w:szCs w:val="22"/>
          <w:lang w:val="en-GB"/>
        </w:rPr>
        <w:t xml:space="preserve"> be denied the right to education</w:t>
      </w:r>
      <w:r w:rsidR="00B27021" w:rsidRPr="00D81929">
        <w:rPr>
          <w:rStyle w:val="FootnoteReference"/>
          <w:rFonts w:ascii="Arial" w:hAnsi="Arial" w:cs="Arial"/>
          <w:sz w:val="22"/>
          <w:szCs w:val="22"/>
          <w:lang w:val="en-GB"/>
        </w:rPr>
        <w:footnoteReference w:id="45"/>
      </w:r>
      <w:r w:rsidR="00B27021" w:rsidRPr="00D81929">
        <w:rPr>
          <w:rFonts w:ascii="Arial" w:hAnsi="Arial" w:cs="Arial"/>
          <w:sz w:val="22"/>
          <w:szCs w:val="22"/>
          <w:lang w:val="en-GB"/>
        </w:rPr>
        <w:t xml:space="preserve"> and</w:t>
      </w:r>
      <w:r w:rsidRPr="00D81929">
        <w:rPr>
          <w:rFonts w:ascii="Arial" w:hAnsi="Arial" w:cs="Arial"/>
          <w:sz w:val="22"/>
          <w:szCs w:val="22"/>
          <w:lang w:val="en-GB"/>
        </w:rPr>
        <w:t xml:space="preserve"> have </w:t>
      </w:r>
      <w:r w:rsidR="00B27021" w:rsidRPr="00D81929">
        <w:rPr>
          <w:rFonts w:ascii="Arial" w:hAnsi="Arial" w:cs="Arial"/>
          <w:sz w:val="22"/>
          <w:szCs w:val="22"/>
          <w:lang w:val="en-GB"/>
        </w:rPr>
        <w:t xml:space="preserve">generally </w:t>
      </w:r>
      <w:r w:rsidRPr="00D81929">
        <w:rPr>
          <w:rFonts w:ascii="Arial" w:hAnsi="Arial" w:cs="Arial"/>
          <w:sz w:val="22"/>
          <w:szCs w:val="22"/>
          <w:lang w:val="en-GB"/>
        </w:rPr>
        <w:t>a lower level of educational attainment t</w:t>
      </w:r>
      <w:r w:rsidR="00ED4BFA" w:rsidRPr="00D81929">
        <w:rPr>
          <w:rFonts w:ascii="Arial" w:hAnsi="Arial" w:cs="Arial"/>
          <w:sz w:val="22"/>
          <w:szCs w:val="22"/>
          <w:lang w:val="en-GB"/>
        </w:rPr>
        <w:t>han the rest of the population. This leads</w:t>
      </w:r>
      <w:r w:rsidR="00B27021" w:rsidRPr="00D81929">
        <w:rPr>
          <w:rFonts w:ascii="Arial" w:hAnsi="Arial" w:cs="Arial"/>
          <w:sz w:val="22"/>
          <w:szCs w:val="22"/>
          <w:lang w:val="en-GB"/>
        </w:rPr>
        <w:t xml:space="preserve"> to </w:t>
      </w:r>
      <w:r w:rsidRPr="00D81929">
        <w:rPr>
          <w:rFonts w:ascii="Arial" w:hAnsi="Arial" w:cs="Arial"/>
          <w:sz w:val="22"/>
          <w:szCs w:val="22"/>
          <w:lang w:val="en-GB"/>
        </w:rPr>
        <w:t>lower participation rates in employment as well as hi</w:t>
      </w:r>
      <w:r w:rsidR="00003B98" w:rsidRPr="00D81929">
        <w:rPr>
          <w:rFonts w:ascii="Arial" w:hAnsi="Arial" w:cs="Arial"/>
          <w:sz w:val="22"/>
          <w:szCs w:val="22"/>
          <w:lang w:val="en-GB"/>
        </w:rPr>
        <w:t>gher levels of unemployment.</w:t>
      </w:r>
      <w:r w:rsidR="00003B98" w:rsidRPr="00D81929">
        <w:rPr>
          <w:rStyle w:val="FootnoteReference"/>
          <w:rFonts w:ascii="Arial" w:hAnsi="Arial" w:cs="Arial"/>
          <w:sz w:val="22"/>
          <w:szCs w:val="22"/>
          <w:lang w:val="en-GB"/>
        </w:rPr>
        <w:footnoteReference w:id="46"/>
      </w:r>
      <w:r w:rsidR="00930577" w:rsidRPr="00D81929">
        <w:rPr>
          <w:rFonts w:ascii="Arial" w:hAnsi="Arial" w:cs="Arial"/>
          <w:sz w:val="22"/>
          <w:szCs w:val="22"/>
          <w:lang w:val="en-GB"/>
        </w:rPr>
        <w:t xml:space="preserve"> </w:t>
      </w:r>
      <w:r w:rsidR="00625ED3" w:rsidRPr="00D81929">
        <w:rPr>
          <w:rFonts w:ascii="Arial" w:hAnsi="Arial" w:cs="Arial"/>
          <w:sz w:val="22"/>
          <w:szCs w:val="22"/>
          <w:lang w:val="en-GB"/>
        </w:rPr>
        <w:t>Recent development in international law, in particular</w:t>
      </w:r>
      <w:r w:rsidR="00853B94">
        <w:rPr>
          <w:rFonts w:ascii="Arial" w:hAnsi="Arial" w:cs="Arial"/>
          <w:sz w:val="22"/>
          <w:szCs w:val="22"/>
          <w:lang w:val="en-GB"/>
        </w:rPr>
        <w:t xml:space="preserve">, </w:t>
      </w:r>
      <w:r w:rsidR="00853B94" w:rsidRPr="00D81929">
        <w:rPr>
          <w:rFonts w:ascii="Arial" w:hAnsi="Arial" w:cs="Arial"/>
          <w:sz w:val="22"/>
          <w:szCs w:val="22"/>
          <w:lang w:val="en-GB"/>
        </w:rPr>
        <w:t>the CRPD</w:t>
      </w:r>
      <w:r w:rsidR="00853B94">
        <w:rPr>
          <w:rFonts w:ascii="Arial" w:hAnsi="Arial" w:cs="Arial"/>
          <w:sz w:val="22"/>
          <w:szCs w:val="22"/>
          <w:lang w:val="en-GB"/>
        </w:rPr>
        <w:t xml:space="preserve"> Article 24 and the CRPD Committee´s</w:t>
      </w:r>
      <w:r w:rsidR="00853B94" w:rsidRPr="00D81929">
        <w:rPr>
          <w:rFonts w:ascii="Arial" w:hAnsi="Arial" w:cs="Arial"/>
          <w:sz w:val="22"/>
          <w:szCs w:val="22"/>
          <w:lang w:val="en-GB"/>
        </w:rPr>
        <w:t xml:space="preserve"> General Comment No 4 on the right to inclusive education clarify States’ obligation</w:t>
      </w:r>
      <w:r w:rsidR="00853B94">
        <w:rPr>
          <w:rFonts w:ascii="Arial" w:hAnsi="Arial" w:cs="Arial"/>
          <w:sz w:val="22"/>
          <w:szCs w:val="22"/>
          <w:lang w:val="en-GB"/>
        </w:rPr>
        <w:t>s</w:t>
      </w:r>
      <w:r w:rsidR="00853B94" w:rsidRPr="00D81929">
        <w:rPr>
          <w:rFonts w:ascii="Arial" w:hAnsi="Arial" w:cs="Arial"/>
          <w:sz w:val="22"/>
          <w:szCs w:val="22"/>
          <w:lang w:val="en-GB"/>
        </w:rPr>
        <w:t xml:space="preserve"> to ensure the right to inclusive education to persons with disabilities.</w:t>
      </w:r>
      <w:r w:rsidR="00625ED3" w:rsidRPr="00D81929">
        <w:rPr>
          <w:rFonts w:ascii="Arial" w:hAnsi="Arial" w:cs="Arial"/>
          <w:sz w:val="22"/>
          <w:szCs w:val="22"/>
          <w:lang w:val="en-GB"/>
        </w:rPr>
        <w:t xml:space="preserve"> </w:t>
      </w:r>
      <w:r w:rsidR="00853B94">
        <w:rPr>
          <w:rFonts w:ascii="Arial" w:hAnsi="Arial" w:cs="Arial"/>
          <w:sz w:val="22"/>
          <w:szCs w:val="22"/>
          <w:lang w:val="en-GB"/>
        </w:rPr>
        <w:t xml:space="preserve">Inclusive education has also found great support in </w:t>
      </w:r>
      <w:r w:rsidR="00625ED3" w:rsidRPr="00D81929">
        <w:rPr>
          <w:rFonts w:ascii="Arial" w:hAnsi="Arial" w:cs="Arial"/>
          <w:sz w:val="22"/>
          <w:szCs w:val="22"/>
          <w:lang w:val="en-GB"/>
        </w:rPr>
        <w:t xml:space="preserve">the adoption the </w:t>
      </w:r>
      <w:r w:rsidR="003E29DE" w:rsidRPr="00D81929">
        <w:rPr>
          <w:rFonts w:ascii="Arial" w:hAnsi="Arial" w:cs="Arial"/>
          <w:sz w:val="22"/>
          <w:szCs w:val="22"/>
          <w:lang w:val="en-GB"/>
        </w:rPr>
        <w:t>2030 Ag</w:t>
      </w:r>
      <w:r w:rsidR="00ED4BFA" w:rsidRPr="00D81929">
        <w:rPr>
          <w:rFonts w:ascii="Arial" w:hAnsi="Arial" w:cs="Arial"/>
          <w:sz w:val="22"/>
          <w:szCs w:val="22"/>
          <w:lang w:val="en-GB"/>
        </w:rPr>
        <w:t>e</w:t>
      </w:r>
      <w:r w:rsidR="00853B94">
        <w:rPr>
          <w:rFonts w:ascii="Arial" w:hAnsi="Arial" w:cs="Arial"/>
          <w:sz w:val="22"/>
          <w:szCs w:val="22"/>
          <w:lang w:val="en-GB"/>
        </w:rPr>
        <w:t>nda for Sustainable Development</w:t>
      </w:r>
      <w:r w:rsidR="00625ED3" w:rsidRPr="00D81929">
        <w:rPr>
          <w:rStyle w:val="FootnoteReference"/>
          <w:rFonts w:ascii="Arial" w:hAnsi="Arial" w:cs="Arial"/>
          <w:sz w:val="22"/>
          <w:szCs w:val="22"/>
          <w:lang w:val="en-GB"/>
        </w:rPr>
        <w:footnoteReference w:id="47"/>
      </w:r>
      <w:r w:rsidR="00853B94">
        <w:rPr>
          <w:rFonts w:ascii="Arial" w:hAnsi="Arial" w:cs="Arial"/>
          <w:sz w:val="22"/>
          <w:szCs w:val="22"/>
          <w:lang w:val="en-GB"/>
        </w:rPr>
        <w:t xml:space="preserve"> and</w:t>
      </w:r>
      <w:r w:rsidR="00A25B3C" w:rsidRPr="00D81929">
        <w:rPr>
          <w:rFonts w:ascii="Arial" w:hAnsi="Arial" w:cs="Arial"/>
          <w:sz w:val="22"/>
          <w:szCs w:val="22"/>
          <w:lang w:val="en-GB"/>
        </w:rPr>
        <w:t xml:space="preserve"> </w:t>
      </w:r>
      <w:r w:rsidR="00853B94">
        <w:rPr>
          <w:rFonts w:ascii="Arial" w:hAnsi="Arial" w:cs="Arial"/>
          <w:sz w:val="22"/>
          <w:szCs w:val="22"/>
          <w:lang w:val="en-GB"/>
        </w:rPr>
        <w:t>in the</w:t>
      </w:r>
      <w:r w:rsidR="00A25B3C" w:rsidRPr="00D81929">
        <w:rPr>
          <w:rFonts w:ascii="Arial" w:hAnsi="Arial" w:cs="Arial"/>
          <w:sz w:val="22"/>
          <w:szCs w:val="22"/>
          <w:lang w:val="en-GB"/>
        </w:rPr>
        <w:t xml:space="preserve"> Education 2030</w:t>
      </w:r>
      <w:r w:rsidR="007E664F" w:rsidRPr="00D81929">
        <w:rPr>
          <w:rFonts w:ascii="Arial" w:hAnsi="Arial" w:cs="Arial"/>
          <w:sz w:val="22"/>
          <w:szCs w:val="22"/>
          <w:lang w:val="en-GB"/>
        </w:rPr>
        <w:t xml:space="preserve"> Incheon Declaration and</w:t>
      </w:r>
      <w:r w:rsidR="00A25B3C" w:rsidRPr="00D81929">
        <w:rPr>
          <w:rFonts w:ascii="Arial" w:hAnsi="Arial" w:cs="Arial"/>
          <w:sz w:val="22"/>
          <w:szCs w:val="22"/>
          <w:lang w:val="en-GB"/>
        </w:rPr>
        <w:t xml:space="preserve"> Framework for Action</w:t>
      </w:r>
      <w:r w:rsidR="00853B94">
        <w:rPr>
          <w:rFonts w:ascii="Arial" w:hAnsi="Arial" w:cs="Arial"/>
          <w:sz w:val="22"/>
          <w:szCs w:val="22"/>
          <w:lang w:val="en-GB"/>
        </w:rPr>
        <w:t>.</w:t>
      </w:r>
      <w:r w:rsidR="00023A1F">
        <w:rPr>
          <w:rStyle w:val="FootnoteReference"/>
          <w:rFonts w:ascii="Arial" w:hAnsi="Arial" w:cs="Arial"/>
          <w:sz w:val="22"/>
          <w:szCs w:val="22"/>
          <w:lang w:val="en-GB"/>
        </w:rPr>
        <w:footnoteReference w:id="48"/>
      </w:r>
      <w:r w:rsidR="00A25B3C" w:rsidRPr="00D81929">
        <w:rPr>
          <w:rFonts w:ascii="Arial" w:hAnsi="Arial" w:cs="Arial"/>
          <w:sz w:val="22"/>
          <w:szCs w:val="22"/>
          <w:lang w:val="en-GB"/>
        </w:rPr>
        <w:t xml:space="preserve"> </w:t>
      </w:r>
    </w:p>
    <w:p w14:paraId="4FCABEC7" w14:textId="77777777" w:rsidR="003F34C0" w:rsidRPr="00446D2E" w:rsidRDefault="003F34C0" w:rsidP="00F16C9B">
      <w:pPr>
        <w:jc w:val="both"/>
        <w:rPr>
          <w:rFonts w:ascii="Arial" w:hAnsi="Arial" w:cs="Arial"/>
          <w:sz w:val="22"/>
          <w:szCs w:val="22"/>
          <w:lang w:val="en-GB"/>
        </w:rPr>
      </w:pPr>
    </w:p>
    <w:p w14:paraId="44256AE2" w14:textId="7F55E737" w:rsidR="006B0435" w:rsidRPr="00446D2E" w:rsidRDefault="007B735B" w:rsidP="00F16C9B">
      <w:pPr>
        <w:jc w:val="both"/>
        <w:rPr>
          <w:rFonts w:ascii="Arial" w:hAnsi="Arial" w:cs="Arial"/>
          <w:b/>
          <w:i/>
          <w:sz w:val="22"/>
          <w:szCs w:val="22"/>
          <w:lang w:val="en-GB"/>
        </w:rPr>
      </w:pPr>
      <w:r w:rsidRPr="00446D2E">
        <w:rPr>
          <w:rFonts w:ascii="Arial" w:hAnsi="Arial" w:cs="Arial"/>
          <w:b/>
          <w:i/>
          <w:sz w:val="22"/>
          <w:szCs w:val="22"/>
          <w:lang w:val="en-GB"/>
        </w:rPr>
        <w:t>Component</w:t>
      </w:r>
      <w:r w:rsidR="00A42FAB" w:rsidRPr="00446D2E">
        <w:rPr>
          <w:rFonts w:ascii="Arial" w:hAnsi="Arial" w:cs="Arial"/>
          <w:b/>
          <w:i/>
          <w:sz w:val="22"/>
          <w:szCs w:val="22"/>
          <w:lang w:val="en-GB"/>
        </w:rPr>
        <w:t>s</w:t>
      </w:r>
      <w:r w:rsidRPr="00446D2E">
        <w:rPr>
          <w:rFonts w:ascii="Arial" w:hAnsi="Arial" w:cs="Arial"/>
          <w:b/>
          <w:i/>
          <w:sz w:val="22"/>
          <w:szCs w:val="22"/>
          <w:lang w:val="en-GB"/>
        </w:rPr>
        <w:t xml:space="preserve"> of the</w:t>
      </w:r>
      <w:r w:rsidR="006B0435" w:rsidRPr="00446D2E">
        <w:rPr>
          <w:rFonts w:ascii="Arial" w:hAnsi="Arial" w:cs="Arial"/>
          <w:b/>
          <w:i/>
          <w:sz w:val="22"/>
          <w:szCs w:val="22"/>
          <w:lang w:val="en-GB"/>
        </w:rPr>
        <w:t xml:space="preserve"> right to</w:t>
      </w:r>
      <w:r w:rsidR="007F4DF6" w:rsidRPr="00446D2E">
        <w:rPr>
          <w:rFonts w:ascii="Arial" w:hAnsi="Arial" w:cs="Arial"/>
          <w:b/>
          <w:i/>
          <w:sz w:val="22"/>
          <w:szCs w:val="22"/>
          <w:lang w:val="en-GB"/>
        </w:rPr>
        <w:t xml:space="preserve"> </w:t>
      </w:r>
      <w:r w:rsidRPr="00446D2E">
        <w:rPr>
          <w:rFonts w:ascii="Arial" w:hAnsi="Arial" w:cs="Arial"/>
          <w:b/>
          <w:i/>
          <w:sz w:val="22"/>
          <w:szCs w:val="22"/>
          <w:u w:val="single"/>
          <w:lang w:val="en-GB"/>
        </w:rPr>
        <w:t>inclusive</w:t>
      </w:r>
      <w:r w:rsidR="006B0435" w:rsidRPr="00446D2E">
        <w:rPr>
          <w:rFonts w:ascii="Arial" w:hAnsi="Arial" w:cs="Arial"/>
          <w:b/>
          <w:i/>
          <w:sz w:val="22"/>
          <w:szCs w:val="22"/>
          <w:lang w:val="en-GB"/>
        </w:rPr>
        <w:t xml:space="preserve"> education </w:t>
      </w:r>
      <w:r w:rsidR="00A202D9">
        <w:rPr>
          <w:rFonts w:ascii="Arial" w:hAnsi="Arial" w:cs="Arial"/>
          <w:b/>
          <w:i/>
          <w:sz w:val="22"/>
          <w:szCs w:val="22"/>
          <w:lang w:val="en-GB"/>
        </w:rPr>
        <w:t>of persons</w:t>
      </w:r>
      <w:r w:rsidR="006B0435" w:rsidRPr="00446D2E">
        <w:rPr>
          <w:rFonts w:ascii="Arial" w:hAnsi="Arial" w:cs="Arial"/>
          <w:b/>
          <w:i/>
          <w:sz w:val="22"/>
          <w:szCs w:val="22"/>
          <w:lang w:val="en-GB"/>
        </w:rPr>
        <w:t xml:space="preserve"> with disabilities</w:t>
      </w:r>
    </w:p>
    <w:p w14:paraId="6A824913" w14:textId="77777777" w:rsidR="006B0435" w:rsidRPr="00446D2E" w:rsidRDefault="006B0435" w:rsidP="00F16C9B">
      <w:pPr>
        <w:jc w:val="both"/>
        <w:rPr>
          <w:rFonts w:ascii="Arial" w:hAnsi="Arial" w:cs="Arial"/>
          <w:sz w:val="22"/>
          <w:szCs w:val="22"/>
          <w:lang w:val="en-GB"/>
        </w:rPr>
      </w:pPr>
    </w:p>
    <w:p w14:paraId="00CA607C" w14:textId="77777777" w:rsidR="007B2C0C" w:rsidRDefault="000171EF" w:rsidP="00F16C9B">
      <w:pPr>
        <w:jc w:val="both"/>
        <w:rPr>
          <w:rFonts w:ascii="Arial" w:hAnsi="Arial" w:cs="Arial"/>
          <w:sz w:val="22"/>
          <w:szCs w:val="22"/>
          <w:lang w:val="en-GB"/>
        </w:rPr>
      </w:pPr>
      <w:r w:rsidRPr="00446D2E">
        <w:rPr>
          <w:rFonts w:ascii="Arial" w:hAnsi="Arial" w:cs="Arial"/>
          <w:sz w:val="22"/>
          <w:szCs w:val="22"/>
          <w:lang w:val="en-GB"/>
        </w:rPr>
        <w:t>Article</w:t>
      </w:r>
      <w:r w:rsidR="00BA16BD" w:rsidRPr="00446D2E">
        <w:rPr>
          <w:rFonts w:ascii="Arial" w:hAnsi="Arial" w:cs="Arial"/>
          <w:sz w:val="22"/>
          <w:szCs w:val="22"/>
          <w:lang w:val="en-GB"/>
        </w:rPr>
        <w:t xml:space="preserve"> 24</w:t>
      </w:r>
      <w:r w:rsidR="00B51616" w:rsidRPr="00446D2E">
        <w:rPr>
          <w:rFonts w:ascii="Arial" w:hAnsi="Arial" w:cs="Arial"/>
          <w:sz w:val="22"/>
          <w:szCs w:val="22"/>
          <w:lang w:val="en-GB"/>
        </w:rPr>
        <w:t xml:space="preserve"> of the</w:t>
      </w:r>
      <w:r w:rsidR="00BA16BD" w:rsidRPr="00446D2E">
        <w:rPr>
          <w:rFonts w:ascii="Arial" w:hAnsi="Arial" w:cs="Arial"/>
          <w:sz w:val="22"/>
          <w:szCs w:val="22"/>
          <w:lang w:val="en-GB"/>
        </w:rPr>
        <w:t xml:space="preserve"> CRPD </w:t>
      </w:r>
      <w:r w:rsidRPr="00446D2E">
        <w:rPr>
          <w:rFonts w:ascii="Arial" w:hAnsi="Arial" w:cs="Arial"/>
          <w:sz w:val="22"/>
          <w:szCs w:val="22"/>
          <w:lang w:val="en-GB"/>
        </w:rPr>
        <w:t xml:space="preserve">requires State Parties to “ensure an </w:t>
      </w:r>
      <w:r w:rsidRPr="00023A1F">
        <w:rPr>
          <w:rFonts w:ascii="Arial" w:hAnsi="Arial" w:cs="Arial"/>
          <w:b/>
          <w:i/>
          <w:sz w:val="22"/>
          <w:szCs w:val="22"/>
          <w:lang w:val="en-GB"/>
        </w:rPr>
        <w:t>inclusive</w:t>
      </w:r>
      <w:r w:rsidRPr="00446D2E">
        <w:rPr>
          <w:rFonts w:ascii="Arial" w:hAnsi="Arial" w:cs="Arial"/>
          <w:sz w:val="22"/>
          <w:szCs w:val="22"/>
          <w:lang w:val="en-GB"/>
        </w:rPr>
        <w:t xml:space="preserve"> education system at all levels and lifelong learning”</w:t>
      </w:r>
      <w:r w:rsidR="005E5B8A" w:rsidRPr="00446D2E">
        <w:rPr>
          <w:rFonts w:ascii="Arial" w:hAnsi="Arial" w:cs="Arial"/>
          <w:sz w:val="22"/>
          <w:szCs w:val="22"/>
          <w:lang w:val="en-GB"/>
        </w:rPr>
        <w:t xml:space="preserve"> without discrimination and on the basis of equal opportunity.</w:t>
      </w:r>
      <w:r w:rsidRPr="00446D2E">
        <w:rPr>
          <w:rStyle w:val="FootnoteReference"/>
          <w:rFonts w:ascii="Arial" w:hAnsi="Arial" w:cs="Arial"/>
          <w:sz w:val="22"/>
          <w:szCs w:val="22"/>
          <w:lang w:val="en-GB"/>
        </w:rPr>
        <w:footnoteReference w:id="49"/>
      </w:r>
      <w:r w:rsidR="00B51616" w:rsidRPr="00446D2E">
        <w:rPr>
          <w:rFonts w:ascii="Arial" w:hAnsi="Arial" w:cs="Arial"/>
          <w:sz w:val="22"/>
          <w:szCs w:val="22"/>
          <w:lang w:val="en-GB"/>
        </w:rPr>
        <w:t xml:space="preserve"> The concept of inclusive education was </w:t>
      </w:r>
      <w:r w:rsidR="00D45BFB" w:rsidRPr="00446D2E">
        <w:rPr>
          <w:rFonts w:ascii="Arial" w:hAnsi="Arial" w:cs="Arial"/>
          <w:sz w:val="22"/>
          <w:szCs w:val="22"/>
          <w:lang w:val="en-GB"/>
        </w:rPr>
        <w:t>further elaborated</w:t>
      </w:r>
      <w:r w:rsidR="00F57C9B">
        <w:rPr>
          <w:rStyle w:val="FootnoteReference"/>
          <w:rFonts w:ascii="Arial" w:hAnsi="Arial" w:cs="Arial"/>
          <w:sz w:val="22"/>
          <w:szCs w:val="22"/>
          <w:lang w:val="en-GB"/>
        </w:rPr>
        <w:footnoteReference w:id="50"/>
      </w:r>
      <w:r w:rsidR="00D45BFB" w:rsidRPr="00446D2E">
        <w:rPr>
          <w:rFonts w:ascii="Arial" w:hAnsi="Arial" w:cs="Arial"/>
          <w:sz w:val="22"/>
          <w:szCs w:val="22"/>
          <w:lang w:val="en-GB"/>
        </w:rPr>
        <w:t xml:space="preserve"> in</w:t>
      </w:r>
      <w:r w:rsidR="00B51616" w:rsidRPr="00446D2E">
        <w:rPr>
          <w:rFonts w:ascii="Arial" w:hAnsi="Arial" w:cs="Arial"/>
          <w:sz w:val="22"/>
          <w:szCs w:val="22"/>
          <w:lang w:val="en-GB"/>
        </w:rPr>
        <w:t xml:space="preserve"> General Comment No 4 ad</w:t>
      </w:r>
      <w:r w:rsidR="005E5B8A" w:rsidRPr="00446D2E">
        <w:rPr>
          <w:rFonts w:ascii="Arial" w:hAnsi="Arial" w:cs="Arial"/>
          <w:sz w:val="22"/>
          <w:szCs w:val="22"/>
          <w:lang w:val="en-GB"/>
        </w:rPr>
        <w:t xml:space="preserve">opted in 2016 </w:t>
      </w:r>
      <w:r w:rsidR="00CA50A3">
        <w:rPr>
          <w:rFonts w:ascii="Arial" w:hAnsi="Arial" w:cs="Arial"/>
          <w:sz w:val="22"/>
          <w:szCs w:val="22"/>
          <w:lang w:val="en-GB"/>
        </w:rPr>
        <w:t>which explicitly differentiate the concepts of</w:t>
      </w:r>
      <w:r w:rsidR="005E5B8A" w:rsidRPr="00446D2E">
        <w:rPr>
          <w:rFonts w:ascii="Arial" w:hAnsi="Arial" w:cs="Arial"/>
          <w:sz w:val="22"/>
          <w:szCs w:val="22"/>
          <w:lang w:val="en-GB"/>
        </w:rPr>
        <w:t xml:space="preserve"> exclusion, segregation and integration</w:t>
      </w:r>
      <w:r w:rsidR="00CA50A3">
        <w:rPr>
          <w:rFonts w:ascii="Arial" w:hAnsi="Arial" w:cs="Arial"/>
          <w:sz w:val="22"/>
          <w:szCs w:val="22"/>
          <w:lang w:val="en-GB"/>
        </w:rPr>
        <w:t>,</w:t>
      </w:r>
      <w:r w:rsidR="00D04B86">
        <w:rPr>
          <w:rStyle w:val="FootnoteReference"/>
          <w:rFonts w:ascii="Arial" w:hAnsi="Arial" w:cs="Arial"/>
          <w:sz w:val="22"/>
          <w:szCs w:val="22"/>
          <w:lang w:val="en-GB"/>
        </w:rPr>
        <w:footnoteReference w:id="51"/>
      </w:r>
      <w:r w:rsidR="00CA50A3">
        <w:rPr>
          <w:rFonts w:ascii="Arial" w:hAnsi="Arial" w:cs="Arial"/>
          <w:sz w:val="22"/>
          <w:szCs w:val="22"/>
          <w:lang w:val="en-GB"/>
        </w:rPr>
        <w:t xml:space="preserve"> being all of them</w:t>
      </w:r>
      <w:r w:rsidR="005E5B8A" w:rsidRPr="00446D2E">
        <w:rPr>
          <w:rFonts w:ascii="Arial" w:hAnsi="Arial" w:cs="Arial"/>
          <w:sz w:val="22"/>
          <w:szCs w:val="22"/>
          <w:lang w:val="en-GB"/>
        </w:rPr>
        <w:t xml:space="preserve"> </w:t>
      </w:r>
      <w:r w:rsidR="002F618F" w:rsidRPr="00446D2E">
        <w:rPr>
          <w:rFonts w:ascii="Arial" w:hAnsi="Arial" w:cs="Arial"/>
          <w:sz w:val="22"/>
          <w:szCs w:val="22"/>
          <w:lang w:val="en-GB"/>
        </w:rPr>
        <w:t>not</w:t>
      </w:r>
      <w:r w:rsidR="007B2C0C">
        <w:rPr>
          <w:rFonts w:ascii="Arial" w:hAnsi="Arial" w:cs="Arial"/>
          <w:sz w:val="22"/>
          <w:szCs w:val="22"/>
          <w:lang w:val="en-GB"/>
        </w:rPr>
        <w:t xml:space="preserve"> in line with</w:t>
      </w:r>
      <w:r w:rsidR="002F618F" w:rsidRPr="00446D2E">
        <w:rPr>
          <w:rFonts w:ascii="Arial" w:hAnsi="Arial" w:cs="Arial"/>
          <w:sz w:val="22"/>
          <w:szCs w:val="22"/>
          <w:lang w:val="en-GB"/>
        </w:rPr>
        <w:t xml:space="preserve"> CRPD.</w:t>
      </w:r>
      <w:r w:rsidR="00D84743" w:rsidRPr="00446D2E">
        <w:rPr>
          <w:rStyle w:val="FootnoteReference"/>
          <w:rFonts w:ascii="Arial" w:hAnsi="Arial" w:cs="Arial"/>
          <w:sz w:val="22"/>
          <w:szCs w:val="22"/>
          <w:lang w:val="en-GB"/>
        </w:rPr>
        <w:footnoteReference w:id="52"/>
      </w:r>
      <w:r w:rsidR="002F618F" w:rsidRPr="00446D2E">
        <w:rPr>
          <w:rFonts w:ascii="Arial" w:hAnsi="Arial" w:cs="Arial"/>
          <w:sz w:val="22"/>
          <w:szCs w:val="22"/>
          <w:lang w:val="en-GB"/>
        </w:rPr>
        <w:t xml:space="preserve"> </w:t>
      </w:r>
      <w:r w:rsidR="00B813F6" w:rsidRPr="00446D2E">
        <w:rPr>
          <w:rFonts w:ascii="Arial" w:hAnsi="Arial" w:cs="Arial"/>
          <w:sz w:val="22"/>
          <w:szCs w:val="22"/>
          <w:lang w:val="en-GB"/>
        </w:rPr>
        <w:t>Special schools and separate environment designed and used to respond to particular impairments</w:t>
      </w:r>
      <w:r w:rsidR="006F1A98" w:rsidRPr="00446D2E">
        <w:rPr>
          <w:rFonts w:ascii="Arial" w:hAnsi="Arial" w:cs="Arial"/>
          <w:sz w:val="22"/>
          <w:szCs w:val="22"/>
          <w:lang w:val="en-GB"/>
        </w:rPr>
        <w:t>, such as special school</w:t>
      </w:r>
      <w:r w:rsidR="005500DF" w:rsidRPr="00446D2E">
        <w:rPr>
          <w:rFonts w:ascii="Arial" w:hAnsi="Arial" w:cs="Arial"/>
          <w:sz w:val="22"/>
          <w:szCs w:val="22"/>
          <w:lang w:val="en-GB"/>
        </w:rPr>
        <w:t>s</w:t>
      </w:r>
      <w:r w:rsidR="006F1A98" w:rsidRPr="00446D2E">
        <w:rPr>
          <w:rFonts w:ascii="Arial" w:hAnsi="Arial" w:cs="Arial"/>
          <w:sz w:val="22"/>
          <w:szCs w:val="22"/>
          <w:lang w:val="en-GB"/>
        </w:rPr>
        <w:t xml:space="preserve"> for blind and deaf students,</w:t>
      </w:r>
      <w:r w:rsidR="00B813F6" w:rsidRPr="00446D2E">
        <w:rPr>
          <w:rFonts w:ascii="Arial" w:hAnsi="Arial" w:cs="Arial"/>
          <w:sz w:val="22"/>
          <w:szCs w:val="22"/>
          <w:lang w:val="en-GB"/>
        </w:rPr>
        <w:t xml:space="preserve"> are not conformed to article 24. </w:t>
      </w:r>
    </w:p>
    <w:p w14:paraId="0960EF60" w14:textId="6EE414D0" w:rsidR="00B813F6" w:rsidRPr="00446D2E" w:rsidRDefault="00B813F6" w:rsidP="00F16C9B">
      <w:pPr>
        <w:jc w:val="both"/>
        <w:rPr>
          <w:rFonts w:ascii="Arial" w:hAnsi="Arial" w:cs="Arial"/>
          <w:sz w:val="22"/>
          <w:szCs w:val="22"/>
          <w:lang w:val="en-GB"/>
        </w:rPr>
      </w:pPr>
      <w:r w:rsidRPr="00446D2E">
        <w:rPr>
          <w:rFonts w:ascii="Arial" w:hAnsi="Arial" w:cs="Arial"/>
          <w:sz w:val="22"/>
          <w:szCs w:val="22"/>
          <w:lang w:val="en-GB"/>
        </w:rPr>
        <w:t xml:space="preserve">Inclusion, in opposition to </w:t>
      </w:r>
      <w:r w:rsidRPr="00446D2E">
        <w:rPr>
          <w:rFonts w:ascii="Arial" w:hAnsi="Arial" w:cs="Arial"/>
          <w:i/>
          <w:sz w:val="22"/>
          <w:szCs w:val="22"/>
          <w:lang w:val="en-GB"/>
        </w:rPr>
        <w:t>integration</w:t>
      </w:r>
      <w:r w:rsidRPr="00446D2E">
        <w:rPr>
          <w:rFonts w:ascii="Arial" w:hAnsi="Arial" w:cs="Arial"/>
          <w:sz w:val="22"/>
          <w:szCs w:val="22"/>
          <w:lang w:val="en-GB"/>
        </w:rPr>
        <w:t xml:space="preserve"> which put</w:t>
      </w:r>
      <w:r w:rsidR="006F1A98" w:rsidRPr="00446D2E">
        <w:rPr>
          <w:rFonts w:ascii="Arial" w:hAnsi="Arial" w:cs="Arial"/>
          <w:sz w:val="22"/>
          <w:szCs w:val="22"/>
          <w:lang w:val="en-GB"/>
        </w:rPr>
        <w:t>s</w:t>
      </w:r>
      <w:r w:rsidRPr="00446D2E">
        <w:rPr>
          <w:rFonts w:ascii="Arial" w:hAnsi="Arial" w:cs="Arial"/>
          <w:sz w:val="22"/>
          <w:szCs w:val="22"/>
          <w:lang w:val="en-GB"/>
        </w:rPr>
        <w:t xml:space="preserve"> the burden on persons with disabilities to “adjust to the standardised requirements” of mainstream educational institutions,</w:t>
      </w:r>
      <w:r w:rsidRPr="00446D2E">
        <w:rPr>
          <w:rStyle w:val="FootnoteReference"/>
          <w:rFonts w:ascii="Arial" w:hAnsi="Arial" w:cs="Arial"/>
          <w:sz w:val="22"/>
          <w:szCs w:val="22"/>
          <w:lang w:val="en-GB"/>
        </w:rPr>
        <w:footnoteReference w:id="53"/>
      </w:r>
      <w:r w:rsidRPr="00446D2E">
        <w:rPr>
          <w:rFonts w:ascii="Arial" w:hAnsi="Arial" w:cs="Arial"/>
          <w:sz w:val="22"/>
          <w:szCs w:val="22"/>
          <w:lang w:val="en-GB"/>
        </w:rPr>
        <w:t xml:space="preserve"> involves a “process of systemic reform embodying changes and modifications in content, teaching methods, approaches, structures and strategies in </w:t>
      </w:r>
      <w:r w:rsidRPr="00446D2E">
        <w:rPr>
          <w:rFonts w:ascii="Arial" w:hAnsi="Arial" w:cs="Arial"/>
          <w:sz w:val="22"/>
          <w:szCs w:val="22"/>
          <w:lang w:val="en-GB"/>
        </w:rPr>
        <w:lastRenderedPageBreak/>
        <w:t>education.”</w:t>
      </w:r>
      <w:r w:rsidRPr="00446D2E">
        <w:rPr>
          <w:rStyle w:val="FootnoteReference"/>
          <w:rFonts w:ascii="Arial" w:hAnsi="Arial" w:cs="Arial"/>
          <w:sz w:val="22"/>
          <w:szCs w:val="22"/>
          <w:lang w:val="en-GB"/>
        </w:rPr>
        <w:footnoteReference w:id="54"/>
      </w:r>
      <w:r w:rsidRPr="00446D2E">
        <w:rPr>
          <w:rFonts w:ascii="Arial" w:hAnsi="Arial" w:cs="Arial"/>
          <w:sz w:val="22"/>
          <w:szCs w:val="22"/>
          <w:lang w:val="en-GB"/>
        </w:rPr>
        <w:t xml:space="preserve"> It is based on a</w:t>
      </w:r>
      <w:r w:rsidR="00931F45" w:rsidRPr="00446D2E">
        <w:rPr>
          <w:rFonts w:ascii="Arial" w:hAnsi="Arial" w:cs="Arial"/>
          <w:sz w:val="22"/>
          <w:szCs w:val="22"/>
          <w:lang w:val="en-GB"/>
        </w:rPr>
        <w:t xml:space="preserve"> “whole person</w:t>
      </w:r>
      <w:r w:rsidRPr="00446D2E">
        <w:rPr>
          <w:rFonts w:ascii="Arial" w:hAnsi="Arial" w:cs="Arial"/>
          <w:sz w:val="22"/>
          <w:szCs w:val="22"/>
          <w:lang w:val="en-GB"/>
        </w:rPr>
        <w:t>” approach</w:t>
      </w:r>
      <w:r w:rsidR="006F1A98" w:rsidRPr="00446D2E">
        <w:rPr>
          <w:rFonts w:ascii="Arial" w:hAnsi="Arial" w:cs="Arial"/>
          <w:sz w:val="22"/>
          <w:szCs w:val="22"/>
          <w:lang w:val="en-GB"/>
        </w:rPr>
        <w:t>,</w:t>
      </w:r>
      <w:r w:rsidR="00931F45" w:rsidRPr="00446D2E">
        <w:rPr>
          <w:rFonts w:ascii="Arial" w:hAnsi="Arial" w:cs="Arial"/>
          <w:sz w:val="22"/>
          <w:szCs w:val="22"/>
          <w:lang w:val="en-GB"/>
        </w:rPr>
        <w:t xml:space="preserve"> focusing on the “</w:t>
      </w:r>
      <w:proofErr w:type="gramStart"/>
      <w:r w:rsidR="00931F45" w:rsidRPr="00446D2E">
        <w:rPr>
          <w:rFonts w:ascii="Arial" w:hAnsi="Arial" w:cs="Arial"/>
          <w:sz w:val="22"/>
          <w:szCs w:val="22"/>
          <w:lang w:val="en-GB"/>
        </w:rPr>
        <w:t>learners</w:t>
      </w:r>
      <w:proofErr w:type="gramEnd"/>
      <w:r w:rsidR="00931F45" w:rsidRPr="00446D2E">
        <w:rPr>
          <w:rFonts w:ascii="Arial" w:hAnsi="Arial" w:cs="Arial"/>
          <w:sz w:val="22"/>
          <w:szCs w:val="22"/>
          <w:lang w:val="en-GB"/>
        </w:rPr>
        <w:t xml:space="preserve"> capacities and aspiration rather than on content when planning teaching activities.”</w:t>
      </w:r>
      <w:r w:rsidR="00931F45" w:rsidRPr="00446D2E">
        <w:rPr>
          <w:rStyle w:val="FootnoteReference"/>
          <w:rFonts w:ascii="Arial" w:hAnsi="Arial" w:cs="Arial"/>
          <w:sz w:val="22"/>
          <w:szCs w:val="22"/>
          <w:lang w:val="en-GB"/>
        </w:rPr>
        <w:t xml:space="preserve"> </w:t>
      </w:r>
      <w:r w:rsidR="00931F45" w:rsidRPr="00446D2E">
        <w:rPr>
          <w:rStyle w:val="FootnoteReference"/>
          <w:rFonts w:ascii="Arial" w:hAnsi="Arial" w:cs="Arial"/>
          <w:sz w:val="22"/>
          <w:szCs w:val="22"/>
          <w:lang w:val="en-GB"/>
        </w:rPr>
        <w:footnoteReference w:id="55"/>
      </w:r>
      <w:r w:rsidR="00931F45" w:rsidRPr="00446D2E">
        <w:rPr>
          <w:rFonts w:ascii="Arial" w:hAnsi="Arial" w:cs="Arial"/>
          <w:sz w:val="22"/>
          <w:szCs w:val="22"/>
          <w:lang w:val="en-GB"/>
        </w:rPr>
        <w:t xml:space="preserve"> </w:t>
      </w:r>
    </w:p>
    <w:p w14:paraId="6D8F551E" w14:textId="0AC589E8" w:rsidR="00BA16BD" w:rsidRPr="00446D2E" w:rsidRDefault="00BA16BD" w:rsidP="00F16C9B">
      <w:pPr>
        <w:jc w:val="both"/>
        <w:rPr>
          <w:rFonts w:ascii="Arial" w:hAnsi="Arial" w:cs="Arial"/>
          <w:sz w:val="22"/>
          <w:szCs w:val="22"/>
          <w:lang w:val="en-GB"/>
        </w:rPr>
      </w:pPr>
    </w:p>
    <w:p w14:paraId="35684D95" w14:textId="6DA995FC" w:rsidR="00504148" w:rsidRPr="00446D2E" w:rsidRDefault="00BA77AA" w:rsidP="00F16C9B">
      <w:pPr>
        <w:jc w:val="both"/>
        <w:rPr>
          <w:rFonts w:ascii="Arial" w:hAnsi="Arial" w:cs="Arial"/>
          <w:sz w:val="22"/>
          <w:szCs w:val="22"/>
          <w:lang w:val="en-GB"/>
        </w:rPr>
      </w:pPr>
      <w:r w:rsidRPr="00446D2E">
        <w:rPr>
          <w:rFonts w:ascii="Arial" w:hAnsi="Arial" w:cs="Arial"/>
          <w:sz w:val="22"/>
          <w:szCs w:val="22"/>
          <w:lang w:val="en-GB"/>
        </w:rPr>
        <w:t>To ensure inclusive education</w:t>
      </w:r>
      <w:r w:rsidR="00755571" w:rsidRPr="00446D2E">
        <w:rPr>
          <w:rFonts w:ascii="Arial" w:hAnsi="Arial" w:cs="Arial"/>
          <w:sz w:val="22"/>
          <w:szCs w:val="22"/>
          <w:lang w:val="en-GB"/>
        </w:rPr>
        <w:t>,</w:t>
      </w:r>
      <w:r w:rsidRPr="00446D2E">
        <w:rPr>
          <w:rFonts w:ascii="Arial" w:hAnsi="Arial" w:cs="Arial"/>
          <w:sz w:val="22"/>
          <w:szCs w:val="22"/>
          <w:lang w:val="en-GB"/>
        </w:rPr>
        <w:t xml:space="preserve"> </w:t>
      </w:r>
      <w:r w:rsidR="00912255" w:rsidRPr="00446D2E">
        <w:rPr>
          <w:rFonts w:ascii="Arial" w:hAnsi="Arial" w:cs="Arial"/>
          <w:sz w:val="22"/>
          <w:szCs w:val="22"/>
          <w:lang w:val="en-GB"/>
        </w:rPr>
        <w:t xml:space="preserve">States must adopt measures to </w:t>
      </w:r>
      <w:r w:rsidR="005500DF" w:rsidRPr="00446D2E">
        <w:rPr>
          <w:rFonts w:ascii="Arial" w:hAnsi="Arial" w:cs="Arial"/>
          <w:sz w:val="22"/>
          <w:szCs w:val="22"/>
          <w:lang w:val="en-GB"/>
        </w:rPr>
        <w:t>guarantee</w:t>
      </w:r>
      <w:r w:rsidR="00912255" w:rsidRPr="00446D2E">
        <w:rPr>
          <w:rFonts w:ascii="Arial" w:hAnsi="Arial" w:cs="Arial"/>
          <w:sz w:val="22"/>
          <w:szCs w:val="22"/>
          <w:lang w:val="en-GB"/>
        </w:rPr>
        <w:t xml:space="preserve"> that </w:t>
      </w:r>
      <w:r w:rsidR="00912255" w:rsidRPr="00446D2E">
        <w:rPr>
          <w:rFonts w:ascii="Arial" w:hAnsi="Arial" w:cs="Arial"/>
          <w:b/>
          <w:sz w:val="22"/>
          <w:szCs w:val="22"/>
          <w:lang w:val="en-GB"/>
        </w:rPr>
        <w:t>accessibility</w:t>
      </w:r>
      <w:r w:rsidR="00912255" w:rsidRPr="00446D2E">
        <w:rPr>
          <w:rFonts w:ascii="Arial" w:hAnsi="Arial" w:cs="Arial"/>
          <w:sz w:val="22"/>
          <w:szCs w:val="22"/>
          <w:lang w:val="en-GB"/>
        </w:rPr>
        <w:t xml:space="preserve"> is systematically incorporated into the </w:t>
      </w:r>
      <w:r w:rsidR="005500DF" w:rsidRPr="00446D2E">
        <w:rPr>
          <w:rFonts w:ascii="Arial" w:hAnsi="Arial" w:cs="Arial"/>
          <w:sz w:val="22"/>
          <w:szCs w:val="22"/>
          <w:lang w:val="en-GB"/>
        </w:rPr>
        <w:t xml:space="preserve">entire </w:t>
      </w:r>
      <w:r w:rsidR="00912255" w:rsidRPr="00446D2E">
        <w:rPr>
          <w:rFonts w:ascii="Arial" w:hAnsi="Arial" w:cs="Arial"/>
          <w:sz w:val="22"/>
          <w:szCs w:val="22"/>
          <w:lang w:val="en-GB"/>
        </w:rPr>
        <w:t>education system</w:t>
      </w:r>
      <w:r w:rsidR="005500DF" w:rsidRPr="00446D2E">
        <w:rPr>
          <w:rFonts w:ascii="Arial" w:hAnsi="Arial" w:cs="Arial"/>
          <w:sz w:val="22"/>
          <w:szCs w:val="22"/>
          <w:lang w:val="en-GB"/>
        </w:rPr>
        <w:t xml:space="preserve">, including </w:t>
      </w:r>
      <w:r w:rsidR="005500DF" w:rsidRPr="00FE4B2B">
        <w:rPr>
          <w:rFonts w:ascii="Arial" w:hAnsi="Arial" w:cs="Arial"/>
          <w:b/>
          <w:sz w:val="22"/>
          <w:szCs w:val="22"/>
          <w:lang w:val="en-GB"/>
        </w:rPr>
        <w:t>buildings</w:t>
      </w:r>
      <w:r w:rsidR="005500DF" w:rsidRPr="00446D2E">
        <w:rPr>
          <w:rFonts w:ascii="Arial" w:hAnsi="Arial" w:cs="Arial"/>
          <w:sz w:val="22"/>
          <w:szCs w:val="22"/>
          <w:lang w:val="en-GB"/>
        </w:rPr>
        <w:t xml:space="preserve">, information and communication tools, curriculum, educational materials, teaching methods, assessments and language and </w:t>
      </w:r>
      <w:r w:rsidR="005500DF" w:rsidRPr="00FE4B2B">
        <w:rPr>
          <w:rFonts w:ascii="Arial" w:hAnsi="Arial" w:cs="Arial"/>
          <w:b/>
          <w:sz w:val="22"/>
          <w:szCs w:val="22"/>
          <w:lang w:val="en-GB"/>
        </w:rPr>
        <w:t>support services</w:t>
      </w:r>
      <w:r w:rsidR="00B01388">
        <w:rPr>
          <w:rFonts w:ascii="Arial" w:hAnsi="Arial" w:cs="Arial"/>
          <w:sz w:val="22"/>
          <w:szCs w:val="22"/>
          <w:lang w:val="en-GB"/>
        </w:rPr>
        <w:t>.</w:t>
      </w:r>
      <w:r w:rsidR="006F1A98" w:rsidRPr="00446D2E">
        <w:rPr>
          <w:rStyle w:val="FootnoteReference"/>
          <w:rFonts w:ascii="Arial" w:hAnsi="Arial" w:cs="Arial"/>
          <w:sz w:val="22"/>
          <w:szCs w:val="22"/>
          <w:lang w:val="en-GB"/>
        </w:rPr>
        <w:footnoteReference w:id="56"/>
      </w:r>
      <w:r w:rsidR="00B01388">
        <w:rPr>
          <w:rFonts w:ascii="Arial" w:hAnsi="Arial" w:cs="Arial"/>
          <w:sz w:val="22"/>
          <w:szCs w:val="22"/>
          <w:lang w:val="en-GB"/>
        </w:rPr>
        <w:t xml:space="preserve"> </w:t>
      </w:r>
      <w:r w:rsidR="005500DF" w:rsidRPr="00446D2E">
        <w:rPr>
          <w:rFonts w:ascii="Arial" w:hAnsi="Arial" w:cs="Arial"/>
          <w:sz w:val="22"/>
          <w:szCs w:val="22"/>
          <w:lang w:val="en-GB"/>
        </w:rPr>
        <w:t>Primary compulsory education should be free and education at all levels should be affordable for students with disabilities.</w:t>
      </w:r>
      <w:r w:rsidR="005500DF" w:rsidRPr="00446D2E">
        <w:rPr>
          <w:rStyle w:val="FootnoteReference"/>
          <w:rFonts w:ascii="Arial" w:hAnsi="Arial" w:cs="Arial"/>
          <w:sz w:val="22"/>
          <w:szCs w:val="22"/>
          <w:lang w:val="en-GB"/>
        </w:rPr>
        <w:footnoteReference w:id="57"/>
      </w:r>
      <w:r w:rsidR="00E455B6" w:rsidRPr="00446D2E">
        <w:rPr>
          <w:rFonts w:ascii="Arial" w:hAnsi="Arial" w:cs="Arial"/>
          <w:sz w:val="22"/>
          <w:szCs w:val="22"/>
          <w:lang w:val="en-GB"/>
        </w:rPr>
        <w:t xml:space="preserve"> </w:t>
      </w:r>
      <w:r w:rsidR="00B01388">
        <w:rPr>
          <w:rFonts w:ascii="Arial" w:hAnsi="Arial" w:cs="Arial"/>
          <w:sz w:val="22"/>
          <w:szCs w:val="22"/>
          <w:lang w:val="en-GB"/>
        </w:rPr>
        <w:t>Commitment to provide</w:t>
      </w:r>
      <w:r w:rsidR="00B01388" w:rsidRPr="00B01388">
        <w:rPr>
          <w:rFonts w:ascii="Arial" w:hAnsi="Arial" w:cs="Arial"/>
          <w:sz w:val="22"/>
          <w:szCs w:val="22"/>
          <w:lang w:val="en-GB"/>
        </w:rPr>
        <w:t xml:space="preserve"> </w:t>
      </w:r>
      <w:r w:rsidR="00B01388" w:rsidRPr="00B01388">
        <w:rPr>
          <w:rFonts w:ascii="Arial" w:hAnsi="Arial" w:cs="Arial"/>
          <w:b/>
          <w:sz w:val="22"/>
          <w:szCs w:val="22"/>
          <w:lang w:val="en-GB"/>
        </w:rPr>
        <w:t>universal design</w:t>
      </w:r>
      <w:r w:rsidR="00B01388">
        <w:rPr>
          <w:rFonts w:ascii="Arial" w:hAnsi="Arial" w:cs="Arial"/>
          <w:b/>
          <w:sz w:val="22"/>
          <w:szCs w:val="22"/>
          <w:lang w:val="en-GB"/>
        </w:rPr>
        <w:t xml:space="preserve"> </w:t>
      </w:r>
      <w:r w:rsidR="00B01388">
        <w:rPr>
          <w:rFonts w:ascii="Arial" w:hAnsi="Arial" w:cs="Arial"/>
          <w:sz w:val="22"/>
          <w:szCs w:val="22"/>
          <w:lang w:val="en-GB"/>
        </w:rPr>
        <w:t>is encouraged</w:t>
      </w:r>
      <w:r w:rsidR="00B01388" w:rsidRPr="00B01388">
        <w:rPr>
          <w:rFonts w:ascii="Arial" w:hAnsi="Arial" w:cs="Arial"/>
          <w:sz w:val="22"/>
          <w:szCs w:val="22"/>
          <w:lang w:val="en-GB"/>
        </w:rPr>
        <w:t>.</w:t>
      </w:r>
      <w:r w:rsidR="00B01388" w:rsidRPr="00B01388">
        <w:rPr>
          <w:rFonts w:ascii="Arial" w:hAnsi="Arial" w:cs="Arial"/>
          <w:sz w:val="22"/>
          <w:szCs w:val="22"/>
          <w:vertAlign w:val="superscript"/>
          <w:lang w:val="en-GB"/>
        </w:rPr>
        <w:footnoteReference w:id="58"/>
      </w:r>
    </w:p>
    <w:p w14:paraId="11D7F01B" w14:textId="77777777" w:rsidR="00504148" w:rsidRPr="00446D2E" w:rsidRDefault="00504148" w:rsidP="00755571">
      <w:pPr>
        <w:jc w:val="both"/>
        <w:rPr>
          <w:rFonts w:ascii="Arial" w:hAnsi="Arial" w:cs="Arial"/>
          <w:sz w:val="22"/>
          <w:szCs w:val="22"/>
          <w:lang w:val="en-GB"/>
        </w:rPr>
      </w:pPr>
    </w:p>
    <w:p w14:paraId="3B604353" w14:textId="3ECA1E04" w:rsidR="00BC3206" w:rsidRPr="00BC3206" w:rsidRDefault="00E455B6" w:rsidP="00BC3206">
      <w:pPr>
        <w:jc w:val="both"/>
        <w:rPr>
          <w:rFonts w:ascii="Arial" w:hAnsi="Arial" w:cs="Arial"/>
          <w:sz w:val="22"/>
          <w:szCs w:val="22"/>
        </w:rPr>
      </w:pPr>
      <w:r w:rsidRPr="00446D2E">
        <w:rPr>
          <w:rFonts w:ascii="Arial" w:hAnsi="Arial" w:cs="Arial"/>
          <w:sz w:val="22"/>
          <w:szCs w:val="22"/>
          <w:lang w:val="en-GB"/>
        </w:rPr>
        <w:t>States</w:t>
      </w:r>
      <w:r w:rsidR="00912255" w:rsidRPr="00446D2E">
        <w:rPr>
          <w:rFonts w:ascii="Arial" w:hAnsi="Arial" w:cs="Arial"/>
          <w:sz w:val="22"/>
          <w:szCs w:val="22"/>
          <w:lang w:val="en-GB"/>
        </w:rPr>
        <w:t xml:space="preserve"> must also introduce measures, including through non-discrimination legislation binding on private as well as public bodies</w:t>
      </w:r>
      <w:r w:rsidR="00BC3206">
        <w:rPr>
          <w:rFonts w:ascii="Arial" w:hAnsi="Arial" w:cs="Arial"/>
          <w:sz w:val="22"/>
          <w:szCs w:val="22"/>
          <w:lang w:val="en-GB"/>
        </w:rPr>
        <w:t>,</w:t>
      </w:r>
      <w:r w:rsidR="00FE4B2B">
        <w:rPr>
          <w:rFonts w:ascii="Arial" w:hAnsi="Arial" w:cs="Arial"/>
          <w:sz w:val="22"/>
          <w:szCs w:val="22"/>
          <w:lang w:val="en-GB"/>
        </w:rPr>
        <w:t xml:space="preserve"> to ensure that, where necessary, including as a means to ensure accessibility,</w:t>
      </w:r>
      <w:r w:rsidR="00912255" w:rsidRPr="00446D2E">
        <w:rPr>
          <w:rFonts w:ascii="Arial" w:hAnsi="Arial" w:cs="Arial"/>
          <w:sz w:val="22"/>
          <w:szCs w:val="22"/>
          <w:lang w:val="en-GB"/>
        </w:rPr>
        <w:t xml:space="preserve"> </w:t>
      </w:r>
      <w:r w:rsidR="00912255" w:rsidRPr="00446D2E">
        <w:rPr>
          <w:rFonts w:ascii="Arial" w:hAnsi="Arial" w:cs="Arial"/>
          <w:b/>
          <w:sz w:val="22"/>
          <w:szCs w:val="22"/>
          <w:lang w:val="en-GB"/>
        </w:rPr>
        <w:t>reasonable accommodations</w:t>
      </w:r>
      <w:r w:rsidR="00912255" w:rsidRPr="00446D2E">
        <w:rPr>
          <w:rFonts w:ascii="Arial" w:hAnsi="Arial" w:cs="Arial"/>
          <w:sz w:val="22"/>
          <w:szCs w:val="22"/>
          <w:lang w:val="en-GB"/>
        </w:rPr>
        <w:t xml:space="preserve"> are provided to remove barriers encountered by a specific </w:t>
      </w:r>
      <w:r w:rsidR="0073562B">
        <w:rPr>
          <w:rFonts w:ascii="Arial" w:hAnsi="Arial" w:cs="Arial"/>
          <w:sz w:val="22"/>
          <w:szCs w:val="22"/>
          <w:lang w:val="en-GB"/>
        </w:rPr>
        <w:t>student with disabilities</w:t>
      </w:r>
      <w:r w:rsidR="005500DF" w:rsidRPr="00446D2E">
        <w:rPr>
          <w:rFonts w:ascii="Arial" w:hAnsi="Arial" w:cs="Arial"/>
          <w:sz w:val="22"/>
          <w:szCs w:val="22"/>
          <w:lang w:val="en-GB"/>
        </w:rPr>
        <w:t>,</w:t>
      </w:r>
      <w:r w:rsidR="006F1A98" w:rsidRPr="00446D2E">
        <w:rPr>
          <w:rStyle w:val="FootnoteReference"/>
          <w:rFonts w:ascii="Arial" w:hAnsi="Arial" w:cs="Arial"/>
          <w:sz w:val="22"/>
          <w:szCs w:val="22"/>
          <w:lang w:val="en-GB"/>
        </w:rPr>
        <w:footnoteReference w:id="59"/>
      </w:r>
      <w:r w:rsidR="005500DF" w:rsidRPr="00446D2E">
        <w:rPr>
          <w:rFonts w:ascii="Arial" w:hAnsi="Arial" w:cs="Arial"/>
          <w:sz w:val="22"/>
          <w:szCs w:val="22"/>
          <w:lang w:val="en-GB"/>
        </w:rPr>
        <w:t xml:space="preserve"> </w:t>
      </w:r>
      <w:r w:rsidR="0073562B">
        <w:rPr>
          <w:rFonts w:ascii="Arial" w:hAnsi="Arial" w:cs="Arial"/>
          <w:sz w:val="22"/>
          <w:szCs w:val="22"/>
          <w:lang w:val="en-GB"/>
        </w:rPr>
        <w:t>free of cost</w:t>
      </w:r>
      <w:r w:rsidR="005500DF" w:rsidRPr="00446D2E">
        <w:rPr>
          <w:rFonts w:ascii="Arial" w:hAnsi="Arial" w:cs="Arial"/>
          <w:sz w:val="22"/>
          <w:szCs w:val="22"/>
          <w:lang w:val="en-GB"/>
        </w:rPr>
        <w:t>.</w:t>
      </w:r>
      <w:r w:rsidR="005500DF" w:rsidRPr="00446D2E">
        <w:rPr>
          <w:rStyle w:val="FootnoteReference"/>
          <w:rFonts w:ascii="Arial" w:hAnsi="Arial" w:cs="Arial"/>
          <w:sz w:val="22"/>
          <w:szCs w:val="22"/>
          <w:lang w:val="en-GB"/>
        </w:rPr>
        <w:footnoteReference w:id="60"/>
      </w:r>
      <w:r w:rsidR="00912255" w:rsidRPr="00446D2E">
        <w:rPr>
          <w:rFonts w:ascii="Arial" w:hAnsi="Arial" w:cs="Arial"/>
          <w:sz w:val="22"/>
          <w:szCs w:val="22"/>
          <w:lang w:val="en-GB"/>
        </w:rPr>
        <w:t xml:space="preserve"> </w:t>
      </w:r>
      <w:r w:rsidR="002327B8" w:rsidRPr="00446D2E">
        <w:rPr>
          <w:rFonts w:ascii="Arial" w:hAnsi="Arial" w:cs="Arial"/>
          <w:sz w:val="22"/>
          <w:szCs w:val="22"/>
          <w:lang w:val="en-GB"/>
        </w:rPr>
        <w:t>The CRPD Committee stressed that reasonableness is “the result of a contextual test that involves an analysis of the relevance and the effectiveness of the accommodation and the expected goal of countering discrimination”</w:t>
      </w:r>
      <w:r w:rsidR="00FE4B2B">
        <w:rPr>
          <w:rFonts w:ascii="Arial" w:hAnsi="Arial" w:cs="Arial"/>
          <w:sz w:val="22"/>
          <w:szCs w:val="22"/>
          <w:lang w:val="en-GB"/>
        </w:rPr>
        <w:t>.</w:t>
      </w:r>
      <w:r w:rsidR="002327B8" w:rsidRPr="00446D2E">
        <w:rPr>
          <w:rStyle w:val="FootnoteReference"/>
          <w:rFonts w:ascii="Arial" w:hAnsi="Arial" w:cs="Arial"/>
          <w:sz w:val="22"/>
          <w:szCs w:val="22"/>
          <w:lang w:val="en-GB"/>
        </w:rPr>
        <w:footnoteReference w:id="61"/>
      </w:r>
      <w:r w:rsidR="000B7B2C" w:rsidRPr="00446D2E">
        <w:rPr>
          <w:rFonts w:ascii="Arial" w:hAnsi="Arial" w:cs="Arial"/>
          <w:sz w:val="22"/>
          <w:szCs w:val="22"/>
          <w:lang w:val="en-GB"/>
        </w:rPr>
        <w:t xml:space="preserve"> </w:t>
      </w:r>
      <w:r w:rsidR="0073562B">
        <w:rPr>
          <w:rFonts w:ascii="Arial" w:hAnsi="Arial" w:cs="Arial"/>
          <w:sz w:val="22"/>
          <w:szCs w:val="22"/>
          <w:lang w:val="en-GB"/>
        </w:rPr>
        <w:t>Availability of resourc</w:t>
      </w:r>
      <w:r w:rsidR="000B7B2C" w:rsidRPr="00446D2E">
        <w:rPr>
          <w:rFonts w:ascii="Arial" w:hAnsi="Arial" w:cs="Arial"/>
          <w:sz w:val="22"/>
          <w:szCs w:val="22"/>
          <w:lang w:val="en-GB"/>
        </w:rPr>
        <w:t>es and financial implication of the measures</w:t>
      </w:r>
      <w:r w:rsidR="0073562B">
        <w:rPr>
          <w:rFonts w:ascii="Arial" w:hAnsi="Arial" w:cs="Arial"/>
          <w:sz w:val="22"/>
          <w:szCs w:val="22"/>
          <w:lang w:val="en-GB"/>
        </w:rPr>
        <w:t xml:space="preserve"> are taken into consideration.</w:t>
      </w:r>
      <w:r w:rsidR="000B7B2C" w:rsidRPr="00446D2E">
        <w:rPr>
          <w:rStyle w:val="FootnoteReference"/>
          <w:rFonts w:ascii="Arial" w:hAnsi="Arial" w:cs="Arial"/>
          <w:sz w:val="22"/>
          <w:szCs w:val="22"/>
          <w:lang w:val="en-GB"/>
        </w:rPr>
        <w:footnoteReference w:id="62"/>
      </w:r>
      <w:r w:rsidR="0073562B">
        <w:rPr>
          <w:rFonts w:ascii="Arial" w:hAnsi="Arial" w:cs="Arial"/>
          <w:sz w:val="22"/>
          <w:szCs w:val="22"/>
          <w:lang w:val="en-GB"/>
        </w:rPr>
        <w:t xml:space="preserve"> </w:t>
      </w:r>
      <w:r w:rsidR="00BC3206" w:rsidRPr="00BC3206">
        <w:rPr>
          <w:rFonts w:ascii="Arial" w:hAnsi="Arial" w:cs="Arial"/>
          <w:sz w:val="22"/>
          <w:szCs w:val="22"/>
        </w:rPr>
        <w:t>This is in line with the Court’s approach that failing to treat differently persons who are in significantly different situations contradicts the right to equality and non-discrimination.</w:t>
      </w:r>
      <w:r w:rsidR="00BC3206">
        <w:rPr>
          <w:rStyle w:val="FootnoteReference"/>
          <w:rFonts w:ascii="Arial" w:hAnsi="Arial" w:cs="Arial"/>
          <w:sz w:val="22"/>
          <w:szCs w:val="22"/>
        </w:rPr>
        <w:footnoteReference w:id="63"/>
      </w:r>
      <w:r w:rsidR="00BC3206" w:rsidRPr="00BC3206">
        <w:rPr>
          <w:rFonts w:ascii="Arial" w:hAnsi="Arial" w:cs="Arial"/>
          <w:sz w:val="22"/>
          <w:szCs w:val="22"/>
        </w:rPr>
        <w:t xml:space="preserve"> This approach has also been adopted by the European Committee of Social Rights which affirmed that “discrimination may arise by</w:t>
      </w:r>
      <w:r w:rsidR="00BC3206">
        <w:rPr>
          <w:rFonts w:ascii="Arial" w:hAnsi="Arial" w:cs="Arial"/>
          <w:sz w:val="22"/>
          <w:szCs w:val="22"/>
        </w:rPr>
        <w:t xml:space="preserve"> failing to take adequate steps to ensure that the rights and collective advantages that are open to all are genuinely accessible by and to all</w:t>
      </w:r>
      <w:r w:rsidR="00BC3206" w:rsidRPr="00BC3206">
        <w:rPr>
          <w:rFonts w:ascii="Arial" w:hAnsi="Arial" w:cs="Arial"/>
          <w:sz w:val="22"/>
          <w:szCs w:val="22"/>
        </w:rPr>
        <w:t>.”</w:t>
      </w:r>
      <w:r w:rsidR="00BC3206">
        <w:rPr>
          <w:rStyle w:val="FootnoteReference"/>
          <w:rFonts w:ascii="Arial" w:hAnsi="Arial" w:cs="Arial"/>
          <w:sz w:val="22"/>
          <w:szCs w:val="22"/>
        </w:rPr>
        <w:footnoteReference w:id="64"/>
      </w:r>
      <w:r w:rsidR="0073562B">
        <w:rPr>
          <w:rFonts w:ascii="Arial" w:hAnsi="Arial" w:cs="Arial"/>
          <w:sz w:val="22"/>
          <w:szCs w:val="22"/>
        </w:rPr>
        <w:t xml:space="preserve"> Reasonable accommodations are enforceable from the moment a request has been made.</w:t>
      </w:r>
      <w:r w:rsidR="0073562B">
        <w:rPr>
          <w:rStyle w:val="FootnoteReference"/>
          <w:rFonts w:ascii="Arial" w:hAnsi="Arial" w:cs="Arial"/>
          <w:sz w:val="22"/>
          <w:szCs w:val="22"/>
        </w:rPr>
        <w:footnoteReference w:id="65"/>
      </w:r>
    </w:p>
    <w:p w14:paraId="7B3D0C9E" w14:textId="77777777" w:rsidR="009B7814" w:rsidRDefault="009B7814" w:rsidP="00755571">
      <w:pPr>
        <w:jc w:val="both"/>
        <w:rPr>
          <w:rFonts w:ascii="Arial" w:hAnsi="Arial" w:cs="Arial"/>
          <w:sz w:val="22"/>
          <w:szCs w:val="22"/>
          <w:lang w:val="en-GB"/>
        </w:rPr>
      </w:pPr>
    </w:p>
    <w:p w14:paraId="621AF516" w14:textId="3ABFA698" w:rsidR="002D7CB6" w:rsidRDefault="00107890" w:rsidP="00755571">
      <w:pPr>
        <w:jc w:val="both"/>
        <w:rPr>
          <w:rFonts w:ascii="Arial" w:hAnsi="Arial" w:cs="Arial"/>
          <w:sz w:val="22"/>
          <w:szCs w:val="22"/>
          <w:lang w:val="en-GB"/>
        </w:rPr>
      </w:pPr>
      <w:r>
        <w:rPr>
          <w:rFonts w:ascii="Arial" w:hAnsi="Arial" w:cs="Arial"/>
          <w:sz w:val="22"/>
          <w:szCs w:val="22"/>
          <w:lang w:val="en-GB"/>
        </w:rPr>
        <w:t xml:space="preserve">Supported teachers, properly trained for inclusive education, </w:t>
      </w:r>
      <w:r w:rsidR="009B7814">
        <w:rPr>
          <w:rFonts w:ascii="Arial" w:hAnsi="Arial" w:cs="Arial"/>
          <w:sz w:val="22"/>
          <w:szCs w:val="22"/>
          <w:lang w:val="en-GB"/>
        </w:rPr>
        <w:t>are part of the core features of inclusive education.</w:t>
      </w:r>
      <w:r w:rsidR="009B7814">
        <w:rPr>
          <w:rStyle w:val="FootnoteReference"/>
          <w:rFonts w:ascii="Arial" w:hAnsi="Arial" w:cs="Arial"/>
          <w:sz w:val="22"/>
          <w:szCs w:val="22"/>
          <w:lang w:val="en-GB"/>
        </w:rPr>
        <w:footnoteReference w:id="66"/>
      </w:r>
      <w:r w:rsidR="009B7814">
        <w:rPr>
          <w:rFonts w:ascii="Arial" w:hAnsi="Arial" w:cs="Arial"/>
          <w:sz w:val="22"/>
          <w:szCs w:val="22"/>
          <w:lang w:val="en-GB"/>
        </w:rPr>
        <w:t xml:space="preserve"> Teacher</w:t>
      </w:r>
      <w:r w:rsidR="00E625EE">
        <w:rPr>
          <w:rFonts w:ascii="Arial" w:hAnsi="Arial" w:cs="Arial"/>
          <w:sz w:val="22"/>
          <w:szCs w:val="22"/>
          <w:lang w:val="en-GB"/>
        </w:rPr>
        <w:t>s and other staff working in education settings must receive adequate training to ensure quality education of students with disab</w:t>
      </w:r>
      <w:r w:rsidR="00F25CBB">
        <w:rPr>
          <w:rFonts w:ascii="Arial" w:hAnsi="Arial" w:cs="Arial"/>
          <w:sz w:val="22"/>
          <w:szCs w:val="22"/>
          <w:lang w:val="en-GB"/>
        </w:rPr>
        <w:t>ilities.</w:t>
      </w:r>
      <w:r w:rsidR="002D7CB6" w:rsidRPr="00446D2E">
        <w:rPr>
          <w:rStyle w:val="FootnoteReference"/>
          <w:rFonts w:ascii="Arial" w:hAnsi="Arial" w:cs="Arial"/>
          <w:sz w:val="22"/>
          <w:szCs w:val="22"/>
          <w:lang w:val="en-GB"/>
        </w:rPr>
        <w:footnoteReference w:id="67"/>
      </w:r>
      <w:r>
        <w:rPr>
          <w:rFonts w:ascii="Arial" w:hAnsi="Arial" w:cs="Arial"/>
          <w:sz w:val="22"/>
          <w:szCs w:val="22"/>
          <w:lang w:val="en-GB"/>
        </w:rPr>
        <w:t xml:space="preserve"> In addition, a key obligation to ensure inclusive education of persons with disabilities is the provision of </w:t>
      </w:r>
      <w:r w:rsidRPr="00107890">
        <w:rPr>
          <w:rFonts w:ascii="Arial" w:hAnsi="Arial" w:cs="Arial"/>
          <w:sz w:val="22"/>
          <w:szCs w:val="22"/>
          <w:lang w:val="en-GB"/>
        </w:rPr>
        <w:t>adequate, continuous and personalized support</w:t>
      </w:r>
      <w:r>
        <w:rPr>
          <w:rFonts w:ascii="Arial" w:hAnsi="Arial" w:cs="Arial"/>
          <w:sz w:val="22"/>
          <w:szCs w:val="22"/>
          <w:lang w:val="en-GB"/>
        </w:rPr>
        <w:t xml:space="preserve"> for students with disabilities.</w:t>
      </w:r>
      <w:r>
        <w:rPr>
          <w:rStyle w:val="FootnoteReference"/>
          <w:rFonts w:ascii="Arial" w:hAnsi="Arial" w:cs="Arial"/>
          <w:sz w:val="22"/>
          <w:szCs w:val="22"/>
          <w:lang w:val="en-GB"/>
        </w:rPr>
        <w:footnoteReference w:id="68"/>
      </w:r>
      <w:r>
        <w:rPr>
          <w:rFonts w:ascii="Arial" w:hAnsi="Arial" w:cs="Arial"/>
          <w:sz w:val="22"/>
          <w:szCs w:val="22"/>
          <w:lang w:val="en-GB"/>
        </w:rPr>
        <w:t xml:space="preserve"> </w:t>
      </w:r>
    </w:p>
    <w:p w14:paraId="1EFA1624" w14:textId="77777777" w:rsidR="00346BD4" w:rsidRDefault="00346BD4" w:rsidP="00755571">
      <w:pPr>
        <w:jc w:val="both"/>
        <w:rPr>
          <w:rFonts w:ascii="Arial" w:hAnsi="Arial" w:cs="Arial"/>
          <w:sz w:val="22"/>
          <w:szCs w:val="22"/>
          <w:lang w:val="en-GB"/>
        </w:rPr>
      </w:pPr>
    </w:p>
    <w:p w14:paraId="5C05155D" w14:textId="069E5A9A" w:rsidR="00E868C0" w:rsidRPr="00446D2E" w:rsidRDefault="00E868C0" w:rsidP="00E868C0">
      <w:pPr>
        <w:jc w:val="both"/>
        <w:rPr>
          <w:rFonts w:ascii="Arial" w:hAnsi="Arial" w:cs="Arial"/>
          <w:sz w:val="22"/>
          <w:szCs w:val="22"/>
          <w:lang w:val="en-GB"/>
        </w:rPr>
      </w:pPr>
      <w:r>
        <w:rPr>
          <w:rFonts w:ascii="Arial" w:hAnsi="Arial" w:cs="Arial"/>
          <w:sz w:val="22"/>
          <w:szCs w:val="22"/>
          <w:lang w:val="en-GB"/>
        </w:rPr>
        <w:t>It is crucial to recall that the Court, i</w:t>
      </w:r>
      <w:r w:rsidRPr="00446D2E">
        <w:rPr>
          <w:rFonts w:ascii="Arial" w:hAnsi="Arial" w:cs="Arial"/>
          <w:sz w:val="22"/>
          <w:szCs w:val="22"/>
          <w:lang w:val="en-GB"/>
        </w:rPr>
        <w:t xml:space="preserve">n </w:t>
      </w:r>
      <w:proofErr w:type="spellStart"/>
      <w:r w:rsidRPr="00E868C0">
        <w:rPr>
          <w:rFonts w:ascii="Arial" w:hAnsi="Arial" w:cs="Arial"/>
          <w:b/>
          <w:i/>
          <w:sz w:val="22"/>
          <w:szCs w:val="22"/>
          <w:lang w:val="en-GB"/>
        </w:rPr>
        <w:t>Çam</w:t>
      </w:r>
      <w:proofErr w:type="spellEnd"/>
      <w:r w:rsidRPr="00E868C0">
        <w:rPr>
          <w:rFonts w:ascii="Arial" w:hAnsi="Arial" w:cs="Arial"/>
          <w:b/>
          <w:i/>
          <w:sz w:val="22"/>
          <w:szCs w:val="22"/>
          <w:lang w:val="en-GB"/>
        </w:rPr>
        <w:t xml:space="preserve"> v. Turkey</w:t>
      </w:r>
      <w:r w:rsidRPr="00446D2E">
        <w:rPr>
          <w:rFonts w:ascii="Arial" w:hAnsi="Arial" w:cs="Arial"/>
          <w:sz w:val="22"/>
          <w:szCs w:val="22"/>
          <w:lang w:val="en-GB"/>
        </w:rPr>
        <w:t xml:space="preserve">, a case concerning the refusal to </w:t>
      </w:r>
      <w:r>
        <w:rPr>
          <w:rFonts w:ascii="Arial" w:hAnsi="Arial" w:cs="Arial"/>
          <w:sz w:val="22"/>
          <w:szCs w:val="22"/>
          <w:lang w:val="en-GB"/>
        </w:rPr>
        <w:t>enrolment</w:t>
      </w:r>
      <w:r w:rsidRPr="00446D2E">
        <w:rPr>
          <w:rFonts w:ascii="Arial" w:hAnsi="Arial" w:cs="Arial"/>
          <w:sz w:val="22"/>
          <w:szCs w:val="22"/>
          <w:lang w:val="en-GB"/>
        </w:rPr>
        <w:t xml:space="preserve"> a blind student in music school, the Court acknowledged that “inclusive </w:t>
      </w:r>
      <w:r w:rsidRPr="00446D2E">
        <w:rPr>
          <w:rFonts w:ascii="Arial" w:hAnsi="Arial" w:cs="Arial"/>
          <w:sz w:val="22"/>
          <w:szCs w:val="22"/>
          <w:lang w:val="en-GB"/>
        </w:rPr>
        <w:lastRenderedPageBreak/>
        <w:t>education is the most appropriate means” for guaranteeing “the principles of universality and non-discrimination in the enjoyment of the right to education.”</w:t>
      </w:r>
      <w:r w:rsidRPr="00446D2E">
        <w:rPr>
          <w:rFonts w:ascii="Arial" w:hAnsi="Arial" w:cs="Arial"/>
          <w:sz w:val="22"/>
          <w:szCs w:val="22"/>
          <w:vertAlign w:val="superscript"/>
          <w:lang w:val="en-GB"/>
        </w:rPr>
        <w:footnoteReference w:id="69"/>
      </w:r>
      <w:r w:rsidRPr="00446D2E">
        <w:rPr>
          <w:rFonts w:ascii="Arial" w:hAnsi="Arial" w:cs="Arial"/>
          <w:sz w:val="22"/>
          <w:szCs w:val="22"/>
          <w:lang w:val="en-GB"/>
        </w:rPr>
        <w:t xml:space="preserve"> </w:t>
      </w:r>
    </w:p>
    <w:p w14:paraId="66111FE3" w14:textId="3A01396E" w:rsidR="00E868C0" w:rsidRPr="00446D2E" w:rsidRDefault="00E868C0" w:rsidP="00755571">
      <w:pPr>
        <w:jc w:val="both"/>
        <w:rPr>
          <w:rFonts w:ascii="Arial" w:hAnsi="Arial" w:cs="Arial"/>
          <w:sz w:val="22"/>
          <w:szCs w:val="22"/>
          <w:lang w:val="en-GB"/>
        </w:rPr>
      </w:pPr>
    </w:p>
    <w:p w14:paraId="1323F715" w14:textId="49D160C5" w:rsidR="00535BCE" w:rsidRPr="00446D2E" w:rsidRDefault="00535BCE" w:rsidP="00AA5CCD">
      <w:pPr>
        <w:ind w:firstLine="720"/>
        <w:jc w:val="both"/>
        <w:rPr>
          <w:rFonts w:ascii="Arial" w:hAnsi="Arial" w:cs="Arial"/>
          <w:i/>
          <w:sz w:val="22"/>
          <w:szCs w:val="22"/>
          <w:u w:val="single"/>
          <w:lang w:val="en-GB"/>
        </w:rPr>
      </w:pPr>
      <w:r w:rsidRPr="00446D2E">
        <w:rPr>
          <w:rFonts w:ascii="Arial" w:hAnsi="Arial" w:cs="Arial"/>
          <w:i/>
          <w:sz w:val="22"/>
          <w:szCs w:val="22"/>
          <w:u w:val="single"/>
          <w:lang w:val="en-GB"/>
        </w:rPr>
        <w:t xml:space="preserve">Non-discrimination in education: No-rejection clause </w:t>
      </w:r>
    </w:p>
    <w:p w14:paraId="4A4B0FB3" w14:textId="68820324" w:rsidR="00535BCE" w:rsidRPr="00446D2E" w:rsidRDefault="00535BCE" w:rsidP="00010AB7">
      <w:pPr>
        <w:jc w:val="both"/>
        <w:rPr>
          <w:rFonts w:ascii="Arial" w:hAnsi="Arial" w:cs="Arial"/>
          <w:sz w:val="22"/>
          <w:szCs w:val="22"/>
          <w:lang w:val="en-GB"/>
        </w:rPr>
      </w:pPr>
    </w:p>
    <w:p w14:paraId="1262381F" w14:textId="77E311EB" w:rsidR="009D3B8F" w:rsidRDefault="009D3B8F" w:rsidP="00010AB7">
      <w:pPr>
        <w:jc w:val="both"/>
        <w:rPr>
          <w:rFonts w:ascii="Arial" w:hAnsi="Arial" w:cs="Arial"/>
          <w:sz w:val="22"/>
          <w:szCs w:val="22"/>
          <w:lang w:val="en-GB"/>
        </w:rPr>
      </w:pPr>
      <w:r>
        <w:rPr>
          <w:rFonts w:ascii="Arial" w:hAnsi="Arial" w:cs="Arial"/>
          <w:sz w:val="22"/>
          <w:szCs w:val="22"/>
          <w:lang w:val="en-GB"/>
        </w:rPr>
        <w:t xml:space="preserve">Denial of </w:t>
      </w:r>
      <w:r w:rsidR="001D6AB2">
        <w:rPr>
          <w:rFonts w:ascii="Arial" w:hAnsi="Arial" w:cs="Arial"/>
          <w:sz w:val="22"/>
          <w:szCs w:val="22"/>
          <w:lang w:val="en-GB"/>
        </w:rPr>
        <w:t xml:space="preserve">enrolment in regular </w:t>
      </w:r>
      <w:r>
        <w:rPr>
          <w:rFonts w:ascii="Arial" w:hAnsi="Arial" w:cs="Arial"/>
          <w:sz w:val="22"/>
          <w:szCs w:val="22"/>
          <w:lang w:val="en-GB"/>
        </w:rPr>
        <w:t>edu</w:t>
      </w:r>
      <w:r w:rsidR="00504CDD">
        <w:rPr>
          <w:rFonts w:ascii="Arial" w:hAnsi="Arial" w:cs="Arial"/>
          <w:sz w:val="22"/>
          <w:szCs w:val="22"/>
          <w:lang w:val="en-GB"/>
        </w:rPr>
        <w:t>cation</w:t>
      </w:r>
      <w:r w:rsidR="001D6AB2">
        <w:rPr>
          <w:rFonts w:ascii="Arial" w:hAnsi="Arial" w:cs="Arial"/>
          <w:sz w:val="22"/>
          <w:szCs w:val="22"/>
          <w:lang w:val="en-GB"/>
        </w:rPr>
        <w:t xml:space="preserve"> on the basis of disability</w:t>
      </w:r>
      <w:r w:rsidR="00504CDD">
        <w:rPr>
          <w:rFonts w:ascii="Arial" w:hAnsi="Arial" w:cs="Arial"/>
          <w:sz w:val="22"/>
          <w:szCs w:val="22"/>
          <w:lang w:val="en-GB"/>
        </w:rPr>
        <w:t xml:space="preserve"> is prohibited under</w:t>
      </w:r>
      <w:r>
        <w:rPr>
          <w:rFonts w:ascii="Arial" w:hAnsi="Arial" w:cs="Arial"/>
          <w:sz w:val="22"/>
          <w:szCs w:val="22"/>
          <w:lang w:val="en-GB"/>
        </w:rPr>
        <w:t xml:space="preserve"> article 24(2)(a) of the CRPD. The refusal of schools to admit students on the basis of disability constitutes a case of direct discrimination also prohibited under article 5 CRPD. </w:t>
      </w:r>
      <w:r w:rsidR="00504CDD">
        <w:rPr>
          <w:rFonts w:ascii="Arial" w:hAnsi="Arial" w:cs="Arial"/>
          <w:sz w:val="22"/>
          <w:szCs w:val="22"/>
          <w:lang w:val="en-GB"/>
        </w:rPr>
        <w:t>The CRPD Committee expressly stated</w:t>
      </w:r>
      <w:r>
        <w:rPr>
          <w:rFonts w:ascii="Arial" w:hAnsi="Arial" w:cs="Arial"/>
          <w:sz w:val="22"/>
          <w:szCs w:val="22"/>
          <w:lang w:val="en-GB"/>
        </w:rPr>
        <w:t xml:space="preserve"> </w:t>
      </w:r>
      <w:r w:rsidR="00504CDD">
        <w:rPr>
          <w:rFonts w:ascii="Arial" w:hAnsi="Arial" w:cs="Arial"/>
          <w:sz w:val="22"/>
          <w:szCs w:val="22"/>
          <w:lang w:val="en-GB"/>
        </w:rPr>
        <w:t>in its concluding observations that a “rejection clause”, including schools refusing admission to certain students with disabilities on the grounds of organisational and economic hardship</w:t>
      </w:r>
      <w:r w:rsidR="009146C2">
        <w:rPr>
          <w:rFonts w:ascii="Arial" w:hAnsi="Arial" w:cs="Arial"/>
          <w:sz w:val="22"/>
          <w:szCs w:val="22"/>
          <w:lang w:val="en-GB"/>
        </w:rPr>
        <w:t>,</w:t>
      </w:r>
      <w:r w:rsidR="00504CDD">
        <w:rPr>
          <w:rStyle w:val="FootnoteReference"/>
          <w:rFonts w:ascii="Arial" w:hAnsi="Arial" w:cs="Arial"/>
          <w:sz w:val="22"/>
          <w:szCs w:val="22"/>
          <w:lang w:val="en-GB"/>
        </w:rPr>
        <w:footnoteReference w:id="70"/>
      </w:r>
      <w:r w:rsidR="00504CDD">
        <w:rPr>
          <w:rFonts w:ascii="Arial" w:hAnsi="Arial" w:cs="Arial"/>
          <w:sz w:val="22"/>
          <w:szCs w:val="22"/>
          <w:lang w:val="en-GB"/>
        </w:rPr>
        <w:t xml:space="preserve"> </w:t>
      </w:r>
      <w:r w:rsidR="00361FF3">
        <w:rPr>
          <w:rFonts w:ascii="Arial" w:hAnsi="Arial" w:cs="Arial"/>
          <w:sz w:val="22"/>
          <w:szCs w:val="22"/>
          <w:lang w:val="en-GB"/>
        </w:rPr>
        <w:t>is prohibited</w:t>
      </w:r>
      <w:r w:rsidR="009146C2">
        <w:rPr>
          <w:rFonts w:ascii="Arial" w:hAnsi="Arial" w:cs="Arial"/>
          <w:sz w:val="22"/>
          <w:szCs w:val="22"/>
          <w:lang w:val="en-GB"/>
        </w:rPr>
        <w:t>,</w:t>
      </w:r>
      <w:r w:rsidR="00361FF3">
        <w:rPr>
          <w:rFonts w:ascii="Arial" w:hAnsi="Arial" w:cs="Arial"/>
          <w:sz w:val="22"/>
          <w:szCs w:val="22"/>
          <w:lang w:val="en-GB"/>
        </w:rPr>
        <w:t xml:space="preserve"> and requested the adoption and implementation of “no</w:t>
      </w:r>
      <w:r w:rsidR="00236BD9">
        <w:rPr>
          <w:rFonts w:ascii="Arial" w:hAnsi="Arial" w:cs="Arial"/>
          <w:sz w:val="22"/>
          <w:szCs w:val="22"/>
          <w:lang w:val="en-GB"/>
        </w:rPr>
        <w:t>n-rejection policy”.</w:t>
      </w:r>
      <w:r w:rsidR="00236BD9">
        <w:rPr>
          <w:rStyle w:val="FootnoteReference"/>
          <w:rFonts w:ascii="Arial" w:hAnsi="Arial" w:cs="Arial"/>
          <w:sz w:val="22"/>
          <w:szCs w:val="22"/>
          <w:lang w:val="en-GB"/>
        </w:rPr>
        <w:footnoteReference w:id="71"/>
      </w:r>
      <w:r w:rsidR="00236BD9">
        <w:rPr>
          <w:rFonts w:ascii="Arial" w:hAnsi="Arial" w:cs="Arial"/>
          <w:sz w:val="22"/>
          <w:szCs w:val="22"/>
          <w:lang w:val="en-GB"/>
        </w:rPr>
        <w:t xml:space="preserve"> </w:t>
      </w:r>
    </w:p>
    <w:p w14:paraId="26FAF480" w14:textId="77777777" w:rsidR="001D6AB2" w:rsidRDefault="001D6AB2" w:rsidP="00010AB7">
      <w:pPr>
        <w:jc w:val="both"/>
        <w:rPr>
          <w:rFonts w:ascii="Arial" w:hAnsi="Arial" w:cs="Arial"/>
          <w:sz w:val="22"/>
          <w:szCs w:val="22"/>
          <w:lang w:val="en-GB"/>
        </w:rPr>
      </w:pPr>
    </w:p>
    <w:p w14:paraId="5D336DB7" w14:textId="12F1F077" w:rsidR="00107890" w:rsidRDefault="00107890" w:rsidP="00010AB7">
      <w:pPr>
        <w:jc w:val="both"/>
        <w:rPr>
          <w:rFonts w:ascii="Arial" w:hAnsi="Arial" w:cs="Arial"/>
          <w:sz w:val="22"/>
          <w:szCs w:val="22"/>
          <w:lang w:val="en-GB"/>
        </w:rPr>
      </w:pPr>
      <w:r>
        <w:rPr>
          <w:rFonts w:ascii="Arial" w:hAnsi="Arial" w:cs="Arial"/>
          <w:sz w:val="22"/>
          <w:szCs w:val="22"/>
          <w:lang w:val="en-GB"/>
        </w:rPr>
        <w:t>The CRPD Committee has consolidated these criteria in its General Comment No. 4 by clearly stating that “</w:t>
      </w:r>
      <w:r w:rsidRPr="00107890">
        <w:rPr>
          <w:rFonts w:ascii="Arial" w:hAnsi="Arial" w:cs="Arial"/>
          <w:sz w:val="22"/>
          <w:szCs w:val="22"/>
          <w:lang w:val="en-GB"/>
        </w:rPr>
        <w:t xml:space="preserve">For article 24 (2) (a) to be implemented, </w:t>
      </w:r>
      <w:r w:rsidRPr="00107890">
        <w:rPr>
          <w:rFonts w:ascii="Arial" w:hAnsi="Arial" w:cs="Arial"/>
          <w:b/>
          <w:sz w:val="22"/>
          <w:szCs w:val="22"/>
          <w:lang w:val="en-GB"/>
        </w:rPr>
        <w:t>the exclusion of persons with disabilities from the general education system should be prohibited</w:t>
      </w:r>
      <w:r w:rsidRPr="00107890">
        <w:rPr>
          <w:rFonts w:ascii="Arial" w:hAnsi="Arial" w:cs="Arial"/>
          <w:sz w:val="22"/>
          <w:szCs w:val="22"/>
          <w:lang w:val="en-GB"/>
        </w:rPr>
        <w:t>, including through any legislative or regulatory provisions that limit their inclusion on the basis of their impairment or the degree of that impairment, such as by conditioning inclusion on the extent of the potential of the individual or by alleging a disproportionate and undue burden to evade the obligation to provide reasonable accommodation.</w:t>
      </w:r>
      <w:r>
        <w:rPr>
          <w:rFonts w:ascii="Arial" w:hAnsi="Arial" w:cs="Arial"/>
          <w:sz w:val="22"/>
          <w:szCs w:val="22"/>
          <w:lang w:val="en-GB"/>
        </w:rPr>
        <w:t>”</w:t>
      </w:r>
      <w:r>
        <w:rPr>
          <w:rStyle w:val="FootnoteReference"/>
          <w:rFonts w:ascii="Arial" w:hAnsi="Arial" w:cs="Arial"/>
          <w:sz w:val="22"/>
          <w:szCs w:val="22"/>
          <w:lang w:val="en-GB"/>
        </w:rPr>
        <w:footnoteReference w:id="72"/>
      </w:r>
    </w:p>
    <w:p w14:paraId="07D19162" w14:textId="77777777" w:rsidR="00E868C0" w:rsidRDefault="00E868C0" w:rsidP="00010AB7">
      <w:pPr>
        <w:jc w:val="both"/>
        <w:rPr>
          <w:rFonts w:ascii="Arial" w:hAnsi="Arial" w:cs="Arial"/>
          <w:i/>
          <w:sz w:val="22"/>
          <w:szCs w:val="22"/>
          <w:u w:val="single"/>
          <w:lang w:val="en-GB"/>
        </w:rPr>
      </w:pPr>
    </w:p>
    <w:p w14:paraId="4F2F1107" w14:textId="705020D7" w:rsidR="00904596" w:rsidRPr="00446D2E" w:rsidRDefault="00535BCE" w:rsidP="00AA5CCD">
      <w:pPr>
        <w:ind w:left="720"/>
        <w:jc w:val="both"/>
        <w:rPr>
          <w:rFonts w:ascii="Arial" w:hAnsi="Arial" w:cs="Arial"/>
          <w:i/>
          <w:sz w:val="22"/>
          <w:szCs w:val="22"/>
          <w:u w:val="single"/>
          <w:lang w:val="en-GB"/>
        </w:rPr>
      </w:pPr>
      <w:r w:rsidRPr="00446D2E">
        <w:rPr>
          <w:rFonts w:ascii="Arial" w:hAnsi="Arial" w:cs="Arial"/>
          <w:i/>
          <w:sz w:val="22"/>
          <w:szCs w:val="22"/>
          <w:u w:val="single"/>
          <w:lang w:val="en-GB"/>
        </w:rPr>
        <w:t>Provision of reasonable accommodation to prevent discrimination</w:t>
      </w:r>
      <w:r w:rsidR="00A84C84" w:rsidRPr="00446D2E">
        <w:rPr>
          <w:rFonts w:ascii="Arial" w:hAnsi="Arial" w:cs="Arial"/>
          <w:i/>
          <w:sz w:val="22"/>
          <w:szCs w:val="22"/>
          <w:u w:val="single"/>
          <w:lang w:val="en-GB"/>
        </w:rPr>
        <w:t xml:space="preserve"> and exclusion</w:t>
      </w:r>
      <w:r w:rsidRPr="00446D2E">
        <w:rPr>
          <w:rFonts w:ascii="Arial" w:hAnsi="Arial" w:cs="Arial"/>
          <w:i/>
          <w:sz w:val="22"/>
          <w:szCs w:val="22"/>
          <w:u w:val="single"/>
          <w:lang w:val="en-GB"/>
        </w:rPr>
        <w:t xml:space="preserve">: reasonable accommodation as a mean to request </w:t>
      </w:r>
      <w:r w:rsidR="009801F3">
        <w:rPr>
          <w:rFonts w:ascii="Arial" w:hAnsi="Arial" w:cs="Arial"/>
          <w:i/>
          <w:sz w:val="22"/>
          <w:szCs w:val="22"/>
          <w:u w:val="single"/>
          <w:lang w:val="en-GB"/>
        </w:rPr>
        <w:t>individualis</w:t>
      </w:r>
      <w:r w:rsidR="00A84C84" w:rsidRPr="00446D2E">
        <w:rPr>
          <w:rFonts w:ascii="Arial" w:hAnsi="Arial" w:cs="Arial"/>
          <w:i/>
          <w:sz w:val="22"/>
          <w:szCs w:val="22"/>
          <w:u w:val="single"/>
          <w:lang w:val="en-GB"/>
        </w:rPr>
        <w:t xml:space="preserve">ed </w:t>
      </w:r>
      <w:r w:rsidRPr="00446D2E">
        <w:rPr>
          <w:rFonts w:ascii="Arial" w:hAnsi="Arial" w:cs="Arial"/>
          <w:i/>
          <w:sz w:val="22"/>
          <w:szCs w:val="22"/>
          <w:u w:val="single"/>
          <w:lang w:val="en-GB"/>
        </w:rPr>
        <w:t xml:space="preserve">support in a particular case </w:t>
      </w:r>
    </w:p>
    <w:p w14:paraId="04067C0C" w14:textId="77777777" w:rsidR="00E868C0" w:rsidRDefault="00E868C0" w:rsidP="005F2384">
      <w:pPr>
        <w:jc w:val="both"/>
        <w:rPr>
          <w:rFonts w:ascii="Arial" w:hAnsi="Arial" w:cs="Arial"/>
          <w:sz w:val="22"/>
          <w:szCs w:val="22"/>
          <w:lang w:val="en-GB"/>
        </w:rPr>
      </w:pPr>
    </w:p>
    <w:p w14:paraId="58691BD0" w14:textId="35E56403" w:rsidR="001846D4" w:rsidRDefault="001D2C90" w:rsidP="005F2384">
      <w:pPr>
        <w:jc w:val="both"/>
        <w:rPr>
          <w:rFonts w:ascii="Arial" w:hAnsi="Arial" w:cs="Arial"/>
          <w:sz w:val="22"/>
          <w:szCs w:val="22"/>
          <w:lang w:val="en-GB"/>
        </w:rPr>
      </w:pPr>
      <w:r>
        <w:rPr>
          <w:rFonts w:ascii="Arial" w:hAnsi="Arial" w:cs="Arial"/>
          <w:sz w:val="22"/>
          <w:szCs w:val="22"/>
          <w:lang w:val="en-GB"/>
        </w:rPr>
        <w:t>Article 24(2)(d</w:t>
      </w:r>
      <w:r w:rsidR="005F2384" w:rsidRPr="005F2384">
        <w:rPr>
          <w:rFonts w:ascii="Arial" w:hAnsi="Arial" w:cs="Arial"/>
          <w:sz w:val="22"/>
          <w:szCs w:val="22"/>
          <w:lang w:val="en-GB"/>
        </w:rPr>
        <w:t>)</w:t>
      </w:r>
      <w:r>
        <w:rPr>
          <w:rFonts w:ascii="Arial" w:hAnsi="Arial" w:cs="Arial"/>
          <w:sz w:val="22"/>
          <w:szCs w:val="22"/>
          <w:lang w:val="en-GB"/>
        </w:rPr>
        <w:t xml:space="preserve"> of the</w:t>
      </w:r>
      <w:r w:rsidR="005F2384" w:rsidRPr="005F2384">
        <w:rPr>
          <w:rFonts w:ascii="Arial" w:hAnsi="Arial" w:cs="Arial"/>
          <w:sz w:val="22"/>
          <w:szCs w:val="22"/>
          <w:lang w:val="en-GB"/>
        </w:rPr>
        <w:t xml:space="preserve"> CRPD</w:t>
      </w:r>
      <w:r>
        <w:rPr>
          <w:rFonts w:ascii="Arial" w:hAnsi="Arial" w:cs="Arial"/>
          <w:sz w:val="22"/>
          <w:szCs w:val="22"/>
          <w:lang w:val="en-GB"/>
        </w:rPr>
        <w:t xml:space="preserve"> requires that “[p]</w:t>
      </w:r>
      <w:proofErr w:type="spellStart"/>
      <w:r w:rsidRPr="001D2C90">
        <w:rPr>
          <w:rFonts w:ascii="Arial" w:hAnsi="Arial" w:cs="Arial"/>
          <w:sz w:val="22"/>
          <w:szCs w:val="22"/>
          <w:lang w:val="en-GB"/>
        </w:rPr>
        <w:t>ersons</w:t>
      </w:r>
      <w:proofErr w:type="spellEnd"/>
      <w:r w:rsidRPr="001D2C90">
        <w:rPr>
          <w:rFonts w:ascii="Arial" w:hAnsi="Arial" w:cs="Arial"/>
          <w:sz w:val="22"/>
          <w:szCs w:val="22"/>
          <w:lang w:val="en-GB"/>
        </w:rPr>
        <w:t xml:space="preserve"> with disabilities receive the support required, within the general education system, to facil</w:t>
      </w:r>
      <w:r>
        <w:rPr>
          <w:rFonts w:ascii="Arial" w:hAnsi="Arial" w:cs="Arial"/>
          <w:sz w:val="22"/>
          <w:szCs w:val="22"/>
          <w:lang w:val="en-GB"/>
        </w:rPr>
        <w:t>itate their effective education”</w:t>
      </w:r>
      <w:r w:rsidR="005F2384">
        <w:rPr>
          <w:rFonts w:ascii="Arial" w:hAnsi="Arial" w:cs="Arial"/>
          <w:sz w:val="22"/>
          <w:szCs w:val="22"/>
          <w:lang w:val="en-GB"/>
        </w:rPr>
        <w:t>. On its turn, Article 24</w:t>
      </w:r>
      <w:r>
        <w:rPr>
          <w:rFonts w:ascii="Arial" w:hAnsi="Arial" w:cs="Arial"/>
          <w:sz w:val="22"/>
          <w:szCs w:val="22"/>
          <w:lang w:val="en-GB"/>
        </w:rPr>
        <w:t>(2)(c) also requires the provision of reasonable accommodation, which as part of non-discrimination constitutes a measure of immediate obligation</w:t>
      </w:r>
      <w:r w:rsidR="005F2384" w:rsidRPr="005F2384">
        <w:rPr>
          <w:rFonts w:ascii="Arial" w:hAnsi="Arial" w:cs="Arial"/>
          <w:sz w:val="22"/>
          <w:szCs w:val="22"/>
          <w:lang w:val="en-GB"/>
        </w:rPr>
        <w:t>.</w:t>
      </w:r>
      <w:r>
        <w:rPr>
          <w:rFonts w:ascii="Arial" w:hAnsi="Arial" w:cs="Arial"/>
          <w:sz w:val="22"/>
          <w:szCs w:val="22"/>
          <w:lang w:val="en-GB"/>
        </w:rPr>
        <w:t xml:space="preserve"> Thus, d</w:t>
      </w:r>
      <w:r w:rsidR="004A655E">
        <w:rPr>
          <w:rFonts w:ascii="Arial" w:hAnsi="Arial" w:cs="Arial"/>
          <w:sz w:val="22"/>
          <w:szCs w:val="22"/>
          <w:lang w:val="en-GB"/>
        </w:rPr>
        <w:t>epending on the</w:t>
      </w:r>
      <w:r w:rsidR="003C6175">
        <w:rPr>
          <w:rFonts w:ascii="Arial" w:hAnsi="Arial" w:cs="Arial"/>
          <w:sz w:val="22"/>
          <w:szCs w:val="22"/>
          <w:lang w:val="en-GB"/>
        </w:rPr>
        <w:t>ir</w:t>
      </w:r>
      <w:r w:rsidR="004A655E">
        <w:rPr>
          <w:rFonts w:ascii="Arial" w:hAnsi="Arial" w:cs="Arial"/>
          <w:sz w:val="22"/>
          <w:szCs w:val="22"/>
          <w:lang w:val="en-GB"/>
        </w:rPr>
        <w:t xml:space="preserve"> impairments and the barriers </w:t>
      </w:r>
      <w:r w:rsidR="003C6175">
        <w:rPr>
          <w:rFonts w:ascii="Arial" w:hAnsi="Arial" w:cs="Arial"/>
          <w:sz w:val="22"/>
          <w:szCs w:val="22"/>
          <w:lang w:val="en-GB"/>
        </w:rPr>
        <w:t>of</w:t>
      </w:r>
      <w:r w:rsidR="001846D4">
        <w:rPr>
          <w:rFonts w:ascii="Arial" w:hAnsi="Arial" w:cs="Arial"/>
          <w:sz w:val="22"/>
          <w:szCs w:val="22"/>
          <w:lang w:val="en-GB"/>
        </w:rPr>
        <w:t xml:space="preserve"> any kind within</w:t>
      </w:r>
      <w:r w:rsidR="004A655E">
        <w:rPr>
          <w:rFonts w:ascii="Arial" w:hAnsi="Arial" w:cs="Arial"/>
          <w:sz w:val="22"/>
          <w:szCs w:val="22"/>
          <w:lang w:val="en-GB"/>
        </w:rPr>
        <w:t xml:space="preserve"> the </w:t>
      </w:r>
      <w:r w:rsidR="003C6175">
        <w:rPr>
          <w:rFonts w:ascii="Arial" w:hAnsi="Arial" w:cs="Arial"/>
          <w:sz w:val="22"/>
          <w:szCs w:val="22"/>
          <w:lang w:val="en-GB"/>
        </w:rPr>
        <w:t>educational settings</w:t>
      </w:r>
      <w:r w:rsidR="004A655E">
        <w:rPr>
          <w:rFonts w:ascii="Arial" w:hAnsi="Arial" w:cs="Arial"/>
          <w:sz w:val="22"/>
          <w:szCs w:val="22"/>
          <w:lang w:val="en-GB"/>
        </w:rPr>
        <w:t xml:space="preserve">, </w:t>
      </w:r>
      <w:r w:rsidR="003C6175">
        <w:rPr>
          <w:rFonts w:ascii="Arial" w:hAnsi="Arial" w:cs="Arial"/>
          <w:sz w:val="22"/>
          <w:szCs w:val="22"/>
          <w:lang w:val="en-GB"/>
        </w:rPr>
        <w:t>students with disabilities</w:t>
      </w:r>
      <w:r w:rsidR="004A655E">
        <w:rPr>
          <w:rFonts w:ascii="Arial" w:hAnsi="Arial" w:cs="Arial"/>
          <w:sz w:val="22"/>
          <w:szCs w:val="22"/>
          <w:lang w:val="en-GB"/>
        </w:rPr>
        <w:t xml:space="preserve"> may legitimately request reasonable accommodation measures</w:t>
      </w:r>
      <w:r w:rsidR="004559E6">
        <w:rPr>
          <w:rFonts w:ascii="Arial" w:hAnsi="Arial" w:cs="Arial"/>
          <w:sz w:val="22"/>
          <w:szCs w:val="22"/>
          <w:lang w:val="en-GB"/>
        </w:rPr>
        <w:t xml:space="preserve">. </w:t>
      </w:r>
      <w:r w:rsidR="001846D4">
        <w:rPr>
          <w:rFonts w:ascii="Arial" w:hAnsi="Arial" w:cs="Arial"/>
          <w:sz w:val="22"/>
          <w:szCs w:val="22"/>
          <w:lang w:val="en-GB"/>
        </w:rPr>
        <w:t xml:space="preserve">In this sense, </w:t>
      </w:r>
      <w:r w:rsidR="005F2384">
        <w:rPr>
          <w:rFonts w:ascii="Arial" w:hAnsi="Arial" w:cs="Arial"/>
          <w:sz w:val="22"/>
          <w:szCs w:val="22"/>
          <w:lang w:val="en-GB"/>
        </w:rPr>
        <w:t xml:space="preserve">“as support systems or </w:t>
      </w:r>
      <w:r w:rsidR="005F2384" w:rsidRPr="005F2384">
        <w:rPr>
          <w:rFonts w:ascii="Arial" w:hAnsi="Arial" w:cs="Arial"/>
          <w:sz w:val="22"/>
          <w:szCs w:val="22"/>
          <w:lang w:val="en-GB"/>
        </w:rPr>
        <w:t>services may not yet be developed, reasonable accommodation may function as a means of providing support in a particular case</w:t>
      </w:r>
      <w:r w:rsidR="005F2384">
        <w:rPr>
          <w:rFonts w:ascii="Arial" w:hAnsi="Arial" w:cs="Arial"/>
          <w:sz w:val="22"/>
          <w:szCs w:val="22"/>
          <w:lang w:val="en-GB"/>
        </w:rPr>
        <w:t>.”</w:t>
      </w:r>
      <w:r w:rsidR="005F2384">
        <w:rPr>
          <w:rStyle w:val="FootnoteReference"/>
          <w:rFonts w:ascii="Arial" w:hAnsi="Arial" w:cs="Arial"/>
          <w:sz w:val="22"/>
          <w:szCs w:val="22"/>
          <w:lang w:val="en-GB"/>
        </w:rPr>
        <w:footnoteReference w:id="73"/>
      </w:r>
    </w:p>
    <w:p w14:paraId="3810DC3F" w14:textId="77777777" w:rsidR="005F2384" w:rsidRDefault="005F2384" w:rsidP="00010AB7">
      <w:pPr>
        <w:jc w:val="both"/>
        <w:rPr>
          <w:rFonts w:ascii="Arial" w:hAnsi="Arial" w:cs="Arial"/>
          <w:sz w:val="22"/>
          <w:szCs w:val="22"/>
          <w:lang w:val="en-GB"/>
        </w:rPr>
      </w:pPr>
    </w:p>
    <w:p w14:paraId="34193780" w14:textId="77777777" w:rsidR="0092216A" w:rsidRDefault="0092216A" w:rsidP="0092216A">
      <w:pPr>
        <w:jc w:val="both"/>
        <w:rPr>
          <w:rFonts w:ascii="Arial" w:hAnsi="Arial" w:cs="Arial"/>
          <w:sz w:val="22"/>
          <w:szCs w:val="22"/>
          <w:lang w:val="en-GB"/>
        </w:rPr>
      </w:pPr>
      <w:r w:rsidRPr="00446D2E">
        <w:rPr>
          <w:rFonts w:ascii="Arial" w:hAnsi="Arial" w:cs="Arial"/>
          <w:sz w:val="22"/>
          <w:szCs w:val="22"/>
          <w:lang w:val="en-GB"/>
        </w:rPr>
        <w:t>The CRPD Committee emphasised the need to provide individualised education plans identifying the reasonable accommodation</w:t>
      </w:r>
      <w:r>
        <w:rPr>
          <w:rFonts w:ascii="Arial" w:hAnsi="Arial" w:cs="Arial"/>
          <w:sz w:val="22"/>
          <w:szCs w:val="22"/>
          <w:lang w:val="en-GB"/>
        </w:rPr>
        <w:t>s</w:t>
      </w:r>
      <w:r w:rsidRPr="00446D2E">
        <w:rPr>
          <w:rFonts w:ascii="Arial" w:hAnsi="Arial" w:cs="Arial"/>
          <w:sz w:val="22"/>
          <w:szCs w:val="22"/>
          <w:lang w:val="en-GB"/>
        </w:rPr>
        <w:t xml:space="preserve"> and specific support measures required by students with disabilities.</w:t>
      </w:r>
      <w:r w:rsidRPr="00446D2E">
        <w:rPr>
          <w:rStyle w:val="FootnoteReference"/>
          <w:rFonts w:ascii="Arial" w:hAnsi="Arial" w:cs="Arial"/>
          <w:sz w:val="22"/>
          <w:szCs w:val="22"/>
          <w:lang w:val="en-GB"/>
        </w:rPr>
        <w:footnoteReference w:id="74"/>
      </w:r>
      <w:r>
        <w:rPr>
          <w:rFonts w:ascii="Arial" w:hAnsi="Arial" w:cs="Arial"/>
          <w:sz w:val="22"/>
          <w:szCs w:val="22"/>
          <w:lang w:val="en-GB"/>
        </w:rPr>
        <w:t xml:space="preserve"> The plans must also address the transitions of student from segregated to mainstream settings and between levels of education. Their effectiveness should be “regularly monitored and evaluated with the direct involvement of the [student] concerned.”</w:t>
      </w:r>
      <w:r>
        <w:rPr>
          <w:rStyle w:val="FootnoteReference"/>
          <w:rFonts w:ascii="Arial" w:hAnsi="Arial" w:cs="Arial"/>
          <w:sz w:val="22"/>
          <w:szCs w:val="22"/>
          <w:lang w:val="en-GB"/>
        </w:rPr>
        <w:footnoteReference w:id="75"/>
      </w:r>
    </w:p>
    <w:p w14:paraId="4C2B4C41" w14:textId="77777777" w:rsidR="0092216A" w:rsidRPr="00136E5D" w:rsidRDefault="0092216A" w:rsidP="00010AB7">
      <w:pPr>
        <w:jc w:val="both"/>
        <w:rPr>
          <w:rFonts w:ascii="Arial" w:hAnsi="Arial" w:cs="Arial"/>
          <w:sz w:val="22"/>
          <w:szCs w:val="22"/>
          <w:lang w:val="en-GB"/>
        </w:rPr>
      </w:pPr>
    </w:p>
    <w:p w14:paraId="30ED91B7" w14:textId="4D01601B" w:rsidR="000A0324" w:rsidRPr="000A0324" w:rsidRDefault="00FA6D05" w:rsidP="000A0324">
      <w:pPr>
        <w:jc w:val="both"/>
        <w:rPr>
          <w:rFonts w:ascii="Arial" w:hAnsi="Arial" w:cs="Arial"/>
          <w:sz w:val="22"/>
          <w:szCs w:val="22"/>
        </w:rPr>
      </w:pPr>
      <w:r>
        <w:rPr>
          <w:rFonts w:ascii="Arial" w:hAnsi="Arial" w:cs="Arial"/>
          <w:sz w:val="22"/>
          <w:szCs w:val="22"/>
          <w:lang w:val="en-GB"/>
        </w:rPr>
        <w:t xml:space="preserve">Such individualised support measures </w:t>
      </w:r>
      <w:r w:rsidR="008418DF">
        <w:rPr>
          <w:rFonts w:ascii="Arial" w:hAnsi="Arial" w:cs="Arial"/>
          <w:sz w:val="22"/>
          <w:szCs w:val="22"/>
          <w:lang w:val="en-GB"/>
        </w:rPr>
        <w:t xml:space="preserve">may also address </w:t>
      </w:r>
      <w:r w:rsidR="001D2C90">
        <w:rPr>
          <w:rFonts w:ascii="Arial" w:hAnsi="Arial" w:cs="Arial"/>
          <w:sz w:val="22"/>
          <w:szCs w:val="22"/>
          <w:lang w:val="en-GB"/>
        </w:rPr>
        <w:t>aspects not educational in nature but crucial to ensure the educational process</w:t>
      </w:r>
      <w:r w:rsidR="008418DF">
        <w:rPr>
          <w:rFonts w:ascii="Arial" w:hAnsi="Arial" w:cs="Arial"/>
          <w:sz w:val="22"/>
          <w:szCs w:val="22"/>
          <w:lang w:val="en-GB"/>
        </w:rPr>
        <w:t xml:space="preserve"> </w:t>
      </w:r>
      <w:r w:rsidR="001D2C90">
        <w:rPr>
          <w:rFonts w:ascii="Arial" w:hAnsi="Arial" w:cs="Arial"/>
          <w:sz w:val="22"/>
          <w:szCs w:val="22"/>
          <w:lang w:val="en-GB"/>
        </w:rPr>
        <w:t>for</w:t>
      </w:r>
      <w:r w:rsidR="008418DF">
        <w:rPr>
          <w:rFonts w:ascii="Arial" w:hAnsi="Arial" w:cs="Arial"/>
          <w:sz w:val="22"/>
          <w:szCs w:val="22"/>
          <w:lang w:val="en-GB"/>
        </w:rPr>
        <w:t xml:space="preserve"> students with disabilities</w:t>
      </w:r>
      <w:r w:rsidR="00987327">
        <w:rPr>
          <w:rFonts w:ascii="Arial" w:hAnsi="Arial" w:cs="Arial"/>
          <w:sz w:val="22"/>
          <w:szCs w:val="22"/>
          <w:lang w:val="en-GB"/>
        </w:rPr>
        <w:t>,</w:t>
      </w:r>
      <w:r w:rsidR="008418DF">
        <w:rPr>
          <w:rFonts w:ascii="Arial" w:hAnsi="Arial" w:cs="Arial"/>
          <w:sz w:val="22"/>
          <w:szCs w:val="22"/>
          <w:lang w:val="en-GB"/>
        </w:rPr>
        <w:t xml:space="preserve"> in relation for instance to their health condition. The CRPD Committee noted that the fulfilment of the right to enjoy the highest standard of health without discrimination </w:t>
      </w:r>
      <w:r w:rsidR="0095355E">
        <w:rPr>
          <w:rFonts w:ascii="Arial" w:hAnsi="Arial" w:cs="Arial"/>
          <w:sz w:val="22"/>
          <w:szCs w:val="22"/>
          <w:lang w:val="en-GB"/>
        </w:rPr>
        <w:t xml:space="preserve">is </w:t>
      </w:r>
      <w:r w:rsidR="0095355E">
        <w:rPr>
          <w:rFonts w:ascii="Arial" w:hAnsi="Arial" w:cs="Arial"/>
          <w:sz w:val="22"/>
          <w:szCs w:val="22"/>
          <w:lang w:val="en-GB"/>
        </w:rPr>
        <w:lastRenderedPageBreak/>
        <w:t>“integral to the opportunity to benefit fully from education.”</w:t>
      </w:r>
      <w:r w:rsidR="0095355E">
        <w:rPr>
          <w:rStyle w:val="FootnoteReference"/>
          <w:rFonts w:ascii="Arial" w:hAnsi="Arial" w:cs="Arial"/>
          <w:sz w:val="22"/>
          <w:szCs w:val="22"/>
          <w:lang w:val="en-GB"/>
        </w:rPr>
        <w:footnoteReference w:id="76"/>
      </w:r>
      <w:r w:rsidR="0095355E">
        <w:rPr>
          <w:rFonts w:ascii="Arial" w:hAnsi="Arial" w:cs="Arial"/>
          <w:sz w:val="22"/>
          <w:szCs w:val="22"/>
          <w:lang w:val="en-GB"/>
        </w:rPr>
        <w:t xml:space="preserve"> Because the right to inclusive education is compromised if there is no access to hea</w:t>
      </w:r>
      <w:r w:rsidR="00E868C0">
        <w:rPr>
          <w:rFonts w:ascii="Arial" w:hAnsi="Arial" w:cs="Arial"/>
          <w:sz w:val="22"/>
          <w:szCs w:val="22"/>
          <w:lang w:val="en-GB"/>
        </w:rPr>
        <w:t>lth or appropriate treatment</w:t>
      </w:r>
      <w:r w:rsidR="0095355E">
        <w:rPr>
          <w:rFonts w:ascii="Arial" w:hAnsi="Arial" w:cs="Arial"/>
          <w:sz w:val="22"/>
          <w:szCs w:val="22"/>
          <w:lang w:val="en-GB"/>
        </w:rPr>
        <w:t>, States parties should establish health programmes integrated into education services, including the constant monitoring of all health needs.</w:t>
      </w:r>
      <w:r w:rsidR="0095355E">
        <w:rPr>
          <w:rStyle w:val="FootnoteReference"/>
          <w:rFonts w:ascii="Arial" w:hAnsi="Arial" w:cs="Arial"/>
          <w:sz w:val="22"/>
          <w:szCs w:val="22"/>
          <w:lang w:val="en-GB"/>
        </w:rPr>
        <w:footnoteReference w:id="77"/>
      </w:r>
      <w:r w:rsidR="0095355E">
        <w:rPr>
          <w:rFonts w:ascii="Arial" w:hAnsi="Arial" w:cs="Arial"/>
          <w:sz w:val="22"/>
          <w:szCs w:val="22"/>
          <w:lang w:val="en-GB"/>
        </w:rPr>
        <w:t xml:space="preserve"> </w:t>
      </w:r>
      <w:r w:rsidR="000A0324">
        <w:rPr>
          <w:rFonts w:ascii="Arial" w:hAnsi="Arial" w:cs="Arial"/>
          <w:sz w:val="22"/>
          <w:szCs w:val="22"/>
          <w:lang w:val="en-GB"/>
        </w:rPr>
        <w:t xml:space="preserve">States parties should also take measures to provide </w:t>
      </w:r>
      <w:proofErr w:type="spellStart"/>
      <w:r w:rsidR="000A0324">
        <w:rPr>
          <w:rFonts w:ascii="Arial" w:hAnsi="Arial" w:cs="Arial"/>
          <w:sz w:val="22"/>
          <w:szCs w:val="22"/>
          <w:lang w:val="en-GB"/>
        </w:rPr>
        <w:t>habilitation</w:t>
      </w:r>
      <w:proofErr w:type="spellEnd"/>
      <w:r w:rsidR="000A0324">
        <w:rPr>
          <w:rFonts w:ascii="Arial" w:hAnsi="Arial" w:cs="Arial"/>
          <w:sz w:val="22"/>
          <w:szCs w:val="22"/>
          <w:lang w:val="en-GB"/>
        </w:rPr>
        <w:t xml:space="preserve"> and rehabilitation services within the education system “including </w:t>
      </w:r>
      <w:r w:rsidR="000A0324" w:rsidRPr="000A0324">
        <w:rPr>
          <w:rFonts w:ascii="Arial" w:hAnsi="Arial" w:cs="Arial"/>
          <w:sz w:val="22"/>
          <w:szCs w:val="22"/>
        </w:rPr>
        <w:t>health-care, occupational, physical, social, counselling and other services</w:t>
      </w:r>
      <w:r w:rsidR="000A0324">
        <w:rPr>
          <w:rFonts w:ascii="Arial" w:hAnsi="Arial" w:cs="Arial"/>
          <w:sz w:val="22"/>
          <w:szCs w:val="22"/>
        </w:rPr>
        <w:t>” in line with article 26 CRPD.</w:t>
      </w:r>
      <w:r w:rsidR="000A0324">
        <w:rPr>
          <w:rStyle w:val="FootnoteReference"/>
          <w:rFonts w:ascii="Arial" w:hAnsi="Arial" w:cs="Arial"/>
          <w:sz w:val="22"/>
          <w:szCs w:val="22"/>
        </w:rPr>
        <w:footnoteReference w:id="78"/>
      </w:r>
      <w:r w:rsidR="000A0324" w:rsidRPr="000A0324">
        <w:rPr>
          <w:rFonts w:ascii="Arial" w:hAnsi="Arial" w:cs="Arial"/>
          <w:sz w:val="22"/>
          <w:szCs w:val="22"/>
        </w:rPr>
        <w:t xml:space="preserve"> </w:t>
      </w:r>
    </w:p>
    <w:p w14:paraId="023C5C76" w14:textId="77777777" w:rsidR="00BA55F3" w:rsidRPr="00446D2E" w:rsidRDefault="00BA55F3" w:rsidP="00010AB7">
      <w:pPr>
        <w:jc w:val="both"/>
        <w:rPr>
          <w:rFonts w:ascii="Arial" w:hAnsi="Arial" w:cs="Arial"/>
          <w:sz w:val="22"/>
          <w:szCs w:val="22"/>
          <w:lang w:val="en-GB"/>
        </w:rPr>
      </w:pPr>
    </w:p>
    <w:p w14:paraId="2DB4E140" w14:textId="77777777" w:rsidR="00541656" w:rsidRPr="00446D2E" w:rsidRDefault="00541656" w:rsidP="00010AB7">
      <w:pPr>
        <w:jc w:val="both"/>
        <w:rPr>
          <w:rFonts w:ascii="Arial" w:hAnsi="Arial" w:cs="Arial"/>
          <w:sz w:val="22"/>
          <w:szCs w:val="22"/>
          <w:lang w:val="en-GB"/>
        </w:rPr>
      </w:pPr>
    </w:p>
    <w:p w14:paraId="0A2F5EB2" w14:textId="635F6CA1" w:rsidR="00AC6716" w:rsidRPr="00446D2E" w:rsidRDefault="00AC6716" w:rsidP="00010AB7">
      <w:pPr>
        <w:jc w:val="both"/>
        <w:rPr>
          <w:rFonts w:ascii="Arial" w:hAnsi="Arial" w:cs="Arial"/>
          <w:b/>
          <w:sz w:val="22"/>
          <w:szCs w:val="22"/>
          <w:lang w:val="en-GB"/>
        </w:rPr>
      </w:pPr>
      <w:r w:rsidRPr="00446D2E">
        <w:rPr>
          <w:rFonts w:ascii="Arial" w:hAnsi="Arial" w:cs="Arial"/>
          <w:b/>
          <w:sz w:val="22"/>
          <w:szCs w:val="22"/>
          <w:lang w:val="en-GB"/>
        </w:rPr>
        <w:t xml:space="preserve">III. </w:t>
      </w:r>
      <w:r w:rsidR="00E46A39">
        <w:rPr>
          <w:rFonts w:ascii="Arial" w:hAnsi="Arial" w:cs="Arial"/>
          <w:b/>
          <w:sz w:val="22"/>
          <w:szCs w:val="22"/>
          <w:lang w:val="en-GB"/>
        </w:rPr>
        <w:t xml:space="preserve">SOME </w:t>
      </w:r>
      <w:r w:rsidRPr="00446D2E">
        <w:rPr>
          <w:rFonts w:ascii="Arial" w:hAnsi="Arial" w:cs="Arial"/>
          <w:b/>
          <w:sz w:val="22"/>
          <w:szCs w:val="22"/>
          <w:lang w:val="en-GB"/>
        </w:rPr>
        <w:t>COMPARATIVE LAW AND PRACTICES</w:t>
      </w:r>
      <w:r w:rsidR="007503C6" w:rsidRPr="00446D2E">
        <w:rPr>
          <w:rFonts w:ascii="Arial" w:hAnsi="Arial" w:cs="Arial"/>
          <w:b/>
          <w:sz w:val="22"/>
          <w:szCs w:val="22"/>
          <w:lang w:val="en-GB"/>
        </w:rPr>
        <w:t xml:space="preserve"> </w:t>
      </w:r>
    </w:p>
    <w:p w14:paraId="47445807" w14:textId="77777777" w:rsidR="00AA5CCD" w:rsidRPr="00446D2E" w:rsidRDefault="00AA5CCD" w:rsidP="00010AB7">
      <w:pPr>
        <w:jc w:val="both"/>
        <w:rPr>
          <w:rFonts w:ascii="Arial" w:hAnsi="Arial" w:cs="Arial"/>
          <w:sz w:val="22"/>
          <w:szCs w:val="22"/>
          <w:lang w:val="en-GB"/>
        </w:rPr>
      </w:pPr>
    </w:p>
    <w:p w14:paraId="5172C1EA" w14:textId="0A8590D1" w:rsidR="00E10A1B" w:rsidRDefault="00346BD4" w:rsidP="00C606BD">
      <w:pPr>
        <w:jc w:val="both"/>
        <w:rPr>
          <w:rFonts w:ascii="Arial" w:hAnsi="Arial" w:cs="Arial"/>
          <w:sz w:val="22"/>
          <w:szCs w:val="22"/>
          <w:lang w:val="en-GB"/>
        </w:rPr>
      </w:pPr>
      <w:r>
        <w:rPr>
          <w:rFonts w:ascii="Arial" w:hAnsi="Arial" w:cs="Arial"/>
          <w:sz w:val="22"/>
          <w:szCs w:val="22"/>
          <w:lang w:val="en-GB"/>
        </w:rPr>
        <w:t xml:space="preserve">States composing the Council of Europe, and many others around the globe, have taken measures to ensure enrolment of children with disabilities in regular education and to </w:t>
      </w:r>
      <w:r w:rsidR="00C606BD">
        <w:rPr>
          <w:rFonts w:ascii="Arial" w:hAnsi="Arial" w:cs="Arial"/>
          <w:sz w:val="22"/>
          <w:szCs w:val="22"/>
          <w:lang w:val="en-GB"/>
        </w:rPr>
        <w:t>swiftly advance towards full-</w:t>
      </w:r>
      <w:r w:rsidR="00793422">
        <w:rPr>
          <w:rFonts w:ascii="Arial" w:hAnsi="Arial" w:cs="Arial"/>
          <w:sz w:val="22"/>
          <w:szCs w:val="22"/>
          <w:lang w:val="en-GB"/>
        </w:rPr>
        <w:t>fled</w:t>
      </w:r>
      <w:r w:rsidR="003539F4">
        <w:rPr>
          <w:rFonts w:ascii="Arial" w:hAnsi="Arial" w:cs="Arial"/>
          <w:sz w:val="22"/>
          <w:szCs w:val="22"/>
          <w:lang w:val="en-GB"/>
        </w:rPr>
        <w:t>ged inclusive education systems, including at higher education levels.</w:t>
      </w:r>
      <w:r w:rsidR="00605B84">
        <w:rPr>
          <w:rStyle w:val="FootnoteReference"/>
          <w:rFonts w:ascii="Arial" w:hAnsi="Arial" w:cs="Arial"/>
          <w:sz w:val="22"/>
          <w:szCs w:val="22"/>
          <w:lang w:val="en-GB"/>
        </w:rPr>
        <w:footnoteReference w:id="79"/>
      </w:r>
      <w:r w:rsidR="00793422">
        <w:rPr>
          <w:rFonts w:ascii="Arial" w:hAnsi="Arial" w:cs="Arial"/>
          <w:sz w:val="22"/>
          <w:szCs w:val="22"/>
          <w:lang w:val="en-GB"/>
        </w:rPr>
        <w:t xml:space="preserve"> </w:t>
      </w:r>
    </w:p>
    <w:p w14:paraId="43F61559" w14:textId="77777777" w:rsidR="00E10A1B" w:rsidRDefault="00E10A1B" w:rsidP="00C606BD">
      <w:pPr>
        <w:jc w:val="both"/>
        <w:rPr>
          <w:rFonts w:ascii="Arial" w:hAnsi="Arial" w:cs="Arial"/>
          <w:sz w:val="22"/>
          <w:szCs w:val="22"/>
          <w:lang w:val="en-GB"/>
        </w:rPr>
      </w:pPr>
    </w:p>
    <w:p w14:paraId="70646A91" w14:textId="60D06D1D" w:rsidR="00D434F8" w:rsidRDefault="00793422" w:rsidP="00D434F8">
      <w:pPr>
        <w:jc w:val="both"/>
        <w:rPr>
          <w:rFonts w:ascii="Arial" w:hAnsi="Arial" w:cs="Arial"/>
          <w:sz w:val="22"/>
          <w:szCs w:val="22"/>
          <w:lang w:val="en-GB"/>
        </w:rPr>
      </w:pPr>
      <w:r>
        <w:rPr>
          <w:rFonts w:ascii="Arial" w:hAnsi="Arial" w:cs="Arial"/>
          <w:sz w:val="22"/>
          <w:szCs w:val="22"/>
          <w:lang w:val="en-GB"/>
        </w:rPr>
        <w:t>For in</w:t>
      </w:r>
      <w:r w:rsidR="00315D3C">
        <w:rPr>
          <w:rFonts w:ascii="Arial" w:hAnsi="Arial" w:cs="Arial"/>
          <w:sz w:val="22"/>
          <w:szCs w:val="22"/>
          <w:lang w:val="en-GB"/>
        </w:rPr>
        <w:t xml:space="preserve">stance, </w:t>
      </w:r>
      <w:r w:rsidR="00E30763" w:rsidRPr="00E10A1B">
        <w:rPr>
          <w:rFonts w:ascii="Arial" w:hAnsi="Arial" w:cs="Arial"/>
          <w:b/>
          <w:sz w:val="22"/>
          <w:szCs w:val="22"/>
          <w:lang w:val="en-GB"/>
        </w:rPr>
        <w:t>Ireland</w:t>
      </w:r>
      <w:r w:rsidR="00E30763">
        <w:rPr>
          <w:rFonts w:ascii="Arial" w:hAnsi="Arial" w:cs="Arial"/>
          <w:sz w:val="22"/>
          <w:szCs w:val="22"/>
          <w:lang w:val="en-GB"/>
        </w:rPr>
        <w:t xml:space="preserve"> has </w:t>
      </w:r>
      <w:r w:rsidR="001F4A59">
        <w:rPr>
          <w:rFonts w:ascii="Arial" w:hAnsi="Arial" w:cs="Arial"/>
          <w:sz w:val="22"/>
          <w:szCs w:val="22"/>
          <w:lang w:val="en-GB"/>
        </w:rPr>
        <w:t xml:space="preserve">addressed this issue from the schools management perspective and </w:t>
      </w:r>
      <w:r w:rsidR="00E30763">
        <w:rPr>
          <w:rFonts w:ascii="Arial" w:hAnsi="Arial" w:cs="Arial"/>
          <w:sz w:val="22"/>
          <w:szCs w:val="22"/>
          <w:lang w:val="en-GB"/>
        </w:rPr>
        <w:t xml:space="preserve">developed </w:t>
      </w:r>
      <w:r w:rsidR="002C72C1">
        <w:rPr>
          <w:rFonts w:ascii="Arial" w:hAnsi="Arial" w:cs="Arial"/>
          <w:sz w:val="22"/>
          <w:szCs w:val="22"/>
          <w:lang w:val="en-GB"/>
        </w:rPr>
        <w:t>an Inclusive Education Framework</w:t>
      </w:r>
      <w:r w:rsidR="001F4A59">
        <w:rPr>
          <w:rFonts w:ascii="Arial" w:hAnsi="Arial" w:cs="Arial"/>
          <w:sz w:val="22"/>
          <w:szCs w:val="22"/>
          <w:lang w:val="en-GB"/>
        </w:rPr>
        <w:t xml:space="preserve"> directed to schools d</w:t>
      </w:r>
      <w:r w:rsidR="00E10A1B">
        <w:rPr>
          <w:rFonts w:ascii="Arial" w:hAnsi="Arial" w:cs="Arial"/>
          <w:sz w:val="22"/>
          <w:szCs w:val="22"/>
          <w:lang w:val="en-GB"/>
        </w:rPr>
        <w:t>irectors in order to build schools</w:t>
      </w:r>
      <w:r w:rsidR="00C4742E">
        <w:rPr>
          <w:rFonts w:ascii="Arial" w:hAnsi="Arial" w:cs="Arial"/>
          <w:sz w:val="22"/>
          <w:szCs w:val="22"/>
          <w:lang w:val="en-GB"/>
        </w:rPr>
        <w:t>´</w:t>
      </w:r>
      <w:r w:rsidR="001F4A59">
        <w:rPr>
          <w:rFonts w:ascii="Arial" w:hAnsi="Arial" w:cs="Arial"/>
          <w:sz w:val="22"/>
          <w:szCs w:val="22"/>
          <w:lang w:val="en-GB"/>
        </w:rPr>
        <w:t xml:space="preserve"> capacity for inclusive education.</w:t>
      </w:r>
      <w:r w:rsidR="001F4A59">
        <w:rPr>
          <w:rStyle w:val="FootnoteReference"/>
          <w:rFonts w:ascii="Arial" w:hAnsi="Arial" w:cs="Arial"/>
          <w:sz w:val="22"/>
          <w:szCs w:val="22"/>
          <w:lang w:val="en-GB"/>
        </w:rPr>
        <w:footnoteReference w:id="80"/>
      </w:r>
      <w:r w:rsidR="00E10A1B">
        <w:rPr>
          <w:rFonts w:ascii="Arial" w:hAnsi="Arial" w:cs="Arial"/>
          <w:sz w:val="22"/>
          <w:szCs w:val="22"/>
          <w:lang w:val="en-GB"/>
        </w:rPr>
        <w:t xml:space="preserve"> In </w:t>
      </w:r>
      <w:r w:rsidR="00E10A1B" w:rsidRPr="00E10A1B">
        <w:rPr>
          <w:rFonts w:ascii="Arial" w:hAnsi="Arial" w:cs="Arial"/>
          <w:b/>
          <w:sz w:val="22"/>
          <w:szCs w:val="22"/>
          <w:lang w:val="en-GB"/>
        </w:rPr>
        <w:t>Georgia</w:t>
      </w:r>
      <w:r w:rsidR="00E10A1B">
        <w:rPr>
          <w:rFonts w:ascii="Arial" w:hAnsi="Arial" w:cs="Arial"/>
          <w:sz w:val="22"/>
          <w:szCs w:val="22"/>
          <w:lang w:val="en-GB"/>
        </w:rPr>
        <w:t>, the Ministry of Education has developed projects for inclusive education, including in different schools, including notably the activity of “f</w:t>
      </w:r>
      <w:r w:rsidR="00E10A1B" w:rsidRPr="00E10A1B">
        <w:rPr>
          <w:rFonts w:ascii="Arial" w:hAnsi="Arial" w:cs="Arial"/>
          <w:sz w:val="22"/>
          <w:szCs w:val="22"/>
          <w:lang w:val="en-GB"/>
        </w:rPr>
        <w:t>ormation and training of inclusive education supporting teams for targeted regions: regional coordinator, multidisciplinary team members</w:t>
      </w:r>
      <w:r w:rsidR="00E10A1B">
        <w:rPr>
          <w:rFonts w:ascii="Arial" w:hAnsi="Arial" w:cs="Arial"/>
          <w:sz w:val="22"/>
          <w:szCs w:val="22"/>
          <w:lang w:val="en-GB"/>
        </w:rPr>
        <w:t>”.</w:t>
      </w:r>
      <w:r w:rsidR="00E10A1B">
        <w:rPr>
          <w:rStyle w:val="FootnoteReference"/>
          <w:rFonts w:ascii="Arial" w:hAnsi="Arial" w:cs="Arial"/>
          <w:sz w:val="22"/>
          <w:szCs w:val="22"/>
          <w:lang w:val="en-GB"/>
        </w:rPr>
        <w:footnoteReference w:id="81"/>
      </w:r>
      <w:r w:rsidR="00D434F8">
        <w:rPr>
          <w:rFonts w:ascii="Arial" w:hAnsi="Arial" w:cs="Arial"/>
          <w:sz w:val="22"/>
          <w:szCs w:val="22"/>
          <w:lang w:val="en-GB"/>
        </w:rPr>
        <w:t xml:space="preserve"> In contexts where deinstitutionalisation of children with disabilities</w:t>
      </w:r>
      <w:r w:rsidR="00C4742E">
        <w:rPr>
          <w:rFonts w:ascii="Arial" w:hAnsi="Arial" w:cs="Arial"/>
          <w:sz w:val="22"/>
          <w:szCs w:val="22"/>
          <w:lang w:val="en-GB"/>
        </w:rPr>
        <w:t xml:space="preserve"> is</w:t>
      </w:r>
      <w:r w:rsidR="00D434F8">
        <w:rPr>
          <w:rFonts w:ascii="Arial" w:hAnsi="Arial" w:cs="Arial"/>
          <w:sz w:val="22"/>
          <w:szCs w:val="22"/>
          <w:lang w:val="en-GB"/>
        </w:rPr>
        <w:t xml:space="preserve"> addressed, being the parallel development of inclusive education is crucial. </w:t>
      </w:r>
      <w:r w:rsidR="00D434F8" w:rsidRPr="00A51687">
        <w:rPr>
          <w:rFonts w:ascii="Arial" w:hAnsi="Arial" w:cs="Arial"/>
          <w:sz w:val="22"/>
          <w:szCs w:val="22"/>
          <w:lang w:val="en-GB"/>
        </w:rPr>
        <w:t xml:space="preserve">A holistic strategy was carried out in </w:t>
      </w:r>
      <w:r w:rsidR="00D434F8" w:rsidRPr="00E92525">
        <w:rPr>
          <w:rFonts w:ascii="Arial" w:hAnsi="Arial" w:cs="Arial"/>
          <w:b/>
          <w:sz w:val="22"/>
          <w:szCs w:val="22"/>
          <w:lang w:val="en-GB"/>
        </w:rPr>
        <w:t>Moldova</w:t>
      </w:r>
      <w:r w:rsidR="00D434F8" w:rsidRPr="00A51687">
        <w:rPr>
          <w:rFonts w:ascii="Arial" w:hAnsi="Arial" w:cs="Arial"/>
          <w:sz w:val="22"/>
          <w:szCs w:val="22"/>
          <w:lang w:val="en-GB"/>
        </w:rPr>
        <w:t xml:space="preserve"> in which deinstitutionalisation plans </w:t>
      </w:r>
      <w:r w:rsidR="00D434F8">
        <w:rPr>
          <w:rFonts w:ascii="Arial" w:hAnsi="Arial" w:cs="Arial"/>
          <w:sz w:val="22"/>
          <w:szCs w:val="22"/>
          <w:lang w:val="en-GB"/>
        </w:rPr>
        <w:t>of children with disabilities were</w:t>
      </w:r>
      <w:r w:rsidR="00D434F8" w:rsidRPr="00A51687">
        <w:rPr>
          <w:rFonts w:ascii="Arial" w:hAnsi="Arial" w:cs="Arial"/>
          <w:sz w:val="22"/>
          <w:szCs w:val="22"/>
          <w:lang w:val="en-GB"/>
        </w:rPr>
        <w:t xml:space="preserve"> prepared in parallel to the development of inclusive schools and training professionals, in particular teachers and social workers.</w:t>
      </w:r>
      <w:r w:rsidR="00D434F8">
        <w:rPr>
          <w:rStyle w:val="FootnoteReference"/>
          <w:rFonts w:ascii="Arial" w:hAnsi="Arial" w:cs="Arial"/>
          <w:sz w:val="22"/>
          <w:szCs w:val="22"/>
          <w:lang w:val="en-GB"/>
        </w:rPr>
        <w:footnoteReference w:id="82"/>
      </w:r>
      <w:r w:rsidR="00D434F8" w:rsidRPr="00A51687">
        <w:rPr>
          <w:rFonts w:ascii="Arial" w:hAnsi="Arial" w:cs="Arial"/>
          <w:sz w:val="22"/>
          <w:szCs w:val="22"/>
          <w:lang w:val="en-GB"/>
        </w:rPr>
        <w:t xml:space="preserve"> </w:t>
      </w:r>
    </w:p>
    <w:p w14:paraId="18F5B887" w14:textId="77777777" w:rsidR="00625C8B" w:rsidRDefault="00625C8B" w:rsidP="00C606BD">
      <w:pPr>
        <w:jc w:val="both"/>
        <w:rPr>
          <w:rFonts w:ascii="Arial" w:hAnsi="Arial" w:cs="Arial"/>
          <w:sz w:val="22"/>
          <w:szCs w:val="22"/>
          <w:lang w:val="en-GB"/>
        </w:rPr>
      </w:pPr>
    </w:p>
    <w:p w14:paraId="58668E6B" w14:textId="422B1D0B" w:rsidR="00554AA4" w:rsidRDefault="00625C8B" w:rsidP="00C606BD">
      <w:pPr>
        <w:jc w:val="both"/>
        <w:rPr>
          <w:rFonts w:ascii="Arial" w:hAnsi="Arial" w:cs="Arial"/>
          <w:sz w:val="22"/>
          <w:szCs w:val="22"/>
          <w:lang w:val="en-GB"/>
        </w:rPr>
      </w:pPr>
      <w:r>
        <w:rPr>
          <w:rFonts w:ascii="Arial" w:hAnsi="Arial" w:cs="Arial"/>
          <w:sz w:val="22"/>
          <w:szCs w:val="22"/>
          <w:lang w:val="en-GB"/>
        </w:rPr>
        <w:t xml:space="preserve">In </w:t>
      </w:r>
      <w:r w:rsidRPr="00625C8B">
        <w:rPr>
          <w:rFonts w:ascii="Arial" w:hAnsi="Arial" w:cs="Arial"/>
          <w:b/>
          <w:sz w:val="22"/>
          <w:szCs w:val="22"/>
          <w:lang w:val="en-GB"/>
        </w:rPr>
        <w:t>France</w:t>
      </w:r>
      <w:r>
        <w:rPr>
          <w:rFonts w:ascii="Arial" w:hAnsi="Arial" w:cs="Arial"/>
          <w:sz w:val="22"/>
          <w:szCs w:val="22"/>
          <w:lang w:val="en-GB"/>
        </w:rPr>
        <w:t>, as a common practice</w:t>
      </w:r>
      <w:r w:rsidR="00C27050">
        <w:rPr>
          <w:rFonts w:ascii="Arial" w:hAnsi="Arial" w:cs="Arial"/>
          <w:sz w:val="22"/>
          <w:szCs w:val="22"/>
          <w:lang w:val="en-GB"/>
        </w:rPr>
        <w:t xml:space="preserve"> and based on legislation</w:t>
      </w:r>
      <w:r>
        <w:rPr>
          <w:rFonts w:ascii="Arial" w:hAnsi="Arial" w:cs="Arial"/>
          <w:sz w:val="22"/>
          <w:szCs w:val="22"/>
          <w:lang w:val="en-GB"/>
        </w:rPr>
        <w:t>, the Ministry of Education employs “</w:t>
      </w:r>
      <w:proofErr w:type="spellStart"/>
      <w:r>
        <w:rPr>
          <w:rFonts w:ascii="Arial" w:hAnsi="Arial" w:cs="Arial"/>
          <w:sz w:val="22"/>
          <w:szCs w:val="22"/>
          <w:lang w:val="en-GB"/>
        </w:rPr>
        <w:t>auxilier</w:t>
      </w:r>
      <w:proofErr w:type="spellEnd"/>
      <w:r>
        <w:rPr>
          <w:rFonts w:ascii="Arial" w:hAnsi="Arial" w:cs="Arial"/>
          <w:sz w:val="22"/>
          <w:szCs w:val="22"/>
          <w:lang w:val="en-GB"/>
        </w:rPr>
        <w:t xml:space="preserve"> de vie </w:t>
      </w:r>
      <w:proofErr w:type="spellStart"/>
      <w:r>
        <w:rPr>
          <w:rFonts w:ascii="Arial" w:hAnsi="Arial" w:cs="Arial"/>
          <w:sz w:val="22"/>
          <w:szCs w:val="22"/>
          <w:lang w:val="en-GB"/>
        </w:rPr>
        <w:t>scolaire</w:t>
      </w:r>
      <w:proofErr w:type="spellEnd"/>
      <w:r>
        <w:rPr>
          <w:rFonts w:ascii="Arial" w:hAnsi="Arial" w:cs="Arial"/>
          <w:sz w:val="22"/>
          <w:szCs w:val="22"/>
          <w:lang w:val="en-GB"/>
        </w:rPr>
        <w:t>” (AVS, supporter for school life) for children with disabilities to attend school.</w:t>
      </w:r>
      <w:r w:rsidR="00C27050">
        <w:rPr>
          <w:rStyle w:val="FootnoteReference"/>
          <w:rFonts w:ascii="Arial" w:hAnsi="Arial" w:cs="Arial"/>
          <w:sz w:val="22"/>
          <w:szCs w:val="22"/>
          <w:lang w:val="en-GB"/>
        </w:rPr>
        <w:footnoteReference w:id="83"/>
      </w:r>
      <w:r>
        <w:rPr>
          <w:rFonts w:ascii="Arial" w:hAnsi="Arial" w:cs="Arial"/>
          <w:sz w:val="22"/>
          <w:szCs w:val="22"/>
          <w:lang w:val="en-GB"/>
        </w:rPr>
        <w:t xml:space="preserve"> There are </w:t>
      </w:r>
      <w:r w:rsidR="00C27050">
        <w:rPr>
          <w:rFonts w:ascii="Arial" w:hAnsi="Arial" w:cs="Arial"/>
          <w:sz w:val="22"/>
          <w:szCs w:val="22"/>
          <w:lang w:val="en-GB"/>
        </w:rPr>
        <w:t>different</w:t>
      </w:r>
      <w:r>
        <w:rPr>
          <w:rFonts w:ascii="Arial" w:hAnsi="Arial" w:cs="Arial"/>
          <w:sz w:val="22"/>
          <w:szCs w:val="22"/>
          <w:lang w:val="en-GB"/>
        </w:rPr>
        <w:t xml:space="preserve"> kinds of AVS considering whether the support is provided to a group or just to an individual.</w:t>
      </w:r>
      <w:r w:rsidR="00F36524">
        <w:rPr>
          <w:rFonts w:ascii="Arial" w:hAnsi="Arial" w:cs="Arial"/>
          <w:sz w:val="22"/>
          <w:szCs w:val="22"/>
          <w:lang w:val="en-GB"/>
        </w:rPr>
        <w:t xml:space="preserve"> </w:t>
      </w:r>
      <w:r w:rsidR="00605B84">
        <w:rPr>
          <w:rFonts w:ascii="Arial" w:hAnsi="Arial" w:cs="Arial"/>
          <w:sz w:val="22"/>
          <w:szCs w:val="22"/>
          <w:lang w:val="en-GB"/>
        </w:rPr>
        <w:t>Similarly, i</w:t>
      </w:r>
      <w:r w:rsidR="00F36524">
        <w:rPr>
          <w:rFonts w:ascii="Arial" w:hAnsi="Arial" w:cs="Arial"/>
          <w:sz w:val="22"/>
          <w:szCs w:val="22"/>
          <w:lang w:val="en-GB"/>
        </w:rPr>
        <w:t xml:space="preserve">n </w:t>
      </w:r>
      <w:r w:rsidR="00F36524" w:rsidRPr="00605B84">
        <w:rPr>
          <w:rFonts w:ascii="Arial" w:hAnsi="Arial" w:cs="Arial"/>
          <w:b/>
          <w:sz w:val="22"/>
          <w:szCs w:val="22"/>
          <w:lang w:val="en-GB"/>
        </w:rPr>
        <w:t>Switzerland</w:t>
      </w:r>
      <w:r w:rsidR="00F36524">
        <w:rPr>
          <w:rFonts w:ascii="Arial" w:hAnsi="Arial" w:cs="Arial"/>
          <w:sz w:val="22"/>
          <w:szCs w:val="22"/>
          <w:lang w:val="en-GB"/>
        </w:rPr>
        <w:t>,</w:t>
      </w:r>
      <w:r w:rsidR="00605B84">
        <w:rPr>
          <w:rFonts w:ascii="Arial" w:hAnsi="Arial" w:cs="Arial"/>
          <w:sz w:val="22"/>
          <w:szCs w:val="22"/>
          <w:lang w:val="en-GB"/>
        </w:rPr>
        <w:t xml:space="preserve"> the "</w:t>
      </w:r>
      <w:r w:rsidR="00605B84" w:rsidRPr="00605B84">
        <w:t xml:space="preserve"> </w:t>
      </w:r>
      <w:r w:rsidR="00605B84" w:rsidRPr="00605B84">
        <w:rPr>
          <w:rFonts w:ascii="Arial" w:hAnsi="Arial" w:cs="Arial"/>
          <w:sz w:val="22"/>
          <w:szCs w:val="22"/>
          <w:lang w:val="en-GB"/>
        </w:rPr>
        <w:t xml:space="preserve">assistants à </w:t>
      </w:r>
      <w:proofErr w:type="spellStart"/>
      <w:r w:rsidR="00605B84" w:rsidRPr="00605B84">
        <w:rPr>
          <w:rFonts w:ascii="Arial" w:hAnsi="Arial" w:cs="Arial"/>
          <w:sz w:val="22"/>
          <w:szCs w:val="22"/>
          <w:lang w:val="en-GB"/>
        </w:rPr>
        <w:t>l’intégration</w:t>
      </w:r>
      <w:proofErr w:type="spellEnd"/>
      <w:r w:rsidR="00605B84" w:rsidRPr="00605B84">
        <w:rPr>
          <w:rFonts w:ascii="Arial" w:hAnsi="Arial" w:cs="Arial"/>
          <w:sz w:val="22"/>
          <w:szCs w:val="22"/>
          <w:lang w:val="en-GB"/>
        </w:rPr>
        <w:t xml:space="preserve"> </w:t>
      </w:r>
      <w:proofErr w:type="spellStart"/>
      <w:r w:rsidR="00605B84" w:rsidRPr="00605B84">
        <w:rPr>
          <w:rFonts w:ascii="Arial" w:hAnsi="Arial" w:cs="Arial"/>
          <w:sz w:val="22"/>
          <w:szCs w:val="22"/>
          <w:lang w:val="en-GB"/>
        </w:rPr>
        <w:t>scolaire</w:t>
      </w:r>
      <w:proofErr w:type="spellEnd"/>
      <w:r w:rsidR="00605B84">
        <w:rPr>
          <w:rFonts w:ascii="Arial" w:hAnsi="Arial" w:cs="Arial"/>
          <w:sz w:val="22"/>
          <w:szCs w:val="22"/>
          <w:lang w:val="en-GB"/>
        </w:rPr>
        <w:t>”</w:t>
      </w:r>
      <w:r w:rsidR="00605B84" w:rsidRPr="00605B84">
        <w:rPr>
          <w:rFonts w:ascii="Arial" w:hAnsi="Arial" w:cs="Arial"/>
          <w:sz w:val="22"/>
          <w:szCs w:val="22"/>
          <w:lang w:val="en-GB"/>
        </w:rPr>
        <w:t xml:space="preserve"> (AIS)</w:t>
      </w:r>
      <w:r w:rsidR="00605B84">
        <w:rPr>
          <w:rFonts w:ascii="Arial" w:hAnsi="Arial" w:cs="Arial"/>
          <w:sz w:val="22"/>
          <w:szCs w:val="22"/>
          <w:lang w:val="en-GB"/>
        </w:rPr>
        <w:t xml:space="preserve"> support students with disabilities in regular classrooms, in majority those blind and with visual impairment and those with physical disabilities.</w:t>
      </w:r>
      <w:r w:rsidR="00605B84">
        <w:rPr>
          <w:rStyle w:val="FootnoteReference"/>
          <w:rFonts w:ascii="Arial" w:hAnsi="Arial" w:cs="Arial"/>
          <w:sz w:val="22"/>
          <w:szCs w:val="22"/>
          <w:lang w:val="en-GB"/>
        </w:rPr>
        <w:footnoteReference w:id="84"/>
      </w:r>
      <w:r w:rsidR="00F36524">
        <w:rPr>
          <w:rFonts w:ascii="Arial" w:hAnsi="Arial" w:cs="Arial"/>
          <w:sz w:val="22"/>
          <w:szCs w:val="22"/>
          <w:lang w:val="en-GB"/>
        </w:rPr>
        <w:t xml:space="preserve"> </w:t>
      </w:r>
    </w:p>
    <w:p w14:paraId="505126FF" w14:textId="77777777" w:rsidR="00554AA4" w:rsidRDefault="00554AA4" w:rsidP="00C606BD">
      <w:pPr>
        <w:jc w:val="both"/>
        <w:rPr>
          <w:rFonts w:ascii="Arial" w:hAnsi="Arial" w:cs="Arial"/>
          <w:sz w:val="22"/>
          <w:szCs w:val="22"/>
          <w:lang w:val="en-GB"/>
        </w:rPr>
      </w:pPr>
    </w:p>
    <w:p w14:paraId="54775E65" w14:textId="15D32DD0" w:rsidR="00D434F8" w:rsidRDefault="00554AA4" w:rsidP="00C606BD">
      <w:pPr>
        <w:jc w:val="both"/>
        <w:rPr>
          <w:rFonts w:ascii="Arial" w:hAnsi="Arial" w:cs="Arial"/>
          <w:sz w:val="22"/>
          <w:szCs w:val="22"/>
          <w:lang w:val="en-GB"/>
        </w:rPr>
      </w:pPr>
      <w:r>
        <w:rPr>
          <w:rFonts w:ascii="Arial" w:hAnsi="Arial" w:cs="Arial"/>
          <w:sz w:val="22"/>
          <w:szCs w:val="22"/>
          <w:lang w:val="en-GB"/>
        </w:rPr>
        <w:t xml:space="preserve">In the area of </w:t>
      </w:r>
      <w:r w:rsidRPr="003539F4">
        <w:rPr>
          <w:rFonts w:ascii="Arial" w:hAnsi="Arial" w:cs="Arial"/>
          <w:b/>
          <w:sz w:val="22"/>
          <w:szCs w:val="22"/>
          <w:lang w:val="en-GB"/>
        </w:rPr>
        <w:t>higher education</w:t>
      </w:r>
      <w:r>
        <w:rPr>
          <w:rFonts w:ascii="Arial" w:hAnsi="Arial" w:cs="Arial"/>
          <w:sz w:val="22"/>
          <w:szCs w:val="22"/>
          <w:lang w:val="en-GB"/>
        </w:rPr>
        <w:t xml:space="preserve">, many </w:t>
      </w:r>
      <w:r w:rsidR="003539F4">
        <w:rPr>
          <w:rFonts w:ascii="Arial" w:hAnsi="Arial" w:cs="Arial"/>
          <w:sz w:val="22"/>
          <w:szCs w:val="22"/>
          <w:lang w:val="en-GB"/>
        </w:rPr>
        <w:t xml:space="preserve">European States, and education institutions within them, have taken the lead and been developing practices that favour </w:t>
      </w:r>
      <w:r w:rsidRPr="00C674B2">
        <w:rPr>
          <w:rFonts w:ascii="Arial" w:hAnsi="Arial" w:cs="Arial"/>
          <w:sz w:val="22"/>
          <w:szCs w:val="22"/>
          <w:lang w:val="en-GB"/>
        </w:rPr>
        <w:t>the right to inclusive education</w:t>
      </w:r>
      <w:r w:rsidR="003539F4">
        <w:rPr>
          <w:rFonts w:ascii="Arial" w:hAnsi="Arial" w:cs="Arial"/>
          <w:sz w:val="22"/>
          <w:szCs w:val="22"/>
          <w:lang w:val="en-GB"/>
        </w:rPr>
        <w:t xml:space="preserve"> of persons with disabilities</w:t>
      </w:r>
      <w:r w:rsidRPr="00C674B2">
        <w:rPr>
          <w:rFonts w:ascii="Arial" w:hAnsi="Arial" w:cs="Arial"/>
          <w:sz w:val="22"/>
          <w:szCs w:val="22"/>
          <w:lang w:val="en-GB"/>
        </w:rPr>
        <w:t>.</w:t>
      </w:r>
      <w:r w:rsidR="003539F4">
        <w:rPr>
          <w:rFonts w:ascii="Arial" w:hAnsi="Arial" w:cs="Arial"/>
          <w:sz w:val="22"/>
          <w:szCs w:val="22"/>
          <w:lang w:val="en-GB"/>
        </w:rPr>
        <w:t xml:space="preserve"> </w:t>
      </w:r>
      <w:r w:rsidR="003539F4" w:rsidRPr="003539F4">
        <w:rPr>
          <w:rFonts w:ascii="Arial" w:hAnsi="Arial" w:cs="Arial"/>
          <w:sz w:val="22"/>
          <w:szCs w:val="22"/>
          <w:lang w:val="en-GB"/>
        </w:rPr>
        <w:t xml:space="preserve">For instance, legislation in </w:t>
      </w:r>
      <w:r w:rsidR="003539F4" w:rsidRPr="003539F4">
        <w:rPr>
          <w:rFonts w:ascii="Arial" w:hAnsi="Arial" w:cs="Arial"/>
          <w:b/>
          <w:sz w:val="22"/>
          <w:szCs w:val="22"/>
          <w:lang w:val="en-GB"/>
        </w:rPr>
        <w:t>Slovakia</w:t>
      </w:r>
      <w:r w:rsidR="003539F4" w:rsidRPr="003539F4">
        <w:rPr>
          <w:rFonts w:ascii="Arial" w:hAnsi="Arial" w:cs="Arial"/>
          <w:sz w:val="22"/>
          <w:szCs w:val="22"/>
          <w:lang w:val="en-GB"/>
        </w:rPr>
        <w:t xml:space="preserve"> requires universities to “create appropriate conditions” for students with </w:t>
      </w:r>
      <w:r w:rsidR="003539F4" w:rsidRPr="003539F4">
        <w:rPr>
          <w:rFonts w:ascii="Arial" w:hAnsi="Arial" w:cs="Arial"/>
          <w:sz w:val="22"/>
          <w:szCs w:val="22"/>
          <w:lang w:val="en-GB"/>
        </w:rPr>
        <w:lastRenderedPageBreak/>
        <w:t>disabilities</w:t>
      </w:r>
      <w:r w:rsidR="003539F4">
        <w:rPr>
          <w:rFonts w:ascii="Arial" w:hAnsi="Arial" w:cs="Arial"/>
          <w:sz w:val="22"/>
          <w:szCs w:val="22"/>
          <w:lang w:val="en-GB"/>
        </w:rPr>
        <w:t>.</w:t>
      </w:r>
      <w:r w:rsidRPr="00C674B2">
        <w:rPr>
          <w:rFonts w:ascii="Arial" w:eastAsia="Arial" w:hAnsi="Arial" w:cs="Arial"/>
          <w:sz w:val="22"/>
          <w:szCs w:val="22"/>
          <w:vertAlign w:val="superscript"/>
          <w:lang w:val="en-GB"/>
        </w:rPr>
        <w:footnoteReference w:id="85"/>
      </w:r>
      <w:r w:rsidR="003539F4">
        <w:rPr>
          <w:rFonts w:ascii="Arial" w:hAnsi="Arial" w:cs="Arial"/>
          <w:sz w:val="22"/>
          <w:szCs w:val="22"/>
          <w:lang w:val="en-GB"/>
        </w:rPr>
        <w:t xml:space="preserve"> Measures advanced in</w:t>
      </w:r>
      <w:r w:rsidR="00C4742E">
        <w:rPr>
          <w:rFonts w:ascii="Arial" w:hAnsi="Arial" w:cs="Arial"/>
          <w:sz w:val="22"/>
          <w:szCs w:val="22"/>
          <w:lang w:val="en-GB"/>
        </w:rPr>
        <w:t xml:space="preserve"> </w:t>
      </w:r>
      <w:r w:rsidR="00C4742E" w:rsidRPr="007E02B1">
        <w:rPr>
          <w:rFonts w:ascii="Arial" w:hAnsi="Arial" w:cs="Arial"/>
          <w:b/>
          <w:sz w:val="22"/>
          <w:szCs w:val="22"/>
          <w:lang w:val="en-GB"/>
        </w:rPr>
        <w:t>Denmark</w:t>
      </w:r>
      <w:r w:rsidR="00C4742E">
        <w:rPr>
          <w:rFonts w:ascii="Arial" w:hAnsi="Arial" w:cs="Arial"/>
          <w:sz w:val="22"/>
          <w:szCs w:val="22"/>
          <w:lang w:val="en-GB"/>
        </w:rPr>
        <w:t xml:space="preserve"> and </w:t>
      </w:r>
      <w:r w:rsidR="00C4742E" w:rsidRPr="007E02B1">
        <w:rPr>
          <w:rFonts w:ascii="Arial" w:hAnsi="Arial" w:cs="Arial"/>
          <w:b/>
          <w:sz w:val="22"/>
          <w:szCs w:val="22"/>
          <w:lang w:val="en-GB"/>
        </w:rPr>
        <w:t>France</w:t>
      </w:r>
      <w:r w:rsidR="00C4742E">
        <w:rPr>
          <w:rFonts w:ascii="Arial" w:hAnsi="Arial" w:cs="Arial"/>
          <w:sz w:val="22"/>
          <w:szCs w:val="22"/>
          <w:lang w:val="en-GB"/>
        </w:rPr>
        <w:t xml:space="preserve"> acknowledge and guarantee</w:t>
      </w:r>
      <w:r w:rsidR="003539F4">
        <w:rPr>
          <w:rFonts w:ascii="Arial" w:hAnsi="Arial" w:cs="Arial"/>
          <w:sz w:val="22"/>
          <w:szCs w:val="22"/>
          <w:lang w:val="en-GB"/>
        </w:rPr>
        <w:t xml:space="preserve"> the provision of support to persons with disabilities in higher education.</w:t>
      </w:r>
      <w:r w:rsidR="003539F4">
        <w:rPr>
          <w:rStyle w:val="FootnoteReference"/>
          <w:rFonts w:ascii="Arial" w:hAnsi="Arial" w:cs="Arial"/>
          <w:sz w:val="22"/>
          <w:szCs w:val="22"/>
          <w:lang w:val="en-GB"/>
        </w:rPr>
        <w:footnoteReference w:id="86"/>
      </w:r>
      <w:r w:rsidRPr="00C674B2">
        <w:rPr>
          <w:rFonts w:ascii="Arial" w:hAnsi="Arial" w:cs="Arial"/>
          <w:sz w:val="22"/>
          <w:szCs w:val="22"/>
          <w:lang w:val="en-GB"/>
        </w:rPr>
        <w:t xml:space="preserve">  </w:t>
      </w:r>
    </w:p>
    <w:p w14:paraId="2F067643" w14:textId="77777777" w:rsidR="00D434F8" w:rsidRDefault="00D434F8" w:rsidP="00C606BD">
      <w:pPr>
        <w:jc w:val="both"/>
        <w:rPr>
          <w:rFonts w:ascii="Arial" w:hAnsi="Arial" w:cs="Arial"/>
          <w:sz w:val="22"/>
          <w:szCs w:val="22"/>
          <w:lang w:val="en-GB"/>
        </w:rPr>
      </w:pPr>
    </w:p>
    <w:p w14:paraId="25B4BF1A" w14:textId="4F63D957" w:rsidR="00625C8B" w:rsidRPr="00887627" w:rsidRDefault="00887627" w:rsidP="005437AC">
      <w:pPr>
        <w:pStyle w:val="Body"/>
        <w:jc w:val="both"/>
        <w:rPr>
          <w:rFonts w:ascii="Arial" w:hAnsi="Arial" w:cs="Arial"/>
          <w:sz w:val="22"/>
          <w:szCs w:val="22"/>
          <w:lang w:val="en-GB"/>
        </w:rPr>
      </w:pPr>
      <w:r w:rsidRPr="009A7140">
        <w:rPr>
          <w:rFonts w:ascii="Arial" w:hAnsi="Arial" w:cs="Arial"/>
          <w:sz w:val="22"/>
          <w:szCs w:val="22"/>
          <w:lang w:val="en-GB"/>
        </w:rPr>
        <w:t xml:space="preserve">While it has been widely documented that inclusive </w:t>
      </w:r>
      <w:proofErr w:type="gramStart"/>
      <w:r w:rsidRPr="009A7140">
        <w:rPr>
          <w:rFonts w:ascii="Arial" w:hAnsi="Arial" w:cs="Arial"/>
          <w:sz w:val="22"/>
          <w:szCs w:val="22"/>
          <w:lang w:val="en-GB"/>
        </w:rPr>
        <w:t>education</w:t>
      </w:r>
      <w:proofErr w:type="gramEnd"/>
      <w:r w:rsidRPr="009A7140">
        <w:rPr>
          <w:rFonts w:ascii="Arial" w:hAnsi="Arial" w:cs="Arial"/>
          <w:sz w:val="22"/>
          <w:szCs w:val="22"/>
          <w:lang w:val="en-GB"/>
        </w:rPr>
        <w:t xml:space="preserve"> systems are more cost-effective than special education,</w:t>
      </w:r>
      <w:r w:rsidRPr="009A7140">
        <w:rPr>
          <w:rStyle w:val="FootnoteReference"/>
          <w:rFonts w:ascii="Arial" w:hAnsi="Arial" w:cs="Arial"/>
          <w:sz w:val="22"/>
          <w:szCs w:val="22"/>
          <w:lang w:val="en-GB"/>
        </w:rPr>
        <w:footnoteReference w:id="87"/>
      </w:r>
      <w:r w:rsidRPr="009A7140">
        <w:rPr>
          <w:rFonts w:ascii="Arial" w:hAnsi="Arial" w:cs="Arial"/>
          <w:sz w:val="22"/>
          <w:szCs w:val="22"/>
          <w:lang w:val="en-GB"/>
        </w:rPr>
        <w:t xml:space="preserve"> </w:t>
      </w:r>
      <w:r w:rsidRPr="00C72CEC">
        <w:rPr>
          <w:rFonts w:ascii="Arial" w:hAnsi="Arial" w:cs="Arial"/>
          <w:sz w:val="22"/>
          <w:szCs w:val="22"/>
          <w:lang w:val="en-GB"/>
        </w:rPr>
        <w:t xml:space="preserve">there are several </w:t>
      </w:r>
      <w:r>
        <w:rPr>
          <w:rFonts w:ascii="Arial" w:hAnsi="Arial" w:cs="Arial"/>
          <w:sz w:val="22"/>
          <w:szCs w:val="22"/>
          <w:lang w:val="en-GB"/>
        </w:rPr>
        <w:t xml:space="preserve">specific challenges </w:t>
      </w:r>
      <w:r w:rsidRPr="00C72CEC">
        <w:rPr>
          <w:rFonts w:ascii="Arial" w:hAnsi="Arial" w:cs="Arial"/>
          <w:sz w:val="22"/>
          <w:szCs w:val="22"/>
          <w:lang w:val="en-GB"/>
        </w:rPr>
        <w:t xml:space="preserve">which </w:t>
      </w:r>
      <w:r>
        <w:rPr>
          <w:rFonts w:ascii="Arial" w:hAnsi="Arial" w:cs="Arial"/>
          <w:sz w:val="22"/>
          <w:szCs w:val="22"/>
          <w:lang w:val="en-GB"/>
        </w:rPr>
        <w:t xml:space="preserve">should be addressed in ensuring </w:t>
      </w:r>
      <w:r w:rsidRPr="00847E7B">
        <w:rPr>
          <w:rFonts w:ascii="Arial" w:hAnsi="Arial" w:cs="Arial"/>
          <w:sz w:val="22"/>
          <w:szCs w:val="22"/>
          <w:lang w:val="en-GB"/>
        </w:rPr>
        <w:t>adequate public financing for inclusive education.</w:t>
      </w:r>
      <w:r w:rsidR="005437AC">
        <w:rPr>
          <w:rFonts w:ascii="Arial" w:hAnsi="Arial" w:cs="Arial"/>
          <w:sz w:val="22"/>
          <w:szCs w:val="22"/>
          <w:lang w:val="en-GB"/>
        </w:rPr>
        <w:t xml:space="preserve"> </w:t>
      </w:r>
      <w:r>
        <w:rPr>
          <w:rFonts w:ascii="Arial" w:hAnsi="Arial" w:cs="Arial"/>
          <w:sz w:val="22"/>
          <w:szCs w:val="22"/>
          <w:lang w:val="en-GB"/>
        </w:rPr>
        <w:t>In this sense,</w:t>
      </w:r>
      <w:r w:rsidR="00D434F8" w:rsidRPr="00887627">
        <w:rPr>
          <w:rFonts w:ascii="Arial" w:hAnsi="Arial" w:cs="Arial"/>
          <w:sz w:val="22"/>
          <w:szCs w:val="22"/>
          <w:lang w:val="en-GB"/>
        </w:rPr>
        <w:t xml:space="preserve"> emerging good practices in financing inclusive education for children with disabilities has been observed in per capita based State efforts </w:t>
      </w:r>
      <w:r w:rsidR="00D434F8" w:rsidRPr="003E09AD">
        <w:rPr>
          <w:rFonts w:ascii="Arial" w:hAnsi="Arial" w:cs="Arial"/>
          <w:b/>
          <w:sz w:val="22"/>
          <w:szCs w:val="22"/>
          <w:lang w:val="en-GB"/>
        </w:rPr>
        <w:t>e.g., in Serbia.</w:t>
      </w:r>
      <w:r w:rsidR="00D434F8" w:rsidRPr="005437AC">
        <w:rPr>
          <w:rStyle w:val="FootnoteReference"/>
        </w:rPr>
        <w:footnoteReference w:id="88"/>
      </w:r>
      <w:r w:rsidR="00D434F8" w:rsidRPr="005437AC">
        <w:rPr>
          <w:rStyle w:val="FootnoteReference"/>
        </w:rPr>
        <w:t xml:space="preserve"> </w:t>
      </w:r>
      <w:r w:rsidR="00D434F8" w:rsidRPr="00887627">
        <w:rPr>
          <w:rFonts w:ascii="Arial" w:hAnsi="Arial" w:cs="Arial"/>
          <w:sz w:val="22"/>
          <w:szCs w:val="22"/>
          <w:lang w:val="en-GB"/>
        </w:rPr>
        <w:t xml:space="preserve">Planning on a per student basis enabled the State to cost Minimum Service Packages for education in relation to health and social welfare for children with disabilities and Roma children. </w:t>
      </w:r>
      <w:r w:rsidR="00625C8B" w:rsidRPr="00887627">
        <w:rPr>
          <w:rFonts w:ascii="Arial" w:hAnsi="Arial" w:cs="Arial"/>
          <w:sz w:val="22"/>
          <w:szCs w:val="22"/>
          <w:lang w:val="en-GB"/>
        </w:rPr>
        <w:t xml:space="preserve"> </w:t>
      </w:r>
    </w:p>
    <w:p w14:paraId="785F461E" w14:textId="77777777" w:rsidR="00D434F8" w:rsidRDefault="00D434F8" w:rsidP="00010AB7">
      <w:pPr>
        <w:jc w:val="both"/>
        <w:rPr>
          <w:rFonts w:ascii="Arial" w:hAnsi="Arial" w:cs="Arial"/>
          <w:sz w:val="22"/>
          <w:szCs w:val="22"/>
          <w:u w:val="single"/>
          <w:lang w:val="en-GB"/>
        </w:rPr>
      </w:pPr>
    </w:p>
    <w:p w14:paraId="5A2404AF" w14:textId="742F03C3" w:rsidR="003539F4" w:rsidRDefault="004F2C54" w:rsidP="004F2C54">
      <w:pPr>
        <w:pStyle w:val="Body"/>
        <w:jc w:val="both"/>
        <w:rPr>
          <w:rFonts w:ascii="Arial" w:hAnsi="Arial" w:cs="Arial"/>
          <w:sz w:val="22"/>
          <w:szCs w:val="22"/>
          <w:lang w:val="en-GB"/>
        </w:rPr>
      </w:pPr>
      <w:r>
        <w:rPr>
          <w:rFonts w:ascii="Arial" w:hAnsi="Arial" w:cs="Arial"/>
          <w:sz w:val="22"/>
          <w:szCs w:val="22"/>
          <w:lang w:val="en-GB"/>
        </w:rPr>
        <w:t xml:space="preserve">In the recent years, </w:t>
      </w:r>
      <w:r w:rsidRPr="00E71E8E">
        <w:rPr>
          <w:rFonts w:ascii="Arial" w:hAnsi="Arial" w:cs="Arial"/>
          <w:b/>
          <w:sz w:val="22"/>
          <w:szCs w:val="22"/>
          <w:lang w:val="en-GB"/>
        </w:rPr>
        <w:t>s</w:t>
      </w:r>
      <w:r w:rsidR="00AA5CCD" w:rsidRPr="00E71E8E">
        <w:rPr>
          <w:rFonts w:ascii="Arial" w:hAnsi="Arial" w:cs="Arial"/>
          <w:b/>
          <w:sz w:val="22"/>
          <w:szCs w:val="22"/>
          <w:lang w:val="en-GB"/>
        </w:rPr>
        <w:t>everal court</w:t>
      </w:r>
      <w:r w:rsidR="00A5224F" w:rsidRPr="00E71E8E">
        <w:rPr>
          <w:rFonts w:ascii="Arial" w:hAnsi="Arial" w:cs="Arial"/>
          <w:b/>
          <w:sz w:val="22"/>
          <w:szCs w:val="22"/>
          <w:lang w:val="en-GB"/>
        </w:rPr>
        <w:t xml:space="preserve">s </w:t>
      </w:r>
      <w:r w:rsidR="00A5224F">
        <w:rPr>
          <w:rFonts w:ascii="Arial" w:hAnsi="Arial" w:cs="Arial"/>
          <w:sz w:val="22"/>
          <w:szCs w:val="22"/>
          <w:lang w:val="en-GB"/>
        </w:rPr>
        <w:t xml:space="preserve">and other bodies </w:t>
      </w:r>
      <w:r w:rsidR="00AA5CCD">
        <w:rPr>
          <w:rFonts w:ascii="Arial" w:hAnsi="Arial" w:cs="Arial"/>
          <w:sz w:val="22"/>
          <w:szCs w:val="22"/>
          <w:lang w:val="en-GB"/>
        </w:rPr>
        <w:t xml:space="preserve">have </w:t>
      </w:r>
      <w:r>
        <w:rPr>
          <w:rFonts w:ascii="Arial" w:hAnsi="Arial" w:cs="Arial"/>
          <w:sz w:val="22"/>
          <w:szCs w:val="22"/>
          <w:lang w:val="en-GB"/>
        </w:rPr>
        <w:t>adopted</w:t>
      </w:r>
      <w:r w:rsidR="00AA5CCD">
        <w:rPr>
          <w:rFonts w:ascii="Arial" w:hAnsi="Arial" w:cs="Arial"/>
          <w:sz w:val="22"/>
          <w:szCs w:val="22"/>
          <w:lang w:val="en-GB"/>
        </w:rPr>
        <w:t xml:space="preserve"> </w:t>
      </w:r>
      <w:r>
        <w:rPr>
          <w:rFonts w:ascii="Arial" w:hAnsi="Arial" w:cs="Arial"/>
          <w:sz w:val="22"/>
          <w:szCs w:val="22"/>
          <w:lang w:val="en-GB"/>
        </w:rPr>
        <w:t xml:space="preserve">similar criteria to this </w:t>
      </w:r>
      <w:r w:rsidR="00AA5CCD">
        <w:rPr>
          <w:rFonts w:ascii="Arial" w:hAnsi="Arial" w:cs="Arial"/>
          <w:sz w:val="22"/>
          <w:szCs w:val="22"/>
          <w:lang w:val="en-GB"/>
        </w:rPr>
        <w:t xml:space="preserve">Court criteria in </w:t>
      </w:r>
      <w:proofErr w:type="spellStart"/>
      <w:r w:rsidR="00AA5CCD" w:rsidRPr="00E868C0">
        <w:rPr>
          <w:rFonts w:ascii="Arial" w:hAnsi="Arial" w:cs="Arial"/>
          <w:b/>
          <w:i/>
          <w:sz w:val="22"/>
          <w:szCs w:val="22"/>
          <w:lang w:val="en-GB"/>
        </w:rPr>
        <w:t>Çam</w:t>
      </w:r>
      <w:proofErr w:type="spellEnd"/>
      <w:r w:rsidR="00AA5CCD" w:rsidRPr="00E868C0">
        <w:rPr>
          <w:rFonts w:ascii="Arial" w:hAnsi="Arial" w:cs="Arial"/>
          <w:b/>
          <w:i/>
          <w:sz w:val="22"/>
          <w:szCs w:val="22"/>
          <w:lang w:val="en-GB"/>
        </w:rPr>
        <w:t xml:space="preserve"> v. Turkey</w:t>
      </w:r>
      <w:r w:rsidRPr="004F2C54">
        <w:rPr>
          <w:rFonts w:ascii="Arial" w:hAnsi="Arial" w:cs="Arial"/>
          <w:sz w:val="22"/>
          <w:szCs w:val="22"/>
          <w:lang w:val="en-GB"/>
        </w:rPr>
        <w:t>,</w:t>
      </w:r>
      <w:r w:rsidR="00AA5CCD">
        <w:rPr>
          <w:rFonts w:ascii="Arial" w:hAnsi="Arial" w:cs="Arial"/>
          <w:sz w:val="22"/>
          <w:szCs w:val="22"/>
          <w:lang w:val="en-GB"/>
        </w:rPr>
        <w:t xml:space="preserve"> </w:t>
      </w:r>
      <w:r w:rsidR="00A5224F">
        <w:rPr>
          <w:rFonts w:ascii="Arial" w:hAnsi="Arial" w:cs="Arial"/>
          <w:sz w:val="22"/>
          <w:szCs w:val="22"/>
          <w:lang w:val="en-GB"/>
        </w:rPr>
        <w:t>uphold</w:t>
      </w:r>
      <w:r>
        <w:rPr>
          <w:rFonts w:ascii="Arial" w:hAnsi="Arial" w:cs="Arial"/>
          <w:sz w:val="22"/>
          <w:szCs w:val="22"/>
          <w:lang w:val="en-GB"/>
        </w:rPr>
        <w:t>ing</w:t>
      </w:r>
      <w:r w:rsidR="00A5224F">
        <w:rPr>
          <w:rFonts w:ascii="Arial" w:hAnsi="Arial" w:cs="Arial"/>
          <w:sz w:val="22"/>
          <w:szCs w:val="22"/>
          <w:lang w:val="en-GB"/>
        </w:rPr>
        <w:t xml:space="preserve"> the right to inclusive education and strengthen</w:t>
      </w:r>
      <w:r>
        <w:rPr>
          <w:rFonts w:ascii="Arial" w:hAnsi="Arial" w:cs="Arial"/>
          <w:sz w:val="22"/>
          <w:szCs w:val="22"/>
          <w:lang w:val="en-GB"/>
        </w:rPr>
        <w:t>ing</w:t>
      </w:r>
      <w:r w:rsidR="00A5224F">
        <w:rPr>
          <w:rFonts w:ascii="Arial" w:hAnsi="Arial" w:cs="Arial"/>
          <w:sz w:val="22"/>
          <w:szCs w:val="22"/>
          <w:lang w:val="en-GB"/>
        </w:rPr>
        <w:t xml:space="preserve"> its justiciability. </w:t>
      </w:r>
      <w:r>
        <w:rPr>
          <w:rFonts w:ascii="Arial" w:hAnsi="Arial" w:cs="Arial"/>
          <w:sz w:val="22"/>
          <w:szCs w:val="22"/>
          <w:lang w:val="en-GB"/>
        </w:rPr>
        <w:t xml:space="preserve">Already </w:t>
      </w:r>
      <w:r w:rsidRPr="00C674B2">
        <w:rPr>
          <w:rFonts w:ascii="Arial" w:hAnsi="Arial" w:cs="Arial"/>
          <w:sz w:val="22"/>
          <w:szCs w:val="22"/>
          <w:lang w:val="en-GB"/>
        </w:rPr>
        <w:t>in 200</w:t>
      </w:r>
      <w:r w:rsidR="00303FBC">
        <w:rPr>
          <w:rFonts w:ascii="Arial" w:hAnsi="Arial" w:cs="Arial"/>
          <w:sz w:val="22"/>
          <w:szCs w:val="22"/>
          <w:lang w:val="en-GB"/>
        </w:rPr>
        <w:t xml:space="preserve">7, prior to CRPD ratification, the </w:t>
      </w:r>
      <w:r w:rsidR="00303FBC" w:rsidRPr="00303FBC">
        <w:rPr>
          <w:rFonts w:ascii="Arial" w:hAnsi="Arial" w:cs="Arial"/>
          <w:b/>
          <w:sz w:val="22"/>
          <w:szCs w:val="22"/>
          <w:lang w:val="en-GB"/>
        </w:rPr>
        <w:t>Sofia District Court</w:t>
      </w:r>
      <w:r w:rsidRPr="00303FBC">
        <w:rPr>
          <w:rFonts w:ascii="Arial" w:hAnsi="Arial" w:cs="Arial"/>
          <w:b/>
          <w:sz w:val="22"/>
          <w:szCs w:val="22"/>
          <w:lang w:val="en-GB"/>
        </w:rPr>
        <w:t xml:space="preserve"> </w:t>
      </w:r>
      <w:r w:rsidR="00303FBC" w:rsidRPr="00303FBC">
        <w:rPr>
          <w:rFonts w:ascii="Arial" w:hAnsi="Arial" w:cs="Arial"/>
          <w:b/>
          <w:sz w:val="22"/>
          <w:szCs w:val="22"/>
          <w:lang w:val="en-GB"/>
        </w:rPr>
        <w:t>in Bulgaria</w:t>
      </w:r>
      <w:r w:rsidRPr="00C674B2">
        <w:rPr>
          <w:rFonts w:ascii="Arial" w:hAnsi="Arial" w:cs="Arial"/>
          <w:sz w:val="22"/>
          <w:szCs w:val="22"/>
          <w:lang w:val="en-GB"/>
        </w:rPr>
        <w:t xml:space="preserve"> upheld the State’s obligation to provide a “supportive environment” for the education of persons with disabilities within mainstream schools</w:t>
      </w:r>
      <w:r w:rsidRPr="00C674B2">
        <w:rPr>
          <w:rFonts w:ascii="Arial" w:eastAsia="Arial" w:hAnsi="Arial" w:cs="Arial"/>
          <w:sz w:val="22"/>
          <w:szCs w:val="22"/>
          <w:vertAlign w:val="superscript"/>
          <w:lang w:val="en-GB"/>
        </w:rPr>
        <w:footnoteReference w:id="89"/>
      </w:r>
      <w:r w:rsidRPr="00C674B2">
        <w:rPr>
          <w:rFonts w:ascii="Arial" w:hAnsi="Arial" w:cs="Arial"/>
          <w:sz w:val="22"/>
          <w:szCs w:val="22"/>
          <w:lang w:val="en-GB"/>
        </w:rPr>
        <w:t xml:space="preserve"> and the failure to do so was recognised as unequal treatment on the grounds of disability amounting to</w:t>
      </w:r>
      <w:r>
        <w:rPr>
          <w:rFonts w:ascii="Arial" w:hAnsi="Arial" w:cs="Arial"/>
          <w:sz w:val="22"/>
          <w:szCs w:val="22"/>
          <w:lang w:val="en-GB"/>
        </w:rPr>
        <w:t xml:space="preserve"> indirect discrimination. </w:t>
      </w:r>
    </w:p>
    <w:p w14:paraId="20A904AC" w14:textId="77777777" w:rsidR="003539F4" w:rsidRDefault="003539F4" w:rsidP="004F2C54">
      <w:pPr>
        <w:pStyle w:val="Body"/>
        <w:jc w:val="both"/>
        <w:rPr>
          <w:rFonts w:ascii="Arial" w:hAnsi="Arial" w:cs="Arial"/>
          <w:sz w:val="22"/>
          <w:szCs w:val="22"/>
          <w:lang w:val="en-GB"/>
        </w:rPr>
      </w:pPr>
    </w:p>
    <w:p w14:paraId="0F678477" w14:textId="6B9573CB" w:rsidR="004F2C54" w:rsidRDefault="004F2C54" w:rsidP="004F2C54">
      <w:pPr>
        <w:pStyle w:val="Body"/>
        <w:jc w:val="both"/>
        <w:rPr>
          <w:rFonts w:ascii="Arial" w:hAnsi="Arial" w:cs="Arial"/>
          <w:sz w:val="22"/>
          <w:szCs w:val="22"/>
          <w:lang w:val="en-GB"/>
        </w:rPr>
      </w:pPr>
      <w:r>
        <w:rPr>
          <w:rFonts w:ascii="Arial" w:hAnsi="Arial" w:cs="Arial"/>
          <w:sz w:val="22"/>
          <w:szCs w:val="22"/>
          <w:lang w:val="en-GB"/>
        </w:rPr>
        <w:t>In 2010, t</w:t>
      </w:r>
      <w:r w:rsidRPr="00C674B2">
        <w:rPr>
          <w:rFonts w:ascii="Arial" w:hAnsi="Arial" w:cs="Arial"/>
          <w:sz w:val="22"/>
          <w:szCs w:val="22"/>
          <w:lang w:val="en-GB"/>
        </w:rPr>
        <w:t xml:space="preserve">he </w:t>
      </w:r>
      <w:r w:rsidRPr="004F2C54">
        <w:rPr>
          <w:rFonts w:ascii="Arial" w:hAnsi="Arial" w:cs="Arial"/>
          <w:b/>
          <w:sz w:val="22"/>
          <w:szCs w:val="22"/>
          <w:lang w:val="en-GB"/>
        </w:rPr>
        <w:t>Italian Constitutional Court</w:t>
      </w:r>
      <w:r w:rsidRPr="00C674B2">
        <w:rPr>
          <w:rFonts w:ascii="Arial" w:hAnsi="Arial" w:cs="Arial"/>
          <w:sz w:val="22"/>
          <w:szCs w:val="22"/>
          <w:lang w:val="en-GB"/>
        </w:rPr>
        <w:t xml:space="preserve"> found that a provision which set restrictions </w:t>
      </w:r>
      <w:r w:rsidR="007B43EE">
        <w:rPr>
          <w:rFonts w:ascii="Arial" w:hAnsi="Arial" w:cs="Arial"/>
          <w:sz w:val="22"/>
          <w:szCs w:val="22"/>
          <w:lang w:val="en-GB"/>
        </w:rPr>
        <w:t>on</w:t>
      </w:r>
      <w:r w:rsidRPr="00C674B2">
        <w:rPr>
          <w:rFonts w:ascii="Arial" w:hAnsi="Arial" w:cs="Arial"/>
          <w:sz w:val="22"/>
          <w:szCs w:val="22"/>
          <w:lang w:val="en-GB"/>
        </w:rPr>
        <w:t xml:space="preserve"> the provision of support for a student with high support needs was unconstitutional as it failed to respond to the needs of the individual learner. </w:t>
      </w:r>
      <w:r w:rsidR="003E09AD">
        <w:rPr>
          <w:rFonts w:ascii="Arial" w:hAnsi="Arial" w:cs="Arial"/>
          <w:sz w:val="22"/>
          <w:szCs w:val="22"/>
          <w:lang w:val="en-GB"/>
        </w:rPr>
        <w:t>T</w:t>
      </w:r>
      <w:r w:rsidRPr="00C674B2">
        <w:rPr>
          <w:rFonts w:ascii="Arial" w:hAnsi="Arial" w:cs="Arial"/>
          <w:sz w:val="22"/>
          <w:szCs w:val="22"/>
          <w:lang w:val="en-GB"/>
        </w:rPr>
        <w:t xml:space="preserve">he Court </w:t>
      </w:r>
      <w:r w:rsidR="003E09AD">
        <w:rPr>
          <w:rFonts w:ascii="Arial" w:hAnsi="Arial" w:cs="Arial"/>
          <w:sz w:val="22"/>
          <w:szCs w:val="22"/>
          <w:lang w:val="en-GB"/>
        </w:rPr>
        <w:t>held that the State`s</w:t>
      </w:r>
      <w:r w:rsidRPr="00C674B2">
        <w:rPr>
          <w:rFonts w:ascii="Arial" w:hAnsi="Arial" w:cs="Arial"/>
          <w:sz w:val="22"/>
          <w:szCs w:val="22"/>
          <w:lang w:val="en-GB"/>
        </w:rPr>
        <w:t xml:space="preserve"> discretion over the protection measures conce</w:t>
      </w:r>
      <w:r w:rsidR="003E09AD">
        <w:rPr>
          <w:rFonts w:ascii="Arial" w:hAnsi="Arial" w:cs="Arial"/>
          <w:sz w:val="22"/>
          <w:szCs w:val="22"/>
          <w:lang w:val="en-GB"/>
        </w:rPr>
        <w:t>rning persons with disabilities</w:t>
      </w:r>
      <w:r w:rsidRPr="00C674B2">
        <w:rPr>
          <w:rFonts w:ascii="Arial" w:hAnsi="Arial" w:cs="Arial"/>
          <w:sz w:val="22"/>
          <w:szCs w:val="22"/>
          <w:lang w:val="en-GB"/>
        </w:rPr>
        <w:t xml:space="preserve"> </w:t>
      </w:r>
      <w:r w:rsidR="003E09AD">
        <w:rPr>
          <w:rFonts w:ascii="Arial" w:hAnsi="Arial" w:cs="Arial"/>
          <w:sz w:val="22"/>
          <w:szCs w:val="22"/>
          <w:lang w:val="en-GB"/>
        </w:rPr>
        <w:t>i</w:t>
      </w:r>
      <w:r w:rsidRPr="00C674B2">
        <w:rPr>
          <w:rFonts w:ascii="Arial" w:hAnsi="Arial" w:cs="Arial"/>
          <w:sz w:val="22"/>
          <w:szCs w:val="22"/>
          <w:lang w:val="en-GB"/>
        </w:rPr>
        <w:t xml:space="preserve">s not absolute and “is limited by the respect of a minimum core of guarantees”. Ensuring provision of an individualised </w:t>
      </w:r>
      <w:r w:rsidR="003539F4">
        <w:rPr>
          <w:rFonts w:ascii="Arial" w:hAnsi="Arial" w:cs="Arial"/>
          <w:sz w:val="22"/>
          <w:szCs w:val="22"/>
          <w:lang w:val="en-GB"/>
        </w:rPr>
        <w:t>support</w:t>
      </w:r>
      <w:r w:rsidRPr="00C674B2">
        <w:rPr>
          <w:rFonts w:ascii="Arial" w:hAnsi="Arial" w:cs="Arial"/>
          <w:sz w:val="22"/>
          <w:szCs w:val="22"/>
          <w:lang w:val="en-GB"/>
        </w:rPr>
        <w:t xml:space="preserve"> was here recognised as a minimum core guarantee to the right to education in reference to Article 24(2)(c) of the Convention as well as Article 38(3) of the Italian Constitution on the right to education of persons with disabilities.</w:t>
      </w:r>
      <w:r w:rsidRPr="00C674B2">
        <w:rPr>
          <w:rFonts w:ascii="Arial" w:eastAsia="Arial" w:hAnsi="Arial" w:cs="Arial"/>
          <w:sz w:val="22"/>
          <w:szCs w:val="22"/>
          <w:vertAlign w:val="superscript"/>
          <w:lang w:val="en-GB"/>
        </w:rPr>
        <w:footnoteReference w:id="90"/>
      </w:r>
      <w:r>
        <w:rPr>
          <w:rFonts w:ascii="Arial" w:hAnsi="Arial" w:cs="Arial"/>
          <w:sz w:val="22"/>
          <w:szCs w:val="22"/>
          <w:lang w:val="en-GB"/>
        </w:rPr>
        <w:t xml:space="preserve"> </w:t>
      </w:r>
    </w:p>
    <w:p w14:paraId="6537AE8C" w14:textId="77777777" w:rsidR="003E09AD" w:rsidRDefault="003E09AD" w:rsidP="004F2C54">
      <w:pPr>
        <w:pStyle w:val="Body"/>
        <w:jc w:val="both"/>
        <w:rPr>
          <w:rFonts w:ascii="Arial" w:hAnsi="Arial" w:cs="Arial"/>
          <w:sz w:val="22"/>
          <w:szCs w:val="22"/>
          <w:lang w:val="en-GB"/>
        </w:rPr>
      </w:pPr>
    </w:p>
    <w:p w14:paraId="3C437638" w14:textId="50737C86" w:rsidR="00FF6EF5" w:rsidRPr="004F2C54" w:rsidRDefault="004F2C54" w:rsidP="004F2C54">
      <w:pPr>
        <w:pStyle w:val="Body"/>
        <w:jc w:val="both"/>
        <w:rPr>
          <w:rFonts w:ascii="Arial" w:eastAsia="Arial" w:hAnsi="Arial" w:cs="Arial"/>
          <w:sz w:val="22"/>
          <w:szCs w:val="22"/>
          <w:lang w:val="en-GB"/>
        </w:rPr>
      </w:pPr>
      <w:r>
        <w:rPr>
          <w:rFonts w:ascii="Arial" w:hAnsi="Arial" w:cs="Arial"/>
          <w:sz w:val="22"/>
          <w:szCs w:val="22"/>
          <w:lang w:val="en-GB"/>
        </w:rPr>
        <w:t>I</w:t>
      </w:r>
      <w:r w:rsidR="00C16A5C">
        <w:rPr>
          <w:rFonts w:ascii="Arial" w:hAnsi="Arial" w:cs="Arial"/>
          <w:sz w:val="22"/>
          <w:szCs w:val="22"/>
          <w:lang w:val="en-GB"/>
        </w:rPr>
        <w:t>n Spain,</w:t>
      </w:r>
      <w:r>
        <w:rPr>
          <w:rFonts w:ascii="Arial" w:hAnsi="Arial" w:cs="Arial"/>
          <w:sz w:val="22"/>
          <w:szCs w:val="22"/>
          <w:lang w:val="en-GB"/>
        </w:rPr>
        <w:t xml:space="preserve"> this year,</w:t>
      </w:r>
      <w:r w:rsidR="00C16A5C">
        <w:rPr>
          <w:rFonts w:ascii="Arial" w:hAnsi="Arial" w:cs="Arial"/>
          <w:sz w:val="22"/>
          <w:szCs w:val="22"/>
          <w:lang w:val="en-GB"/>
        </w:rPr>
        <w:t xml:space="preserve"> the </w:t>
      </w:r>
      <w:r w:rsidR="00C16A5C" w:rsidRPr="00E10A1B">
        <w:rPr>
          <w:rFonts w:ascii="Arial" w:hAnsi="Arial" w:cs="Arial"/>
          <w:b/>
          <w:sz w:val="22"/>
          <w:szCs w:val="22"/>
          <w:lang w:val="en-GB"/>
        </w:rPr>
        <w:t>Superior Tribunal of Justice of La Rioja</w:t>
      </w:r>
      <w:r w:rsidR="00C16A5C">
        <w:rPr>
          <w:rFonts w:ascii="Arial" w:hAnsi="Arial" w:cs="Arial"/>
          <w:sz w:val="22"/>
          <w:szCs w:val="22"/>
          <w:lang w:val="en-GB"/>
        </w:rPr>
        <w:t xml:space="preserve"> upheld the right to </w:t>
      </w:r>
      <w:r w:rsidR="00C16A5C" w:rsidRPr="00E06D52">
        <w:rPr>
          <w:rFonts w:ascii="Arial" w:hAnsi="Arial" w:cs="Arial"/>
          <w:b/>
          <w:sz w:val="22"/>
          <w:szCs w:val="22"/>
          <w:lang w:val="en-GB"/>
        </w:rPr>
        <w:t>inclusive education</w:t>
      </w:r>
      <w:r w:rsidR="00C16A5C">
        <w:rPr>
          <w:rFonts w:ascii="Arial" w:hAnsi="Arial" w:cs="Arial"/>
          <w:sz w:val="22"/>
          <w:szCs w:val="22"/>
          <w:lang w:val="en-GB"/>
        </w:rPr>
        <w:t xml:space="preserve"> of a child with disability and mandated that </w:t>
      </w:r>
      <w:r w:rsidR="00152E6E">
        <w:rPr>
          <w:rFonts w:ascii="Arial" w:hAnsi="Arial" w:cs="Arial"/>
          <w:sz w:val="22"/>
          <w:szCs w:val="22"/>
          <w:lang w:val="en-GB"/>
        </w:rPr>
        <w:t>he should</w:t>
      </w:r>
      <w:r w:rsidR="00C16A5C">
        <w:rPr>
          <w:rFonts w:ascii="Arial" w:hAnsi="Arial" w:cs="Arial"/>
          <w:sz w:val="22"/>
          <w:szCs w:val="22"/>
          <w:lang w:val="en-GB"/>
        </w:rPr>
        <w:t xml:space="preserve"> </w:t>
      </w:r>
      <w:r w:rsidR="00152E6E">
        <w:rPr>
          <w:rFonts w:ascii="Arial" w:hAnsi="Arial" w:cs="Arial"/>
          <w:sz w:val="22"/>
          <w:szCs w:val="22"/>
          <w:lang w:val="en-GB"/>
        </w:rPr>
        <w:t xml:space="preserve">be </w:t>
      </w:r>
      <w:r w:rsidR="00C16A5C">
        <w:rPr>
          <w:rFonts w:ascii="Arial" w:hAnsi="Arial" w:cs="Arial"/>
          <w:sz w:val="22"/>
          <w:szCs w:val="22"/>
          <w:lang w:val="en-GB"/>
        </w:rPr>
        <w:t>enrol</w:t>
      </w:r>
      <w:r w:rsidR="00152E6E">
        <w:rPr>
          <w:rFonts w:ascii="Arial" w:hAnsi="Arial" w:cs="Arial"/>
          <w:sz w:val="22"/>
          <w:szCs w:val="22"/>
          <w:lang w:val="en-GB"/>
        </w:rPr>
        <w:t>led</w:t>
      </w:r>
      <w:r w:rsidR="00C16A5C">
        <w:rPr>
          <w:rFonts w:ascii="Arial" w:hAnsi="Arial" w:cs="Arial"/>
          <w:sz w:val="22"/>
          <w:szCs w:val="22"/>
          <w:lang w:val="en-GB"/>
        </w:rPr>
        <w:t xml:space="preserve"> in an ordinary school.</w:t>
      </w:r>
      <w:r w:rsidR="002065C3">
        <w:rPr>
          <w:rStyle w:val="FootnoteReference"/>
          <w:rFonts w:ascii="Arial" w:hAnsi="Arial" w:cs="Arial"/>
          <w:sz w:val="22"/>
          <w:szCs w:val="22"/>
          <w:lang w:val="en-GB"/>
        </w:rPr>
        <w:footnoteReference w:id="91"/>
      </w:r>
      <w:r w:rsidR="001144FC">
        <w:rPr>
          <w:rFonts w:ascii="Arial" w:hAnsi="Arial" w:cs="Arial"/>
          <w:sz w:val="22"/>
          <w:szCs w:val="22"/>
          <w:lang w:val="en-GB"/>
        </w:rPr>
        <w:t xml:space="preserve"> </w:t>
      </w:r>
      <w:r w:rsidR="00A5224F">
        <w:rPr>
          <w:rFonts w:ascii="Arial" w:hAnsi="Arial" w:cs="Arial"/>
          <w:sz w:val="22"/>
          <w:szCs w:val="22"/>
          <w:lang w:val="en-GB"/>
        </w:rPr>
        <w:t>In this vein</w:t>
      </w:r>
      <w:r w:rsidR="006D7378">
        <w:rPr>
          <w:rFonts w:ascii="Arial" w:hAnsi="Arial" w:cs="Arial"/>
          <w:sz w:val="22"/>
          <w:szCs w:val="22"/>
          <w:lang w:val="en-GB"/>
        </w:rPr>
        <w:t>, in connection with indirect discrimination</w:t>
      </w:r>
      <w:r w:rsidR="00A5224F">
        <w:rPr>
          <w:rFonts w:ascii="Arial" w:hAnsi="Arial" w:cs="Arial"/>
          <w:sz w:val="22"/>
          <w:szCs w:val="22"/>
          <w:lang w:val="en-GB"/>
        </w:rPr>
        <w:t xml:space="preserve">, the </w:t>
      </w:r>
      <w:r w:rsidR="00A5224F" w:rsidRPr="00A5224F">
        <w:rPr>
          <w:rFonts w:ascii="Arial" w:hAnsi="Arial" w:cs="Arial"/>
          <w:sz w:val="22"/>
          <w:szCs w:val="22"/>
          <w:lang w:val="en-GB"/>
        </w:rPr>
        <w:t xml:space="preserve">European Committee of Social </w:t>
      </w:r>
      <w:r w:rsidR="00152E6E">
        <w:rPr>
          <w:rFonts w:ascii="Arial" w:hAnsi="Arial" w:cs="Arial"/>
          <w:sz w:val="22"/>
          <w:szCs w:val="22"/>
          <w:lang w:val="en-GB"/>
        </w:rPr>
        <w:t>Rights</w:t>
      </w:r>
      <w:r w:rsidR="006D7378">
        <w:rPr>
          <w:rFonts w:ascii="Arial" w:hAnsi="Arial" w:cs="Arial"/>
          <w:sz w:val="22"/>
          <w:szCs w:val="22"/>
        </w:rPr>
        <w:t xml:space="preserve"> stressed that “</w:t>
      </w:r>
      <w:r w:rsidR="006D7378" w:rsidRPr="006D7378">
        <w:rPr>
          <w:rFonts w:ascii="Arial" w:hAnsi="Arial" w:cs="Arial"/>
          <w:sz w:val="22"/>
          <w:szCs w:val="22"/>
        </w:rPr>
        <w:t xml:space="preserve">indirect discrimination may arise by failing to take due and positive account of all relevant differences or by failing to take adequate steps to ensure that the rights and </w:t>
      </w:r>
      <w:r w:rsidR="006D7378" w:rsidRPr="006D7378">
        <w:rPr>
          <w:rFonts w:ascii="Arial" w:hAnsi="Arial" w:cs="Arial"/>
          <w:sz w:val="22"/>
          <w:szCs w:val="22"/>
        </w:rPr>
        <w:lastRenderedPageBreak/>
        <w:t>collective advantages that are open to all are genuinely accessible by and to all</w:t>
      </w:r>
      <w:r w:rsidR="006D7378">
        <w:rPr>
          <w:rFonts w:ascii="Arial" w:hAnsi="Arial" w:cs="Arial"/>
          <w:sz w:val="22"/>
          <w:szCs w:val="22"/>
        </w:rPr>
        <w:t>.”</w:t>
      </w:r>
      <w:r w:rsidR="00A57026" w:rsidRPr="00A57026">
        <w:rPr>
          <w:rStyle w:val="FootnoteReference"/>
          <w:rFonts w:ascii="Arial" w:eastAsia="Times New Roman" w:hAnsi="Arial"/>
          <w:lang w:val="en-GB"/>
        </w:rPr>
        <w:t xml:space="preserve"> </w:t>
      </w:r>
      <w:r w:rsidR="00A57026" w:rsidRPr="0086116B">
        <w:rPr>
          <w:rStyle w:val="FootnoteReference"/>
          <w:rFonts w:ascii="Arial" w:eastAsia="Times New Roman" w:hAnsi="Arial"/>
          <w:lang w:val="en-GB"/>
        </w:rPr>
        <w:footnoteReference w:id="92"/>
      </w:r>
      <w:r w:rsidR="00FF6EF5" w:rsidRPr="00FF6EF5">
        <w:rPr>
          <w:rFonts w:ascii="Arial" w:hAnsi="Arial" w:cs="Arial"/>
          <w:sz w:val="22"/>
          <w:szCs w:val="22"/>
        </w:rPr>
        <w:t xml:space="preserve"> Further, this case </w:t>
      </w:r>
      <w:r w:rsidR="00C16A5C">
        <w:rPr>
          <w:rFonts w:ascii="Arial" w:hAnsi="Arial" w:cs="Arial"/>
          <w:sz w:val="22"/>
          <w:szCs w:val="22"/>
        </w:rPr>
        <w:t xml:space="preserve">underlined </w:t>
      </w:r>
      <w:r w:rsidR="00FF6EF5" w:rsidRPr="00FF6EF5">
        <w:rPr>
          <w:rFonts w:ascii="Arial" w:hAnsi="Arial" w:cs="Arial"/>
          <w:sz w:val="22"/>
          <w:szCs w:val="22"/>
        </w:rPr>
        <w:t>that the right to education in the context of children with intellectual</w:t>
      </w:r>
      <w:r w:rsidR="00C16A5C">
        <w:rPr>
          <w:rFonts w:ascii="Arial" w:hAnsi="Arial" w:cs="Arial"/>
          <w:sz w:val="22"/>
          <w:szCs w:val="22"/>
        </w:rPr>
        <w:t xml:space="preserve"> disabilities requires inclusive education</w:t>
      </w:r>
      <w:r w:rsidR="00E06D52">
        <w:rPr>
          <w:rFonts w:ascii="Arial" w:hAnsi="Arial" w:cs="Arial"/>
          <w:sz w:val="22"/>
          <w:szCs w:val="22"/>
        </w:rPr>
        <w:t>, including an explicit reference to Article 24 of the CRPD.</w:t>
      </w:r>
      <w:r w:rsidR="00E06D52">
        <w:rPr>
          <w:rStyle w:val="FootnoteReference"/>
          <w:rFonts w:ascii="Arial" w:hAnsi="Arial" w:cs="Arial"/>
          <w:sz w:val="22"/>
          <w:szCs w:val="22"/>
        </w:rPr>
        <w:footnoteReference w:id="93"/>
      </w:r>
    </w:p>
    <w:p w14:paraId="1B5E4F2A" w14:textId="77777777" w:rsidR="00760435" w:rsidRDefault="00760435" w:rsidP="00346BD4">
      <w:pPr>
        <w:pStyle w:val="MediumGrid21"/>
        <w:jc w:val="both"/>
        <w:rPr>
          <w:rFonts w:ascii="Arial" w:hAnsi="Arial"/>
          <w:b/>
          <w:lang w:val="en-GB"/>
        </w:rPr>
      </w:pPr>
    </w:p>
    <w:p w14:paraId="166585F2" w14:textId="0AFA3789" w:rsidR="00346BD4" w:rsidRPr="0086116B" w:rsidRDefault="00346BD4" w:rsidP="00346BD4">
      <w:pPr>
        <w:pStyle w:val="MediumGrid21"/>
        <w:jc w:val="both"/>
        <w:rPr>
          <w:rFonts w:ascii="Arial" w:hAnsi="Arial"/>
          <w:b/>
          <w:lang w:val="en-GB"/>
        </w:rPr>
      </w:pPr>
      <w:r w:rsidRPr="0086116B">
        <w:rPr>
          <w:rFonts w:ascii="Arial" w:hAnsi="Arial"/>
          <w:b/>
          <w:lang w:val="en-GB"/>
        </w:rPr>
        <w:t>CONCLUSION</w:t>
      </w:r>
      <w:r w:rsidR="00B32F21">
        <w:rPr>
          <w:rFonts w:ascii="Arial" w:hAnsi="Arial"/>
          <w:b/>
          <w:lang w:val="en-GB"/>
        </w:rPr>
        <w:t>S</w:t>
      </w:r>
    </w:p>
    <w:p w14:paraId="4FD056A0" w14:textId="77777777" w:rsidR="00346BD4" w:rsidRPr="0086116B" w:rsidRDefault="00346BD4" w:rsidP="00346BD4">
      <w:pPr>
        <w:rPr>
          <w:rFonts w:ascii="Arial" w:eastAsia="Calibri" w:hAnsi="Arial" w:cs="SimSun"/>
          <w:b/>
          <w:sz w:val="22"/>
          <w:szCs w:val="22"/>
          <w:lang w:eastAsia="ar-SA"/>
        </w:rPr>
      </w:pPr>
    </w:p>
    <w:p w14:paraId="06981D6F" w14:textId="769BACBB" w:rsidR="00346BD4" w:rsidRPr="0086116B" w:rsidRDefault="00346BD4" w:rsidP="00346BD4">
      <w:pPr>
        <w:pStyle w:val="MediumGrid21"/>
        <w:numPr>
          <w:ilvl w:val="0"/>
          <w:numId w:val="4"/>
        </w:numPr>
        <w:ind w:left="426" w:hanging="426"/>
        <w:jc w:val="both"/>
        <w:rPr>
          <w:rFonts w:ascii="Arial" w:eastAsia="Times New Roman" w:hAnsi="Arial"/>
          <w:lang w:val="en-GB"/>
        </w:rPr>
      </w:pPr>
      <w:r w:rsidRPr="0086116B">
        <w:rPr>
          <w:rFonts w:ascii="Arial" w:hAnsi="Arial"/>
          <w:lang w:val="en-GB"/>
        </w:rPr>
        <w:t>The latest developments of international human rights law demonstrate that States cannot evade nor delay their duties concerning</w:t>
      </w:r>
      <w:r w:rsidR="00C27050">
        <w:rPr>
          <w:rFonts w:ascii="Arial" w:hAnsi="Arial"/>
          <w:lang w:val="en-GB"/>
        </w:rPr>
        <w:t xml:space="preserve"> access to</w:t>
      </w:r>
      <w:r w:rsidRPr="0086116B">
        <w:rPr>
          <w:rFonts w:ascii="Arial" w:hAnsi="Arial"/>
          <w:lang w:val="en-GB"/>
        </w:rPr>
        <w:t xml:space="preserve"> </w:t>
      </w:r>
      <w:r w:rsidR="00C27050">
        <w:rPr>
          <w:rFonts w:ascii="Arial" w:hAnsi="Arial"/>
          <w:lang w:val="en-GB"/>
        </w:rPr>
        <w:t xml:space="preserve">inclusive education, including non-discrimination and reasonable accommodation, provision of individualised support and </w:t>
      </w:r>
      <w:r w:rsidR="00262C48">
        <w:rPr>
          <w:rFonts w:ascii="Arial" w:hAnsi="Arial"/>
          <w:lang w:val="en-GB"/>
        </w:rPr>
        <w:t>accessibility;</w:t>
      </w:r>
      <w:r w:rsidRPr="0086116B">
        <w:rPr>
          <w:rFonts w:ascii="Arial" w:hAnsi="Arial"/>
          <w:lang w:val="en-GB"/>
        </w:rPr>
        <w:t xml:space="preserve"> and that the provision of reasonable accommodation constitutes an obligation </w:t>
      </w:r>
      <w:r w:rsidR="00C27050">
        <w:rPr>
          <w:rFonts w:ascii="Arial" w:hAnsi="Arial"/>
          <w:lang w:val="en-GB"/>
        </w:rPr>
        <w:t>of immediate effect,</w:t>
      </w:r>
      <w:r w:rsidRPr="0086116B">
        <w:rPr>
          <w:rFonts w:ascii="Arial" w:hAnsi="Arial"/>
          <w:lang w:val="en-GB"/>
        </w:rPr>
        <w:t xml:space="preserve"> </w:t>
      </w:r>
      <w:r w:rsidR="0032680A">
        <w:rPr>
          <w:rFonts w:ascii="Arial" w:hAnsi="Arial"/>
          <w:lang w:val="en-GB"/>
        </w:rPr>
        <w:t>and its</w:t>
      </w:r>
      <w:r w:rsidRPr="0086116B">
        <w:rPr>
          <w:rFonts w:ascii="Arial" w:hAnsi="Arial"/>
          <w:lang w:val="en-GB"/>
        </w:rPr>
        <w:t xml:space="preserve"> denial </w:t>
      </w:r>
      <w:r w:rsidR="0032680A">
        <w:rPr>
          <w:rFonts w:ascii="Arial" w:hAnsi="Arial"/>
          <w:lang w:val="en-GB"/>
        </w:rPr>
        <w:t>constitutes</w:t>
      </w:r>
      <w:r w:rsidRPr="0086116B">
        <w:rPr>
          <w:rFonts w:ascii="Arial" w:hAnsi="Arial"/>
          <w:lang w:val="en-GB"/>
        </w:rPr>
        <w:t xml:space="preserve"> disability based discrimination.</w:t>
      </w:r>
      <w:r w:rsidR="00244AA6">
        <w:rPr>
          <w:rFonts w:ascii="Arial" w:hAnsi="Arial"/>
          <w:lang w:val="en-GB"/>
        </w:rPr>
        <w:t xml:space="preserve"> </w:t>
      </w:r>
      <w:r w:rsidR="00244AA6" w:rsidRPr="00BC5457">
        <w:rPr>
          <w:rFonts w:ascii="Arial" w:hAnsi="Arial"/>
          <w:b/>
          <w:lang w:val="en-GB"/>
        </w:rPr>
        <w:t xml:space="preserve">The </w:t>
      </w:r>
      <w:r w:rsidR="00244AA6" w:rsidRPr="00BC5457">
        <w:rPr>
          <w:rFonts w:ascii="Arial" w:hAnsi="Arial" w:cs="Arial"/>
          <w:b/>
          <w:lang w:val="en-GB"/>
        </w:rPr>
        <w:t xml:space="preserve">International Disability Alliance (IDA), the European Disability Forum (EDF) and the National Council of Persons with Disability of Romania </w:t>
      </w:r>
      <w:r w:rsidR="00BC5457">
        <w:rPr>
          <w:rFonts w:ascii="Arial" w:hAnsi="Arial" w:cs="Arial"/>
          <w:b/>
          <w:lang w:val="en-GB"/>
        </w:rPr>
        <w:t>respectfully encourage</w:t>
      </w:r>
      <w:r w:rsidR="00244AA6" w:rsidRPr="00BC5457">
        <w:rPr>
          <w:rFonts w:ascii="Arial" w:hAnsi="Arial" w:cs="Arial"/>
          <w:b/>
          <w:lang w:val="en-GB"/>
        </w:rPr>
        <w:t xml:space="preserve"> the Court to explicitly and fully endorse </w:t>
      </w:r>
      <w:r w:rsidR="00701257" w:rsidRPr="00BC5457">
        <w:rPr>
          <w:rFonts w:ascii="Arial" w:hAnsi="Arial" w:cs="Arial"/>
          <w:b/>
          <w:lang w:val="en-GB"/>
        </w:rPr>
        <w:t xml:space="preserve">these criteria in its </w:t>
      </w:r>
      <w:r w:rsidR="00CA794D">
        <w:rPr>
          <w:rFonts w:ascii="Arial" w:hAnsi="Arial" w:cs="Arial"/>
          <w:b/>
          <w:lang w:val="en-GB"/>
        </w:rPr>
        <w:t xml:space="preserve">final </w:t>
      </w:r>
      <w:r w:rsidR="00701257" w:rsidRPr="00BC5457">
        <w:rPr>
          <w:rFonts w:ascii="Arial" w:hAnsi="Arial" w:cs="Arial"/>
          <w:b/>
          <w:lang w:val="en-GB"/>
        </w:rPr>
        <w:t>decision</w:t>
      </w:r>
      <w:r w:rsidR="00CA794D">
        <w:rPr>
          <w:rFonts w:ascii="Arial" w:hAnsi="Arial" w:cs="Arial"/>
          <w:b/>
          <w:lang w:val="en-GB"/>
        </w:rPr>
        <w:t>.</w:t>
      </w:r>
      <w:r w:rsidR="00701257" w:rsidRPr="00BC5457">
        <w:rPr>
          <w:rFonts w:ascii="Arial" w:hAnsi="Arial" w:cs="Arial"/>
          <w:b/>
          <w:lang w:val="en-GB"/>
        </w:rPr>
        <w:t xml:space="preserve"> </w:t>
      </w:r>
    </w:p>
    <w:p w14:paraId="14ADCE9E" w14:textId="77777777" w:rsidR="00346BD4" w:rsidRPr="0086116B" w:rsidRDefault="00346BD4" w:rsidP="00346BD4">
      <w:pPr>
        <w:pStyle w:val="MediumGrid21"/>
        <w:ind w:left="426"/>
        <w:jc w:val="both"/>
        <w:rPr>
          <w:rFonts w:ascii="Arial" w:eastAsia="Times New Roman" w:hAnsi="Arial"/>
          <w:lang w:val="en-GB"/>
        </w:rPr>
      </w:pPr>
    </w:p>
    <w:p w14:paraId="6ADC4C14" w14:textId="69EE709E" w:rsidR="00346BD4" w:rsidRPr="0086116B" w:rsidRDefault="00346BD4" w:rsidP="00346BD4">
      <w:pPr>
        <w:pStyle w:val="MediumGrid21"/>
        <w:numPr>
          <w:ilvl w:val="0"/>
          <w:numId w:val="4"/>
        </w:numPr>
        <w:ind w:left="426" w:hanging="426"/>
        <w:jc w:val="both"/>
        <w:rPr>
          <w:rFonts w:ascii="Arial" w:eastAsia="Times New Roman" w:hAnsi="Arial"/>
          <w:lang w:val="en-GB"/>
        </w:rPr>
      </w:pPr>
      <w:r w:rsidRPr="0086116B">
        <w:rPr>
          <w:rFonts w:ascii="Arial" w:hAnsi="Arial"/>
          <w:lang w:val="en-GB"/>
        </w:rPr>
        <w:t xml:space="preserve">Furthermore, </w:t>
      </w:r>
      <w:r w:rsidRPr="00262C48">
        <w:rPr>
          <w:rFonts w:ascii="Arial" w:hAnsi="Arial"/>
          <w:b/>
          <w:lang w:val="en-GB"/>
        </w:rPr>
        <w:t xml:space="preserve">the </w:t>
      </w:r>
      <w:r w:rsidR="009954CE" w:rsidRPr="00262C48">
        <w:rPr>
          <w:rFonts w:ascii="Arial" w:hAnsi="Arial"/>
          <w:b/>
          <w:lang w:val="en-GB"/>
        </w:rPr>
        <w:t>lack of proactive measures to ensure inclusive education</w:t>
      </w:r>
      <w:r w:rsidR="009954CE">
        <w:rPr>
          <w:rFonts w:ascii="Arial" w:hAnsi="Arial"/>
          <w:lang w:val="en-GB"/>
        </w:rPr>
        <w:t>, including lack of immediate provision of reasonable accommodation (as a means to provide support and accessibility),</w:t>
      </w:r>
      <w:r w:rsidRPr="0086116B">
        <w:rPr>
          <w:rFonts w:ascii="Arial" w:hAnsi="Arial"/>
          <w:lang w:val="en-GB"/>
        </w:rPr>
        <w:t xml:space="preserve"> impacting negatively on the development of the individual by limiting opportunities to fully experience and benefit from </w:t>
      </w:r>
      <w:r w:rsidR="009954CE">
        <w:rPr>
          <w:rFonts w:ascii="Arial" w:hAnsi="Arial"/>
          <w:lang w:val="en-GB"/>
        </w:rPr>
        <w:t>education</w:t>
      </w:r>
      <w:r w:rsidR="00262C48">
        <w:rPr>
          <w:rFonts w:ascii="Arial" w:hAnsi="Arial"/>
          <w:lang w:val="en-GB"/>
        </w:rPr>
        <w:t>,</w:t>
      </w:r>
      <w:r w:rsidR="009954CE">
        <w:rPr>
          <w:rFonts w:ascii="Arial" w:hAnsi="Arial"/>
          <w:lang w:val="en-GB"/>
        </w:rPr>
        <w:t xml:space="preserve"> </w:t>
      </w:r>
      <w:r w:rsidR="009954CE" w:rsidRPr="00262C48">
        <w:rPr>
          <w:rFonts w:ascii="Arial" w:hAnsi="Arial"/>
          <w:b/>
          <w:lang w:val="en-GB"/>
        </w:rPr>
        <w:t>constitutes a violation of the right to education and of the right to equality and non-discrimination of persons with disabilities</w:t>
      </w:r>
      <w:r w:rsidRPr="0086116B">
        <w:rPr>
          <w:rFonts w:ascii="Arial" w:hAnsi="Arial"/>
          <w:lang w:val="en-GB"/>
        </w:rPr>
        <w:t xml:space="preserve">. </w:t>
      </w:r>
      <w:r w:rsidR="0003066A">
        <w:rPr>
          <w:rFonts w:ascii="Arial" w:hAnsi="Arial"/>
          <w:lang w:val="en-GB"/>
        </w:rPr>
        <w:t>T</w:t>
      </w:r>
      <w:r w:rsidRPr="0086116B">
        <w:rPr>
          <w:rFonts w:ascii="Arial" w:hAnsi="Arial"/>
          <w:lang w:val="en-GB"/>
        </w:rPr>
        <w:t>his case is one among many which exemplifies the structural disadvantages faced in Europe by persons with disabilities which restrict or deny their rights and hinder their inclusion and participation in society.</w:t>
      </w:r>
      <w:r w:rsidR="0003066A">
        <w:rPr>
          <w:rFonts w:ascii="Arial" w:hAnsi="Arial"/>
          <w:lang w:val="en-GB"/>
        </w:rPr>
        <w:t xml:space="preserve"> </w:t>
      </w:r>
      <w:r w:rsidR="0003066A" w:rsidRPr="00BC5457">
        <w:rPr>
          <w:rFonts w:ascii="Arial" w:hAnsi="Arial"/>
          <w:b/>
          <w:lang w:val="en-GB"/>
        </w:rPr>
        <w:t xml:space="preserve">The </w:t>
      </w:r>
      <w:r w:rsidR="0003066A" w:rsidRPr="00BC5457">
        <w:rPr>
          <w:rFonts w:ascii="Arial" w:hAnsi="Arial" w:cs="Arial"/>
          <w:b/>
          <w:lang w:val="en-GB"/>
        </w:rPr>
        <w:t>International Disability Alliance (IDA), the European Disability Forum (EDF) and the National Council of Persons with Disability of Romania</w:t>
      </w:r>
      <w:r w:rsidR="00BD4C95">
        <w:rPr>
          <w:rFonts w:ascii="Arial" w:hAnsi="Arial" w:cs="Arial"/>
          <w:b/>
          <w:lang w:val="en-GB"/>
        </w:rPr>
        <w:t>, not discussing facts</w:t>
      </w:r>
      <w:r w:rsidR="004B7ABD">
        <w:rPr>
          <w:rFonts w:ascii="Arial" w:hAnsi="Arial" w:cs="Arial"/>
          <w:b/>
          <w:lang w:val="en-GB"/>
        </w:rPr>
        <w:t xml:space="preserve"> as presented in the Statement of Facts</w:t>
      </w:r>
      <w:r w:rsidR="00BD4C95">
        <w:rPr>
          <w:rFonts w:ascii="Arial" w:hAnsi="Arial" w:cs="Arial"/>
          <w:b/>
          <w:lang w:val="en-GB"/>
        </w:rPr>
        <w:t>,</w:t>
      </w:r>
      <w:r w:rsidR="0003066A" w:rsidRPr="00BC5457">
        <w:rPr>
          <w:rFonts w:ascii="Arial" w:hAnsi="Arial" w:cs="Arial"/>
          <w:b/>
          <w:lang w:val="en-GB"/>
        </w:rPr>
        <w:t xml:space="preserve"> </w:t>
      </w:r>
      <w:r w:rsidR="0003066A">
        <w:rPr>
          <w:rFonts w:ascii="Arial" w:hAnsi="Arial" w:cs="Arial"/>
          <w:b/>
          <w:lang w:val="en-GB"/>
        </w:rPr>
        <w:t>respectfully encourage</w:t>
      </w:r>
      <w:r w:rsidR="00772B69">
        <w:rPr>
          <w:rFonts w:ascii="Arial" w:hAnsi="Arial" w:cs="Arial"/>
          <w:b/>
          <w:lang w:val="en-GB"/>
        </w:rPr>
        <w:t xml:space="preserve"> the Court to </w:t>
      </w:r>
      <w:r w:rsidR="008E7ECC">
        <w:rPr>
          <w:rFonts w:ascii="Arial" w:hAnsi="Arial" w:cs="Arial"/>
          <w:b/>
          <w:lang w:val="en-GB"/>
        </w:rPr>
        <w:t>conclude</w:t>
      </w:r>
      <w:r w:rsidR="00C1794E">
        <w:rPr>
          <w:rFonts w:ascii="Arial" w:hAnsi="Arial" w:cs="Arial"/>
          <w:b/>
          <w:lang w:val="en-GB"/>
        </w:rPr>
        <w:t xml:space="preserve"> that</w:t>
      </w:r>
      <w:r w:rsidR="008E7ECC">
        <w:rPr>
          <w:rFonts w:ascii="Arial" w:hAnsi="Arial" w:cs="Arial"/>
          <w:b/>
          <w:lang w:val="en-GB"/>
        </w:rPr>
        <w:t xml:space="preserve"> there have</w:t>
      </w:r>
      <w:r w:rsidR="00BD4C95">
        <w:rPr>
          <w:rFonts w:ascii="Arial" w:hAnsi="Arial" w:cs="Arial"/>
          <w:b/>
          <w:lang w:val="en-GB"/>
        </w:rPr>
        <w:t xml:space="preserve"> been violations of </w:t>
      </w:r>
      <w:r w:rsidR="00772B69" w:rsidRPr="00262C48">
        <w:rPr>
          <w:rFonts w:ascii="Arial" w:hAnsi="Arial"/>
          <w:b/>
          <w:lang w:val="en-GB"/>
        </w:rPr>
        <w:t>the right</w:t>
      </w:r>
      <w:r w:rsidR="00553620">
        <w:rPr>
          <w:rFonts w:ascii="Arial" w:hAnsi="Arial"/>
          <w:b/>
          <w:lang w:val="en-GB"/>
        </w:rPr>
        <w:t>s</w:t>
      </w:r>
      <w:r w:rsidR="00772B69" w:rsidRPr="00262C48">
        <w:rPr>
          <w:rFonts w:ascii="Arial" w:hAnsi="Arial"/>
          <w:b/>
          <w:lang w:val="en-GB"/>
        </w:rPr>
        <w:t xml:space="preserve"> to education and to equality and non-discrimination</w:t>
      </w:r>
      <w:r w:rsidR="00BD4C95">
        <w:rPr>
          <w:rFonts w:ascii="Arial" w:hAnsi="Arial"/>
          <w:b/>
          <w:lang w:val="en-GB"/>
        </w:rPr>
        <w:t xml:space="preserve"> of a person with disability</w:t>
      </w:r>
      <w:r w:rsidR="00772B69">
        <w:rPr>
          <w:rFonts w:ascii="Arial" w:hAnsi="Arial"/>
          <w:b/>
          <w:lang w:val="en-GB"/>
        </w:rPr>
        <w:t>.</w:t>
      </w:r>
      <w:r w:rsidR="00772B69">
        <w:rPr>
          <w:rFonts w:ascii="Arial" w:hAnsi="Arial" w:cs="Arial"/>
          <w:b/>
          <w:lang w:val="en-GB"/>
        </w:rPr>
        <w:t xml:space="preserve"> </w:t>
      </w:r>
    </w:p>
    <w:p w14:paraId="205F7C73" w14:textId="77777777" w:rsidR="00346BD4" w:rsidRPr="0086116B" w:rsidRDefault="00346BD4" w:rsidP="00346BD4">
      <w:pPr>
        <w:pStyle w:val="MediumGrid21"/>
        <w:jc w:val="both"/>
        <w:rPr>
          <w:rFonts w:ascii="Arial" w:eastAsia="Times New Roman" w:hAnsi="Arial"/>
          <w:lang w:val="en-GB"/>
        </w:rPr>
      </w:pPr>
    </w:p>
    <w:p w14:paraId="0A3611E3" w14:textId="3114EDF9" w:rsidR="00346BD4" w:rsidRPr="0086116B" w:rsidRDefault="00346BD4" w:rsidP="00346BD4">
      <w:pPr>
        <w:pStyle w:val="MediumGrid21"/>
        <w:numPr>
          <w:ilvl w:val="0"/>
          <w:numId w:val="4"/>
        </w:numPr>
        <w:ind w:left="426" w:hanging="426"/>
        <w:jc w:val="both"/>
        <w:rPr>
          <w:rFonts w:ascii="Arial" w:eastAsia="Times New Roman" w:hAnsi="Arial"/>
          <w:lang w:val="en-GB"/>
        </w:rPr>
      </w:pPr>
      <w:r w:rsidRPr="0086116B">
        <w:rPr>
          <w:rFonts w:ascii="Arial" w:hAnsi="Arial"/>
          <w:lang w:val="en-GB"/>
        </w:rPr>
        <w:t>Consistent with established jurisprudence on the rights of persons with disabilities and the growing trend across Europe to adopt positive measures to ensure their equal participation in education,</w:t>
      </w:r>
      <w:r w:rsidR="00701257">
        <w:rPr>
          <w:rFonts w:ascii="Arial" w:hAnsi="Arial"/>
          <w:lang w:val="en-GB"/>
        </w:rPr>
        <w:t xml:space="preserve"> </w:t>
      </w:r>
      <w:r w:rsidR="00701257" w:rsidRPr="00EE376C">
        <w:rPr>
          <w:rFonts w:ascii="Arial" w:hAnsi="Arial"/>
          <w:b/>
          <w:lang w:val="en-GB"/>
        </w:rPr>
        <w:t xml:space="preserve">the </w:t>
      </w:r>
      <w:r w:rsidR="00701257" w:rsidRPr="00EE376C">
        <w:rPr>
          <w:rFonts w:ascii="Arial" w:hAnsi="Arial" w:cs="Arial"/>
          <w:b/>
          <w:lang w:val="en-GB"/>
        </w:rPr>
        <w:t>International Disability Alliance (IDA), the European Disability Forum (EDF) and the National Council of Persons with Disability of Romania</w:t>
      </w:r>
      <w:r w:rsidRPr="00EE376C">
        <w:rPr>
          <w:rFonts w:ascii="Arial" w:hAnsi="Arial"/>
          <w:b/>
          <w:lang w:val="en-GB"/>
        </w:rPr>
        <w:t xml:space="preserve"> </w:t>
      </w:r>
      <w:r w:rsidR="00701257" w:rsidRPr="00EE376C">
        <w:rPr>
          <w:rFonts w:ascii="Arial" w:hAnsi="Arial"/>
          <w:b/>
          <w:lang w:val="en-GB"/>
        </w:rPr>
        <w:t xml:space="preserve">encourage the Court </w:t>
      </w:r>
      <w:r w:rsidRPr="00EE376C">
        <w:rPr>
          <w:rFonts w:ascii="Arial" w:hAnsi="Arial"/>
          <w:b/>
          <w:lang w:val="en-GB"/>
        </w:rPr>
        <w:t>to enhance the protec</w:t>
      </w:r>
      <w:r w:rsidR="009954CE" w:rsidRPr="00EE376C">
        <w:rPr>
          <w:rFonts w:ascii="Arial" w:hAnsi="Arial"/>
          <w:b/>
          <w:lang w:val="en-GB"/>
        </w:rPr>
        <w:t>tion of the right to education</w:t>
      </w:r>
      <w:r w:rsidRPr="00EE376C">
        <w:rPr>
          <w:rFonts w:ascii="Arial" w:hAnsi="Arial"/>
          <w:b/>
          <w:lang w:val="en-GB"/>
        </w:rPr>
        <w:t>, together wit</w:t>
      </w:r>
      <w:r w:rsidR="000D5676" w:rsidRPr="00EE376C">
        <w:rPr>
          <w:rFonts w:ascii="Arial" w:hAnsi="Arial"/>
          <w:b/>
          <w:lang w:val="en-GB"/>
        </w:rPr>
        <w:t>h the right to equality and non-</w:t>
      </w:r>
      <w:r w:rsidRPr="00EE376C">
        <w:rPr>
          <w:rFonts w:ascii="Arial" w:hAnsi="Arial"/>
          <w:b/>
          <w:lang w:val="en-GB"/>
        </w:rPr>
        <w:t>discrimination</w:t>
      </w:r>
      <w:r w:rsidRPr="0086116B">
        <w:rPr>
          <w:rFonts w:ascii="Arial" w:hAnsi="Arial"/>
          <w:lang w:val="en-GB"/>
        </w:rPr>
        <w:t xml:space="preserve">, by addressing the failure to ensure </w:t>
      </w:r>
      <w:r w:rsidR="009954CE">
        <w:rPr>
          <w:rFonts w:ascii="Arial" w:hAnsi="Arial"/>
          <w:lang w:val="en-GB"/>
        </w:rPr>
        <w:t xml:space="preserve">inclusive education, including lack of immediate provision of reasonable accommodation (as a means to provide support and accessibility), </w:t>
      </w:r>
      <w:r w:rsidR="00701257">
        <w:rPr>
          <w:rFonts w:ascii="Arial" w:hAnsi="Arial"/>
          <w:lang w:val="en-GB"/>
        </w:rPr>
        <w:t>and</w:t>
      </w:r>
      <w:r w:rsidRPr="0086116B">
        <w:rPr>
          <w:rFonts w:ascii="Arial" w:hAnsi="Arial"/>
          <w:lang w:val="en-GB"/>
        </w:rPr>
        <w:t xml:space="preserve"> </w:t>
      </w:r>
      <w:r w:rsidRPr="00BC5457">
        <w:rPr>
          <w:rFonts w:ascii="Arial" w:hAnsi="Arial"/>
          <w:b/>
          <w:lang w:val="en-GB"/>
        </w:rPr>
        <w:t>reinforc</w:t>
      </w:r>
      <w:r w:rsidR="00701257" w:rsidRPr="00BC5457">
        <w:rPr>
          <w:rFonts w:ascii="Arial" w:hAnsi="Arial"/>
          <w:b/>
          <w:lang w:val="en-GB"/>
        </w:rPr>
        <w:t>e</w:t>
      </w:r>
      <w:r w:rsidRPr="00BC5457">
        <w:rPr>
          <w:rFonts w:ascii="Arial" w:hAnsi="Arial"/>
          <w:b/>
          <w:lang w:val="en-GB"/>
        </w:rPr>
        <w:t xml:space="preserve"> States’ </w:t>
      </w:r>
      <w:r w:rsidR="00B32F21">
        <w:rPr>
          <w:rFonts w:ascii="Arial" w:hAnsi="Arial"/>
          <w:b/>
          <w:lang w:val="en-GB"/>
        </w:rPr>
        <w:t xml:space="preserve">human rights </w:t>
      </w:r>
      <w:r w:rsidRPr="00BC5457">
        <w:rPr>
          <w:rFonts w:ascii="Arial" w:hAnsi="Arial"/>
          <w:b/>
          <w:lang w:val="en-GB"/>
        </w:rPr>
        <w:t xml:space="preserve">obligations </w:t>
      </w:r>
      <w:r w:rsidR="00701257" w:rsidRPr="00BC5457">
        <w:rPr>
          <w:rFonts w:ascii="Arial" w:hAnsi="Arial"/>
          <w:b/>
          <w:lang w:val="en-GB"/>
        </w:rPr>
        <w:t>on the matter</w:t>
      </w:r>
      <w:r w:rsidRPr="0086116B">
        <w:rPr>
          <w:rFonts w:ascii="Arial" w:hAnsi="Arial"/>
          <w:lang w:val="en-GB"/>
        </w:rPr>
        <w:t>.</w:t>
      </w:r>
      <w:r w:rsidR="00701257">
        <w:rPr>
          <w:rFonts w:ascii="Arial" w:hAnsi="Arial"/>
          <w:lang w:val="en-GB"/>
        </w:rPr>
        <w:t xml:space="preserve"> </w:t>
      </w:r>
    </w:p>
    <w:p w14:paraId="767450C8" w14:textId="37012745" w:rsidR="00A126B8" w:rsidRDefault="00A126B8" w:rsidP="00010AB7">
      <w:pPr>
        <w:jc w:val="both"/>
        <w:rPr>
          <w:rFonts w:ascii="Arial" w:hAnsi="Arial" w:cs="Arial"/>
          <w:sz w:val="22"/>
          <w:szCs w:val="22"/>
          <w:lang w:val="en-GB"/>
        </w:rPr>
      </w:pPr>
    </w:p>
    <w:p w14:paraId="182C9D91" w14:textId="77777777" w:rsidR="006B3A44" w:rsidRPr="00446D2E" w:rsidRDefault="006B3A44" w:rsidP="00010AB7">
      <w:pPr>
        <w:jc w:val="both"/>
        <w:rPr>
          <w:rFonts w:ascii="Arial" w:hAnsi="Arial" w:cs="Arial"/>
          <w:sz w:val="22"/>
          <w:szCs w:val="22"/>
          <w:lang w:val="en-GB"/>
        </w:rPr>
      </w:pPr>
    </w:p>
    <w:p w14:paraId="5DC41F00" w14:textId="77777777" w:rsidR="007B7237" w:rsidRDefault="007B7237" w:rsidP="00010AB7">
      <w:pPr>
        <w:jc w:val="both"/>
        <w:rPr>
          <w:rFonts w:ascii="Arial" w:hAnsi="Arial" w:cs="Arial"/>
          <w:b/>
          <w:sz w:val="22"/>
          <w:szCs w:val="22"/>
          <w:lang w:val="en-GB"/>
        </w:rPr>
      </w:pPr>
    </w:p>
    <w:p w14:paraId="62DEAAEA" w14:textId="134FAB80" w:rsidR="007B7237" w:rsidRDefault="007B7237">
      <w:pPr>
        <w:rPr>
          <w:rFonts w:ascii="Arial" w:hAnsi="Arial" w:cs="Arial"/>
          <w:b/>
          <w:sz w:val="22"/>
          <w:szCs w:val="22"/>
          <w:lang w:val="en-GB"/>
        </w:rPr>
      </w:pPr>
      <w:r>
        <w:rPr>
          <w:rFonts w:ascii="Arial" w:hAnsi="Arial" w:cs="Arial"/>
          <w:b/>
          <w:sz w:val="22"/>
          <w:szCs w:val="22"/>
          <w:lang w:val="en-GB"/>
        </w:rPr>
        <w:br w:type="page"/>
      </w:r>
    </w:p>
    <w:p w14:paraId="43F30639" w14:textId="77777777" w:rsidR="007B7237" w:rsidRPr="00AB5211" w:rsidRDefault="007B7237" w:rsidP="007B7237">
      <w:pPr>
        <w:spacing w:line="276" w:lineRule="auto"/>
        <w:jc w:val="both"/>
        <w:rPr>
          <w:rFonts w:ascii="Arial" w:hAnsi="Arial"/>
          <w:sz w:val="22"/>
          <w:u w:val="single"/>
        </w:rPr>
      </w:pPr>
      <w:r w:rsidRPr="00AB5211">
        <w:rPr>
          <w:rFonts w:ascii="Arial" w:hAnsi="Arial"/>
          <w:sz w:val="22"/>
          <w:u w:val="single"/>
        </w:rPr>
        <w:lastRenderedPageBreak/>
        <w:t>Stat</w:t>
      </w:r>
      <w:r>
        <w:rPr>
          <w:rFonts w:ascii="Arial" w:hAnsi="Arial"/>
          <w:sz w:val="22"/>
          <w:u w:val="single"/>
        </w:rPr>
        <w:t>ement of Interest of IDA, EDF and CNDR</w:t>
      </w:r>
    </w:p>
    <w:p w14:paraId="5D428043" w14:textId="77777777" w:rsidR="007B7237" w:rsidRDefault="007B7237" w:rsidP="007B7237">
      <w:pPr>
        <w:pStyle w:val="BodyText"/>
        <w:spacing w:line="276" w:lineRule="auto"/>
        <w:jc w:val="both"/>
        <w:rPr>
          <w:rFonts w:ascii="Arial" w:hAnsi="Arial"/>
          <w:sz w:val="22"/>
        </w:rPr>
      </w:pPr>
    </w:p>
    <w:p w14:paraId="5B3F7616" w14:textId="77777777" w:rsidR="007B7237" w:rsidRPr="00776AF3" w:rsidRDefault="007B7237" w:rsidP="007B7237">
      <w:pPr>
        <w:pStyle w:val="BodyText"/>
        <w:spacing w:line="276" w:lineRule="auto"/>
        <w:jc w:val="both"/>
        <w:rPr>
          <w:rFonts w:ascii="Arial" w:hAnsi="Arial"/>
          <w:sz w:val="21"/>
          <w:szCs w:val="21"/>
        </w:rPr>
      </w:pPr>
      <w:r w:rsidRPr="00776AF3">
        <w:rPr>
          <w:rFonts w:ascii="Arial" w:hAnsi="Arial"/>
          <w:sz w:val="21"/>
          <w:szCs w:val="21"/>
        </w:rPr>
        <w:t xml:space="preserve">The International Disability Alliance (IDA) is a unique international network of global and regional </w:t>
      </w:r>
      <w:proofErr w:type="spellStart"/>
      <w:r w:rsidRPr="00776AF3">
        <w:rPr>
          <w:rFonts w:ascii="Arial" w:hAnsi="Arial"/>
          <w:sz w:val="21"/>
          <w:szCs w:val="21"/>
        </w:rPr>
        <w:t>organisations</w:t>
      </w:r>
      <w:proofErr w:type="spellEnd"/>
      <w:r w:rsidRPr="00776AF3">
        <w:rPr>
          <w:rFonts w:ascii="Arial" w:hAnsi="Arial"/>
          <w:sz w:val="21"/>
          <w:szCs w:val="21"/>
        </w:rPr>
        <w:t xml:space="preserve"> of persons with disabilities, of which EDF is a member. Established in 1999, each IDA member represents a large number of national disabled persons’ </w:t>
      </w:r>
      <w:proofErr w:type="spellStart"/>
      <w:r w:rsidRPr="00776AF3">
        <w:rPr>
          <w:rFonts w:ascii="Arial" w:hAnsi="Arial"/>
          <w:sz w:val="21"/>
          <w:szCs w:val="21"/>
        </w:rPr>
        <w:t>organisations</w:t>
      </w:r>
      <w:proofErr w:type="spellEnd"/>
      <w:r w:rsidRPr="00776AF3">
        <w:rPr>
          <w:rFonts w:ascii="Arial" w:hAnsi="Arial"/>
          <w:sz w:val="21"/>
          <w:szCs w:val="21"/>
        </w:rPr>
        <w:t xml:space="preserve"> (DPOs) from around the globe, covering the whole range of disability constituencies. IDA thus represents the collective global voice of persons with disabilities counting among the more than one billion persons with disabilities worldwide, the world’s largest – and most frequently overlooked – minority group. IDA’s mission is to advance the human rights of persons with disabilities as a united voice of </w:t>
      </w:r>
      <w:proofErr w:type="spellStart"/>
      <w:r w:rsidRPr="00776AF3">
        <w:rPr>
          <w:rFonts w:ascii="Arial" w:hAnsi="Arial"/>
          <w:sz w:val="21"/>
          <w:szCs w:val="21"/>
        </w:rPr>
        <w:t>organisations</w:t>
      </w:r>
      <w:proofErr w:type="spellEnd"/>
      <w:r w:rsidRPr="00776AF3">
        <w:rPr>
          <w:rFonts w:ascii="Arial" w:hAnsi="Arial"/>
          <w:sz w:val="21"/>
          <w:szCs w:val="21"/>
        </w:rPr>
        <w:t xml:space="preserve"> of persons with disabilities </w:t>
      </w:r>
      <w:proofErr w:type="spellStart"/>
      <w:r w:rsidRPr="00776AF3">
        <w:rPr>
          <w:rFonts w:ascii="Arial" w:hAnsi="Arial"/>
          <w:sz w:val="21"/>
          <w:szCs w:val="21"/>
        </w:rPr>
        <w:t>utilising</w:t>
      </w:r>
      <w:proofErr w:type="spellEnd"/>
      <w:r w:rsidRPr="00776AF3">
        <w:rPr>
          <w:rFonts w:ascii="Arial" w:hAnsi="Arial"/>
          <w:sz w:val="21"/>
          <w:szCs w:val="21"/>
        </w:rPr>
        <w:t xml:space="preserve"> the Convention on the Rights of Persons with Disabilities and other human rights instruments. </w:t>
      </w:r>
    </w:p>
    <w:p w14:paraId="2CA20B7A" w14:textId="77777777" w:rsidR="007B7237" w:rsidRPr="00776AF3" w:rsidRDefault="007B7237" w:rsidP="007B7237">
      <w:pPr>
        <w:pStyle w:val="BodyText"/>
        <w:spacing w:line="276" w:lineRule="auto"/>
        <w:jc w:val="both"/>
        <w:rPr>
          <w:rFonts w:ascii="Arial" w:hAnsi="Arial"/>
          <w:sz w:val="21"/>
          <w:szCs w:val="21"/>
        </w:rPr>
      </w:pPr>
    </w:p>
    <w:p w14:paraId="5F9F06DC" w14:textId="77777777" w:rsidR="007B7237" w:rsidRPr="00776AF3" w:rsidRDefault="007B7237" w:rsidP="007B7237">
      <w:pPr>
        <w:pStyle w:val="BodyText"/>
        <w:spacing w:line="276" w:lineRule="auto"/>
        <w:jc w:val="both"/>
        <w:rPr>
          <w:rFonts w:ascii="Arial" w:hAnsi="Arial" w:cs="Arial"/>
          <w:sz w:val="21"/>
          <w:szCs w:val="21"/>
        </w:rPr>
      </w:pPr>
      <w:r w:rsidRPr="00776AF3">
        <w:rPr>
          <w:rFonts w:ascii="Arial" w:hAnsi="Arial"/>
          <w:sz w:val="21"/>
          <w:szCs w:val="21"/>
        </w:rPr>
        <w:t xml:space="preserve">The European Disability Forum (EDF) is the independent European umbrella </w:t>
      </w:r>
      <w:proofErr w:type="spellStart"/>
      <w:r w:rsidRPr="00776AF3">
        <w:rPr>
          <w:rFonts w:ascii="Arial" w:hAnsi="Arial"/>
          <w:sz w:val="21"/>
          <w:szCs w:val="21"/>
        </w:rPr>
        <w:t>organisation</w:t>
      </w:r>
      <w:proofErr w:type="spellEnd"/>
      <w:r w:rsidRPr="00776AF3">
        <w:rPr>
          <w:rFonts w:ascii="Arial" w:hAnsi="Arial"/>
          <w:sz w:val="21"/>
          <w:szCs w:val="21"/>
        </w:rPr>
        <w:t xml:space="preserve"> representing 80 million disabled Europeans. EDF is the only European pan-disability platform run by persons with disabilities and their families. Created in 1996 by its member </w:t>
      </w:r>
      <w:proofErr w:type="spellStart"/>
      <w:r w:rsidRPr="00776AF3">
        <w:rPr>
          <w:rFonts w:ascii="Arial" w:hAnsi="Arial"/>
          <w:sz w:val="21"/>
          <w:szCs w:val="21"/>
        </w:rPr>
        <w:t>organisations</w:t>
      </w:r>
      <w:proofErr w:type="spellEnd"/>
      <w:r w:rsidRPr="00776AF3">
        <w:rPr>
          <w:rFonts w:ascii="Arial" w:hAnsi="Arial"/>
          <w:sz w:val="21"/>
          <w:szCs w:val="21"/>
        </w:rPr>
        <w:t xml:space="preserve">, EDF ensures that decisions concerning persons with disabilities are taken with </w:t>
      </w:r>
      <w:r w:rsidRPr="00776AF3">
        <w:rPr>
          <w:rFonts w:ascii="Arial" w:hAnsi="Arial" w:cs="Arial"/>
          <w:sz w:val="21"/>
          <w:szCs w:val="21"/>
        </w:rPr>
        <w:t>and by persons with disabilities. The CNDR is the member of the EDF at the national level in Romania.</w:t>
      </w:r>
    </w:p>
    <w:p w14:paraId="72D700F5" w14:textId="77777777" w:rsidR="007B7237" w:rsidRPr="00776AF3" w:rsidRDefault="007B7237" w:rsidP="007B7237">
      <w:pPr>
        <w:spacing w:line="276" w:lineRule="auto"/>
        <w:jc w:val="both"/>
        <w:rPr>
          <w:rFonts w:ascii="Arial" w:hAnsi="Arial"/>
          <w:sz w:val="21"/>
          <w:szCs w:val="21"/>
        </w:rPr>
      </w:pPr>
    </w:p>
    <w:p w14:paraId="3D4CAB71" w14:textId="77777777" w:rsidR="007B7237" w:rsidRPr="00776AF3" w:rsidRDefault="007B7237" w:rsidP="007B7237">
      <w:pPr>
        <w:spacing w:line="276" w:lineRule="auto"/>
        <w:jc w:val="both"/>
        <w:rPr>
          <w:rFonts w:ascii="Arial" w:hAnsi="Arial"/>
          <w:sz w:val="21"/>
          <w:szCs w:val="21"/>
        </w:rPr>
      </w:pPr>
      <w:r w:rsidRPr="00776AF3">
        <w:rPr>
          <w:rFonts w:ascii="Arial" w:hAnsi="Arial"/>
          <w:sz w:val="21"/>
          <w:szCs w:val="21"/>
        </w:rPr>
        <w:t xml:space="preserve">IDA and EDF work both individually and collectively to advocate for the rights of persons with disabilities on the national, regional and international planes, including before the Court: EDF has previously submitted third party interventions to the Court in </w:t>
      </w:r>
      <w:proofErr w:type="spellStart"/>
      <w:r w:rsidRPr="00776AF3">
        <w:rPr>
          <w:rFonts w:ascii="Arial" w:hAnsi="Arial"/>
          <w:i/>
          <w:sz w:val="21"/>
          <w:szCs w:val="21"/>
        </w:rPr>
        <w:t>Dordevic</w:t>
      </w:r>
      <w:proofErr w:type="spellEnd"/>
      <w:r w:rsidRPr="00776AF3">
        <w:rPr>
          <w:rFonts w:ascii="Arial" w:hAnsi="Arial"/>
          <w:i/>
          <w:sz w:val="21"/>
          <w:szCs w:val="21"/>
        </w:rPr>
        <w:t xml:space="preserve"> v Croatia</w:t>
      </w:r>
      <w:r w:rsidRPr="00776AF3">
        <w:rPr>
          <w:rFonts w:ascii="Arial" w:hAnsi="Arial"/>
          <w:sz w:val="21"/>
          <w:szCs w:val="21"/>
        </w:rPr>
        <w:t xml:space="preserve"> (Application No 41526/10), </w:t>
      </w:r>
      <w:proofErr w:type="spellStart"/>
      <w:r w:rsidRPr="00776AF3">
        <w:rPr>
          <w:rFonts w:ascii="Arial" w:hAnsi="Arial"/>
          <w:i/>
          <w:sz w:val="21"/>
          <w:szCs w:val="21"/>
        </w:rPr>
        <w:t>Gauer</w:t>
      </w:r>
      <w:proofErr w:type="spellEnd"/>
      <w:r w:rsidRPr="00776AF3">
        <w:rPr>
          <w:rFonts w:ascii="Arial" w:hAnsi="Arial"/>
          <w:i/>
          <w:sz w:val="21"/>
          <w:szCs w:val="21"/>
        </w:rPr>
        <w:t xml:space="preserve"> and Others v France</w:t>
      </w:r>
      <w:r w:rsidRPr="00776AF3">
        <w:rPr>
          <w:rFonts w:ascii="Arial" w:hAnsi="Arial"/>
          <w:sz w:val="21"/>
          <w:szCs w:val="21"/>
        </w:rPr>
        <w:t xml:space="preserve"> (Application no 61521/08), </w:t>
      </w:r>
      <w:r w:rsidRPr="00776AF3">
        <w:rPr>
          <w:rFonts w:ascii="Arial" w:hAnsi="Arial"/>
          <w:i/>
          <w:sz w:val="21"/>
          <w:szCs w:val="21"/>
        </w:rPr>
        <w:t>DG v Poland</w:t>
      </w:r>
      <w:r w:rsidRPr="00776AF3">
        <w:rPr>
          <w:rFonts w:ascii="Arial" w:hAnsi="Arial"/>
          <w:sz w:val="21"/>
          <w:szCs w:val="21"/>
        </w:rPr>
        <w:t xml:space="preserve"> (Application no. 45705/07) of which the two latter were submitted jointly with IDA and other NGOs.  EDF and IDA have also jointly intervened in </w:t>
      </w:r>
      <w:r w:rsidRPr="00776AF3">
        <w:rPr>
          <w:rFonts w:ascii="Arial" w:hAnsi="Arial"/>
          <w:i/>
          <w:sz w:val="21"/>
          <w:szCs w:val="21"/>
        </w:rPr>
        <w:t>HP v Denmark (</w:t>
      </w:r>
      <w:r w:rsidRPr="00776AF3">
        <w:rPr>
          <w:rFonts w:ascii="Arial" w:hAnsi="Arial"/>
          <w:sz w:val="21"/>
          <w:szCs w:val="21"/>
        </w:rPr>
        <w:t xml:space="preserve">Application no 55607/09), </w:t>
      </w:r>
      <w:proofErr w:type="spellStart"/>
      <w:r w:rsidRPr="00776AF3">
        <w:rPr>
          <w:rFonts w:ascii="Arial" w:hAnsi="Arial"/>
          <w:i/>
          <w:sz w:val="21"/>
          <w:szCs w:val="21"/>
        </w:rPr>
        <w:t>Guberina</w:t>
      </w:r>
      <w:proofErr w:type="spellEnd"/>
      <w:r w:rsidRPr="00776AF3">
        <w:rPr>
          <w:rFonts w:ascii="Arial" w:hAnsi="Arial"/>
          <w:i/>
          <w:sz w:val="21"/>
          <w:szCs w:val="21"/>
        </w:rPr>
        <w:t xml:space="preserve"> v Croatia </w:t>
      </w:r>
      <w:r w:rsidRPr="00776AF3">
        <w:rPr>
          <w:rFonts w:ascii="Arial" w:hAnsi="Arial"/>
          <w:sz w:val="21"/>
          <w:szCs w:val="21"/>
        </w:rPr>
        <w:t xml:space="preserve">(Application no 23682/13), </w:t>
      </w:r>
      <w:proofErr w:type="spellStart"/>
      <w:r w:rsidRPr="00776AF3">
        <w:rPr>
          <w:rFonts w:ascii="Arial" w:hAnsi="Arial"/>
          <w:sz w:val="21"/>
          <w:szCs w:val="21"/>
        </w:rPr>
        <w:t>Mihailovs</w:t>
      </w:r>
      <w:proofErr w:type="spellEnd"/>
      <w:r w:rsidRPr="00776AF3">
        <w:rPr>
          <w:rFonts w:ascii="Arial" w:hAnsi="Arial"/>
          <w:i/>
          <w:sz w:val="21"/>
          <w:szCs w:val="21"/>
        </w:rPr>
        <w:t xml:space="preserve"> v Latvia</w:t>
      </w:r>
      <w:r w:rsidRPr="00776AF3">
        <w:rPr>
          <w:rFonts w:ascii="Arial" w:hAnsi="Arial"/>
          <w:sz w:val="21"/>
          <w:szCs w:val="21"/>
        </w:rPr>
        <w:t xml:space="preserve"> (Application no 35939/10),</w:t>
      </w:r>
      <w:r w:rsidRPr="00776AF3">
        <w:rPr>
          <w:sz w:val="21"/>
          <w:szCs w:val="21"/>
          <w:lang w:val="en-GB"/>
        </w:rPr>
        <w:t xml:space="preserve"> </w:t>
      </w:r>
      <w:proofErr w:type="spellStart"/>
      <w:r w:rsidRPr="00776AF3">
        <w:rPr>
          <w:rFonts w:ascii="Arial" w:hAnsi="Arial"/>
          <w:i/>
          <w:sz w:val="21"/>
          <w:szCs w:val="21"/>
        </w:rPr>
        <w:t>Semikhvostov</w:t>
      </w:r>
      <w:proofErr w:type="spellEnd"/>
      <w:r w:rsidRPr="00776AF3">
        <w:rPr>
          <w:rFonts w:ascii="Arial" w:hAnsi="Arial"/>
          <w:i/>
          <w:sz w:val="21"/>
          <w:szCs w:val="21"/>
        </w:rPr>
        <w:t xml:space="preserve"> v Russia</w:t>
      </w:r>
      <w:r w:rsidRPr="00776AF3">
        <w:rPr>
          <w:rFonts w:ascii="Arial" w:hAnsi="Arial"/>
          <w:sz w:val="21"/>
          <w:szCs w:val="21"/>
        </w:rPr>
        <w:t xml:space="preserve"> (Application no 2689/12), </w:t>
      </w:r>
      <w:proofErr w:type="spellStart"/>
      <w:r w:rsidRPr="00776AF3">
        <w:rPr>
          <w:rFonts w:ascii="Arial" w:hAnsi="Arial"/>
          <w:i/>
          <w:sz w:val="21"/>
          <w:szCs w:val="21"/>
        </w:rPr>
        <w:t>Koroviny</w:t>
      </w:r>
      <w:proofErr w:type="spellEnd"/>
      <w:r w:rsidRPr="00776AF3">
        <w:rPr>
          <w:rFonts w:ascii="Arial" w:hAnsi="Arial"/>
          <w:i/>
          <w:sz w:val="21"/>
          <w:szCs w:val="21"/>
        </w:rPr>
        <w:t xml:space="preserve"> v Russia</w:t>
      </w:r>
      <w:r w:rsidRPr="00776AF3">
        <w:rPr>
          <w:rFonts w:ascii="Arial" w:hAnsi="Arial"/>
          <w:sz w:val="21"/>
          <w:szCs w:val="21"/>
        </w:rPr>
        <w:t xml:space="preserve"> (Application no 31974/11), </w:t>
      </w:r>
      <w:proofErr w:type="spellStart"/>
      <w:r w:rsidRPr="00776AF3">
        <w:rPr>
          <w:rFonts w:ascii="Arial" w:hAnsi="Arial"/>
          <w:i/>
          <w:sz w:val="21"/>
          <w:szCs w:val="21"/>
        </w:rPr>
        <w:t>Stankov</w:t>
      </w:r>
      <w:proofErr w:type="spellEnd"/>
      <w:r w:rsidRPr="00776AF3">
        <w:rPr>
          <w:rFonts w:ascii="Arial" w:hAnsi="Arial"/>
          <w:i/>
          <w:sz w:val="21"/>
          <w:szCs w:val="21"/>
        </w:rPr>
        <w:t xml:space="preserve"> v Bulgaria</w:t>
      </w:r>
      <w:r w:rsidRPr="00776AF3">
        <w:rPr>
          <w:rFonts w:ascii="Arial" w:hAnsi="Arial"/>
          <w:sz w:val="21"/>
          <w:szCs w:val="21"/>
        </w:rPr>
        <w:t xml:space="preserve"> (Application no 25820/07) along with other </w:t>
      </w:r>
      <w:proofErr w:type="spellStart"/>
      <w:r w:rsidRPr="00776AF3">
        <w:rPr>
          <w:rFonts w:ascii="Arial" w:hAnsi="Arial"/>
          <w:sz w:val="21"/>
          <w:szCs w:val="21"/>
        </w:rPr>
        <w:t>organisations</w:t>
      </w:r>
      <w:proofErr w:type="spellEnd"/>
      <w:r w:rsidRPr="00776AF3">
        <w:rPr>
          <w:rFonts w:ascii="Arial" w:hAnsi="Arial"/>
          <w:sz w:val="21"/>
          <w:szCs w:val="21"/>
        </w:rPr>
        <w:t xml:space="preserve"> of persons with disabilities.</w:t>
      </w:r>
    </w:p>
    <w:p w14:paraId="4159F261" w14:textId="77777777" w:rsidR="007B7237" w:rsidRPr="00776AF3" w:rsidRDefault="007B7237" w:rsidP="007B7237">
      <w:pPr>
        <w:spacing w:line="276" w:lineRule="auto"/>
        <w:jc w:val="both"/>
        <w:rPr>
          <w:rFonts w:ascii="Arial" w:hAnsi="Arial"/>
          <w:sz w:val="21"/>
          <w:szCs w:val="21"/>
        </w:rPr>
      </w:pPr>
    </w:p>
    <w:p w14:paraId="32B45565" w14:textId="77777777" w:rsidR="007B7237" w:rsidRPr="00776AF3" w:rsidRDefault="007B7237" w:rsidP="007B7237">
      <w:pPr>
        <w:spacing w:line="276" w:lineRule="auto"/>
        <w:jc w:val="both"/>
        <w:rPr>
          <w:rFonts w:ascii="Arial" w:hAnsi="Arial"/>
          <w:sz w:val="21"/>
          <w:szCs w:val="21"/>
        </w:rPr>
      </w:pPr>
      <w:r w:rsidRPr="00776AF3">
        <w:rPr>
          <w:rFonts w:ascii="Arial" w:hAnsi="Arial"/>
          <w:sz w:val="21"/>
          <w:szCs w:val="21"/>
        </w:rPr>
        <w:t xml:space="preserve">The </w:t>
      </w:r>
      <w:proofErr w:type="spellStart"/>
      <w:r w:rsidRPr="00776AF3">
        <w:rPr>
          <w:rFonts w:ascii="Arial" w:hAnsi="Arial"/>
          <w:sz w:val="21"/>
          <w:szCs w:val="21"/>
        </w:rPr>
        <w:t>organisations’</w:t>
      </w:r>
      <w:proofErr w:type="spellEnd"/>
      <w:r w:rsidRPr="00776AF3">
        <w:rPr>
          <w:rFonts w:ascii="Arial" w:hAnsi="Arial"/>
          <w:sz w:val="21"/>
          <w:szCs w:val="21"/>
        </w:rPr>
        <w:t xml:space="preserve"> </w:t>
      </w:r>
      <w:r w:rsidRPr="00776AF3">
        <w:rPr>
          <w:rFonts w:ascii="Arial" w:hAnsi="Arial" w:cs="Arial"/>
          <w:color w:val="000000"/>
          <w:kern w:val="24"/>
          <w:sz w:val="21"/>
          <w:szCs w:val="21"/>
          <w:lang w:val="en-GB"/>
        </w:rPr>
        <w:t xml:space="preserve">participation in third party interventions is aimed at bringing the Court’s attention to the latest international human rights standards concerning persons with disabilities. </w:t>
      </w:r>
      <w:r w:rsidRPr="00776AF3">
        <w:rPr>
          <w:rFonts w:ascii="Arial" w:hAnsi="Arial"/>
          <w:sz w:val="21"/>
          <w:szCs w:val="21"/>
        </w:rPr>
        <w:t xml:space="preserve">The present case raises important issues in the area of education concerning the fundamental rights of persons with disabilities, and the laws and practices which continue to violate their rights and perpetuate their </w:t>
      </w:r>
      <w:proofErr w:type="spellStart"/>
      <w:r w:rsidRPr="00776AF3">
        <w:rPr>
          <w:rFonts w:ascii="Arial" w:hAnsi="Arial"/>
          <w:sz w:val="21"/>
          <w:szCs w:val="21"/>
        </w:rPr>
        <w:t>marginalisation</w:t>
      </w:r>
      <w:proofErr w:type="spellEnd"/>
      <w:r w:rsidRPr="00776AF3">
        <w:rPr>
          <w:rFonts w:ascii="Arial" w:hAnsi="Arial"/>
          <w:sz w:val="21"/>
          <w:szCs w:val="21"/>
        </w:rPr>
        <w:t xml:space="preserve"> in society.  The outcome of this case will have a significant impact on how States view their obligations towards persons with disabilities, including regarding the right to inclusive education, and will be key to ensuring a </w:t>
      </w:r>
      <w:proofErr w:type="spellStart"/>
      <w:r w:rsidRPr="00776AF3">
        <w:rPr>
          <w:rFonts w:ascii="Arial" w:hAnsi="Arial"/>
          <w:sz w:val="21"/>
          <w:szCs w:val="21"/>
        </w:rPr>
        <w:t>harmonised</w:t>
      </w:r>
      <w:proofErr w:type="spellEnd"/>
      <w:r w:rsidRPr="00776AF3">
        <w:rPr>
          <w:rFonts w:ascii="Arial" w:hAnsi="Arial"/>
          <w:sz w:val="21"/>
          <w:szCs w:val="21"/>
        </w:rPr>
        <w:t xml:space="preserve"> approach by the Court and the UN Committee on the Rights of Persons with Disabilities (CRPD) in an important effort to uphold the development and coherence of international human rights law.</w:t>
      </w:r>
    </w:p>
    <w:p w14:paraId="4B3CDB95" w14:textId="77777777" w:rsidR="007B7237" w:rsidRPr="00776AF3" w:rsidRDefault="007B7237" w:rsidP="007B7237">
      <w:pPr>
        <w:spacing w:line="276" w:lineRule="auto"/>
        <w:jc w:val="both"/>
        <w:rPr>
          <w:rFonts w:ascii="Arial" w:hAnsi="Arial"/>
          <w:sz w:val="21"/>
          <w:szCs w:val="21"/>
        </w:rPr>
      </w:pPr>
      <w:r w:rsidRPr="00776AF3">
        <w:rPr>
          <w:rFonts w:ascii="Arial" w:hAnsi="Arial"/>
          <w:sz w:val="21"/>
          <w:szCs w:val="21"/>
        </w:rPr>
        <w:t xml:space="preserve">  </w:t>
      </w:r>
    </w:p>
    <w:p w14:paraId="78C0BF70" w14:textId="77777777" w:rsidR="007B7237" w:rsidRPr="00776AF3" w:rsidRDefault="007B7237" w:rsidP="007B7237">
      <w:pPr>
        <w:spacing w:line="276" w:lineRule="auto"/>
        <w:jc w:val="both"/>
        <w:rPr>
          <w:rFonts w:ascii="Arial" w:hAnsi="Arial" w:cs="Arial"/>
          <w:sz w:val="21"/>
          <w:szCs w:val="21"/>
        </w:rPr>
      </w:pPr>
      <w:r w:rsidRPr="00776AF3">
        <w:rPr>
          <w:rFonts w:ascii="Arial" w:hAnsi="Arial" w:cs="Arial"/>
          <w:sz w:val="21"/>
          <w:szCs w:val="21"/>
        </w:rPr>
        <w:t xml:space="preserve">The issues being raised in the present case are topics with which the </w:t>
      </w:r>
      <w:proofErr w:type="spellStart"/>
      <w:r w:rsidRPr="00776AF3">
        <w:rPr>
          <w:rFonts w:ascii="Arial" w:hAnsi="Arial" w:cs="Arial"/>
          <w:sz w:val="21"/>
          <w:szCs w:val="21"/>
        </w:rPr>
        <w:t>organisations</w:t>
      </w:r>
      <w:proofErr w:type="spellEnd"/>
      <w:r w:rsidRPr="00776AF3">
        <w:rPr>
          <w:rFonts w:ascii="Arial" w:hAnsi="Arial" w:cs="Arial"/>
          <w:sz w:val="21"/>
          <w:szCs w:val="21"/>
        </w:rPr>
        <w:t xml:space="preserve"> are familiar, both of which have been key actors in the negotiation of the relevant provisions of the Convention on the Rights of Persons with Disabilities (CRPD), and since the CRPD came into force, working directly on the implementation of these provisions, including the right to non-discrimination (Article 5, CRPD) and the right to inclusive education (Article 24). </w:t>
      </w:r>
    </w:p>
    <w:p w14:paraId="727314D4" w14:textId="77777777" w:rsidR="007B7237" w:rsidRPr="007B7237" w:rsidRDefault="007B7237" w:rsidP="00010AB7">
      <w:pPr>
        <w:jc w:val="both"/>
        <w:rPr>
          <w:rFonts w:ascii="Arial" w:hAnsi="Arial" w:cs="Arial"/>
          <w:b/>
          <w:sz w:val="22"/>
          <w:szCs w:val="22"/>
        </w:rPr>
      </w:pPr>
    </w:p>
    <w:p w14:paraId="31BF8830" w14:textId="77777777" w:rsidR="00010AB7" w:rsidRPr="00010AB7" w:rsidRDefault="00010AB7">
      <w:pPr>
        <w:rPr>
          <w:rFonts w:ascii="Arial" w:hAnsi="Arial" w:cs="Arial"/>
          <w:sz w:val="22"/>
        </w:rPr>
      </w:pPr>
      <w:bookmarkStart w:id="2" w:name="_GoBack"/>
      <w:bookmarkEnd w:id="2"/>
    </w:p>
    <w:sectPr w:rsidR="00010AB7" w:rsidRPr="00010AB7" w:rsidSect="005E0993">
      <w:headerReference w:type="default" r:id="rId13"/>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5BA6C" w14:textId="77777777" w:rsidR="00512DEB" w:rsidRDefault="00512DEB" w:rsidP="0067082D">
      <w:r>
        <w:separator/>
      </w:r>
    </w:p>
  </w:endnote>
  <w:endnote w:type="continuationSeparator" w:id="0">
    <w:p w14:paraId="4BCE0D3B" w14:textId="77777777" w:rsidR="00512DEB" w:rsidRDefault="00512DEB" w:rsidP="0067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libri-Bold">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8C3D6" w14:textId="77777777" w:rsidR="00152E6E" w:rsidRDefault="00152E6E" w:rsidP="008F15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E9E526" w14:textId="77777777" w:rsidR="00152E6E" w:rsidRDefault="00152E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E649" w14:textId="77777777" w:rsidR="00152E6E" w:rsidRPr="004C0A8A" w:rsidRDefault="00152E6E" w:rsidP="008F1500">
    <w:pPr>
      <w:pStyle w:val="Footer"/>
      <w:framePr w:wrap="around" w:vAnchor="text" w:hAnchor="margin" w:xAlign="center" w:y="1"/>
      <w:rPr>
        <w:rStyle w:val="PageNumber"/>
        <w:rFonts w:ascii="Arial" w:hAnsi="Arial" w:cs="Arial"/>
        <w:sz w:val="20"/>
      </w:rPr>
    </w:pPr>
    <w:r w:rsidRPr="004C0A8A">
      <w:rPr>
        <w:rStyle w:val="PageNumber"/>
        <w:rFonts w:ascii="Arial" w:hAnsi="Arial" w:cs="Arial"/>
        <w:sz w:val="20"/>
      </w:rPr>
      <w:fldChar w:fldCharType="begin"/>
    </w:r>
    <w:r w:rsidRPr="004C0A8A">
      <w:rPr>
        <w:rStyle w:val="PageNumber"/>
        <w:rFonts w:ascii="Arial" w:hAnsi="Arial" w:cs="Arial"/>
        <w:sz w:val="20"/>
      </w:rPr>
      <w:instrText xml:space="preserve">PAGE  </w:instrText>
    </w:r>
    <w:r w:rsidRPr="004C0A8A">
      <w:rPr>
        <w:rStyle w:val="PageNumber"/>
        <w:rFonts w:ascii="Arial" w:hAnsi="Arial" w:cs="Arial"/>
        <w:sz w:val="20"/>
      </w:rPr>
      <w:fldChar w:fldCharType="separate"/>
    </w:r>
    <w:r w:rsidR="00776AF3">
      <w:rPr>
        <w:rStyle w:val="PageNumber"/>
        <w:rFonts w:ascii="Arial" w:hAnsi="Arial" w:cs="Arial"/>
        <w:noProof/>
        <w:sz w:val="20"/>
      </w:rPr>
      <w:t>3</w:t>
    </w:r>
    <w:r w:rsidRPr="004C0A8A">
      <w:rPr>
        <w:rStyle w:val="PageNumber"/>
        <w:rFonts w:ascii="Arial" w:hAnsi="Arial" w:cs="Arial"/>
        <w:sz w:val="20"/>
      </w:rPr>
      <w:fldChar w:fldCharType="end"/>
    </w:r>
  </w:p>
  <w:p w14:paraId="4C7930EE" w14:textId="77777777" w:rsidR="00152E6E" w:rsidRDefault="00152E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BD69C" w14:textId="77777777" w:rsidR="00512DEB" w:rsidRDefault="00512DEB" w:rsidP="0067082D">
      <w:r>
        <w:separator/>
      </w:r>
    </w:p>
  </w:footnote>
  <w:footnote w:type="continuationSeparator" w:id="0">
    <w:p w14:paraId="2D5E3F8F" w14:textId="77777777" w:rsidR="00512DEB" w:rsidRDefault="00512DEB" w:rsidP="0067082D">
      <w:r>
        <w:continuationSeparator/>
      </w:r>
    </w:p>
  </w:footnote>
  <w:footnote w:id="1">
    <w:p w14:paraId="3B4A4695" w14:textId="17945624" w:rsidR="00152E6E" w:rsidRPr="00EB4DAA" w:rsidRDefault="00152E6E" w:rsidP="000A51D1">
      <w:pPr>
        <w:pStyle w:val="FootnoteText"/>
        <w:jc w:val="both"/>
        <w:rPr>
          <w:rFonts w:cs="Arial"/>
          <w:szCs w:val="16"/>
          <w:lang w:val="en-US"/>
        </w:rPr>
      </w:pPr>
      <w:r w:rsidRPr="00EB4DAA">
        <w:rPr>
          <w:rStyle w:val="FootnoteReference"/>
          <w:rFonts w:cs="Arial"/>
          <w:szCs w:val="16"/>
        </w:rPr>
        <w:footnoteRef/>
      </w:r>
      <w:r w:rsidRPr="00EB4DAA">
        <w:rPr>
          <w:rFonts w:cs="Arial"/>
          <w:szCs w:val="16"/>
        </w:rPr>
        <w:t xml:space="preserve"> </w:t>
      </w:r>
      <w:r>
        <w:t xml:space="preserve">CRPD Committee, General Comment No 4 on the right to inclusive education, </w:t>
      </w:r>
      <w:r w:rsidRPr="00636974">
        <w:rPr>
          <w:lang w:val="en-US"/>
        </w:rPr>
        <w:t>CRPD</w:t>
      </w:r>
      <w:r>
        <w:rPr>
          <w:lang w:val="en-US"/>
        </w:rPr>
        <w:t xml:space="preserve">/C/GC/4, </w:t>
      </w:r>
      <w:r>
        <w:t>25 November 2016.</w:t>
      </w:r>
    </w:p>
  </w:footnote>
  <w:footnote w:id="2">
    <w:p w14:paraId="19B0C0F2" w14:textId="6D81340E" w:rsidR="00152E6E" w:rsidRPr="00E61299" w:rsidRDefault="00152E6E" w:rsidP="00EB4DAA">
      <w:pPr>
        <w:pStyle w:val="FootnoteText"/>
        <w:jc w:val="both"/>
        <w:rPr>
          <w:rFonts w:cs="Arial"/>
          <w:szCs w:val="16"/>
          <w:lang w:val="en-US"/>
        </w:rPr>
      </w:pPr>
      <w:r w:rsidRPr="00EB4DAA">
        <w:rPr>
          <w:rStyle w:val="FootnoteReference"/>
          <w:rFonts w:cs="Arial"/>
          <w:szCs w:val="16"/>
        </w:rPr>
        <w:footnoteRef/>
      </w:r>
      <w:r w:rsidRPr="00EB4DAA">
        <w:rPr>
          <w:rFonts w:cs="Arial"/>
          <w:szCs w:val="16"/>
        </w:rPr>
        <w:t xml:space="preserve"> </w:t>
      </w:r>
      <w:proofErr w:type="spellStart"/>
      <w:r w:rsidRPr="00EB4DAA">
        <w:rPr>
          <w:rFonts w:cs="Arial"/>
          <w:i/>
          <w:szCs w:val="16"/>
        </w:rPr>
        <w:t>Opuz</w:t>
      </w:r>
      <w:proofErr w:type="spellEnd"/>
      <w:r w:rsidRPr="00EB4DAA">
        <w:rPr>
          <w:rFonts w:cs="Arial"/>
          <w:i/>
          <w:szCs w:val="16"/>
        </w:rPr>
        <w:t xml:space="preserve"> v Turkey</w:t>
      </w:r>
      <w:r w:rsidRPr="00EB4DAA">
        <w:rPr>
          <w:rFonts w:cs="Arial"/>
          <w:szCs w:val="16"/>
        </w:rPr>
        <w:t>, Application no 33401/02, judgment of 9 June 2009, para 164.</w:t>
      </w:r>
    </w:p>
  </w:footnote>
  <w:footnote w:id="3">
    <w:p w14:paraId="1982CA4C" w14:textId="68EFBDB5" w:rsidR="00152E6E" w:rsidRPr="001A4D48" w:rsidRDefault="00152E6E" w:rsidP="001A4D48">
      <w:pPr>
        <w:pStyle w:val="FootnoteText"/>
        <w:jc w:val="both"/>
        <w:rPr>
          <w:rFonts w:cs="Arial"/>
          <w:szCs w:val="16"/>
          <w:lang w:val="en-US"/>
        </w:rPr>
      </w:pPr>
      <w:r w:rsidRPr="001A4D48">
        <w:rPr>
          <w:rStyle w:val="FootnoteReference"/>
          <w:rFonts w:cs="Arial"/>
          <w:szCs w:val="16"/>
        </w:rPr>
        <w:footnoteRef/>
      </w:r>
      <w:r w:rsidRPr="001A4D48">
        <w:rPr>
          <w:rFonts w:cs="Arial"/>
          <w:szCs w:val="16"/>
        </w:rPr>
        <w:t xml:space="preserve"> Convention on the Rights of Persons with Disabilities, adopted Jan. 24, 2007, art. 3, G.A. Res. 61/106, U.N. Doc. A/RES/61/106.</w:t>
      </w:r>
    </w:p>
  </w:footnote>
  <w:footnote w:id="4">
    <w:p w14:paraId="2C695F0C" w14:textId="5590AD2C" w:rsidR="00152E6E" w:rsidRPr="001A4D48" w:rsidRDefault="00152E6E" w:rsidP="001A4D48">
      <w:pPr>
        <w:pStyle w:val="FootnoteText"/>
        <w:jc w:val="both"/>
        <w:rPr>
          <w:rFonts w:cs="Arial"/>
          <w:szCs w:val="16"/>
        </w:rPr>
      </w:pPr>
      <w:r w:rsidRPr="001A4D48">
        <w:rPr>
          <w:rStyle w:val="FootnoteReference"/>
          <w:rFonts w:cs="Arial"/>
          <w:szCs w:val="16"/>
        </w:rPr>
        <w:footnoteRef/>
      </w:r>
      <w:r w:rsidRPr="001A4D48">
        <w:rPr>
          <w:rFonts w:cs="Arial"/>
          <w:szCs w:val="16"/>
        </w:rPr>
        <w:t xml:space="preserve"> The last ones being Finland and the Netherlands who ratified the CRPD respectively on 11 May 2016 and 16 June 2016. Ireland signed the CRPD on 30 March 2007 but has yet to ratify it.  </w:t>
      </w:r>
    </w:p>
  </w:footnote>
  <w:footnote w:id="5">
    <w:p w14:paraId="0493B315" w14:textId="1C957540" w:rsidR="00152E6E" w:rsidRPr="001A4D48" w:rsidRDefault="00152E6E" w:rsidP="001A4D48">
      <w:pPr>
        <w:pStyle w:val="FootnoteText"/>
        <w:jc w:val="both"/>
        <w:rPr>
          <w:rFonts w:cs="Arial"/>
          <w:szCs w:val="16"/>
          <w:lang w:val="en-US"/>
        </w:rPr>
      </w:pPr>
      <w:r w:rsidRPr="001A4D48">
        <w:rPr>
          <w:rStyle w:val="FootnoteReference"/>
          <w:rFonts w:cs="Arial"/>
          <w:szCs w:val="16"/>
        </w:rPr>
        <w:footnoteRef/>
      </w:r>
      <w:r w:rsidRPr="001A4D48">
        <w:rPr>
          <w:rFonts w:cs="Arial"/>
          <w:szCs w:val="16"/>
        </w:rPr>
        <w:t xml:space="preserve"> </w:t>
      </w:r>
      <w:r w:rsidRPr="001A4D48">
        <w:rPr>
          <w:rFonts w:cs="Arial"/>
          <w:szCs w:val="16"/>
          <w:lang w:val="en-US"/>
        </w:rPr>
        <w:t xml:space="preserve">Ireland and Monaco have signed but not ratified the CRPD. Liechtenstein </w:t>
      </w:r>
      <w:r>
        <w:rPr>
          <w:rFonts w:cs="Arial"/>
          <w:szCs w:val="16"/>
          <w:lang w:val="en-US"/>
        </w:rPr>
        <w:t>has neither signed nor ratified</w:t>
      </w:r>
      <w:r w:rsidRPr="001A4D48">
        <w:rPr>
          <w:rFonts w:cs="Arial"/>
          <w:szCs w:val="16"/>
          <w:lang w:val="en-US"/>
        </w:rPr>
        <w:t xml:space="preserve"> the CRPD.  </w:t>
      </w:r>
    </w:p>
  </w:footnote>
  <w:footnote w:id="6">
    <w:p w14:paraId="214CE9CE" w14:textId="4DF5B91B" w:rsidR="00152E6E" w:rsidRPr="001A4D48" w:rsidRDefault="00152E6E" w:rsidP="001A4D48">
      <w:pPr>
        <w:pStyle w:val="FootnoteText"/>
        <w:jc w:val="both"/>
        <w:rPr>
          <w:rFonts w:cs="Arial"/>
          <w:szCs w:val="16"/>
          <w:lang w:val="en-US"/>
        </w:rPr>
      </w:pPr>
      <w:r w:rsidRPr="001A4D48">
        <w:rPr>
          <w:rStyle w:val="FootnoteReference"/>
          <w:rFonts w:cs="Arial"/>
          <w:szCs w:val="16"/>
        </w:rPr>
        <w:footnoteRef/>
      </w:r>
      <w:r w:rsidRPr="001A4D48">
        <w:rPr>
          <w:rFonts w:cs="Arial"/>
          <w:szCs w:val="16"/>
        </w:rPr>
        <w:t xml:space="preserve"> </w:t>
      </w:r>
      <w:proofErr w:type="spellStart"/>
      <w:r w:rsidRPr="001A4D48">
        <w:rPr>
          <w:rFonts w:cs="Arial"/>
          <w:i/>
          <w:iCs/>
          <w:szCs w:val="16"/>
          <w:lang w:val="en-US"/>
        </w:rPr>
        <w:t>Glor</w:t>
      </w:r>
      <w:proofErr w:type="spellEnd"/>
      <w:r w:rsidRPr="001A4D48">
        <w:rPr>
          <w:rFonts w:cs="Arial"/>
          <w:i/>
          <w:iCs/>
          <w:szCs w:val="16"/>
          <w:lang w:val="en-US"/>
        </w:rPr>
        <w:t xml:space="preserve"> v Switzerland</w:t>
      </w:r>
      <w:r w:rsidRPr="001A4D48">
        <w:rPr>
          <w:rFonts w:cs="Arial"/>
          <w:szCs w:val="16"/>
          <w:lang w:val="en-US"/>
        </w:rPr>
        <w:t xml:space="preserve">, Application no 13444/04, 30 April 2009, para 53. the Court made explicit reference to the CRPD in the </w:t>
      </w:r>
      <w:proofErr w:type="spellStart"/>
      <w:r w:rsidRPr="001A4D48">
        <w:rPr>
          <w:rFonts w:cs="Arial"/>
          <w:i/>
          <w:iCs/>
          <w:szCs w:val="16"/>
          <w:lang w:val="en-US"/>
        </w:rPr>
        <w:t>Glor</w:t>
      </w:r>
      <w:proofErr w:type="spellEnd"/>
      <w:r w:rsidRPr="001A4D48">
        <w:rPr>
          <w:rFonts w:cs="Arial"/>
          <w:i/>
          <w:iCs/>
          <w:szCs w:val="16"/>
          <w:lang w:val="en-US"/>
        </w:rPr>
        <w:t xml:space="preserve"> </w:t>
      </w:r>
      <w:r w:rsidRPr="001A4D48">
        <w:rPr>
          <w:rFonts w:cs="Arial"/>
          <w:szCs w:val="16"/>
          <w:lang w:val="en-US"/>
        </w:rPr>
        <w:t>case even though Switzerland had not ratified the CRPD at that time (it finally did it on 15 April 2014). </w:t>
      </w:r>
    </w:p>
  </w:footnote>
  <w:footnote w:id="7">
    <w:p w14:paraId="48D31F69" w14:textId="34A008A3" w:rsidR="00152E6E" w:rsidRPr="001A4D48" w:rsidRDefault="00152E6E" w:rsidP="001A4D48">
      <w:pPr>
        <w:pStyle w:val="FootnoteText"/>
        <w:jc w:val="both"/>
        <w:rPr>
          <w:rFonts w:cs="Arial"/>
          <w:szCs w:val="16"/>
          <w:lang w:val="en-US"/>
        </w:rPr>
      </w:pPr>
      <w:r w:rsidRPr="001A4D48">
        <w:rPr>
          <w:rStyle w:val="FootnoteReference"/>
          <w:rFonts w:cs="Arial"/>
          <w:szCs w:val="16"/>
        </w:rPr>
        <w:footnoteRef/>
      </w:r>
      <w:r w:rsidRPr="001A4D48">
        <w:rPr>
          <w:rFonts w:cs="Arial"/>
          <w:szCs w:val="16"/>
        </w:rPr>
        <w:t xml:space="preserve"> </w:t>
      </w:r>
      <w:proofErr w:type="spellStart"/>
      <w:r w:rsidRPr="001A4D48">
        <w:rPr>
          <w:rFonts w:cs="Arial"/>
          <w:i/>
          <w:szCs w:val="16"/>
          <w:lang w:val="en-US"/>
        </w:rPr>
        <w:t>Çam</w:t>
      </w:r>
      <w:proofErr w:type="spellEnd"/>
      <w:r w:rsidRPr="001A4D48">
        <w:rPr>
          <w:rFonts w:cs="Arial"/>
          <w:i/>
          <w:szCs w:val="16"/>
          <w:lang w:val="en-US"/>
        </w:rPr>
        <w:t xml:space="preserve"> v. Turkey</w:t>
      </w:r>
      <w:r w:rsidRPr="001A4D48">
        <w:rPr>
          <w:rFonts w:cs="Arial"/>
          <w:szCs w:val="16"/>
          <w:lang w:val="en-US"/>
        </w:rPr>
        <w:t xml:space="preserve"> (application no. 51500/08), 23 February 2016, para. 54</w:t>
      </w:r>
      <w:r>
        <w:rPr>
          <w:rFonts w:cs="Arial"/>
          <w:szCs w:val="16"/>
          <w:lang w:val="en-US"/>
        </w:rPr>
        <w:t xml:space="preserve"> </w:t>
      </w:r>
    </w:p>
  </w:footnote>
  <w:footnote w:id="8">
    <w:p w14:paraId="642EC5F0" w14:textId="7572F8BE" w:rsidR="00152E6E" w:rsidRPr="001A4D48" w:rsidRDefault="00152E6E" w:rsidP="001A4D48">
      <w:pPr>
        <w:widowControl w:val="0"/>
        <w:autoSpaceDE w:val="0"/>
        <w:autoSpaceDN w:val="0"/>
        <w:adjustRightInd w:val="0"/>
        <w:jc w:val="both"/>
        <w:rPr>
          <w:rFonts w:ascii="Arial" w:hAnsi="Arial" w:cs="Arial"/>
          <w:color w:val="000000"/>
          <w:sz w:val="16"/>
          <w:szCs w:val="16"/>
        </w:rPr>
      </w:pPr>
      <w:r w:rsidRPr="001A4D48">
        <w:rPr>
          <w:rStyle w:val="FootnoteReference"/>
          <w:rFonts w:ascii="Arial" w:hAnsi="Arial" w:cs="Arial"/>
          <w:sz w:val="16"/>
          <w:szCs w:val="16"/>
        </w:rPr>
        <w:footnoteRef/>
      </w:r>
      <w:r w:rsidRPr="001A4D48">
        <w:rPr>
          <w:rFonts w:ascii="Arial" w:hAnsi="Arial" w:cs="Arial"/>
          <w:sz w:val="16"/>
          <w:szCs w:val="16"/>
        </w:rPr>
        <w:t xml:space="preserve"> </w:t>
      </w:r>
      <w:r w:rsidRPr="001A4D48">
        <w:rPr>
          <w:rFonts w:ascii="Arial" w:hAnsi="Arial" w:cs="Arial"/>
          <w:i/>
          <w:color w:val="000000"/>
          <w:sz w:val="16"/>
          <w:szCs w:val="16"/>
        </w:rPr>
        <w:t>See</w:t>
      </w:r>
      <w:r w:rsidRPr="001A4D48">
        <w:rPr>
          <w:rFonts w:ascii="Arial" w:hAnsi="Arial" w:cs="Arial"/>
          <w:color w:val="000000"/>
          <w:sz w:val="16"/>
          <w:szCs w:val="16"/>
        </w:rPr>
        <w:t xml:space="preserve"> CRPD, Preamble, para e.</w:t>
      </w:r>
    </w:p>
  </w:footnote>
  <w:footnote w:id="9">
    <w:p w14:paraId="3AC49479" w14:textId="2854D409" w:rsidR="00152E6E" w:rsidRPr="001A4D48" w:rsidRDefault="00152E6E" w:rsidP="001A4D48">
      <w:pPr>
        <w:widowControl w:val="0"/>
        <w:autoSpaceDE w:val="0"/>
        <w:autoSpaceDN w:val="0"/>
        <w:adjustRightInd w:val="0"/>
        <w:jc w:val="both"/>
        <w:rPr>
          <w:rFonts w:ascii="Arial" w:hAnsi="Arial" w:cs="Arial"/>
          <w:color w:val="000000"/>
          <w:sz w:val="16"/>
          <w:szCs w:val="16"/>
        </w:rPr>
      </w:pPr>
      <w:r w:rsidRPr="001A4D48">
        <w:rPr>
          <w:rStyle w:val="FootnoteReference"/>
          <w:rFonts w:ascii="Arial" w:hAnsi="Arial" w:cs="Arial"/>
          <w:sz w:val="16"/>
          <w:szCs w:val="16"/>
        </w:rPr>
        <w:footnoteRef/>
      </w:r>
      <w:r w:rsidRPr="001A4D48">
        <w:rPr>
          <w:rFonts w:ascii="Arial" w:hAnsi="Arial" w:cs="Arial"/>
          <w:sz w:val="16"/>
          <w:szCs w:val="16"/>
        </w:rPr>
        <w:t xml:space="preserve"> </w:t>
      </w:r>
      <w:r w:rsidRPr="001A4D48">
        <w:rPr>
          <w:rFonts w:ascii="Arial" w:hAnsi="Arial" w:cs="Arial"/>
          <w:i/>
          <w:color w:val="000000"/>
          <w:sz w:val="16"/>
          <w:szCs w:val="16"/>
        </w:rPr>
        <w:t>See</w:t>
      </w:r>
      <w:r w:rsidRPr="001A4D48">
        <w:rPr>
          <w:rFonts w:ascii="Arial" w:hAnsi="Arial" w:cs="Arial"/>
          <w:color w:val="000000"/>
          <w:sz w:val="16"/>
          <w:szCs w:val="16"/>
        </w:rPr>
        <w:t xml:space="preserve"> CRPD, Article 5(4).</w:t>
      </w:r>
    </w:p>
  </w:footnote>
  <w:footnote w:id="10">
    <w:p w14:paraId="1C70C483" w14:textId="56876119" w:rsidR="00152E6E" w:rsidRPr="005946FE" w:rsidRDefault="00152E6E" w:rsidP="007F7118">
      <w:pPr>
        <w:pStyle w:val="FootnoteText"/>
        <w:jc w:val="both"/>
        <w:rPr>
          <w:lang w:val="en-US"/>
        </w:rPr>
      </w:pPr>
      <w:r>
        <w:rPr>
          <w:rStyle w:val="FootnoteReference"/>
        </w:rPr>
        <w:footnoteRef/>
      </w:r>
      <w:r>
        <w:t xml:space="preserve"> </w:t>
      </w:r>
      <w:r w:rsidRPr="005946FE">
        <w:rPr>
          <w:lang w:val="en-US"/>
        </w:rPr>
        <w:t>C</w:t>
      </w:r>
      <w:r>
        <w:rPr>
          <w:lang w:val="en-US"/>
        </w:rPr>
        <w:t>RPD, Article 2.</w:t>
      </w:r>
    </w:p>
  </w:footnote>
  <w:footnote w:id="11">
    <w:p w14:paraId="1D941526" w14:textId="3F2AFC41" w:rsidR="00152E6E" w:rsidRPr="005946FE" w:rsidRDefault="00152E6E" w:rsidP="007F7118">
      <w:pPr>
        <w:pStyle w:val="FootnoteText"/>
        <w:jc w:val="both"/>
        <w:rPr>
          <w:lang w:val="en-US"/>
        </w:rPr>
      </w:pPr>
      <w:r>
        <w:rPr>
          <w:rStyle w:val="FootnoteReference"/>
        </w:rPr>
        <w:footnoteRef/>
      </w:r>
      <w:r>
        <w:t xml:space="preserve"> </w:t>
      </w:r>
      <w:r w:rsidRPr="005946FE">
        <w:rPr>
          <w:lang w:val="en-US"/>
        </w:rPr>
        <w:t>C</w:t>
      </w:r>
      <w:r>
        <w:rPr>
          <w:lang w:val="en-US"/>
        </w:rPr>
        <w:t>RPD, Article 2 (emphasis added).</w:t>
      </w:r>
    </w:p>
  </w:footnote>
  <w:footnote w:id="12">
    <w:p w14:paraId="2B0E05C9" w14:textId="5983A57D" w:rsidR="00152E6E" w:rsidRPr="009A5E48" w:rsidRDefault="00152E6E" w:rsidP="007F7118">
      <w:pPr>
        <w:pStyle w:val="FootnoteText"/>
        <w:jc w:val="both"/>
        <w:rPr>
          <w:lang w:val="en-US"/>
        </w:rPr>
      </w:pPr>
      <w:r>
        <w:rPr>
          <w:rStyle w:val="FootnoteReference"/>
        </w:rPr>
        <w:footnoteRef/>
      </w:r>
      <w:r>
        <w:t xml:space="preserve"> </w:t>
      </w:r>
      <w:r w:rsidRPr="009A5E48">
        <w:rPr>
          <w:i/>
          <w:lang w:val="en-US"/>
        </w:rPr>
        <w:t>See</w:t>
      </w:r>
      <w:r w:rsidRPr="009A5E48">
        <w:rPr>
          <w:lang w:val="en-US"/>
        </w:rPr>
        <w:t xml:space="preserve"> C</w:t>
      </w:r>
      <w:r>
        <w:rPr>
          <w:lang w:val="en-US"/>
        </w:rPr>
        <w:t>ESCR Committee General Comment N</w:t>
      </w:r>
      <w:r w:rsidRPr="009A5E48">
        <w:rPr>
          <w:lang w:val="en-US"/>
        </w:rPr>
        <w:t xml:space="preserve">o 3 on the nature of States’ Party’s obligations: “while the Covenant provides for progressive realization and acknowledges the constraints due to the limits of available resources, it also imposes various obligations which are of immediate effect. Of these, two are of particular importance in understanding the precise nature of States </w:t>
      </w:r>
      <w:proofErr w:type="gramStart"/>
      <w:r w:rsidRPr="009A5E48">
        <w:rPr>
          <w:lang w:val="en-US"/>
        </w:rPr>
        <w:t>parties</w:t>
      </w:r>
      <w:proofErr w:type="gramEnd"/>
      <w:r w:rsidRPr="009A5E48">
        <w:rPr>
          <w:lang w:val="en-US"/>
        </w:rPr>
        <w:t xml:space="preserve"> obligations. One of these, which is dealt with in a separate general comment... is the "undertaking to guarantee" that relevant rights "will be exercised without discrimination..."; C</w:t>
      </w:r>
      <w:r>
        <w:rPr>
          <w:lang w:val="en-US"/>
        </w:rPr>
        <w:t>ESCR Committee General Comment N</w:t>
      </w:r>
      <w:r w:rsidRPr="009A5E48">
        <w:rPr>
          <w:lang w:val="en-US"/>
        </w:rPr>
        <w:t>o 20 on n-discrimination, 2009, E/C.12/GC/20, para 7: “Non-discrimination is an immediate and cross-cutting obligation in the Covenant.” </w:t>
      </w:r>
    </w:p>
  </w:footnote>
  <w:footnote w:id="13">
    <w:p w14:paraId="5400C98F" w14:textId="61278346" w:rsidR="00152E6E" w:rsidRPr="001D375F" w:rsidRDefault="00152E6E" w:rsidP="007F7118">
      <w:pPr>
        <w:pStyle w:val="FootnoteText"/>
        <w:jc w:val="both"/>
      </w:pPr>
      <w:r>
        <w:rPr>
          <w:rStyle w:val="FootnoteReference"/>
        </w:rPr>
        <w:footnoteRef/>
      </w:r>
      <w:r>
        <w:t xml:space="preserve"> </w:t>
      </w:r>
      <w:r w:rsidRPr="004217BB">
        <w:rPr>
          <w:lang w:val="en-US"/>
        </w:rPr>
        <w:t>C</w:t>
      </w:r>
      <w:r>
        <w:rPr>
          <w:lang w:val="en-US"/>
        </w:rPr>
        <w:t xml:space="preserve">RPD Committee, General Comment No 4, paras. 31 and 41(a) and (b). </w:t>
      </w:r>
      <w:r w:rsidRPr="001D375F">
        <w:rPr>
          <w:i/>
          <w:lang w:val="en-US"/>
        </w:rPr>
        <w:t>See</w:t>
      </w:r>
      <w:r>
        <w:rPr>
          <w:lang w:val="en-US"/>
        </w:rPr>
        <w:t xml:space="preserve"> also </w:t>
      </w:r>
      <w:r w:rsidRPr="001D375F">
        <w:t>CPRD Committee, Concluding Observations on Spain</w:t>
      </w:r>
      <w:r>
        <w:t xml:space="preserve"> CRPD/C/ESP/CO/1, 2011, para 44 stating</w:t>
      </w:r>
      <w:r w:rsidRPr="001D375F">
        <w:t>: “the duty to provide reasonable accommodation is immediately applicable and not subje</w:t>
      </w:r>
      <w:r>
        <w:t>ct to progressive realization”.</w:t>
      </w:r>
    </w:p>
  </w:footnote>
  <w:footnote w:id="14">
    <w:p w14:paraId="3D414F1D" w14:textId="77777777" w:rsidR="00152E6E" w:rsidRPr="00CF2EAA" w:rsidRDefault="00152E6E" w:rsidP="007F7118">
      <w:pPr>
        <w:pStyle w:val="FootnoteText"/>
        <w:jc w:val="both"/>
        <w:rPr>
          <w:lang w:val="en-US"/>
        </w:rPr>
      </w:pPr>
      <w:r>
        <w:rPr>
          <w:rStyle w:val="FootnoteReference"/>
        </w:rPr>
        <w:footnoteRef/>
      </w:r>
      <w:r>
        <w:t xml:space="preserve"> </w:t>
      </w:r>
      <w:r>
        <w:rPr>
          <w:lang w:val="en-US"/>
        </w:rPr>
        <w:t>CRPD Article 2 and Article 5(3).</w:t>
      </w:r>
    </w:p>
  </w:footnote>
  <w:footnote w:id="15">
    <w:p w14:paraId="5EB54BCC" w14:textId="0B8BBFFD" w:rsidR="00152E6E" w:rsidRPr="00165DEA" w:rsidRDefault="00152E6E" w:rsidP="007F7118">
      <w:pPr>
        <w:pStyle w:val="FootnoteText"/>
        <w:jc w:val="both"/>
        <w:rPr>
          <w:lang w:val="en-US"/>
        </w:rPr>
      </w:pPr>
      <w:r>
        <w:rPr>
          <w:rStyle w:val="FootnoteReference"/>
        </w:rPr>
        <w:footnoteRef/>
      </w:r>
      <w:r>
        <w:t xml:space="preserve"> </w:t>
      </w:r>
      <w:r w:rsidRPr="00165DEA">
        <w:rPr>
          <w:lang w:val="en-US"/>
        </w:rPr>
        <w:t xml:space="preserve">The concept of reasonable accommodation first emerged in the United States to combat discrimination on the basis of religion in the </w:t>
      </w:r>
      <w:proofErr w:type="spellStart"/>
      <w:r w:rsidRPr="00165DEA">
        <w:rPr>
          <w:lang w:val="en-US"/>
        </w:rPr>
        <w:t>labour</w:t>
      </w:r>
      <w:proofErr w:type="spellEnd"/>
      <w:r w:rsidRPr="00165DEA">
        <w:rPr>
          <w:lang w:val="en-US"/>
        </w:rPr>
        <w:t xml:space="preserve"> market with the obligation for employers to reasonably accommodate the religious practices of em</w:t>
      </w:r>
      <w:r>
        <w:rPr>
          <w:lang w:val="en-US"/>
        </w:rPr>
        <w:t xml:space="preserve">ployees without undue hardship. </w:t>
      </w:r>
    </w:p>
  </w:footnote>
  <w:footnote w:id="16">
    <w:p w14:paraId="54F3339E" w14:textId="48D5C3EB" w:rsidR="00152E6E" w:rsidRPr="00165DEA" w:rsidRDefault="00152E6E" w:rsidP="007F7118">
      <w:pPr>
        <w:pStyle w:val="FootnoteText"/>
        <w:jc w:val="both"/>
        <w:rPr>
          <w:lang w:val="en-US"/>
        </w:rPr>
      </w:pPr>
      <w:r>
        <w:rPr>
          <w:rStyle w:val="FootnoteReference"/>
        </w:rPr>
        <w:footnoteRef/>
      </w:r>
      <w:r>
        <w:t xml:space="preserve"> </w:t>
      </w:r>
      <w:r w:rsidRPr="00BF1769">
        <w:rPr>
          <w:i/>
          <w:lang w:val="en-US"/>
        </w:rPr>
        <w:t>See</w:t>
      </w:r>
      <w:r w:rsidRPr="00165DEA">
        <w:rPr>
          <w:lang w:val="en-US"/>
        </w:rPr>
        <w:t xml:space="preserve"> </w:t>
      </w:r>
      <w:proofErr w:type="spellStart"/>
      <w:r w:rsidRPr="00165DEA">
        <w:rPr>
          <w:lang w:val="en-US"/>
        </w:rPr>
        <w:t>Letícia</w:t>
      </w:r>
      <w:proofErr w:type="spellEnd"/>
      <w:r w:rsidRPr="00165DEA">
        <w:rPr>
          <w:lang w:val="en-US"/>
        </w:rPr>
        <w:t xml:space="preserve"> de Campos Velho Martel, “Reasonable Accommodation: </w:t>
      </w:r>
      <w:proofErr w:type="gramStart"/>
      <w:r w:rsidRPr="00165DEA">
        <w:rPr>
          <w:lang w:val="en-US"/>
        </w:rPr>
        <w:t>the</w:t>
      </w:r>
      <w:proofErr w:type="gramEnd"/>
      <w:r w:rsidRPr="00165DEA">
        <w:rPr>
          <w:lang w:val="en-US"/>
        </w:rPr>
        <w:t xml:space="preserve"> New Concept from an Inclusive Constitutional Perspective”, </w:t>
      </w:r>
      <w:r w:rsidRPr="00165DEA">
        <w:rPr>
          <w:i/>
          <w:iCs/>
          <w:lang w:val="en-US"/>
        </w:rPr>
        <w:t>Sur International Journal on Human Rights</w:t>
      </w:r>
      <w:r>
        <w:rPr>
          <w:lang w:val="en-US"/>
        </w:rPr>
        <w:t>, June 2011.</w:t>
      </w:r>
    </w:p>
  </w:footnote>
  <w:footnote w:id="17">
    <w:p w14:paraId="6E09EFEB" w14:textId="39FD955F" w:rsidR="00152E6E" w:rsidRPr="00165DEA" w:rsidRDefault="00152E6E" w:rsidP="007F7118">
      <w:pPr>
        <w:pStyle w:val="FootnoteText"/>
        <w:jc w:val="both"/>
        <w:rPr>
          <w:lang w:val="en-US"/>
        </w:rPr>
      </w:pPr>
      <w:r>
        <w:rPr>
          <w:rStyle w:val="FootnoteReference"/>
        </w:rPr>
        <w:footnoteRef/>
      </w:r>
      <w:r>
        <w:t xml:space="preserve"> </w:t>
      </w:r>
      <w:r w:rsidRPr="00165DEA">
        <w:rPr>
          <w:lang w:val="en-US"/>
        </w:rPr>
        <w:t>CE</w:t>
      </w:r>
      <w:r>
        <w:rPr>
          <w:lang w:val="en-US"/>
        </w:rPr>
        <w:t>SCR Committee, General Comment N</w:t>
      </w:r>
      <w:r w:rsidRPr="00165DEA">
        <w:rPr>
          <w:lang w:val="en-US"/>
        </w:rPr>
        <w:t>o 5, Persons with Disabilities, E/199</w:t>
      </w:r>
      <w:r>
        <w:rPr>
          <w:lang w:val="en-US"/>
        </w:rPr>
        <w:t>5/22, 15 December 1994, para 15.</w:t>
      </w:r>
    </w:p>
  </w:footnote>
  <w:footnote w:id="18">
    <w:p w14:paraId="2FA00602" w14:textId="61959D48" w:rsidR="00152E6E" w:rsidRPr="00165DEA" w:rsidRDefault="00152E6E" w:rsidP="007F7118">
      <w:pPr>
        <w:pStyle w:val="FootnoteText"/>
        <w:jc w:val="both"/>
        <w:rPr>
          <w:lang w:val="en-US"/>
        </w:rPr>
      </w:pPr>
      <w:r>
        <w:rPr>
          <w:rStyle w:val="FootnoteReference"/>
        </w:rPr>
        <w:footnoteRef/>
      </w:r>
      <w:r>
        <w:t xml:space="preserve"> </w:t>
      </w:r>
      <w:r w:rsidRPr="00165DEA">
        <w:rPr>
          <w:lang w:val="en-US"/>
        </w:rPr>
        <w:t>CESCR Committee, General Comment</w:t>
      </w:r>
      <w:r>
        <w:rPr>
          <w:lang w:val="en-US"/>
        </w:rPr>
        <w:t xml:space="preserve"> N</w:t>
      </w:r>
      <w:r w:rsidRPr="00165DEA">
        <w:rPr>
          <w:lang w:val="en-US"/>
        </w:rPr>
        <w:t>o 20, Non-Discrimination in Economic, Social and Cultural Rights, E/C.12/</w:t>
      </w:r>
      <w:r>
        <w:rPr>
          <w:lang w:val="en-US"/>
        </w:rPr>
        <w:t>GC/20, 2 July 2009, paras 9, 28.</w:t>
      </w:r>
    </w:p>
  </w:footnote>
  <w:footnote w:id="19">
    <w:p w14:paraId="0A6FEF24" w14:textId="77777777" w:rsidR="00152E6E" w:rsidRPr="00061FAF" w:rsidRDefault="00152E6E" w:rsidP="007F7118">
      <w:pPr>
        <w:pStyle w:val="FootnoteText"/>
        <w:jc w:val="both"/>
        <w:rPr>
          <w:lang w:val="en-US"/>
        </w:rPr>
      </w:pPr>
      <w:r>
        <w:rPr>
          <w:rStyle w:val="FootnoteReference"/>
        </w:rPr>
        <w:footnoteRef/>
      </w:r>
      <w:r>
        <w:t xml:space="preserve"> </w:t>
      </w:r>
      <w:r w:rsidRPr="004217BB">
        <w:rPr>
          <w:lang w:val="en-US"/>
        </w:rPr>
        <w:t>C</w:t>
      </w:r>
      <w:r>
        <w:rPr>
          <w:lang w:val="en-US"/>
        </w:rPr>
        <w:t>RPD Committee, General Comment No 4, para. 41(b) (emphasis added).</w:t>
      </w:r>
    </w:p>
  </w:footnote>
  <w:footnote w:id="20">
    <w:p w14:paraId="3604474E" w14:textId="45C3FF80" w:rsidR="00152E6E" w:rsidRPr="00165DEA" w:rsidRDefault="00152E6E" w:rsidP="007F7118">
      <w:pPr>
        <w:pStyle w:val="FootnoteText"/>
        <w:jc w:val="both"/>
        <w:rPr>
          <w:lang w:val="en-US"/>
        </w:rPr>
      </w:pPr>
      <w:r>
        <w:rPr>
          <w:rStyle w:val="FootnoteReference"/>
        </w:rPr>
        <w:footnoteRef/>
      </w:r>
      <w:r>
        <w:t xml:space="preserve"> </w:t>
      </w:r>
      <w:r w:rsidRPr="00165DEA">
        <w:rPr>
          <w:lang w:val="en-US"/>
        </w:rPr>
        <w:t>Council Directive 2000/78/EC of 27 November 2000, establishing a general framework for equal treatment in employment and occupation (OJ 2000 L 303, p 16), Article 5, “This means that employers shall take appropriate measures, where needed in a particular case, to enable a person with a disability to have access to, participate in, or advance in employment, or to undergo training, unless such measures would impose a disproportionate burden on the employer. This burden shall not be disproportionate when it is sufficiently remedied by measures existing within the framework of the disability policy of the Member State concerned.” Since its transposition, the concept of reasonable accommodation in employment and vocational training and has been present in all national jurisdictions of 27 Membe</w:t>
      </w:r>
      <w:r>
        <w:rPr>
          <w:lang w:val="en-US"/>
        </w:rPr>
        <w:t>r States of the European Union.</w:t>
      </w:r>
    </w:p>
  </w:footnote>
  <w:footnote w:id="21">
    <w:p w14:paraId="431872AD" w14:textId="7EC1C8FE" w:rsidR="00152E6E" w:rsidRPr="003D397F" w:rsidRDefault="00152E6E">
      <w:pPr>
        <w:pStyle w:val="FootnoteText"/>
      </w:pPr>
      <w:r>
        <w:rPr>
          <w:rStyle w:val="FootnoteReference"/>
        </w:rPr>
        <w:footnoteRef/>
      </w:r>
      <w:r>
        <w:t xml:space="preserve"> </w:t>
      </w:r>
      <w:r w:rsidRPr="00100853">
        <w:rPr>
          <w:rFonts w:cs="Arial"/>
          <w:szCs w:val="16"/>
        </w:rPr>
        <w:t xml:space="preserve">See </w:t>
      </w:r>
      <w:hyperlink r:id="rId1" w:history="1">
        <w:r w:rsidRPr="00100853">
          <w:rPr>
            <w:rStyle w:val="Hyperlink"/>
            <w:rFonts w:cs="Arial"/>
            <w:szCs w:val="16"/>
          </w:rPr>
          <w:t>A/HRC/34/26</w:t>
        </w:r>
      </w:hyperlink>
      <w:r>
        <w:rPr>
          <w:rFonts w:cs="Arial"/>
          <w:szCs w:val="16"/>
        </w:rPr>
        <w:t>, available in the OHCHR website on disability.</w:t>
      </w:r>
    </w:p>
  </w:footnote>
  <w:footnote w:id="22">
    <w:p w14:paraId="74A7F8E1" w14:textId="2F0CD2C3" w:rsidR="00152E6E" w:rsidRPr="00F17BED" w:rsidRDefault="00152E6E">
      <w:pPr>
        <w:pStyle w:val="FootnoteText"/>
      </w:pPr>
      <w:r>
        <w:rPr>
          <w:rStyle w:val="FootnoteReference"/>
        </w:rPr>
        <w:footnoteRef/>
      </w:r>
      <w:r>
        <w:t xml:space="preserve"> </w:t>
      </w:r>
      <w:hyperlink r:id="rId2" w:history="1">
        <w:r w:rsidRPr="00F17BED">
          <w:rPr>
            <w:rStyle w:val="Hyperlink"/>
          </w:rPr>
          <w:t>Draft General Comment on the right of persons with disabilities to equality and non-discrimination (article 5)</w:t>
        </w:r>
      </w:hyperlink>
      <w:r>
        <w:t>, available on the CRPD Committee website.</w:t>
      </w:r>
    </w:p>
  </w:footnote>
  <w:footnote w:id="23">
    <w:p w14:paraId="5681227D" w14:textId="79A56640" w:rsidR="00152E6E" w:rsidRPr="000058E7" w:rsidRDefault="00152E6E" w:rsidP="006F1A98">
      <w:pPr>
        <w:pStyle w:val="FootnoteText"/>
        <w:jc w:val="both"/>
        <w:rPr>
          <w:lang w:val="en-US"/>
        </w:rPr>
      </w:pPr>
      <w:r>
        <w:rPr>
          <w:rStyle w:val="FootnoteReference"/>
        </w:rPr>
        <w:footnoteRef/>
      </w:r>
      <w:r>
        <w:t xml:space="preserve"> </w:t>
      </w:r>
      <w:r w:rsidRPr="000058E7">
        <w:rPr>
          <w:lang w:val="en-US"/>
        </w:rPr>
        <w:t>CRPD Committee, General Comment No 2 on Article 9</w:t>
      </w:r>
      <w:r>
        <w:rPr>
          <w:lang w:val="en-US"/>
        </w:rPr>
        <w:t>, para 26.</w:t>
      </w:r>
    </w:p>
  </w:footnote>
  <w:footnote w:id="24">
    <w:p w14:paraId="2D0720BB" w14:textId="77777777" w:rsidR="00152E6E" w:rsidRPr="00933545" w:rsidRDefault="00152E6E" w:rsidP="00E836C7">
      <w:pPr>
        <w:widowControl w:val="0"/>
        <w:autoSpaceDE w:val="0"/>
        <w:autoSpaceDN w:val="0"/>
        <w:adjustRightInd w:val="0"/>
        <w:jc w:val="both"/>
        <w:rPr>
          <w:rFonts w:ascii="Times" w:hAnsi="Times" w:cs="Times"/>
          <w:color w:val="000000"/>
        </w:rPr>
      </w:pPr>
      <w:r w:rsidRPr="001A4D48">
        <w:rPr>
          <w:rStyle w:val="FootnoteReference"/>
          <w:rFonts w:ascii="Arial" w:hAnsi="Arial" w:cs="Arial"/>
          <w:sz w:val="16"/>
          <w:szCs w:val="16"/>
        </w:rPr>
        <w:footnoteRef/>
      </w:r>
      <w:r w:rsidRPr="001A4D48">
        <w:rPr>
          <w:rFonts w:ascii="Arial" w:hAnsi="Arial" w:cs="Arial"/>
          <w:sz w:val="16"/>
          <w:szCs w:val="16"/>
        </w:rPr>
        <w:t xml:space="preserve"> </w:t>
      </w:r>
      <w:r w:rsidRPr="00BF1769">
        <w:rPr>
          <w:rFonts w:ascii="Arial" w:hAnsi="Arial" w:cs="Arial"/>
          <w:i/>
          <w:color w:val="000000"/>
          <w:sz w:val="16"/>
          <w:szCs w:val="16"/>
        </w:rPr>
        <w:t>See</w:t>
      </w:r>
      <w:r w:rsidRPr="001A4D48">
        <w:rPr>
          <w:rFonts w:ascii="Arial" w:hAnsi="Arial" w:cs="Arial"/>
          <w:color w:val="000000"/>
          <w:sz w:val="16"/>
          <w:szCs w:val="16"/>
        </w:rPr>
        <w:t xml:space="preserve"> also CRPD Preamble (v).</w:t>
      </w:r>
    </w:p>
  </w:footnote>
  <w:footnote w:id="25">
    <w:p w14:paraId="057F80E7" w14:textId="77777777" w:rsidR="00152E6E" w:rsidRPr="00022285" w:rsidRDefault="00152E6E" w:rsidP="00E836C7">
      <w:pPr>
        <w:pStyle w:val="FootnoteText"/>
        <w:jc w:val="both"/>
        <w:rPr>
          <w:lang w:val="en-US"/>
        </w:rPr>
      </w:pPr>
      <w:r>
        <w:rPr>
          <w:rStyle w:val="FootnoteReference"/>
        </w:rPr>
        <w:footnoteRef/>
      </w:r>
      <w:r>
        <w:t xml:space="preserve"> </w:t>
      </w:r>
      <w:r w:rsidRPr="00022285">
        <w:rPr>
          <w:lang w:val="en-US"/>
        </w:rPr>
        <w:t>CRPD, Art</w:t>
      </w:r>
      <w:r>
        <w:rPr>
          <w:lang w:val="en-US"/>
        </w:rPr>
        <w:t>icle 9, para 1 (emphasis added).</w:t>
      </w:r>
    </w:p>
  </w:footnote>
  <w:footnote w:id="26">
    <w:p w14:paraId="0780BEAA" w14:textId="77777777" w:rsidR="00152E6E" w:rsidRPr="004217BB" w:rsidRDefault="00152E6E" w:rsidP="00E836C7">
      <w:pPr>
        <w:pStyle w:val="FootnoteText"/>
        <w:jc w:val="both"/>
        <w:rPr>
          <w:lang w:val="en-US"/>
        </w:rPr>
      </w:pPr>
      <w:r>
        <w:rPr>
          <w:rStyle w:val="FootnoteReference"/>
        </w:rPr>
        <w:footnoteRef/>
      </w:r>
      <w:r>
        <w:t xml:space="preserve"> </w:t>
      </w:r>
      <w:r w:rsidRPr="004217BB">
        <w:rPr>
          <w:lang w:val="en-US"/>
        </w:rPr>
        <w:t>CRPD Committee,</w:t>
      </w:r>
      <w:r>
        <w:rPr>
          <w:lang w:val="en-US"/>
        </w:rPr>
        <w:t xml:space="preserve"> General Comment N</w:t>
      </w:r>
      <w:r w:rsidRPr="004217BB">
        <w:rPr>
          <w:lang w:val="en-US"/>
        </w:rPr>
        <w:t xml:space="preserve">o 2 on Article 9: Accessibility, CRPD/C/GC/2, </w:t>
      </w:r>
      <w:r>
        <w:rPr>
          <w:lang w:val="en-US"/>
        </w:rPr>
        <w:t>11 April 2014.</w:t>
      </w:r>
    </w:p>
  </w:footnote>
  <w:footnote w:id="27">
    <w:p w14:paraId="711F41B1" w14:textId="77777777" w:rsidR="00152E6E" w:rsidRPr="005E553C" w:rsidRDefault="00152E6E" w:rsidP="00E836C7">
      <w:pPr>
        <w:pStyle w:val="FootnoteText"/>
        <w:jc w:val="both"/>
        <w:rPr>
          <w:lang w:val="es-ES"/>
        </w:rPr>
      </w:pPr>
      <w:r>
        <w:rPr>
          <w:rStyle w:val="FootnoteReference"/>
        </w:rPr>
        <w:footnoteRef/>
      </w:r>
      <w:r w:rsidRPr="005E553C">
        <w:rPr>
          <w:lang w:val="es-ES"/>
        </w:rPr>
        <w:t xml:space="preserve"> </w:t>
      </w:r>
      <w:proofErr w:type="spellStart"/>
      <w:r w:rsidRPr="005E553C">
        <w:rPr>
          <w:i/>
          <w:lang w:val="es-ES"/>
        </w:rPr>
        <w:t>Ibid</w:t>
      </w:r>
      <w:proofErr w:type="spellEnd"/>
      <w:r w:rsidRPr="005E553C">
        <w:rPr>
          <w:lang w:val="es-ES"/>
        </w:rPr>
        <w:t>, para. 1.</w:t>
      </w:r>
    </w:p>
  </w:footnote>
  <w:footnote w:id="28">
    <w:p w14:paraId="57281D82" w14:textId="77777777" w:rsidR="00152E6E" w:rsidRPr="005E553C" w:rsidRDefault="00152E6E" w:rsidP="00E836C7">
      <w:pPr>
        <w:pStyle w:val="FootnoteText"/>
        <w:jc w:val="both"/>
        <w:rPr>
          <w:lang w:val="es-ES"/>
        </w:rPr>
      </w:pPr>
      <w:r>
        <w:rPr>
          <w:rStyle w:val="FootnoteReference"/>
        </w:rPr>
        <w:footnoteRef/>
      </w:r>
      <w:r w:rsidRPr="005E553C">
        <w:rPr>
          <w:lang w:val="es-ES"/>
        </w:rPr>
        <w:t xml:space="preserve"> </w:t>
      </w:r>
      <w:proofErr w:type="spellStart"/>
      <w:r w:rsidRPr="005E553C">
        <w:rPr>
          <w:i/>
          <w:lang w:val="es-ES"/>
        </w:rPr>
        <w:t>Ibid</w:t>
      </w:r>
      <w:proofErr w:type="spellEnd"/>
      <w:r w:rsidRPr="005E553C">
        <w:rPr>
          <w:lang w:val="es-ES"/>
        </w:rPr>
        <w:t xml:space="preserve">. </w:t>
      </w:r>
    </w:p>
  </w:footnote>
  <w:footnote w:id="29">
    <w:p w14:paraId="3900E7F5" w14:textId="77777777" w:rsidR="00152E6E" w:rsidRPr="005E553C" w:rsidRDefault="00152E6E" w:rsidP="00E836C7">
      <w:pPr>
        <w:pStyle w:val="FootnoteText"/>
        <w:jc w:val="both"/>
        <w:rPr>
          <w:lang w:val="es-ES"/>
        </w:rPr>
      </w:pPr>
      <w:r>
        <w:rPr>
          <w:rStyle w:val="FootnoteReference"/>
        </w:rPr>
        <w:footnoteRef/>
      </w:r>
      <w:r w:rsidRPr="005E553C">
        <w:rPr>
          <w:lang w:val="es-ES"/>
        </w:rPr>
        <w:t xml:space="preserve"> </w:t>
      </w:r>
      <w:proofErr w:type="spellStart"/>
      <w:r w:rsidRPr="005E553C">
        <w:rPr>
          <w:i/>
          <w:lang w:val="es-ES"/>
        </w:rPr>
        <w:t>Ibid</w:t>
      </w:r>
      <w:proofErr w:type="spellEnd"/>
      <w:r w:rsidRPr="005E553C">
        <w:rPr>
          <w:lang w:val="es-ES"/>
        </w:rPr>
        <w:t>, paras 4 and 29.</w:t>
      </w:r>
    </w:p>
  </w:footnote>
  <w:footnote w:id="30">
    <w:p w14:paraId="72CF72C6" w14:textId="77777777" w:rsidR="00152E6E" w:rsidRPr="00F53242" w:rsidRDefault="00152E6E" w:rsidP="00E836C7">
      <w:pPr>
        <w:pStyle w:val="FootnoteText"/>
        <w:jc w:val="both"/>
        <w:rPr>
          <w:lang w:val="en-US"/>
        </w:rPr>
      </w:pPr>
      <w:r>
        <w:rPr>
          <w:rStyle w:val="FootnoteReference"/>
        </w:rPr>
        <w:footnoteRef/>
      </w:r>
      <w:r w:rsidRPr="005E553C">
        <w:rPr>
          <w:lang w:val="es-ES"/>
        </w:rPr>
        <w:t xml:space="preserve"> </w:t>
      </w:r>
      <w:proofErr w:type="spellStart"/>
      <w:r w:rsidRPr="005E553C">
        <w:rPr>
          <w:i/>
          <w:lang w:val="es-ES"/>
        </w:rPr>
        <w:t>Ibid</w:t>
      </w:r>
      <w:proofErr w:type="spellEnd"/>
      <w:r w:rsidRPr="005E553C">
        <w:rPr>
          <w:lang w:val="es-ES"/>
        </w:rPr>
        <w:t xml:space="preserve">, para. </w:t>
      </w:r>
      <w:r>
        <w:t>29.</w:t>
      </w:r>
    </w:p>
  </w:footnote>
  <w:footnote w:id="31">
    <w:p w14:paraId="1B730ECB" w14:textId="77777777" w:rsidR="00152E6E" w:rsidRPr="00636974" w:rsidRDefault="00152E6E" w:rsidP="00E836C7">
      <w:pPr>
        <w:pStyle w:val="FootnoteText"/>
        <w:jc w:val="both"/>
      </w:pPr>
      <w:r>
        <w:rPr>
          <w:rStyle w:val="FootnoteReference"/>
        </w:rPr>
        <w:footnoteRef/>
      </w:r>
      <w:r>
        <w:t xml:space="preserve"> CRPD Committee, General Comment No 4 on the right to inclusive education, </w:t>
      </w:r>
      <w:r w:rsidRPr="00636974">
        <w:rPr>
          <w:lang w:val="en-US"/>
        </w:rPr>
        <w:t>CRPD</w:t>
      </w:r>
      <w:r>
        <w:rPr>
          <w:lang w:val="en-US"/>
        </w:rPr>
        <w:t xml:space="preserve">/C/GC/4, </w:t>
      </w:r>
      <w:r>
        <w:t xml:space="preserve">25 November 2016, para. 17, paras. 22-24 and para. 49. </w:t>
      </w:r>
    </w:p>
  </w:footnote>
  <w:footnote w:id="32">
    <w:p w14:paraId="280B34C6" w14:textId="77777777" w:rsidR="00152E6E" w:rsidRPr="00F53242" w:rsidRDefault="00152E6E" w:rsidP="00E836C7">
      <w:pPr>
        <w:pStyle w:val="FootnoteText"/>
        <w:jc w:val="both"/>
        <w:rPr>
          <w:lang w:val="en-US"/>
        </w:rPr>
      </w:pPr>
      <w:r>
        <w:rPr>
          <w:rStyle w:val="FootnoteReference"/>
        </w:rPr>
        <w:footnoteRef/>
      </w:r>
      <w:r>
        <w:t xml:space="preserve"> </w:t>
      </w:r>
      <w:r w:rsidRPr="00697D20">
        <w:rPr>
          <w:i/>
          <w:lang w:val="en-US"/>
        </w:rPr>
        <w:t>See</w:t>
      </w:r>
      <w:r w:rsidRPr="00C40188">
        <w:rPr>
          <w:lang w:val="en-US"/>
        </w:rPr>
        <w:t xml:space="preserve"> CRPD Committee, General Comment no 2 on Article 9: Accessibility, CRPD/C/GC/2, 11 April 2014, para 6, referring to CESCR Committee general comments No. 5 (1994), on persons with disabilities, and No. 14 (2000), on the right to the highest attainable standard of health (Art. 12 of the Covenant), para 12; and to CRC Committee general comments No. 9 (2006), on the rights of children with disabilities, and No. 17 (2013) on the right of the child to rest, leisure, play, recreational activities, cultural life and the arts (art. 31). </w:t>
      </w:r>
    </w:p>
  </w:footnote>
  <w:footnote w:id="33">
    <w:p w14:paraId="50F45E27" w14:textId="77777777" w:rsidR="00152E6E" w:rsidRPr="005E4A94" w:rsidRDefault="00152E6E" w:rsidP="00E836C7">
      <w:pPr>
        <w:pStyle w:val="FootnoteText"/>
        <w:jc w:val="both"/>
        <w:rPr>
          <w:lang w:val="en-US"/>
        </w:rPr>
      </w:pPr>
      <w:r>
        <w:rPr>
          <w:rStyle w:val="FootnoteReference"/>
        </w:rPr>
        <w:footnoteRef/>
      </w:r>
      <w:r>
        <w:t xml:space="preserve"> </w:t>
      </w:r>
      <w:r w:rsidRPr="004217BB">
        <w:rPr>
          <w:lang w:val="en-US"/>
        </w:rPr>
        <w:t>CRPD Committee, G</w:t>
      </w:r>
      <w:r>
        <w:rPr>
          <w:lang w:val="en-US"/>
        </w:rPr>
        <w:t>eneral Comment N</w:t>
      </w:r>
      <w:r w:rsidRPr="004217BB">
        <w:rPr>
          <w:lang w:val="en-US"/>
        </w:rPr>
        <w:t>o 2</w:t>
      </w:r>
      <w:r>
        <w:rPr>
          <w:lang w:val="en-US"/>
        </w:rPr>
        <w:t>, para. 10.</w:t>
      </w:r>
    </w:p>
  </w:footnote>
  <w:footnote w:id="34">
    <w:p w14:paraId="49CCF049" w14:textId="77777777" w:rsidR="00152E6E" w:rsidRPr="00364E64" w:rsidRDefault="00152E6E" w:rsidP="00E836C7">
      <w:pPr>
        <w:pStyle w:val="FootnoteText"/>
        <w:jc w:val="both"/>
        <w:rPr>
          <w:lang w:val="en-US"/>
        </w:rPr>
      </w:pPr>
      <w:r>
        <w:rPr>
          <w:rStyle w:val="FootnoteReference"/>
        </w:rPr>
        <w:footnoteRef/>
      </w:r>
      <w:r>
        <w:t xml:space="preserve"> </w:t>
      </w:r>
      <w:r w:rsidRPr="00364E64">
        <w:rPr>
          <w:i/>
          <w:lang w:val="en-US"/>
        </w:rPr>
        <w:t>Ibid</w:t>
      </w:r>
      <w:r>
        <w:rPr>
          <w:lang w:val="en-US"/>
        </w:rPr>
        <w:t>.</w:t>
      </w:r>
    </w:p>
  </w:footnote>
  <w:footnote w:id="35">
    <w:p w14:paraId="562AEC7F" w14:textId="77777777" w:rsidR="00152E6E" w:rsidRPr="005E6A7F" w:rsidRDefault="00152E6E" w:rsidP="00E836C7">
      <w:pPr>
        <w:pStyle w:val="FootnoteText"/>
        <w:jc w:val="both"/>
        <w:rPr>
          <w:lang w:val="en-US"/>
        </w:rPr>
      </w:pPr>
      <w:r>
        <w:rPr>
          <w:rStyle w:val="FootnoteReference"/>
        </w:rPr>
        <w:footnoteRef/>
      </w:r>
      <w:r>
        <w:t xml:space="preserve"> </w:t>
      </w:r>
      <w:r w:rsidRPr="005E6A7F">
        <w:rPr>
          <w:lang w:val="en-US"/>
        </w:rPr>
        <w:t xml:space="preserve">CRPD Committee, </w:t>
      </w:r>
      <w:proofErr w:type="spellStart"/>
      <w:r w:rsidRPr="005E6A7F">
        <w:rPr>
          <w:i/>
          <w:iCs/>
          <w:lang w:val="en-US"/>
        </w:rPr>
        <w:t>Szilvia</w:t>
      </w:r>
      <w:proofErr w:type="spellEnd"/>
      <w:r w:rsidRPr="005E6A7F">
        <w:rPr>
          <w:i/>
          <w:iCs/>
          <w:lang w:val="en-US"/>
        </w:rPr>
        <w:t xml:space="preserve"> </w:t>
      </w:r>
      <w:proofErr w:type="spellStart"/>
      <w:r w:rsidRPr="005E6A7F">
        <w:rPr>
          <w:i/>
          <w:iCs/>
          <w:lang w:val="en-US"/>
        </w:rPr>
        <w:t>Nyusti</w:t>
      </w:r>
      <w:proofErr w:type="spellEnd"/>
      <w:r w:rsidRPr="005E6A7F">
        <w:rPr>
          <w:i/>
          <w:iCs/>
          <w:lang w:val="en-US"/>
        </w:rPr>
        <w:t xml:space="preserve">, </w:t>
      </w:r>
      <w:proofErr w:type="spellStart"/>
      <w:r w:rsidRPr="005E6A7F">
        <w:rPr>
          <w:i/>
          <w:iCs/>
          <w:lang w:val="en-US"/>
        </w:rPr>
        <w:t>Péter</w:t>
      </w:r>
      <w:proofErr w:type="spellEnd"/>
      <w:r w:rsidRPr="005E6A7F">
        <w:rPr>
          <w:i/>
          <w:iCs/>
          <w:lang w:val="en-US"/>
        </w:rPr>
        <w:t xml:space="preserve"> </w:t>
      </w:r>
      <w:proofErr w:type="spellStart"/>
      <w:r w:rsidRPr="005E6A7F">
        <w:rPr>
          <w:i/>
          <w:iCs/>
          <w:lang w:val="en-US"/>
        </w:rPr>
        <w:t>Takács</w:t>
      </w:r>
      <w:proofErr w:type="spellEnd"/>
      <w:r w:rsidRPr="005E6A7F">
        <w:rPr>
          <w:i/>
          <w:iCs/>
          <w:lang w:val="en-US"/>
        </w:rPr>
        <w:t xml:space="preserve"> and </w:t>
      </w:r>
      <w:proofErr w:type="spellStart"/>
      <w:r w:rsidRPr="005E6A7F">
        <w:rPr>
          <w:i/>
          <w:iCs/>
          <w:lang w:val="en-US"/>
        </w:rPr>
        <w:t>Tamás</w:t>
      </w:r>
      <w:proofErr w:type="spellEnd"/>
      <w:r w:rsidRPr="005E6A7F">
        <w:rPr>
          <w:i/>
          <w:iCs/>
          <w:lang w:val="en-US"/>
        </w:rPr>
        <w:t xml:space="preserve"> </w:t>
      </w:r>
      <w:proofErr w:type="spellStart"/>
      <w:r w:rsidRPr="005E6A7F">
        <w:rPr>
          <w:i/>
          <w:iCs/>
          <w:lang w:val="en-US"/>
        </w:rPr>
        <w:t>Fazekas</w:t>
      </w:r>
      <w:proofErr w:type="spellEnd"/>
      <w:r w:rsidRPr="005E6A7F">
        <w:rPr>
          <w:i/>
          <w:iCs/>
          <w:lang w:val="en-US"/>
        </w:rPr>
        <w:t xml:space="preserve"> v Hungary</w:t>
      </w:r>
      <w:r w:rsidRPr="005E6A7F">
        <w:rPr>
          <w:lang w:val="en-US"/>
        </w:rPr>
        <w:t xml:space="preserve">, Communication No 1/2010, CRPD/C/9/D/1/2010, Views adopted on </w:t>
      </w:r>
      <w:r>
        <w:rPr>
          <w:lang w:val="en-US"/>
        </w:rPr>
        <w:t>16 April 2013 (emphasis added).</w:t>
      </w:r>
    </w:p>
  </w:footnote>
  <w:footnote w:id="36">
    <w:p w14:paraId="47BFA505" w14:textId="77777777" w:rsidR="00152E6E" w:rsidRPr="00890AD0" w:rsidRDefault="00152E6E" w:rsidP="00E836C7">
      <w:pPr>
        <w:pStyle w:val="FootnoteText"/>
        <w:jc w:val="both"/>
        <w:rPr>
          <w:lang w:val="es-ES"/>
        </w:rPr>
      </w:pPr>
      <w:r>
        <w:rPr>
          <w:rStyle w:val="FootnoteReference"/>
        </w:rPr>
        <w:footnoteRef/>
      </w:r>
      <w:r>
        <w:t xml:space="preserve"> </w:t>
      </w:r>
      <w:r w:rsidRPr="004217BB">
        <w:rPr>
          <w:lang w:val="en-US"/>
        </w:rPr>
        <w:t>C</w:t>
      </w:r>
      <w:r>
        <w:rPr>
          <w:lang w:val="en-US"/>
        </w:rPr>
        <w:t>RPD Committee, General Comment N</w:t>
      </w:r>
      <w:r w:rsidRPr="004217BB">
        <w:rPr>
          <w:lang w:val="en-US"/>
        </w:rPr>
        <w:t>o 2</w:t>
      </w:r>
      <w:r>
        <w:rPr>
          <w:lang w:val="en-US"/>
        </w:rPr>
        <w:t xml:space="preserve">, para. </w:t>
      </w:r>
      <w:r w:rsidRPr="00890AD0">
        <w:rPr>
          <w:lang w:val="es-ES"/>
        </w:rPr>
        <w:t>25.</w:t>
      </w:r>
    </w:p>
  </w:footnote>
  <w:footnote w:id="37">
    <w:p w14:paraId="1E2A8557" w14:textId="77777777" w:rsidR="00152E6E" w:rsidRPr="00890AD0" w:rsidRDefault="00152E6E" w:rsidP="00E836C7">
      <w:pPr>
        <w:pStyle w:val="FootnoteText"/>
        <w:jc w:val="both"/>
        <w:rPr>
          <w:lang w:val="es-ES"/>
        </w:rPr>
      </w:pPr>
      <w:r>
        <w:rPr>
          <w:rStyle w:val="FootnoteReference"/>
        </w:rPr>
        <w:footnoteRef/>
      </w:r>
      <w:r w:rsidRPr="00890AD0">
        <w:rPr>
          <w:lang w:val="es-ES"/>
        </w:rPr>
        <w:t xml:space="preserve"> </w:t>
      </w:r>
      <w:proofErr w:type="spellStart"/>
      <w:r w:rsidRPr="00890AD0">
        <w:rPr>
          <w:i/>
          <w:lang w:val="es-ES"/>
        </w:rPr>
        <w:t>Ibid</w:t>
      </w:r>
      <w:proofErr w:type="spellEnd"/>
      <w:r w:rsidRPr="00890AD0">
        <w:rPr>
          <w:lang w:val="es-ES"/>
        </w:rPr>
        <w:t xml:space="preserve">. </w:t>
      </w:r>
    </w:p>
  </w:footnote>
  <w:footnote w:id="38">
    <w:p w14:paraId="1C608F27" w14:textId="1BC74542" w:rsidR="00152E6E" w:rsidRPr="005E553C" w:rsidRDefault="00152E6E" w:rsidP="006F1A98">
      <w:pPr>
        <w:pStyle w:val="FootnoteText"/>
        <w:jc w:val="both"/>
        <w:rPr>
          <w:lang w:val="es-ES"/>
        </w:rPr>
      </w:pPr>
      <w:r>
        <w:rPr>
          <w:rStyle w:val="FootnoteReference"/>
        </w:rPr>
        <w:footnoteRef/>
      </w:r>
      <w:r w:rsidRPr="005E553C">
        <w:rPr>
          <w:lang w:val="es-ES"/>
        </w:rPr>
        <w:t xml:space="preserve"> </w:t>
      </w:r>
      <w:proofErr w:type="spellStart"/>
      <w:r w:rsidRPr="005E553C">
        <w:rPr>
          <w:i/>
          <w:lang w:val="es-ES"/>
        </w:rPr>
        <w:t>Ibid</w:t>
      </w:r>
      <w:proofErr w:type="spellEnd"/>
      <w:r w:rsidRPr="005E553C">
        <w:rPr>
          <w:lang w:val="es-ES"/>
        </w:rPr>
        <w:t>, para. 25.</w:t>
      </w:r>
    </w:p>
  </w:footnote>
  <w:footnote w:id="39">
    <w:p w14:paraId="567F8596" w14:textId="457EE815" w:rsidR="00152E6E" w:rsidRPr="005E553C" w:rsidRDefault="00152E6E" w:rsidP="006F1A98">
      <w:pPr>
        <w:pStyle w:val="FootnoteText"/>
        <w:jc w:val="both"/>
        <w:rPr>
          <w:lang w:val="es-ES"/>
        </w:rPr>
      </w:pPr>
      <w:r>
        <w:rPr>
          <w:rStyle w:val="FootnoteReference"/>
        </w:rPr>
        <w:footnoteRef/>
      </w:r>
      <w:r w:rsidRPr="005E553C">
        <w:rPr>
          <w:lang w:val="es-ES"/>
        </w:rPr>
        <w:t xml:space="preserve"> </w:t>
      </w:r>
      <w:proofErr w:type="spellStart"/>
      <w:r w:rsidRPr="005E553C">
        <w:rPr>
          <w:i/>
          <w:lang w:val="es-ES"/>
        </w:rPr>
        <w:t>Ibid</w:t>
      </w:r>
      <w:proofErr w:type="spellEnd"/>
      <w:r w:rsidRPr="005E553C">
        <w:rPr>
          <w:lang w:val="es-ES"/>
        </w:rPr>
        <w:t>.</w:t>
      </w:r>
    </w:p>
  </w:footnote>
  <w:footnote w:id="40">
    <w:p w14:paraId="1B4C55D5" w14:textId="46B8BFD4" w:rsidR="00152E6E" w:rsidRPr="00A02315" w:rsidRDefault="00152E6E" w:rsidP="006F1A98">
      <w:pPr>
        <w:pStyle w:val="FootnoteText"/>
        <w:jc w:val="both"/>
        <w:rPr>
          <w:lang w:val="en-US"/>
        </w:rPr>
      </w:pPr>
      <w:r>
        <w:rPr>
          <w:rStyle w:val="FootnoteReference"/>
        </w:rPr>
        <w:footnoteRef/>
      </w:r>
      <w:r w:rsidRPr="005E553C">
        <w:rPr>
          <w:lang w:val="es-ES"/>
        </w:rPr>
        <w:t xml:space="preserve"> </w:t>
      </w:r>
      <w:proofErr w:type="spellStart"/>
      <w:r w:rsidRPr="005E553C">
        <w:rPr>
          <w:i/>
          <w:lang w:val="es-ES"/>
        </w:rPr>
        <w:t>Ibid</w:t>
      </w:r>
      <w:proofErr w:type="spellEnd"/>
      <w:r w:rsidRPr="005E553C">
        <w:rPr>
          <w:lang w:val="es-ES"/>
        </w:rPr>
        <w:t xml:space="preserve">, para. </w:t>
      </w:r>
      <w:r>
        <w:rPr>
          <w:lang w:val="en-US"/>
        </w:rPr>
        <w:t>26 (emphasis added).</w:t>
      </w:r>
    </w:p>
  </w:footnote>
  <w:footnote w:id="41">
    <w:p w14:paraId="7DAF7CFE" w14:textId="16F84722" w:rsidR="00152E6E" w:rsidRPr="00AD237E" w:rsidRDefault="00152E6E" w:rsidP="006F1A98">
      <w:pPr>
        <w:pStyle w:val="FootnoteText"/>
        <w:jc w:val="both"/>
        <w:rPr>
          <w:lang w:val="en-US"/>
        </w:rPr>
      </w:pPr>
      <w:r>
        <w:rPr>
          <w:rStyle w:val="FootnoteReference"/>
        </w:rPr>
        <w:footnoteRef/>
      </w:r>
      <w:r>
        <w:t xml:space="preserve"> </w:t>
      </w:r>
      <w:r w:rsidRPr="004217BB">
        <w:rPr>
          <w:lang w:val="en-US"/>
        </w:rPr>
        <w:t>C</w:t>
      </w:r>
      <w:r>
        <w:rPr>
          <w:lang w:val="en-US"/>
        </w:rPr>
        <w:t xml:space="preserve">RPD Committee, General Comment No 4, para. 30. </w:t>
      </w:r>
    </w:p>
  </w:footnote>
  <w:footnote w:id="42">
    <w:p w14:paraId="08E53AFB" w14:textId="60CF4126" w:rsidR="00152E6E" w:rsidRPr="00E27032" w:rsidRDefault="00152E6E" w:rsidP="006F1A98">
      <w:pPr>
        <w:pStyle w:val="FootnoteText"/>
        <w:jc w:val="both"/>
        <w:rPr>
          <w:lang w:val="en-US"/>
        </w:rPr>
      </w:pPr>
      <w:r>
        <w:rPr>
          <w:rStyle w:val="FootnoteReference"/>
        </w:rPr>
        <w:footnoteRef/>
      </w:r>
      <w:r>
        <w:t xml:space="preserve"> </w:t>
      </w:r>
      <w:r w:rsidRPr="00140623">
        <w:rPr>
          <w:i/>
          <w:lang w:val="en-US"/>
        </w:rPr>
        <w:t>See</w:t>
      </w:r>
      <w:r w:rsidRPr="00E27032">
        <w:rPr>
          <w:lang w:val="en-US"/>
        </w:rPr>
        <w:t xml:space="preserve"> the UDHR Article 26(1), the International Covenant on Economic, Social and Cultural Rights, Articles 13</w:t>
      </w:r>
      <w:r>
        <w:rPr>
          <w:lang w:val="en-US"/>
        </w:rPr>
        <w:t xml:space="preserve"> and 14, the Convention against Discrimination of the United Nations Educational, Scientific and Cultural </w:t>
      </w:r>
      <w:proofErr w:type="spellStart"/>
      <w:r>
        <w:rPr>
          <w:lang w:val="en-US"/>
        </w:rPr>
        <w:t>Organisation</w:t>
      </w:r>
      <w:proofErr w:type="spellEnd"/>
      <w:r>
        <w:rPr>
          <w:lang w:val="en-US"/>
        </w:rPr>
        <w:t>,</w:t>
      </w:r>
      <w:r w:rsidRPr="00E27032">
        <w:rPr>
          <w:lang w:val="en-US"/>
        </w:rPr>
        <w:t xml:space="preserve"> and the Convention on the Rights of the Child, A</w:t>
      </w:r>
      <w:r>
        <w:rPr>
          <w:lang w:val="en-US"/>
        </w:rPr>
        <w:t>rticle 28 and 29, among others.</w:t>
      </w:r>
    </w:p>
  </w:footnote>
  <w:footnote w:id="43">
    <w:p w14:paraId="46B43717" w14:textId="4CA0B0A2" w:rsidR="00152E6E" w:rsidRPr="00E27032" w:rsidRDefault="00152E6E" w:rsidP="00D04B86">
      <w:pPr>
        <w:pStyle w:val="FootnoteText"/>
        <w:jc w:val="both"/>
        <w:rPr>
          <w:lang w:val="en-US"/>
        </w:rPr>
      </w:pPr>
      <w:r>
        <w:rPr>
          <w:rStyle w:val="FootnoteReference"/>
        </w:rPr>
        <w:footnoteRef/>
      </w:r>
      <w:r>
        <w:t xml:space="preserve"> </w:t>
      </w:r>
      <w:r w:rsidRPr="00E27032">
        <w:rPr>
          <w:lang w:val="en-US"/>
        </w:rPr>
        <w:t>CESCR Committee General Comment no 13 on the right to educati</w:t>
      </w:r>
      <w:r>
        <w:rPr>
          <w:lang w:val="en-US"/>
        </w:rPr>
        <w:t>on, E/C.12/1999/4, 1999, para 6.</w:t>
      </w:r>
    </w:p>
  </w:footnote>
  <w:footnote w:id="44">
    <w:p w14:paraId="761FE99B" w14:textId="4BA522E6" w:rsidR="00152E6E" w:rsidRPr="00E27032" w:rsidRDefault="00152E6E" w:rsidP="00D04B86">
      <w:pPr>
        <w:pStyle w:val="FootnoteText"/>
        <w:jc w:val="both"/>
        <w:rPr>
          <w:lang w:val="en-US"/>
        </w:rPr>
      </w:pPr>
      <w:r>
        <w:rPr>
          <w:rStyle w:val="FootnoteReference"/>
        </w:rPr>
        <w:footnoteRef/>
      </w:r>
      <w:r>
        <w:t xml:space="preserve"> </w:t>
      </w:r>
      <w:r w:rsidRPr="00E27032">
        <w:rPr>
          <w:i/>
        </w:rPr>
        <w:t>Ibid</w:t>
      </w:r>
      <w:r>
        <w:t>.</w:t>
      </w:r>
    </w:p>
  </w:footnote>
  <w:footnote w:id="45">
    <w:p w14:paraId="2C813E6B" w14:textId="52CAFCD6" w:rsidR="00152E6E" w:rsidRPr="00B27021" w:rsidRDefault="00152E6E" w:rsidP="00D04B86">
      <w:pPr>
        <w:pStyle w:val="FootnoteText"/>
        <w:jc w:val="both"/>
        <w:rPr>
          <w:lang w:val="en-US"/>
        </w:rPr>
      </w:pPr>
      <w:r>
        <w:rPr>
          <w:rStyle w:val="FootnoteReference"/>
        </w:rPr>
        <w:footnoteRef/>
      </w:r>
      <w:r>
        <w:t xml:space="preserve"> </w:t>
      </w:r>
      <w:r w:rsidRPr="000058E7">
        <w:rPr>
          <w:lang w:val="en-US"/>
        </w:rPr>
        <w:t>CRPD</w:t>
      </w:r>
      <w:r>
        <w:rPr>
          <w:lang w:val="en-US"/>
        </w:rPr>
        <w:t xml:space="preserve"> Committee, General Comment No 4, para. 3. </w:t>
      </w:r>
    </w:p>
  </w:footnote>
  <w:footnote w:id="46">
    <w:p w14:paraId="67F991D7" w14:textId="35FC12C0" w:rsidR="00152E6E" w:rsidRPr="00003B98" w:rsidRDefault="00152E6E" w:rsidP="00D04B86">
      <w:pPr>
        <w:pStyle w:val="FootnoteText"/>
        <w:jc w:val="both"/>
        <w:rPr>
          <w:lang w:val="en-US"/>
        </w:rPr>
      </w:pPr>
      <w:r>
        <w:rPr>
          <w:rStyle w:val="FootnoteReference"/>
        </w:rPr>
        <w:footnoteRef/>
      </w:r>
      <w:r>
        <w:t xml:space="preserve"> </w:t>
      </w:r>
      <w:r w:rsidRPr="00003B98">
        <w:rPr>
          <w:lang w:val="en-US"/>
        </w:rPr>
        <w:t xml:space="preserve">The Academic Network of European Disability experts (ANED), </w:t>
      </w:r>
      <w:r w:rsidRPr="00003B98">
        <w:rPr>
          <w:i/>
          <w:iCs/>
          <w:lang w:val="en-US"/>
        </w:rPr>
        <w:t xml:space="preserve">The </w:t>
      </w:r>
      <w:proofErr w:type="spellStart"/>
      <w:r w:rsidRPr="00003B98">
        <w:rPr>
          <w:i/>
          <w:iCs/>
          <w:lang w:val="en-US"/>
        </w:rPr>
        <w:t>labour</w:t>
      </w:r>
      <w:proofErr w:type="spellEnd"/>
      <w:r w:rsidRPr="00003B98">
        <w:rPr>
          <w:i/>
          <w:iCs/>
          <w:lang w:val="en-US"/>
        </w:rPr>
        <w:t xml:space="preserve"> market situation of disabled people in European countries and implementation of employment policies: a summary of evidence from country reports and research studies</w:t>
      </w:r>
      <w:r w:rsidRPr="00003B98">
        <w:rPr>
          <w:lang w:val="en-US"/>
        </w:rPr>
        <w:t xml:space="preserve">, April 2009, p 32. In particular, ANED observed that “the educational attainment level has an impact, so that for those [persons with disabilities] with only basic schooling only one out of five were in employment compared to 62% of those without restrictions. For persons with a tertiary level of education the difference was 48% compared to 85% (See p 12 of the Report cited) </w:t>
      </w:r>
    </w:p>
  </w:footnote>
  <w:footnote w:id="47">
    <w:p w14:paraId="476DE2E9" w14:textId="285D9920" w:rsidR="00152E6E" w:rsidRPr="00625ED3" w:rsidRDefault="00152E6E" w:rsidP="00D04B86">
      <w:pPr>
        <w:pStyle w:val="FootnoteText"/>
        <w:jc w:val="both"/>
        <w:rPr>
          <w:lang w:val="en-US"/>
        </w:rPr>
      </w:pPr>
      <w:r>
        <w:rPr>
          <w:rStyle w:val="FootnoteReference"/>
        </w:rPr>
        <w:footnoteRef/>
      </w:r>
      <w:r>
        <w:t xml:space="preserve"> </w:t>
      </w:r>
      <w:r w:rsidRPr="00625ED3">
        <w:rPr>
          <w:lang w:val="en-US"/>
        </w:rPr>
        <w:t>2030 Agenda for Sustainable Development, A/RES/70/1</w:t>
      </w:r>
      <w:r>
        <w:rPr>
          <w:lang w:val="en-US"/>
        </w:rPr>
        <w:t>,</w:t>
      </w:r>
      <w:r w:rsidRPr="00625ED3">
        <w:rPr>
          <w:lang w:val="en-US"/>
        </w:rPr>
        <w:t xml:space="preserve"> Goal 4</w:t>
      </w:r>
      <w:r>
        <w:rPr>
          <w:lang w:val="en-US"/>
        </w:rPr>
        <w:t xml:space="preserve"> “</w:t>
      </w:r>
      <w:r w:rsidRPr="00625ED3">
        <w:rPr>
          <w:lang w:val="en-US"/>
        </w:rPr>
        <w:t>Ensure inclusive and equitable quality education and promote lifelong learning opportunities for all</w:t>
      </w:r>
      <w:r>
        <w:rPr>
          <w:lang w:val="en-US"/>
        </w:rPr>
        <w:t>.”</w:t>
      </w:r>
    </w:p>
  </w:footnote>
  <w:footnote w:id="48">
    <w:p w14:paraId="1DE5BE07" w14:textId="753A76A2" w:rsidR="00152E6E" w:rsidRPr="00023A1F" w:rsidRDefault="00152E6E">
      <w:pPr>
        <w:pStyle w:val="FootnoteText"/>
      </w:pPr>
      <w:r>
        <w:rPr>
          <w:rStyle w:val="FootnoteReference"/>
        </w:rPr>
        <w:footnoteRef/>
      </w:r>
      <w:r>
        <w:t xml:space="preserve"> </w:t>
      </w:r>
      <w:r w:rsidRPr="00023A1F">
        <w:t xml:space="preserve">Available at </w:t>
      </w:r>
      <w:hyperlink r:id="rId3" w:history="1">
        <w:r w:rsidRPr="000A5A2D">
          <w:rPr>
            <w:rStyle w:val="Hyperlink"/>
          </w:rPr>
          <w:t>http://unesdoc.unesco.org/images/0024/002456/245656e.pdf</w:t>
        </w:r>
      </w:hyperlink>
      <w:r>
        <w:t xml:space="preserve"> </w:t>
      </w:r>
    </w:p>
  </w:footnote>
  <w:footnote w:id="49">
    <w:p w14:paraId="14CCCB2F" w14:textId="2D00BF00" w:rsidR="00152E6E" w:rsidRPr="000171EF" w:rsidRDefault="00152E6E" w:rsidP="00D04B86">
      <w:pPr>
        <w:pStyle w:val="FootnoteText"/>
        <w:jc w:val="both"/>
        <w:rPr>
          <w:lang w:val="en-US"/>
        </w:rPr>
      </w:pPr>
      <w:r>
        <w:rPr>
          <w:rStyle w:val="FootnoteReference"/>
        </w:rPr>
        <w:footnoteRef/>
      </w:r>
      <w:r>
        <w:t xml:space="preserve"> </w:t>
      </w:r>
      <w:r>
        <w:rPr>
          <w:lang w:val="en-US"/>
        </w:rPr>
        <w:t xml:space="preserve">CRPD, Article 24(1) (emphasis added). </w:t>
      </w:r>
    </w:p>
  </w:footnote>
  <w:footnote w:id="50">
    <w:p w14:paraId="30E94EB8" w14:textId="08B4FE05" w:rsidR="00152E6E" w:rsidRPr="00F57C9B" w:rsidRDefault="00152E6E" w:rsidP="00D04B86">
      <w:pPr>
        <w:pStyle w:val="FootnoteText"/>
        <w:jc w:val="both"/>
      </w:pPr>
      <w:r>
        <w:rPr>
          <w:rStyle w:val="FootnoteReference"/>
        </w:rPr>
        <w:footnoteRef/>
      </w:r>
      <w:r>
        <w:t xml:space="preserve"> </w:t>
      </w:r>
      <w:r>
        <w:rPr>
          <w:lang w:val="en-US"/>
        </w:rPr>
        <w:t xml:space="preserve">Already discussed in </w:t>
      </w:r>
      <w:r w:rsidRPr="00F57C9B">
        <w:t>OHCHR-Office of the United Nations High Commissioner for Human Rights </w:t>
      </w:r>
      <w:r w:rsidRPr="00F57C9B">
        <w:rPr>
          <w:i/>
          <w:iCs/>
        </w:rPr>
        <w:t>Thematic study on the right of persons with disabilities to education</w:t>
      </w:r>
      <w:r w:rsidRPr="00F57C9B">
        <w:t> (UN Doc A/</w:t>
      </w:r>
      <w:r>
        <w:t>HRC/25/29), 18.12.2013, in particular see para. 7.</w:t>
      </w:r>
    </w:p>
  </w:footnote>
  <w:footnote w:id="51">
    <w:p w14:paraId="14BA2D16" w14:textId="3F898EC4" w:rsidR="00152E6E" w:rsidRPr="00FE4B2B" w:rsidRDefault="00152E6E" w:rsidP="00D04B86">
      <w:pPr>
        <w:pStyle w:val="FootnoteText"/>
        <w:jc w:val="both"/>
        <w:rPr>
          <w:lang w:val="en-US"/>
        </w:rPr>
      </w:pPr>
      <w:r>
        <w:rPr>
          <w:rStyle w:val="FootnoteReference"/>
        </w:rPr>
        <w:footnoteRef/>
      </w:r>
      <w:r>
        <w:t xml:space="preserve"> </w:t>
      </w:r>
      <w:r w:rsidRPr="00FE4B2B">
        <w:rPr>
          <w:lang w:val="en-US"/>
        </w:rPr>
        <w:t xml:space="preserve">Confusion between integration and inclusion in the decision of the European Court of Human Rights was noted, </w:t>
      </w:r>
      <w:r w:rsidRPr="00FE4B2B">
        <w:rPr>
          <w:i/>
          <w:lang w:val="en-US"/>
        </w:rPr>
        <w:t>see</w:t>
      </w:r>
      <w:r w:rsidRPr="00FE4B2B">
        <w:rPr>
          <w:lang w:val="en-US"/>
        </w:rPr>
        <w:t xml:space="preserve"> </w:t>
      </w:r>
      <w:hyperlink r:id="rId4" w:history="1">
        <w:proofErr w:type="spellStart"/>
        <w:r w:rsidRPr="00FE4B2B">
          <w:rPr>
            <w:rStyle w:val="Hyperlink"/>
          </w:rPr>
          <w:t>Kalkanli</w:t>
        </w:r>
        <w:proofErr w:type="spellEnd"/>
        <w:r w:rsidRPr="00FE4B2B">
          <w:rPr>
            <w:rStyle w:val="Hyperlink"/>
          </w:rPr>
          <w:t xml:space="preserve"> c. </w:t>
        </w:r>
        <w:proofErr w:type="spellStart"/>
        <w:r w:rsidRPr="00FE4B2B">
          <w:rPr>
            <w:rStyle w:val="Hyperlink"/>
          </w:rPr>
          <w:t>Turquie</w:t>
        </w:r>
        <w:proofErr w:type="spellEnd"/>
        <w:r w:rsidRPr="00FE4B2B">
          <w:rPr>
            <w:rStyle w:val="Hyperlink"/>
          </w:rPr>
          <w:t xml:space="preserve"> (13/01/2009)</w:t>
        </w:r>
      </w:hyperlink>
      <w:r w:rsidRPr="00FE4B2B">
        <w:rPr>
          <w:lang w:val="en-US"/>
        </w:rPr>
        <w:t xml:space="preserve">. UNICEF already made the distinction between the concepts in </w:t>
      </w:r>
      <w:r w:rsidRPr="00FE4B2B">
        <w:rPr>
          <w:i/>
          <w:lang w:val="en-US"/>
        </w:rPr>
        <w:t>The Right of Children with Disabilities to Education: A Rights-Based Approach to Inclusive Education in the CEECIS Region</w:t>
      </w:r>
      <w:r w:rsidRPr="00FE4B2B">
        <w:rPr>
          <w:lang w:val="en-US"/>
        </w:rPr>
        <w:t xml:space="preserve"> (Background Note), 2011: </w:t>
      </w:r>
      <w:hyperlink r:id="rId5" w:history="1">
        <w:r w:rsidRPr="00FE4B2B">
          <w:rPr>
            <w:rStyle w:val="Hyperlink"/>
            <w:lang w:val="en-US"/>
          </w:rPr>
          <w:t>https://www.unicef.org/eca/Background_NoteFINAL(1).pdf</w:t>
        </w:r>
      </w:hyperlink>
      <w:r w:rsidRPr="00FE4B2B">
        <w:rPr>
          <w:lang w:val="en-US"/>
        </w:rPr>
        <w:t xml:space="preserve">. </w:t>
      </w:r>
    </w:p>
  </w:footnote>
  <w:footnote w:id="52">
    <w:p w14:paraId="03E90C81" w14:textId="2233A9D0" w:rsidR="00152E6E" w:rsidRPr="005E553C" w:rsidRDefault="00152E6E" w:rsidP="00D04B86">
      <w:pPr>
        <w:pStyle w:val="FootnoteText"/>
        <w:jc w:val="both"/>
        <w:rPr>
          <w:lang w:val="es-ES"/>
        </w:rPr>
      </w:pPr>
      <w:r w:rsidRPr="00FE4B2B">
        <w:rPr>
          <w:rStyle w:val="FootnoteReference"/>
        </w:rPr>
        <w:footnoteRef/>
      </w:r>
      <w:r w:rsidRPr="00FE4B2B">
        <w:t xml:space="preserve"> </w:t>
      </w:r>
      <w:r w:rsidRPr="00FE4B2B">
        <w:rPr>
          <w:lang w:val="en-US"/>
        </w:rPr>
        <w:t xml:space="preserve">CRPD Committee, General Comment No 4, para. </w:t>
      </w:r>
      <w:r w:rsidRPr="00FE4B2B">
        <w:rPr>
          <w:lang w:val="es-ES"/>
        </w:rPr>
        <w:t>11.</w:t>
      </w:r>
    </w:p>
  </w:footnote>
  <w:footnote w:id="53">
    <w:p w14:paraId="344D66B4" w14:textId="4AC29622" w:rsidR="00152E6E" w:rsidRPr="005E553C" w:rsidRDefault="00152E6E" w:rsidP="00D04B86">
      <w:pPr>
        <w:pStyle w:val="FootnoteText"/>
        <w:jc w:val="both"/>
        <w:rPr>
          <w:lang w:val="es-ES"/>
        </w:rPr>
      </w:pPr>
      <w:r>
        <w:rPr>
          <w:rStyle w:val="FootnoteReference"/>
        </w:rPr>
        <w:footnoteRef/>
      </w:r>
      <w:r w:rsidRPr="005E553C">
        <w:rPr>
          <w:lang w:val="es-ES"/>
        </w:rPr>
        <w:t xml:space="preserve"> </w:t>
      </w:r>
      <w:proofErr w:type="spellStart"/>
      <w:r w:rsidRPr="005E553C">
        <w:rPr>
          <w:i/>
          <w:lang w:val="es-ES"/>
        </w:rPr>
        <w:t>Ibid</w:t>
      </w:r>
      <w:proofErr w:type="spellEnd"/>
      <w:r w:rsidRPr="005E553C">
        <w:rPr>
          <w:lang w:val="es-ES"/>
        </w:rPr>
        <w:t xml:space="preserve">. </w:t>
      </w:r>
    </w:p>
  </w:footnote>
  <w:footnote w:id="54">
    <w:p w14:paraId="358161E9" w14:textId="56118213" w:rsidR="00152E6E" w:rsidRPr="005E553C" w:rsidRDefault="00152E6E" w:rsidP="00D04B86">
      <w:pPr>
        <w:pStyle w:val="FootnoteText"/>
        <w:jc w:val="both"/>
        <w:rPr>
          <w:lang w:val="es-ES"/>
        </w:rPr>
      </w:pPr>
      <w:r>
        <w:rPr>
          <w:rStyle w:val="FootnoteReference"/>
        </w:rPr>
        <w:footnoteRef/>
      </w:r>
      <w:r w:rsidRPr="005E553C">
        <w:rPr>
          <w:lang w:val="es-ES"/>
        </w:rPr>
        <w:t xml:space="preserve"> </w:t>
      </w:r>
      <w:proofErr w:type="spellStart"/>
      <w:r w:rsidRPr="005E553C">
        <w:rPr>
          <w:i/>
          <w:lang w:val="es-ES"/>
        </w:rPr>
        <w:t>Ibid</w:t>
      </w:r>
      <w:proofErr w:type="spellEnd"/>
      <w:r w:rsidRPr="005E553C">
        <w:rPr>
          <w:lang w:val="es-ES"/>
        </w:rPr>
        <w:t>.</w:t>
      </w:r>
    </w:p>
  </w:footnote>
  <w:footnote w:id="55">
    <w:p w14:paraId="14A1A885" w14:textId="77777777" w:rsidR="00152E6E" w:rsidRPr="005E553C" w:rsidRDefault="00152E6E" w:rsidP="00D04B86">
      <w:pPr>
        <w:pStyle w:val="FootnoteText"/>
        <w:jc w:val="both"/>
        <w:rPr>
          <w:lang w:val="es-ES"/>
        </w:rPr>
      </w:pPr>
      <w:r>
        <w:rPr>
          <w:rStyle w:val="FootnoteReference"/>
        </w:rPr>
        <w:footnoteRef/>
      </w:r>
      <w:r w:rsidRPr="005E553C">
        <w:rPr>
          <w:lang w:val="es-ES"/>
        </w:rPr>
        <w:t xml:space="preserve"> </w:t>
      </w:r>
      <w:proofErr w:type="spellStart"/>
      <w:r w:rsidRPr="005E553C">
        <w:rPr>
          <w:i/>
          <w:lang w:val="es-ES"/>
        </w:rPr>
        <w:t>Ibid</w:t>
      </w:r>
      <w:proofErr w:type="spellEnd"/>
      <w:r w:rsidRPr="005E553C">
        <w:rPr>
          <w:lang w:val="es-ES"/>
        </w:rPr>
        <w:t xml:space="preserve">, para. 12(c). </w:t>
      </w:r>
    </w:p>
  </w:footnote>
  <w:footnote w:id="56">
    <w:p w14:paraId="1B707DC9" w14:textId="473FC691" w:rsidR="00152E6E" w:rsidRPr="006F1A98" w:rsidRDefault="00152E6E" w:rsidP="00D04B86">
      <w:pPr>
        <w:pStyle w:val="FootnoteText"/>
        <w:jc w:val="both"/>
        <w:rPr>
          <w:lang w:val="en-US"/>
        </w:rPr>
      </w:pPr>
      <w:r>
        <w:rPr>
          <w:rStyle w:val="FootnoteReference"/>
        </w:rPr>
        <w:footnoteRef/>
      </w:r>
      <w:r>
        <w:t xml:space="preserve"> </w:t>
      </w:r>
      <w:r w:rsidRPr="000058E7">
        <w:rPr>
          <w:lang w:val="en-US"/>
        </w:rPr>
        <w:t>CRPD</w:t>
      </w:r>
      <w:r>
        <w:rPr>
          <w:lang w:val="en-US"/>
        </w:rPr>
        <w:t xml:space="preserve"> Committee, General Comment No 4, para. 22.</w:t>
      </w:r>
    </w:p>
  </w:footnote>
  <w:footnote w:id="57">
    <w:p w14:paraId="01CC1698" w14:textId="1F13CBA1" w:rsidR="00152E6E" w:rsidRPr="005500DF" w:rsidRDefault="00152E6E" w:rsidP="00FB6D49">
      <w:pPr>
        <w:pStyle w:val="FootnoteText"/>
        <w:jc w:val="both"/>
        <w:rPr>
          <w:lang w:val="en-US"/>
        </w:rPr>
      </w:pPr>
      <w:r>
        <w:rPr>
          <w:rStyle w:val="FootnoteReference"/>
        </w:rPr>
        <w:footnoteRef/>
      </w:r>
      <w:r>
        <w:t xml:space="preserve"> </w:t>
      </w:r>
      <w:r w:rsidRPr="005500DF">
        <w:rPr>
          <w:i/>
          <w:lang w:val="en-US"/>
        </w:rPr>
        <w:t>Ibid</w:t>
      </w:r>
      <w:r>
        <w:rPr>
          <w:lang w:val="en-US"/>
        </w:rPr>
        <w:t>, para. 24.</w:t>
      </w:r>
    </w:p>
  </w:footnote>
  <w:footnote w:id="58">
    <w:p w14:paraId="329C5E8A" w14:textId="77777777" w:rsidR="00152E6E" w:rsidRPr="002736D4" w:rsidRDefault="00152E6E" w:rsidP="00B01388">
      <w:pPr>
        <w:pStyle w:val="FootnoteText"/>
        <w:jc w:val="both"/>
      </w:pPr>
      <w:r>
        <w:rPr>
          <w:rStyle w:val="FootnoteReference"/>
        </w:rPr>
        <w:footnoteRef/>
      </w:r>
      <w:r>
        <w:t xml:space="preserve"> </w:t>
      </w:r>
      <w:r>
        <w:rPr>
          <w:lang w:val="en-US"/>
        </w:rPr>
        <w:t xml:space="preserve">CRPD Committee, General Comment No 4, paras. 22 and 26. </w:t>
      </w:r>
      <w:r w:rsidRPr="002736D4">
        <w:rPr>
          <w:i/>
          <w:lang w:val="en-US"/>
        </w:rPr>
        <w:t>See</w:t>
      </w:r>
      <w:r>
        <w:rPr>
          <w:lang w:val="en-US"/>
        </w:rPr>
        <w:t xml:space="preserve"> definition in Article 2 CRPD: </w:t>
      </w:r>
      <w:r w:rsidRPr="002736D4">
        <w:t>“</w:t>
      </w:r>
      <w:r>
        <w:t>‘</w:t>
      </w:r>
      <w:r w:rsidRPr="002736D4">
        <w:t>Universal desi</w:t>
      </w:r>
      <w:r>
        <w:t xml:space="preserve">gn’ </w:t>
      </w:r>
      <w:r w:rsidRPr="002736D4">
        <w:t>means the design of products, environments, programmes and services to be usable by all people, to the greatest extent possible, without the need for ada</w:t>
      </w:r>
      <w:r>
        <w:t>ptation or specialized design. ‘Universal design’</w:t>
      </w:r>
      <w:r w:rsidRPr="002736D4">
        <w:t xml:space="preserve"> shall not exclude assistive devices for particular groups of persons with dis</w:t>
      </w:r>
      <w:r>
        <w:t>abilities where this is needed.”</w:t>
      </w:r>
    </w:p>
  </w:footnote>
  <w:footnote w:id="59">
    <w:p w14:paraId="7931F3C8" w14:textId="0EE3CF40" w:rsidR="00152E6E" w:rsidRPr="006F1A98" w:rsidRDefault="00152E6E" w:rsidP="00FB6D49">
      <w:pPr>
        <w:pStyle w:val="FootnoteText"/>
        <w:jc w:val="both"/>
        <w:rPr>
          <w:lang w:val="en-US"/>
        </w:rPr>
      </w:pPr>
      <w:r>
        <w:rPr>
          <w:rStyle w:val="FootnoteReference"/>
        </w:rPr>
        <w:footnoteRef/>
      </w:r>
      <w:r>
        <w:t xml:space="preserve"> </w:t>
      </w:r>
      <w:r>
        <w:rPr>
          <w:lang w:val="en-US"/>
        </w:rPr>
        <w:t xml:space="preserve">CRPD Article 24(2)(c). </w:t>
      </w:r>
    </w:p>
  </w:footnote>
  <w:footnote w:id="60">
    <w:p w14:paraId="646E2E94" w14:textId="141884B5" w:rsidR="00152E6E" w:rsidRPr="005500DF" w:rsidRDefault="00152E6E" w:rsidP="00FB6D49">
      <w:pPr>
        <w:pStyle w:val="FootnoteText"/>
        <w:jc w:val="both"/>
        <w:rPr>
          <w:lang w:val="en-US"/>
        </w:rPr>
      </w:pPr>
      <w:r>
        <w:rPr>
          <w:rStyle w:val="FootnoteReference"/>
        </w:rPr>
        <w:footnoteRef/>
      </w:r>
      <w:r>
        <w:t xml:space="preserve"> CRPD </w:t>
      </w:r>
      <w:r>
        <w:rPr>
          <w:lang w:val="en-US"/>
        </w:rPr>
        <w:t xml:space="preserve">Committee, General Comment No 4, para. 24. </w:t>
      </w:r>
      <w:r w:rsidRPr="001D65B5">
        <w:rPr>
          <w:i/>
          <w:lang w:val="en-US"/>
        </w:rPr>
        <w:t>See</w:t>
      </w:r>
      <w:r>
        <w:rPr>
          <w:lang w:val="en-US"/>
        </w:rPr>
        <w:t xml:space="preserve"> also CRPD Committee, Concluding Observations on Spain (2011), para. 44.</w:t>
      </w:r>
    </w:p>
  </w:footnote>
  <w:footnote w:id="61">
    <w:p w14:paraId="56C9BF64" w14:textId="752C7A3F" w:rsidR="00152E6E" w:rsidRPr="002327B8" w:rsidRDefault="00152E6E" w:rsidP="00FB6D49">
      <w:pPr>
        <w:pStyle w:val="FootnoteText"/>
        <w:jc w:val="both"/>
        <w:rPr>
          <w:lang w:val="en-US"/>
        </w:rPr>
      </w:pPr>
      <w:r>
        <w:rPr>
          <w:rStyle w:val="FootnoteReference"/>
        </w:rPr>
        <w:footnoteRef/>
      </w:r>
      <w:r>
        <w:t xml:space="preserve"> </w:t>
      </w:r>
      <w:r w:rsidRPr="002327B8">
        <w:rPr>
          <w:i/>
          <w:lang w:val="en-US"/>
        </w:rPr>
        <w:t>Ibid</w:t>
      </w:r>
      <w:r>
        <w:rPr>
          <w:lang w:val="en-US"/>
        </w:rPr>
        <w:t>, para. 28.</w:t>
      </w:r>
    </w:p>
  </w:footnote>
  <w:footnote w:id="62">
    <w:p w14:paraId="5FD2598F" w14:textId="11882308" w:rsidR="00152E6E" w:rsidRPr="000B7B2C" w:rsidRDefault="00152E6E" w:rsidP="00FB6D49">
      <w:pPr>
        <w:pStyle w:val="FootnoteText"/>
        <w:jc w:val="both"/>
        <w:rPr>
          <w:lang w:val="en-US"/>
        </w:rPr>
      </w:pPr>
      <w:r>
        <w:rPr>
          <w:rStyle w:val="FootnoteReference"/>
        </w:rPr>
        <w:footnoteRef/>
      </w:r>
      <w:r>
        <w:t xml:space="preserve"> </w:t>
      </w:r>
      <w:r w:rsidRPr="000B7B2C">
        <w:rPr>
          <w:i/>
          <w:lang w:val="en-US"/>
        </w:rPr>
        <w:t>Ibid</w:t>
      </w:r>
      <w:r>
        <w:rPr>
          <w:lang w:val="en-US"/>
        </w:rPr>
        <w:t>.</w:t>
      </w:r>
    </w:p>
  </w:footnote>
  <w:footnote w:id="63">
    <w:p w14:paraId="0F8C09BE" w14:textId="015E490D" w:rsidR="00152E6E" w:rsidRPr="00BC3206" w:rsidRDefault="00152E6E" w:rsidP="00FB6D49">
      <w:pPr>
        <w:pStyle w:val="FootnoteText"/>
        <w:jc w:val="both"/>
        <w:rPr>
          <w:lang w:val="en-US"/>
        </w:rPr>
      </w:pPr>
      <w:r>
        <w:rPr>
          <w:rStyle w:val="FootnoteReference"/>
        </w:rPr>
        <w:footnoteRef/>
      </w:r>
      <w:r>
        <w:t xml:space="preserve"> </w:t>
      </w:r>
      <w:proofErr w:type="spellStart"/>
      <w:r w:rsidRPr="00BC3206">
        <w:rPr>
          <w:i/>
          <w:iCs/>
          <w:lang w:val="en-US"/>
        </w:rPr>
        <w:t>Thlimmenos</w:t>
      </w:r>
      <w:proofErr w:type="spellEnd"/>
      <w:r w:rsidRPr="00BC3206">
        <w:rPr>
          <w:i/>
          <w:iCs/>
          <w:lang w:val="en-US"/>
        </w:rPr>
        <w:t xml:space="preserve"> v Greece </w:t>
      </w:r>
      <w:r w:rsidRPr="00BC3206">
        <w:rPr>
          <w:lang w:val="en-US"/>
        </w:rPr>
        <w:t>Application no 34369/97, ju</w:t>
      </w:r>
      <w:r>
        <w:rPr>
          <w:lang w:val="en-US"/>
        </w:rPr>
        <w:t xml:space="preserve">dgment of 6 April 2000, para. 44. </w:t>
      </w:r>
    </w:p>
  </w:footnote>
  <w:footnote w:id="64">
    <w:p w14:paraId="3336EF7A" w14:textId="23ED32D4" w:rsidR="00152E6E" w:rsidRPr="00BC3206" w:rsidRDefault="00152E6E" w:rsidP="00FB6D49">
      <w:pPr>
        <w:pStyle w:val="FootnoteText"/>
        <w:jc w:val="both"/>
        <w:rPr>
          <w:lang w:val="en-US"/>
        </w:rPr>
      </w:pPr>
      <w:r>
        <w:rPr>
          <w:rStyle w:val="FootnoteReference"/>
        </w:rPr>
        <w:footnoteRef/>
      </w:r>
      <w:r>
        <w:t xml:space="preserve"> </w:t>
      </w:r>
      <w:r w:rsidRPr="00BC3206">
        <w:rPr>
          <w:lang w:val="en-US"/>
        </w:rPr>
        <w:t xml:space="preserve">European Committee of Social Rights, </w:t>
      </w:r>
      <w:r w:rsidRPr="00BC3206">
        <w:rPr>
          <w:i/>
          <w:iCs/>
          <w:lang w:val="en-US"/>
        </w:rPr>
        <w:t>European Action of the Disabled (AEH) v France</w:t>
      </w:r>
      <w:r w:rsidRPr="00BC3206">
        <w:rPr>
          <w:lang w:val="en-US"/>
        </w:rPr>
        <w:t>, No 81/2012, Decision on the Meri</w:t>
      </w:r>
      <w:r>
        <w:rPr>
          <w:lang w:val="en-US"/>
        </w:rPr>
        <w:t>ts, 11 September 2013, para. 133.</w:t>
      </w:r>
    </w:p>
  </w:footnote>
  <w:footnote w:id="65">
    <w:p w14:paraId="72B08481" w14:textId="6BB3D659" w:rsidR="00152E6E" w:rsidRPr="0073562B" w:rsidRDefault="00152E6E" w:rsidP="00FB6D49">
      <w:pPr>
        <w:pStyle w:val="FootnoteText"/>
        <w:jc w:val="both"/>
        <w:rPr>
          <w:lang w:val="en-US"/>
        </w:rPr>
      </w:pPr>
      <w:r>
        <w:rPr>
          <w:rStyle w:val="FootnoteReference"/>
        </w:rPr>
        <w:footnoteRef/>
      </w:r>
      <w:r>
        <w:t xml:space="preserve"> </w:t>
      </w:r>
      <w:r w:rsidRPr="0073562B">
        <w:rPr>
          <w:lang w:val="en-US"/>
        </w:rPr>
        <w:t>Committee on the Rights</w:t>
      </w:r>
      <w:r>
        <w:rPr>
          <w:lang w:val="en-US"/>
        </w:rPr>
        <w:t xml:space="preserve"> of Persons with Disabilities, General Comment No. 2, para. 26, and General Comment No 4, para. 28.</w:t>
      </w:r>
    </w:p>
  </w:footnote>
  <w:footnote w:id="66">
    <w:p w14:paraId="79227763" w14:textId="487D7FB5" w:rsidR="00152E6E" w:rsidRPr="009B7814" w:rsidRDefault="00152E6E">
      <w:pPr>
        <w:pStyle w:val="FootnoteText"/>
        <w:rPr>
          <w:lang w:val="en-US"/>
        </w:rPr>
      </w:pPr>
      <w:r>
        <w:rPr>
          <w:rStyle w:val="FootnoteReference"/>
        </w:rPr>
        <w:footnoteRef/>
      </w:r>
      <w:r>
        <w:t xml:space="preserve"> </w:t>
      </w:r>
      <w:r w:rsidRPr="009B7814">
        <w:rPr>
          <w:i/>
          <w:lang w:val="en-US"/>
        </w:rPr>
        <w:t>Ibid</w:t>
      </w:r>
      <w:r>
        <w:rPr>
          <w:lang w:val="en-US"/>
        </w:rPr>
        <w:t xml:space="preserve">, para. 12(d). </w:t>
      </w:r>
    </w:p>
  </w:footnote>
  <w:footnote w:id="67">
    <w:p w14:paraId="4D2CA7E4" w14:textId="37AD3DE8" w:rsidR="00152E6E" w:rsidRPr="002D7CB6" w:rsidRDefault="00152E6E" w:rsidP="00FB6D49">
      <w:pPr>
        <w:pStyle w:val="FootnoteText"/>
        <w:jc w:val="both"/>
        <w:rPr>
          <w:lang w:val="en-US"/>
        </w:rPr>
      </w:pPr>
      <w:r>
        <w:rPr>
          <w:rStyle w:val="FootnoteReference"/>
        </w:rPr>
        <w:footnoteRef/>
      </w:r>
      <w:r>
        <w:t xml:space="preserve"> </w:t>
      </w:r>
      <w:r w:rsidRPr="00195255">
        <w:rPr>
          <w:i/>
        </w:rPr>
        <w:t>Ibid</w:t>
      </w:r>
      <w:r>
        <w:t xml:space="preserve">. </w:t>
      </w:r>
      <w:r w:rsidRPr="009146C2">
        <w:rPr>
          <w:i/>
        </w:rPr>
        <w:t>See</w:t>
      </w:r>
      <w:r>
        <w:t xml:space="preserve"> also CRPD Committee, Concluding Observations on Denmark (2014), para. 53, and on Kenya (2015), para. 44(e).</w:t>
      </w:r>
    </w:p>
  </w:footnote>
  <w:footnote w:id="68">
    <w:p w14:paraId="6566ECE2" w14:textId="097D1752" w:rsidR="00152E6E" w:rsidRPr="00107890" w:rsidRDefault="00152E6E">
      <w:pPr>
        <w:pStyle w:val="FootnoteText"/>
      </w:pPr>
      <w:r>
        <w:rPr>
          <w:rStyle w:val="FootnoteReference"/>
        </w:rPr>
        <w:footnoteRef/>
      </w:r>
      <w:r>
        <w:t xml:space="preserve"> CRPD </w:t>
      </w:r>
      <w:r>
        <w:rPr>
          <w:lang w:val="en-US"/>
        </w:rPr>
        <w:t>Committee, General Comment No 4, para. 33.</w:t>
      </w:r>
    </w:p>
  </w:footnote>
  <w:footnote w:id="69">
    <w:p w14:paraId="4A1179E9" w14:textId="77777777" w:rsidR="00152E6E" w:rsidRPr="00893447" w:rsidRDefault="00152E6E" w:rsidP="00E868C0">
      <w:pPr>
        <w:pStyle w:val="FootnoteText"/>
        <w:jc w:val="both"/>
        <w:rPr>
          <w:rFonts w:cs="Arial"/>
          <w:szCs w:val="16"/>
          <w:lang w:val="en-US"/>
        </w:rPr>
      </w:pPr>
      <w:r w:rsidRPr="00893447">
        <w:rPr>
          <w:rStyle w:val="FootnoteReference"/>
          <w:rFonts w:cs="Arial"/>
          <w:szCs w:val="16"/>
        </w:rPr>
        <w:footnoteRef/>
      </w:r>
      <w:r w:rsidRPr="00893447">
        <w:rPr>
          <w:rFonts w:cs="Arial"/>
          <w:szCs w:val="16"/>
        </w:rPr>
        <w:t xml:space="preserve"> </w:t>
      </w:r>
      <w:proofErr w:type="spellStart"/>
      <w:r w:rsidRPr="00893447">
        <w:rPr>
          <w:rFonts w:cs="Arial"/>
          <w:i/>
          <w:szCs w:val="16"/>
        </w:rPr>
        <w:t>Çam</w:t>
      </w:r>
      <w:proofErr w:type="spellEnd"/>
      <w:r w:rsidRPr="00893447">
        <w:rPr>
          <w:rFonts w:cs="Arial"/>
          <w:i/>
          <w:szCs w:val="16"/>
        </w:rPr>
        <w:t xml:space="preserve"> v. Turkey</w:t>
      </w:r>
      <w:r w:rsidRPr="00893447">
        <w:rPr>
          <w:rFonts w:cs="Arial"/>
          <w:szCs w:val="16"/>
        </w:rPr>
        <w:t>, no. 51500/08, §64, 23 February 2016.</w:t>
      </w:r>
    </w:p>
  </w:footnote>
  <w:footnote w:id="70">
    <w:p w14:paraId="5A16F07C" w14:textId="06938B88" w:rsidR="00152E6E" w:rsidRPr="00504CDD" w:rsidRDefault="00152E6E" w:rsidP="00504CDD">
      <w:pPr>
        <w:pStyle w:val="FootnoteText"/>
        <w:jc w:val="both"/>
        <w:rPr>
          <w:lang w:val="en-US"/>
        </w:rPr>
      </w:pPr>
      <w:r>
        <w:rPr>
          <w:rStyle w:val="FootnoteReference"/>
        </w:rPr>
        <w:footnoteRef/>
      </w:r>
      <w:r>
        <w:t xml:space="preserve"> CRPD Committee, Concluding Observations on Sweden (2014), paras. 47-48.</w:t>
      </w:r>
    </w:p>
  </w:footnote>
  <w:footnote w:id="71">
    <w:p w14:paraId="52CD4EE3" w14:textId="6F41B638" w:rsidR="00152E6E" w:rsidRPr="00236BD9" w:rsidRDefault="00152E6E">
      <w:pPr>
        <w:pStyle w:val="FootnoteText"/>
        <w:rPr>
          <w:lang w:val="en-US"/>
        </w:rPr>
      </w:pPr>
      <w:r>
        <w:rPr>
          <w:rStyle w:val="FootnoteReference"/>
        </w:rPr>
        <w:footnoteRef/>
      </w:r>
      <w:r>
        <w:t xml:space="preserve"> CRPD Committee, Concluding Observations on the European Union (2015), para. 85, and on Kenya (2015), para. 44. </w:t>
      </w:r>
    </w:p>
  </w:footnote>
  <w:footnote w:id="72">
    <w:p w14:paraId="66A2CFB5" w14:textId="57958EA5" w:rsidR="00152E6E" w:rsidRPr="00107890" w:rsidRDefault="00152E6E">
      <w:pPr>
        <w:pStyle w:val="FootnoteText"/>
      </w:pPr>
      <w:r>
        <w:rPr>
          <w:rStyle w:val="FootnoteReference"/>
        </w:rPr>
        <w:footnoteRef/>
      </w:r>
      <w:r>
        <w:t xml:space="preserve"> CRPD </w:t>
      </w:r>
      <w:r>
        <w:rPr>
          <w:lang w:val="en-US"/>
        </w:rPr>
        <w:t>Committee, General Comment No 4, para. 18.</w:t>
      </w:r>
    </w:p>
  </w:footnote>
  <w:footnote w:id="73">
    <w:p w14:paraId="4F20B30B" w14:textId="3903287B" w:rsidR="00152E6E" w:rsidRPr="00711F00" w:rsidRDefault="00152E6E">
      <w:pPr>
        <w:pStyle w:val="FootnoteText"/>
        <w:rPr>
          <w:lang w:val="es-ES"/>
        </w:rPr>
      </w:pPr>
      <w:r>
        <w:rPr>
          <w:rStyle w:val="FootnoteReference"/>
        </w:rPr>
        <w:footnoteRef/>
      </w:r>
      <w:r>
        <w:t xml:space="preserve"> </w:t>
      </w:r>
      <w:r w:rsidRPr="005F2384">
        <w:t xml:space="preserve">See A/HRC/34/26, </w:t>
      </w:r>
      <w:r>
        <w:t xml:space="preserve">para. </w:t>
      </w:r>
      <w:r w:rsidRPr="00711F00">
        <w:rPr>
          <w:lang w:val="es-ES"/>
        </w:rPr>
        <w:t>34.</w:t>
      </w:r>
    </w:p>
  </w:footnote>
  <w:footnote w:id="74">
    <w:p w14:paraId="4672F3D4" w14:textId="5EE60A89" w:rsidR="00152E6E" w:rsidRPr="00711F00" w:rsidRDefault="00152E6E" w:rsidP="0092216A">
      <w:pPr>
        <w:pStyle w:val="FootnoteText"/>
        <w:jc w:val="both"/>
        <w:rPr>
          <w:lang w:val="es-ES"/>
        </w:rPr>
      </w:pPr>
      <w:r>
        <w:rPr>
          <w:rStyle w:val="FootnoteReference"/>
        </w:rPr>
        <w:footnoteRef/>
      </w:r>
      <w:r w:rsidRPr="00711F00">
        <w:rPr>
          <w:lang w:val="es-ES"/>
        </w:rPr>
        <w:t xml:space="preserve"> </w:t>
      </w:r>
      <w:r w:rsidRPr="00711F00">
        <w:rPr>
          <w:i/>
          <w:lang w:val="es-ES"/>
        </w:rPr>
        <w:t>Ibid</w:t>
      </w:r>
      <w:r w:rsidRPr="00711F00">
        <w:rPr>
          <w:lang w:val="es-ES"/>
        </w:rPr>
        <w:t>, para. 33.</w:t>
      </w:r>
    </w:p>
  </w:footnote>
  <w:footnote w:id="75">
    <w:p w14:paraId="4300ED0C" w14:textId="77777777" w:rsidR="00152E6E" w:rsidRPr="00711F00" w:rsidRDefault="00152E6E" w:rsidP="0092216A">
      <w:pPr>
        <w:pStyle w:val="FootnoteText"/>
        <w:rPr>
          <w:lang w:val="es-ES"/>
        </w:rPr>
      </w:pPr>
      <w:r>
        <w:rPr>
          <w:rStyle w:val="FootnoteReference"/>
        </w:rPr>
        <w:footnoteRef/>
      </w:r>
      <w:r w:rsidRPr="00711F00">
        <w:rPr>
          <w:lang w:val="es-ES"/>
        </w:rPr>
        <w:t xml:space="preserve"> </w:t>
      </w:r>
      <w:r w:rsidRPr="00711F00">
        <w:rPr>
          <w:i/>
          <w:lang w:val="es-ES"/>
        </w:rPr>
        <w:t>Ibid</w:t>
      </w:r>
      <w:r w:rsidRPr="00711F00">
        <w:rPr>
          <w:lang w:val="es-ES"/>
        </w:rPr>
        <w:t>.</w:t>
      </w:r>
    </w:p>
  </w:footnote>
  <w:footnote w:id="76">
    <w:p w14:paraId="1F8C8531" w14:textId="0347F76D" w:rsidR="00152E6E" w:rsidRPr="0095355E" w:rsidRDefault="00152E6E">
      <w:pPr>
        <w:pStyle w:val="FootnoteText"/>
        <w:rPr>
          <w:lang w:val="en-US"/>
        </w:rPr>
      </w:pPr>
      <w:r>
        <w:rPr>
          <w:rStyle w:val="FootnoteReference"/>
        </w:rPr>
        <w:footnoteRef/>
      </w:r>
      <w:r w:rsidRPr="00711F00">
        <w:rPr>
          <w:lang w:val="es-ES"/>
        </w:rPr>
        <w:t xml:space="preserve"> </w:t>
      </w:r>
      <w:r w:rsidRPr="00711F00">
        <w:rPr>
          <w:i/>
          <w:lang w:val="es-ES"/>
        </w:rPr>
        <w:t>Ibid</w:t>
      </w:r>
      <w:r w:rsidRPr="00711F00">
        <w:rPr>
          <w:lang w:val="es-ES"/>
        </w:rPr>
        <w:t xml:space="preserve">, para. </w:t>
      </w:r>
      <w:r>
        <w:t xml:space="preserve">54. </w:t>
      </w:r>
    </w:p>
  </w:footnote>
  <w:footnote w:id="77">
    <w:p w14:paraId="1266A7F0" w14:textId="046F3FF8" w:rsidR="00152E6E" w:rsidRPr="0095355E" w:rsidRDefault="00152E6E">
      <w:pPr>
        <w:pStyle w:val="FootnoteText"/>
        <w:rPr>
          <w:lang w:val="en-US"/>
        </w:rPr>
      </w:pPr>
      <w:r>
        <w:rPr>
          <w:rStyle w:val="FootnoteReference"/>
        </w:rPr>
        <w:footnoteRef/>
      </w:r>
      <w:r>
        <w:t xml:space="preserve"> </w:t>
      </w:r>
      <w:r w:rsidRPr="000A0324">
        <w:rPr>
          <w:i/>
        </w:rPr>
        <w:t>Ibid</w:t>
      </w:r>
      <w:r>
        <w:t>.</w:t>
      </w:r>
    </w:p>
  </w:footnote>
  <w:footnote w:id="78">
    <w:p w14:paraId="202521EE" w14:textId="7AEBD06F" w:rsidR="00152E6E" w:rsidRPr="000A0324" w:rsidRDefault="00152E6E">
      <w:pPr>
        <w:pStyle w:val="FootnoteText"/>
        <w:rPr>
          <w:lang w:val="en-US"/>
        </w:rPr>
      </w:pPr>
      <w:r>
        <w:rPr>
          <w:rStyle w:val="FootnoteReference"/>
        </w:rPr>
        <w:footnoteRef/>
      </w:r>
      <w:r>
        <w:rPr>
          <w:i/>
          <w:lang w:val="en-US"/>
        </w:rPr>
        <w:t xml:space="preserve"> </w:t>
      </w:r>
      <w:r w:rsidRPr="000A0324">
        <w:rPr>
          <w:i/>
          <w:lang w:val="en-US"/>
        </w:rPr>
        <w:t>Ibid</w:t>
      </w:r>
      <w:r>
        <w:rPr>
          <w:lang w:val="en-US"/>
        </w:rPr>
        <w:t>, para. 55.</w:t>
      </w:r>
    </w:p>
  </w:footnote>
  <w:footnote w:id="79">
    <w:p w14:paraId="41114AB0" w14:textId="36F6CFCC" w:rsidR="00152E6E" w:rsidRPr="00605B84" w:rsidRDefault="00152E6E" w:rsidP="00605B84">
      <w:pPr>
        <w:pStyle w:val="FootnoteText"/>
        <w:jc w:val="both"/>
      </w:pPr>
      <w:r>
        <w:rPr>
          <w:rStyle w:val="FootnoteReference"/>
        </w:rPr>
        <w:footnoteRef/>
      </w:r>
      <w:r>
        <w:t xml:space="preserve"> Importantly, the provision of concrete examples of regulations, plans and practices </w:t>
      </w:r>
      <w:r w:rsidRPr="009A2D35">
        <w:rPr>
          <w:b/>
          <w:u w:val="single"/>
        </w:rPr>
        <w:t>does not imply</w:t>
      </w:r>
      <w:r>
        <w:t xml:space="preserve"> fully endorsing other aspects of the given educational system that might be criticised from the perspective of inclusive education. Some practices that contribute to move towards inclusive education might be present in education systems which are conceived under other outdated education models, notably “integration”. </w:t>
      </w:r>
    </w:p>
  </w:footnote>
  <w:footnote w:id="80">
    <w:p w14:paraId="6E8DCC2A" w14:textId="67B8E71D" w:rsidR="00152E6E" w:rsidRPr="001F4A59" w:rsidRDefault="00152E6E">
      <w:pPr>
        <w:pStyle w:val="FootnoteText"/>
      </w:pPr>
      <w:r>
        <w:rPr>
          <w:rStyle w:val="FootnoteReference"/>
        </w:rPr>
        <w:footnoteRef/>
      </w:r>
      <w:r>
        <w:t xml:space="preserve"> Available at </w:t>
      </w:r>
      <w:hyperlink r:id="rId6" w:history="1">
        <w:r w:rsidRPr="000A5A2D">
          <w:rPr>
            <w:rStyle w:val="Hyperlink"/>
          </w:rPr>
          <w:t>http://www.ncse.ie/researches/InclusiveEducationFramework_InteractiveVersion.pdf</w:t>
        </w:r>
      </w:hyperlink>
      <w:r>
        <w:t xml:space="preserve">. </w:t>
      </w:r>
    </w:p>
  </w:footnote>
  <w:footnote w:id="81">
    <w:p w14:paraId="1C9D4453" w14:textId="423171C9" w:rsidR="00152E6E" w:rsidRPr="00E10A1B" w:rsidRDefault="00152E6E">
      <w:pPr>
        <w:pStyle w:val="FootnoteText"/>
      </w:pPr>
      <w:r>
        <w:rPr>
          <w:rStyle w:val="FootnoteReference"/>
        </w:rPr>
        <w:footnoteRef/>
      </w:r>
      <w:r>
        <w:t xml:space="preserve"> See Website of the Ministry of Education and Science of Georgia, </w:t>
      </w:r>
      <w:hyperlink r:id="rId7" w:history="1">
        <w:r w:rsidRPr="000A5A2D">
          <w:rPr>
            <w:rStyle w:val="Hyperlink"/>
          </w:rPr>
          <w:t>http://mes.gov.ge/content.php?id=540&amp;lang=eng</w:t>
        </w:r>
      </w:hyperlink>
      <w:r>
        <w:t xml:space="preserve">; also </w:t>
      </w:r>
      <w:hyperlink r:id="rId8" w:history="1">
        <w:r w:rsidRPr="000A5A2D">
          <w:rPr>
            <w:rStyle w:val="Hyperlink"/>
          </w:rPr>
          <w:t>http://mes.gov.ge/content.php?t=srch&amp;search=inclusive%20education&amp;id=7091&amp;lang=eng</w:t>
        </w:r>
      </w:hyperlink>
      <w:r>
        <w:t xml:space="preserve">  </w:t>
      </w:r>
    </w:p>
  </w:footnote>
  <w:footnote w:id="82">
    <w:p w14:paraId="57593A54" w14:textId="77777777" w:rsidR="00152E6E" w:rsidRPr="00E92525" w:rsidRDefault="00152E6E" w:rsidP="00D434F8">
      <w:pPr>
        <w:pStyle w:val="FootnoteText"/>
      </w:pPr>
      <w:r>
        <w:rPr>
          <w:rStyle w:val="FootnoteReference"/>
        </w:rPr>
        <w:footnoteRef/>
      </w:r>
      <w:r>
        <w:t xml:space="preserve"> </w:t>
      </w:r>
      <w:r w:rsidRPr="00E92525">
        <w:t xml:space="preserve">See </w:t>
      </w:r>
      <w:proofErr w:type="spellStart"/>
      <w:r w:rsidRPr="00E92525">
        <w:t>Lumos</w:t>
      </w:r>
      <w:proofErr w:type="spellEnd"/>
      <w:r w:rsidRPr="00E92525">
        <w:t>, “In our Lifetime: The Role of Donors in ending the Institutionalisation of Children”, 2014, p 20; http://zeroproject.org/practice/lumos-foundation-moldova/</w:t>
      </w:r>
    </w:p>
  </w:footnote>
  <w:footnote w:id="83">
    <w:p w14:paraId="660D3C05" w14:textId="188F8A36" w:rsidR="00152E6E" w:rsidRPr="000858C9" w:rsidRDefault="00152E6E">
      <w:pPr>
        <w:pStyle w:val="FootnoteText"/>
        <w:rPr>
          <w:lang w:val="fr-FR"/>
        </w:rPr>
      </w:pPr>
      <w:r>
        <w:rPr>
          <w:rStyle w:val="FootnoteReference"/>
        </w:rPr>
        <w:footnoteRef/>
      </w:r>
      <w:r w:rsidRPr="000858C9">
        <w:rPr>
          <w:lang w:val="fr-FR"/>
        </w:rPr>
        <w:t xml:space="preserve"> </w:t>
      </w:r>
      <w:proofErr w:type="spellStart"/>
      <w:r w:rsidRPr="000858C9">
        <w:rPr>
          <w:lang w:val="fr-FR"/>
        </w:rPr>
        <w:t>See</w:t>
      </w:r>
      <w:proofErr w:type="spellEnd"/>
      <w:r w:rsidRPr="000858C9">
        <w:rPr>
          <w:lang w:val="fr-FR"/>
        </w:rPr>
        <w:t xml:space="preserve"> </w:t>
      </w:r>
      <w:r>
        <w:rPr>
          <w:lang w:val="fr-FR"/>
        </w:rPr>
        <w:t>France, C</w:t>
      </w:r>
      <w:r w:rsidRPr="000858C9">
        <w:rPr>
          <w:lang w:val="fr-FR"/>
        </w:rPr>
        <w:t>irculaire relative aux assistants d'éducation</w:t>
      </w:r>
      <w:r>
        <w:rPr>
          <w:lang w:val="fr-FR"/>
        </w:rPr>
        <w:t xml:space="preserve">, </w:t>
      </w:r>
      <w:r w:rsidR="00512DEB">
        <w:fldChar w:fldCharType="begin"/>
      </w:r>
      <w:r w:rsidR="00512DEB" w:rsidRPr="007E02B1">
        <w:rPr>
          <w:lang w:val="fr-FR"/>
        </w:rPr>
        <w:instrText xml:space="preserve"> HYPERLINK "http://www.education.gouv.fr/bo/2003/25/MENP0301316C.htm" </w:instrText>
      </w:r>
      <w:r w:rsidR="00512DEB">
        <w:fldChar w:fldCharType="separate"/>
      </w:r>
      <w:r w:rsidRPr="009E1036">
        <w:rPr>
          <w:rStyle w:val="Hyperlink"/>
          <w:lang w:val="fr-FR"/>
        </w:rPr>
        <w:t>http://www.education.gouv.fr/bo/2003/25/MENP0301316C.htm</w:t>
      </w:r>
      <w:r w:rsidR="00512DEB">
        <w:rPr>
          <w:rStyle w:val="Hyperlink"/>
          <w:lang w:val="fr-FR"/>
        </w:rPr>
        <w:fldChar w:fldCharType="end"/>
      </w:r>
      <w:r>
        <w:rPr>
          <w:lang w:val="fr-FR"/>
        </w:rPr>
        <w:t>.</w:t>
      </w:r>
    </w:p>
  </w:footnote>
  <w:footnote w:id="84">
    <w:p w14:paraId="0B05FD73" w14:textId="447221A1" w:rsidR="00152E6E" w:rsidRPr="00605B84" w:rsidRDefault="00152E6E">
      <w:pPr>
        <w:pStyle w:val="FootnoteText"/>
      </w:pPr>
      <w:r>
        <w:rPr>
          <w:rStyle w:val="FootnoteReference"/>
        </w:rPr>
        <w:footnoteRef/>
      </w:r>
      <w:r>
        <w:t xml:space="preserve"> See, e.g., </w:t>
      </w:r>
      <w:hyperlink r:id="rId9" w:history="1">
        <w:r w:rsidRPr="009E1036">
          <w:rPr>
            <w:rStyle w:val="Hyperlink"/>
          </w:rPr>
          <w:t>https://edu.ge.ch/site/capintegration/acteurs-de-lecole/assistants-a-lintegration-scolaire-ais/</w:t>
        </w:r>
      </w:hyperlink>
      <w:r>
        <w:t xml:space="preserve">. </w:t>
      </w:r>
    </w:p>
  </w:footnote>
  <w:footnote w:id="85">
    <w:p w14:paraId="444518B2" w14:textId="3B1D0372" w:rsidR="00152E6E" w:rsidRPr="00A65519" w:rsidRDefault="00152E6E" w:rsidP="00554AA4">
      <w:pPr>
        <w:pStyle w:val="FootnoteText"/>
        <w:jc w:val="both"/>
        <w:rPr>
          <w:rFonts w:cs="Arial"/>
          <w:szCs w:val="16"/>
        </w:rPr>
      </w:pPr>
      <w:r w:rsidRPr="00A65519">
        <w:rPr>
          <w:rFonts w:eastAsia="Arial" w:cs="Arial"/>
          <w:szCs w:val="16"/>
          <w:vertAlign w:val="superscript"/>
        </w:rPr>
        <w:footnoteRef/>
      </w:r>
      <w:r w:rsidRPr="00A65519">
        <w:rPr>
          <w:rFonts w:cs="Arial"/>
          <w:szCs w:val="16"/>
        </w:rPr>
        <w:t xml:space="preserve"> </w:t>
      </w:r>
      <w:r>
        <w:rPr>
          <w:rFonts w:cs="Arial"/>
          <w:szCs w:val="16"/>
        </w:rPr>
        <w:t xml:space="preserve">See </w:t>
      </w:r>
      <w:r w:rsidRPr="00A65519">
        <w:rPr>
          <w:rFonts w:cs="Arial"/>
          <w:szCs w:val="16"/>
        </w:rPr>
        <w:t xml:space="preserve">Higher Education Act 131-2002, Section 100, available at </w:t>
      </w:r>
      <w:hyperlink r:id="rId10" w:history="1">
        <w:r w:rsidRPr="00A65519">
          <w:rPr>
            <w:rStyle w:val="Hyperlink5"/>
            <w:szCs w:val="16"/>
          </w:rPr>
          <w:t>http://www.minedu.sk/data/att/5689.rtf</w:t>
        </w:r>
      </w:hyperlink>
      <w:r w:rsidRPr="00A65519">
        <w:rPr>
          <w:rFonts w:cs="Arial"/>
          <w:szCs w:val="16"/>
        </w:rPr>
        <w:t xml:space="preserve">. </w:t>
      </w:r>
    </w:p>
  </w:footnote>
  <w:footnote w:id="86">
    <w:p w14:paraId="22D01111" w14:textId="47931ECD" w:rsidR="00152E6E" w:rsidRPr="003539F4" w:rsidRDefault="00152E6E" w:rsidP="003539F4">
      <w:pPr>
        <w:pStyle w:val="FootnoteText"/>
        <w:jc w:val="both"/>
      </w:pPr>
      <w:r>
        <w:rPr>
          <w:rStyle w:val="FootnoteReference"/>
        </w:rPr>
        <w:footnoteRef/>
      </w:r>
      <w:r>
        <w:t xml:space="preserve"> </w:t>
      </w:r>
      <w:r w:rsidRPr="00A65519">
        <w:rPr>
          <w:rFonts w:cs="Arial"/>
          <w:szCs w:val="16"/>
        </w:rPr>
        <w:t>Denmark passed the Act on Special Educational Support in Higher Education (</w:t>
      </w:r>
      <w:proofErr w:type="spellStart"/>
      <w:r w:rsidRPr="00A65519">
        <w:rPr>
          <w:rFonts w:cs="Arial"/>
          <w:szCs w:val="16"/>
        </w:rPr>
        <w:t>Lovbekendtgørelse</w:t>
      </w:r>
      <w:proofErr w:type="spellEnd"/>
      <w:r w:rsidRPr="00A65519">
        <w:rPr>
          <w:rFonts w:cs="Arial"/>
          <w:szCs w:val="16"/>
        </w:rPr>
        <w:t xml:space="preserve"> </w:t>
      </w:r>
      <w:proofErr w:type="spellStart"/>
      <w:r w:rsidRPr="00A65519">
        <w:rPr>
          <w:rFonts w:cs="Arial"/>
          <w:szCs w:val="16"/>
        </w:rPr>
        <w:t>nr</w:t>
      </w:r>
      <w:proofErr w:type="spellEnd"/>
      <w:r w:rsidRPr="00A65519">
        <w:rPr>
          <w:rFonts w:cs="Arial"/>
          <w:szCs w:val="16"/>
        </w:rPr>
        <w:t xml:space="preserve">. 584 </w:t>
      </w:r>
      <w:proofErr w:type="spellStart"/>
      <w:r w:rsidRPr="00A65519">
        <w:rPr>
          <w:rFonts w:cs="Arial"/>
          <w:szCs w:val="16"/>
        </w:rPr>
        <w:t>af</w:t>
      </w:r>
      <w:proofErr w:type="spellEnd"/>
      <w:r w:rsidRPr="00A65519">
        <w:rPr>
          <w:rFonts w:cs="Arial"/>
          <w:szCs w:val="16"/>
        </w:rPr>
        <w:t xml:space="preserve"> 1. </w:t>
      </w:r>
      <w:proofErr w:type="spellStart"/>
      <w:r w:rsidRPr="00A65519">
        <w:rPr>
          <w:rFonts w:cs="Arial"/>
          <w:szCs w:val="16"/>
        </w:rPr>
        <w:t>juni</w:t>
      </w:r>
      <w:proofErr w:type="spellEnd"/>
      <w:r w:rsidRPr="00A65519">
        <w:rPr>
          <w:rFonts w:cs="Arial"/>
          <w:szCs w:val="16"/>
        </w:rPr>
        <w:t xml:space="preserve"> 2014, available at </w:t>
      </w:r>
      <w:hyperlink r:id="rId11" w:history="1">
        <w:r w:rsidRPr="00A65519">
          <w:rPr>
            <w:rStyle w:val="Hyperlink5"/>
            <w:szCs w:val="16"/>
          </w:rPr>
          <w:t>https://www.retsinformation.dk/Forms/R0710.aspx?id=163419</w:t>
        </w:r>
      </w:hyperlink>
      <w:r w:rsidRPr="00A65519">
        <w:rPr>
          <w:rFonts w:cs="Arial"/>
          <w:szCs w:val="16"/>
        </w:rPr>
        <w:t xml:space="preserve"> ) while the Danish Board of Equal Treatment has acknowledged that non-discrimination on the basis of disability applies to higher education (The decision is available at </w:t>
      </w:r>
      <w:hyperlink r:id="rId12" w:history="1">
        <w:r w:rsidRPr="00A65519">
          <w:rPr>
            <w:rStyle w:val="Hyperlink5"/>
            <w:szCs w:val="16"/>
          </w:rPr>
          <w:t>http://www.ligebehandlingsnaevnet.dk/naevnsdatabase/afgoerelse.aspx?aid=1040&amp;type=Afgoerelse</w:t>
        </w:r>
      </w:hyperlink>
      <w:r w:rsidRPr="00A65519">
        <w:rPr>
          <w:rFonts w:cs="Arial"/>
          <w:szCs w:val="16"/>
        </w:rPr>
        <w:t>). In France, the Law of 11 February 2005 stipulates that higher education institutions enrol students with disabilities on the same basis as others and their education is ensured by providing the accommodations they need in organising, progressing in and receiving support for their studies (</w:t>
      </w:r>
      <w:proofErr w:type="spellStart"/>
      <w:r w:rsidRPr="00A65519">
        <w:rPr>
          <w:rFonts w:cs="Arial"/>
          <w:szCs w:val="16"/>
        </w:rPr>
        <w:t>Loi</w:t>
      </w:r>
      <w:proofErr w:type="spellEnd"/>
      <w:r w:rsidRPr="00A65519">
        <w:rPr>
          <w:rFonts w:cs="Arial"/>
          <w:szCs w:val="16"/>
        </w:rPr>
        <w:t xml:space="preserve"> 11 de </w:t>
      </w:r>
      <w:proofErr w:type="spellStart"/>
      <w:r w:rsidRPr="00A65519">
        <w:rPr>
          <w:rFonts w:cs="Arial"/>
          <w:szCs w:val="16"/>
        </w:rPr>
        <w:t>février</w:t>
      </w:r>
      <w:proofErr w:type="spellEnd"/>
      <w:r w:rsidRPr="00A65519">
        <w:rPr>
          <w:rFonts w:cs="Arial"/>
          <w:szCs w:val="16"/>
        </w:rPr>
        <w:t xml:space="preserve"> 2005, Article 20.I).</w:t>
      </w:r>
    </w:p>
  </w:footnote>
  <w:footnote w:id="87">
    <w:p w14:paraId="09D734AA" w14:textId="77777777" w:rsidR="00152E6E" w:rsidRPr="00A65519" w:rsidRDefault="00152E6E" w:rsidP="00887627">
      <w:pPr>
        <w:pStyle w:val="FootnoteText"/>
        <w:jc w:val="both"/>
        <w:rPr>
          <w:rFonts w:cs="Arial"/>
          <w:szCs w:val="16"/>
        </w:rPr>
      </w:pPr>
      <w:r w:rsidRPr="00A65519">
        <w:rPr>
          <w:rStyle w:val="FootnoteReference"/>
          <w:rFonts w:cs="Arial"/>
          <w:szCs w:val="16"/>
        </w:rPr>
        <w:footnoteRef/>
      </w:r>
      <w:r w:rsidRPr="00A65519">
        <w:rPr>
          <w:rFonts w:cs="Arial"/>
          <w:szCs w:val="16"/>
        </w:rPr>
        <w:t xml:space="preserve">http://www.unesco.org/new/en/education/themes/strengthening-education-systems/inclusive-education/10-questions-on-inclusive-quality-education/ as well as </w:t>
      </w:r>
      <w:proofErr w:type="spellStart"/>
      <w:r w:rsidRPr="00A65519">
        <w:rPr>
          <w:rFonts w:cs="Arial"/>
          <w:szCs w:val="16"/>
        </w:rPr>
        <w:t>Latimier</w:t>
      </w:r>
      <w:proofErr w:type="spellEnd"/>
      <w:r w:rsidRPr="00A65519">
        <w:rPr>
          <w:rFonts w:cs="Arial"/>
          <w:szCs w:val="16"/>
        </w:rPr>
        <w:t xml:space="preserve">, Camille, and Jan </w:t>
      </w:r>
      <w:proofErr w:type="spellStart"/>
      <w:r w:rsidRPr="00A65519">
        <w:rPr>
          <w:rFonts w:cs="Arial"/>
          <w:szCs w:val="16"/>
        </w:rPr>
        <w:t>Šiška</w:t>
      </w:r>
      <w:proofErr w:type="spellEnd"/>
      <w:r w:rsidRPr="00A65519">
        <w:rPr>
          <w:rFonts w:cs="Arial"/>
          <w:szCs w:val="16"/>
        </w:rPr>
        <w:t xml:space="preserve">, ‘Children’s Rights for </w:t>
      </w:r>
      <w:proofErr w:type="gramStart"/>
      <w:r w:rsidRPr="00A65519">
        <w:rPr>
          <w:rFonts w:cs="Arial"/>
          <w:szCs w:val="16"/>
        </w:rPr>
        <w:t>All!:</w:t>
      </w:r>
      <w:proofErr w:type="gramEnd"/>
      <w:r w:rsidRPr="00A65519">
        <w:rPr>
          <w:rFonts w:cs="Arial"/>
          <w:szCs w:val="16"/>
        </w:rPr>
        <w:t xml:space="preserve"> Implementation of the United Nations Convention on the Rights of the Child for children with intellectual disabilities’, Inclusion Europe, Brussels, October 2011, p 21 cited in UNICEF, State of the World’s Children; Children with Disabilities, 2013, p 32</w:t>
      </w:r>
    </w:p>
  </w:footnote>
  <w:footnote w:id="88">
    <w:p w14:paraId="19504FC9" w14:textId="737B240B" w:rsidR="00152E6E" w:rsidRPr="00A65519" w:rsidRDefault="00152E6E" w:rsidP="00D434F8">
      <w:pPr>
        <w:pStyle w:val="Body"/>
        <w:jc w:val="both"/>
        <w:rPr>
          <w:rFonts w:ascii="Arial" w:hAnsi="Arial" w:cs="Arial"/>
          <w:sz w:val="16"/>
          <w:szCs w:val="16"/>
          <w:lang w:val="en-GB"/>
        </w:rPr>
      </w:pPr>
      <w:r w:rsidRPr="00A65519">
        <w:rPr>
          <w:rFonts w:ascii="Arial" w:eastAsia="Arial" w:hAnsi="Arial" w:cs="Arial"/>
          <w:sz w:val="16"/>
          <w:szCs w:val="16"/>
          <w:vertAlign w:val="superscript"/>
          <w:lang w:val="en-GB"/>
        </w:rPr>
        <w:footnoteRef/>
      </w:r>
      <w:r w:rsidRPr="00A65519">
        <w:rPr>
          <w:rFonts w:ascii="Arial" w:hAnsi="Arial" w:cs="Arial"/>
          <w:sz w:val="16"/>
          <w:szCs w:val="16"/>
          <w:lang w:val="en-GB"/>
        </w:rPr>
        <w:t xml:space="preserve"> </w:t>
      </w:r>
      <w:proofErr w:type="spellStart"/>
      <w:r w:rsidRPr="00A65519">
        <w:rPr>
          <w:rFonts w:ascii="Arial" w:hAnsi="Arial" w:cs="Arial"/>
          <w:sz w:val="16"/>
          <w:szCs w:val="16"/>
          <w:lang w:val="en-GB"/>
        </w:rPr>
        <w:t>Tünde</w:t>
      </w:r>
      <w:proofErr w:type="spellEnd"/>
      <w:r w:rsidRPr="00A65519">
        <w:rPr>
          <w:rFonts w:ascii="Arial" w:hAnsi="Arial" w:cs="Arial"/>
          <w:sz w:val="16"/>
          <w:szCs w:val="16"/>
          <w:lang w:val="en-GB"/>
        </w:rPr>
        <w:t xml:space="preserve"> </w:t>
      </w:r>
      <w:proofErr w:type="spellStart"/>
      <w:r w:rsidRPr="00A65519">
        <w:rPr>
          <w:rFonts w:ascii="Arial" w:hAnsi="Arial" w:cs="Arial"/>
          <w:sz w:val="16"/>
          <w:szCs w:val="16"/>
          <w:lang w:val="en-GB"/>
        </w:rPr>
        <w:t>Kovács-Cerović</w:t>
      </w:r>
      <w:proofErr w:type="spellEnd"/>
      <w:r w:rsidRPr="00A65519">
        <w:rPr>
          <w:rFonts w:ascii="Arial" w:hAnsi="Arial" w:cs="Arial"/>
          <w:sz w:val="16"/>
          <w:szCs w:val="16"/>
          <w:lang w:val="en-GB"/>
        </w:rPr>
        <w:t xml:space="preserve">, Presentation entitled “Financing inclusive education in Serbia’’, available at </w:t>
      </w:r>
      <w:hyperlink r:id="rId13" w:history="1">
        <w:r w:rsidRPr="00A65519">
          <w:rPr>
            <w:rStyle w:val="Hyperlink0"/>
            <w:sz w:val="16"/>
            <w:szCs w:val="16"/>
            <w:lang w:val="en-GB"/>
          </w:rPr>
          <w:t>www.unicef.org/ceecis/2.Cerovic_.ppt</w:t>
        </w:r>
      </w:hyperlink>
      <w:r w:rsidRPr="00A65519">
        <w:rPr>
          <w:rFonts w:ascii="Arial" w:hAnsi="Arial" w:cs="Arial"/>
          <w:sz w:val="16"/>
          <w:szCs w:val="16"/>
          <w:lang w:val="en-GB"/>
        </w:rPr>
        <w:t xml:space="preserve">. </w:t>
      </w:r>
    </w:p>
  </w:footnote>
  <w:footnote w:id="89">
    <w:p w14:paraId="715FD49E" w14:textId="6049D42D" w:rsidR="00152E6E" w:rsidRPr="00A65519" w:rsidRDefault="00152E6E" w:rsidP="004F2C54">
      <w:pPr>
        <w:pStyle w:val="FootnoteText"/>
        <w:jc w:val="both"/>
        <w:rPr>
          <w:rFonts w:cs="Arial"/>
          <w:szCs w:val="16"/>
        </w:rPr>
      </w:pPr>
      <w:r w:rsidRPr="00A65519">
        <w:rPr>
          <w:rFonts w:eastAsia="Arial" w:cs="Arial"/>
          <w:szCs w:val="16"/>
          <w:vertAlign w:val="superscript"/>
        </w:rPr>
        <w:footnoteRef/>
      </w:r>
      <w:r w:rsidRPr="00A65519">
        <w:rPr>
          <w:rFonts w:cs="Arial"/>
          <w:szCs w:val="16"/>
        </w:rPr>
        <w:t xml:space="preserve"> Case no 13789/06, Sofia District Court, 18 May 2007</w:t>
      </w:r>
      <w:r>
        <w:rPr>
          <w:rFonts w:cs="Arial"/>
          <w:szCs w:val="16"/>
        </w:rPr>
        <w:t>.</w:t>
      </w:r>
      <w:r w:rsidRPr="00A65519">
        <w:rPr>
          <w:rFonts w:cs="Arial"/>
          <w:szCs w:val="16"/>
        </w:rPr>
        <w:t xml:space="preserve">  </w:t>
      </w:r>
    </w:p>
  </w:footnote>
  <w:footnote w:id="90">
    <w:p w14:paraId="0133AD80" w14:textId="77777777" w:rsidR="00152E6E" w:rsidRPr="00A65519" w:rsidRDefault="00152E6E" w:rsidP="004F2C54">
      <w:pPr>
        <w:pStyle w:val="FootnoteText"/>
        <w:jc w:val="both"/>
        <w:rPr>
          <w:rFonts w:cs="Arial"/>
          <w:szCs w:val="16"/>
        </w:rPr>
      </w:pPr>
      <w:r w:rsidRPr="00A65519">
        <w:rPr>
          <w:rFonts w:eastAsia="Arial" w:cs="Arial"/>
          <w:szCs w:val="16"/>
          <w:vertAlign w:val="superscript"/>
        </w:rPr>
        <w:footnoteRef/>
      </w:r>
      <w:r w:rsidRPr="00A65519">
        <w:rPr>
          <w:rFonts w:cs="Arial"/>
          <w:szCs w:val="16"/>
        </w:rPr>
        <w:t xml:space="preserve"> Decision no 80/2010 of the Constitutional Court of 22 February 2010, in Official Journal </w:t>
      </w:r>
      <w:r w:rsidRPr="00A65519">
        <w:rPr>
          <w:rFonts w:cs="Arial"/>
          <w:spacing w:val="4"/>
          <w:szCs w:val="16"/>
        </w:rPr>
        <w:t>3 March 2010.  The decision can be found on the Constitutional Court website www.cortecostituzionale.it</w:t>
      </w:r>
    </w:p>
  </w:footnote>
  <w:footnote w:id="91">
    <w:p w14:paraId="41F43F4A" w14:textId="539842F6" w:rsidR="00152E6E" w:rsidRPr="002065C3" w:rsidRDefault="00152E6E">
      <w:pPr>
        <w:pStyle w:val="FootnoteText"/>
      </w:pPr>
      <w:r>
        <w:rPr>
          <w:rStyle w:val="FootnoteReference"/>
        </w:rPr>
        <w:footnoteRef/>
      </w:r>
      <w:r>
        <w:t xml:space="preserve"> Superior Tribunal of Justice of La Rioja, Spain, Decision </w:t>
      </w:r>
      <w:r w:rsidRPr="002065C3">
        <w:t>201/2017</w:t>
      </w:r>
      <w:r>
        <w:t xml:space="preserve">, 14 June 2017, available in Spanish at </w:t>
      </w:r>
      <w:hyperlink r:id="rId14" w:history="1">
        <w:r w:rsidRPr="000A5A2D">
          <w:rPr>
            <w:rStyle w:val="Hyperlink"/>
          </w:rPr>
          <w:t>http://www.poderjudicial.es/search/contenidos.action?action=contentpdf&amp;databasematch=AN&amp;reference=8111156&amp;links=EDUCACION%20INCLUSIVA&amp;optimize=20170801&amp;publicinterface=true</w:t>
        </w:r>
      </w:hyperlink>
      <w:r>
        <w:t xml:space="preserve"> </w:t>
      </w:r>
    </w:p>
  </w:footnote>
  <w:footnote w:id="92">
    <w:p w14:paraId="775B7435" w14:textId="5106C876" w:rsidR="00A57026" w:rsidRPr="00A41BD0" w:rsidRDefault="00A57026" w:rsidP="00A57026">
      <w:pPr>
        <w:pStyle w:val="FootnoteText"/>
      </w:pPr>
      <w:r w:rsidRPr="00A41BD0">
        <w:rPr>
          <w:rStyle w:val="FootnoteReference"/>
        </w:rPr>
        <w:footnoteRef/>
      </w:r>
      <w:r w:rsidRPr="00A41BD0">
        <w:t xml:space="preserve"> European Committee of Social Rights, </w:t>
      </w:r>
      <w:r w:rsidRPr="00A41BD0">
        <w:rPr>
          <w:i/>
        </w:rPr>
        <w:t>European Action of the Disable</w:t>
      </w:r>
      <w:r>
        <w:rPr>
          <w:i/>
        </w:rPr>
        <w:t>d (AEH) v</w:t>
      </w:r>
      <w:r w:rsidRPr="00A41BD0">
        <w:rPr>
          <w:i/>
        </w:rPr>
        <w:t xml:space="preserve"> France</w:t>
      </w:r>
      <w:r>
        <w:t>, No</w:t>
      </w:r>
      <w:r w:rsidRPr="00A41BD0">
        <w:t xml:space="preserve"> 81/2012, Decision on the Merits, 11 September 2013, para </w:t>
      </w:r>
      <w:r>
        <w:t>133.</w:t>
      </w:r>
    </w:p>
  </w:footnote>
  <w:footnote w:id="93">
    <w:p w14:paraId="797D0BE6" w14:textId="0E2376FC" w:rsidR="00E06D52" w:rsidRPr="00E06D52" w:rsidRDefault="00E06D52">
      <w:pPr>
        <w:pStyle w:val="FootnoteText"/>
        <w:rPr>
          <w:lang w:val="es-ES"/>
        </w:rPr>
      </w:pPr>
      <w:r>
        <w:rPr>
          <w:rStyle w:val="FootnoteReference"/>
        </w:rPr>
        <w:footnoteRef/>
      </w:r>
      <w:r>
        <w:t xml:space="preserve"> </w:t>
      </w:r>
      <w:proofErr w:type="spellStart"/>
      <w:r w:rsidRPr="00E06D52">
        <w:rPr>
          <w:i/>
          <w:lang w:val="es-ES"/>
        </w:rPr>
        <w:t>Ibid</w:t>
      </w:r>
      <w:proofErr w:type="spellEnd"/>
      <w:r>
        <w:rPr>
          <w:lang w:val="es-ES"/>
        </w:rPr>
        <w:t>., para. 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1C7F" w14:textId="6DD0E246" w:rsidR="00152E6E" w:rsidRPr="0067082D" w:rsidRDefault="00152E6E">
    <w:pPr>
      <w:pStyle w:val="Header"/>
      <w:rPr>
        <w:rFonts w:ascii="Arial" w:hAnsi="Arial" w:cs="Arial"/>
        <w:sz w:val="20"/>
      </w:rPr>
    </w:pPr>
    <w:r w:rsidRPr="0067082D">
      <w:rPr>
        <w:rFonts w:ascii="Arial" w:hAnsi="Arial" w:cs="Arial"/>
        <w:sz w:val="20"/>
      </w:rPr>
      <w:t xml:space="preserve">ECtHR – IDA Amicus Curiae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7C6EE3"/>
    <w:multiLevelType w:val="hybridMultilevel"/>
    <w:tmpl w:val="00FC06EE"/>
    <w:lvl w:ilvl="0" w:tplc="5CE66026">
      <w:start w:val="4"/>
      <w:numFmt w:val="upp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34F6C3A"/>
    <w:multiLevelType w:val="hybridMultilevel"/>
    <w:tmpl w:val="C37E451E"/>
    <w:lvl w:ilvl="0" w:tplc="FE38654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E77D0D"/>
    <w:multiLevelType w:val="hybridMultilevel"/>
    <w:tmpl w:val="A1C230D2"/>
    <w:lvl w:ilvl="0" w:tplc="415839D4">
      <w:start w:val="1"/>
      <w:numFmt w:val="decimal"/>
      <w:lvlText w:val="%1."/>
      <w:lvlJc w:val="left"/>
      <w:pPr>
        <w:ind w:left="720" w:hanging="360"/>
      </w:pPr>
      <w:rPr>
        <w:rFonts w:ascii="Arial" w:hAnsi="Arial" w:cs="Wingdings" w:hint="default"/>
        <w:b w:val="0"/>
        <w:i w:val="0"/>
        <w:color w:val="auto"/>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AB85AD3"/>
    <w:multiLevelType w:val="hybridMultilevel"/>
    <w:tmpl w:val="B21EA6CC"/>
    <w:lvl w:ilvl="0" w:tplc="F81CDC16">
      <w:start w:val="1"/>
      <w:numFmt w:val="upperLetter"/>
      <w:lvlText w:val="%1."/>
      <w:lvlJc w:val="left"/>
      <w:pPr>
        <w:ind w:left="1790" w:hanging="360"/>
      </w:pPr>
      <w:rPr>
        <w:rFonts w:hint="default"/>
        <w:u w:val="none"/>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5">
    <w:nsid w:val="6EBA3077"/>
    <w:multiLevelType w:val="hybridMultilevel"/>
    <w:tmpl w:val="40242116"/>
    <w:lvl w:ilvl="0" w:tplc="D2660BC8">
      <w:start w:val="1"/>
      <w:numFmt w:val="upperRoman"/>
      <w:lvlText w:val="%1."/>
      <w:lvlJc w:val="left"/>
      <w:pPr>
        <w:ind w:left="1430" w:hanging="72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16"/>
    <w:rsid w:val="0000098A"/>
    <w:rsid w:val="00003B98"/>
    <w:rsid w:val="000058E7"/>
    <w:rsid w:val="00007F0D"/>
    <w:rsid w:val="00010AB7"/>
    <w:rsid w:val="000171EF"/>
    <w:rsid w:val="00017BDF"/>
    <w:rsid w:val="00022285"/>
    <w:rsid w:val="00023A1F"/>
    <w:rsid w:val="0003008C"/>
    <w:rsid w:val="0003066A"/>
    <w:rsid w:val="00032F57"/>
    <w:rsid w:val="000331CE"/>
    <w:rsid w:val="00054EA4"/>
    <w:rsid w:val="00061FAF"/>
    <w:rsid w:val="00065B36"/>
    <w:rsid w:val="000858C9"/>
    <w:rsid w:val="000A0324"/>
    <w:rsid w:val="000A1A71"/>
    <w:rsid w:val="000A2064"/>
    <w:rsid w:val="000A31D5"/>
    <w:rsid w:val="000A51D1"/>
    <w:rsid w:val="000A53B3"/>
    <w:rsid w:val="000B49F4"/>
    <w:rsid w:val="000B7B2C"/>
    <w:rsid w:val="000C4B03"/>
    <w:rsid w:val="000D5676"/>
    <w:rsid w:val="000D5BC0"/>
    <w:rsid w:val="000E2A43"/>
    <w:rsid w:val="000F3F8F"/>
    <w:rsid w:val="00106F88"/>
    <w:rsid w:val="00107890"/>
    <w:rsid w:val="00110554"/>
    <w:rsid w:val="001144FC"/>
    <w:rsid w:val="0012283A"/>
    <w:rsid w:val="0012290D"/>
    <w:rsid w:val="00132625"/>
    <w:rsid w:val="00136E5D"/>
    <w:rsid w:val="00136EFE"/>
    <w:rsid w:val="00140623"/>
    <w:rsid w:val="00150A72"/>
    <w:rsid w:val="00152E6E"/>
    <w:rsid w:val="00157F93"/>
    <w:rsid w:val="001618B6"/>
    <w:rsid w:val="001641E5"/>
    <w:rsid w:val="00165DEA"/>
    <w:rsid w:val="00175559"/>
    <w:rsid w:val="001758D4"/>
    <w:rsid w:val="00175B49"/>
    <w:rsid w:val="00177936"/>
    <w:rsid w:val="001846D4"/>
    <w:rsid w:val="00186F99"/>
    <w:rsid w:val="0019117B"/>
    <w:rsid w:val="00195255"/>
    <w:rsid w:val="001A0FA6"/>
    <w:rsid w:val="001A2AA0"/>
    <w:rsid w:val="001A2FEF"/>
    <w:rsid w:val="001A4D48"/>
    <w:rsid w:val="001B656D"/>
    <w:rsid w:val="001C0500"/>
    <w:rsid w:val="001C32B1"/>
    <w:rsid w:val="001C7354"/>
    <w:rsid w:val="001D2C90"/>
    <w:rsid w:val="001D375F"/>
    <w:rsid w:val="001D4146"/>
    <w:rsid w:val="001D65B5"/>
    <w:rsid w:val="001D6AB2"/>
    <w:rsid w:val="001E7383"/>
    <w:rsid w:val="001F1DC0"/>
    <w:rsid w:val="001F4A59"/>
    <w:rsid w:val="00204232"/>
    <w:rsid w:val="002065C3"/>
    <w:rsid w:val="002160AF"/>
    <w:rsid w:val="002205D9"/>
    <w:rsid w:val="00230E75"/>
    <w:rsid w:val="00231D94"/>
    <w:rsid w:val="002327B8"/>
    <w:rsid w:val="00235F38"/>
    <w:rsid w:val="00236BD9"/>
    <w:rsid w:val="00240A43"/>
    <w:rsid w:val="00244AA6"/>
    <w:rsid w:val="00256A34"/>
    <w:rsid w:val="00262C48"/>
    <w:rsid w:val="00263D51"/>
    <w:rsid w:val="00266AA6"/>
    <w:rsid w:val="002674D4"/>
    <w:rsid w:val="002736D4"/>
    <w:rsid w:val="0027625E"/>
    <w:rsid w:val="00276BA3"/>
    <w:rsid w:val="00285EE0"/>
    <w:rsid w:val="00286457"/>
    <w:rsid w:val="00295DBD"/>
    <w:rsid w:val="002B0E78"/>
    <w:rsid w:val="002B0F8A"/>
    <w:rsid w:val="002B7394"/>
    <w:rsid w:val="002C37A7"/>
    <w:rsid w:val="002C47EA"/>
    <w:rsid w:val="002C72C1"/>
    <w:rsid w:val="002D7CB6"/>
    <w:rsid w:val="002E2134"/>
    <w:rsid w:val="002F0BFF"/>
    <w:rsid w:val="002F618F"/>
    <w:rsid w:val="003007ED"/>
    <w:rsid w:val="00303FBC"/>
    <w:rsid w:val="00305018"/>
    <w:rsid w:val="00306F43"/>
    <w:rsid w:val="00310053"/>
    <w:rsid w:val="00315D3C"/>
    <w:rsid w:val="00321D5D"/>
    <w:rsid w:val="0032491E"/>
    <w:rsid w:val="00325895"/>
    <w:rsid w:val="0032680A"/>
    <w:rsid w:val="0032768C"/>
    <w:rsid w:val="00334476"/>
    <w:rsid w:val="00335EEA"/>
    <w:rsid w:val="00346BD4"/>
    <w:rsid w:val="003519A4"/>
    <w:rsid w:val="003539F4"/>
    <w:rsid w:val="00357C6A"/>
    <w:rsid w:val="00361FF3"/>
    <w:rsid w:val="00364E64"/>
    <w:rsid w:val="00370525"/>
    <w:rsid w:val="00375F2B"/>
    <w:rsid w:val="00380758"/>
    <w:rsid w:val="003B65F4"/>
    <w:rsid w:val="003C6175"/>
    <w:rsid w:val="003D0838"/>
    <w:rsid w:val="003D2F3C"/>
    <w:rsid w:val="003D397F"/>
    <w:rsid w:val="003E09AD"/>
    <w:rsid w:val="003E29DE"/>
    <w:rsid w:val="003E5AAD"/>
    <w:rsid w:val="003F34C0"/>
    <w:rsid w:val="003F3A8A"/>
    <w:rsid w:val="003F7340"/>
    <w:rsid w:val="00406AB0"/>
    <w:rsid w:val="00411246"/>
    <w:rsid w:val="00412EAE"/>
    <w:rsid w:val="00416CF7"/>
    <w:rsid w:val="0042048F"/>
    <w:rsid w:val="004217BB"/>
    <w:rsid w:val="00427729"/>
    <w:rsid w:val="00436461"/>
    <w:rsid w:val="00440F3C"/>
    <w:rsid w:val="00444363"/>
    <w:rsid w:val="00446327"/>
    <w:rsid w:val="00446D2E"/>
    <w:rsid w:val="004559E6"/>
    <w:rsid w:val="004731D5"/>
    <w:rsid w:val="00481638"/>
    <w:rsid w:val="0048753A"/>
    <w:rsid w:val="00490447"/>
    <w:rsid w:val="004929D0"/>
    <w:rsid w:val="0049397B"/>
    <w:rsid w:val="004A655E"/>
    <w:rsid w:val="004B50E4"/>
    <w:rsid w:val="004B7ABD"/>
    <w:rsid w:val="004C0A8A"/>
    <w:rsid w:val="004D496B"/>
    <w:rsid w:val="004D62E8"/>
    <w:rsid w:val="004E155D"/>
    <w:rsid w:val="004E7CC8"/>
    <w:rsid w:val="004F2C54"/>
    <w:rsid w:val="004F6873"/>
    <w:rsid w:val="00504148"/>
    <w:rsid w:val="00504CDD"/>
    <w:rsid w:val="00505B97"/>
    <w:rsid w:val="00506255"/>
    <w:rsid w:val="00512DEB"/>
    <w:rsid w:val="005158EB"/>
    <w:rsid w:val="00520F32"/>
    <w:rsid w:val="005247C8"/>
    <w:rsid w:val="00526BBB"/>
    <w:rsid w:val="00532A1D"/>
    <w:rsid w:val="00535BCE"/>
    <w:rsid w:val="005405D8"/>
    <w:rsid w:val="00541656"/>
    <w:rsid w:val="005437AC"/>
    <w:rsid w:val="005463CA"/>
    <w:rsid w:val="005500DF"/>
    <w:rsid w:val="00553620"/>
    <w:rsid w:val="00554AA4"/>
    <w:rsid w:val="00555C29"/>
    <w:rsid w:val="00563621"/>
    <w:rsid w:val="005731AB"/>
    <w:rsid w:val="00580892"/>
    <w:rsid w:val="00580C17"/>
    <w:rsid w:val="005851DC"/>
    <w:rsid w:val="005946FE"/>
    <w:rsid w:val="005973C6"/>
    <w:rsid w:val="00597B96"/>
    <w:rsid w:val="005A63FC"/>
    <w:rsid w:val="005B1683"/>
    <w:rsid w:val="005B3C32"/>
    <w:rsid w:val="005C4A11"/>
    <w:rsid w:val="005E0993"/>
    <w:rsid w:val="005E1B5C"/>
    <w:rsid w:val="005E4A94"/>
    <w:rsid w:val="005E553C"/>
    <w:rsid w:val="005E5B8A"/>
    <w:rsid w:val="005E6A7F"/>
    <w:rsid w:val="005F2384"/>
    <w:rsid w:val="005F23D6"/>
    <w:rsid w:val="005F7605"/>
    <w:rsid w:val="00602C55"/>
    <w:rsid w:val="00605B84"/>
    <w:rsid w:val="00605F44"/>
    <w:rsid w:val="00607433"/>
    <w:rsid w:val="00607CC7"/>
    <w:rsid w:val="00607E64"/>
    <w:rsid w:val="00611BB3"/>
    <w:rsid w:val="006161A5"/>
    <w:rsid w:val="00625C8B"/>
    <w:rsid w:val="00625ED3"/>
    <w:rsid w:val="00633E35"/>
    <w:rsid w:val="00636974"/>
    <w:rsid w:val="00641AD2"/>
    <w:rsid w:val="00645F9D"/>
    <w:rsid w:val="006475AF"/>
    <w:rsid w:val="00652BD5"/>
    <w:rsid w:val="00661857"/>
    <w:rsid w:val="00663243"/>
    <w:rsid w:val="00664529"/>
    <w:rsid w:val="0067082D"/>
    <w:rsid w:val="00672060"/>
    <w:rsid w:val="00681BE5"/>
    <w:rsid w:val="00682AE7"/>
    <w:rsid w:val="006835E6"/>
    <w:rsid w:val="00687CB4"/>
    <w:rsid w:val="00690DB4"/>
    <w:rsid w:val="006916E6"/>
    <w:rsid w:val="00697D20"/>
    <w:rsid w:val="006A0076"/>
    <w:rsid w:val="006A0B84"/>
    <w:rsid w:val="006A5152"/>
    <w:rsid w:val="006B0435"/>
    <w:rsid w:val="006B3A44"/>
    <w:rsid w:val="006B5580"/>
    <w:rsid w:val="006D0605"/>
    <w:rsid w:val="006D7378"/>
    <w:rsid w:val="006F1004"/>
    <w:rsid w:val="006F1A98"/>
    <w:rsid w:val="006F26EC"/>
    <w:rsid w:val="006F29AA"/>
    <w:rsid w:val="006F7A3A"/>
    <w:rsid w:val="00701257"/>
    <w:rsid w:val="00705BF5"/>
    <w:rsid w:val="007114E1"/>
    <w:rsid w:val="00711F00"/>
    <w:rsid w:val="00721426"/>
    <w:rsid w:val="00721699"/>
    <w:rsid w:val="0072215B"/>
    <w:rsid w:val="0072403A"/>
    <w:rsid w:val="00725005"/>
    <w:rsid w:val="007250A8"/>
    <w:rsid w:val="0073494E"/>
    <w:rsid w:val="0073562B"/>
    <w:rsid w:val="00737C69"/>
    <w:rsid w:val="00743B9C"/>
    <w:rsid w:val="00746503"/>
    <w:rsid w:val="007503C6"/>
    <w:rsid w:val="007512DD"/>
    <w:rsid w:val="00755571"/>
    <w:rsid w:val="00760435"/>
    <w:rsid w:val="00767172"/>
    <w:rsid w:val="0077056F"/>
    <w:rsid w:val="00772B69"/>
    <w:rsid w:val="00776AF3"/>
    <w:rsid w:val="00784F61"/>
    <w:rsid w:val="0078614B"/>
    <w:rsid w:val="00793422"/>
    <w:rsid w:val="00795646"/>
    <w:rsid w:val="00795713"/>
    <w:rsid w:val="00795C70"/>
    <w:rsid w:val="007962F3"/>
    <w:rsid w:val="007A25C6"/>
    <w:rsid w:val="007A2C3B"/>
    <w:rsid w:val="007A3F85"/>
    <w:rsid w:val="007B2C0C"/>
    <w:rsid w:val="007B43EE"/>
    <w:rsid w:val="007B539D"/>
    <w:rsid w:val="007B7237"/>
    <w:rsid w:val="007B735B"/>
    <w:rsid w:val="007D21F1"/>
    <w:rsid w:val="007D30C5"/>
    <w:rsid w:val="007D6916"/>
    <w:rsid w:val="007E02B1"/>
    <w:rsid w:val="007E0BBB"/>
    <w:rsid w:val="007E664F"/>
    <w:rsid w:val="007F2162"/>
    <w:rsid w:val="007F4DF6"/>
    <w:rsid w:val="007F6ADC"/>
    <w:rsid w:val="007F7118"/>
    <w:rsid w:val="00801073"/>
    <w:rsid w:val="00801E98"/>
    <w:rsid w:val="00803688"/>
    <w:rsid w:val="00804FAC"/>
    <w:rsid w:val="00813C17"/>
    <w:rsid w:val="00814ED9"/>
    <w:rsid w:val="00820871"/>
    <w:rsid w:val="00830421"/>
    <w:rsid w:val="00830D7B"/>
    <w:rsid w:val="008379FA"/>
    <w:rsid w:val="008418DF"/>
    <w:rsid w:val="008514FB"/>
    <w:rsid w:val="008524BC"/>
    <w:rsid w:val="00853B94"/>
    <w:rsid w:val="00856745"/>
    <w:rsid w:val="00861267"/>
    <w:rsid w:val="00887627"/>
    <w:rsid w:val="00890AD0"/>
    <w:rsid w:val="00893447"/>
    <w:rsid w:val="00894C0A"/>
    <w:rsid w:val="008A5FDD"/>
    <w:rsid w:val="008A7A2F"/>
    <w:rsid w:val="008B1E49"/>
    <w:rsid w:val="008D10FF"/>
    <w:rsid w:val="008D5AB4"/>
    <w:rsid w:val="008D6E22"/>
    <w:rsid w:val="008E7ECC"/>
    <w:rsid w:val="008E7F91"/>
    <w:rsid w:val="008F1500"/>
    <w:rsid w:val="00902E1E"/>
    <w:rsid w:val="00904596"/>
    <w:rsid w:val="00912255"/>
    <w:rsid w:val="009130F5"/>
    <w:rsid w:val="009146C2"/>
    <w:rsid w:val="0092162E"/>
    <w:rsid w:val="0092216A"/>
    <w:rsid w:val="00925162"/>
    <w:rsid w:val="00930577"/>
    <w:rsid w:val="00931F45"/>
    <w:rsid w:val="00933545"/>
    <w:rsid w:val="00937109"/>
    <w:rsid w:val="00937255"/>
    <w:rsid w:val="00942348"/>
    <w:rsid w:val="009437AA"/>
    <w:rsid w:val="0095355E"/>
    <w:rsid w:val="009631E8"/>
    <w:rsid w:val="009634AF"/>
    <w:rsid w:val="00976CB2"/>
    <w:rsid w:val="009772E3"/>
    <w:rsid w:val="009801F3"/>
    <w:rsid w:val="009812B6"/>
    <w:rsid w:val="0098241F"/>
    <w:rsid w:val="00982E65"/>
    <w:rsid w:val="00985E32"/>
    <w:rsid w:val="00987327"/>
    <w:rsid w:val="0099242B"/>
    <w:rsid w:val="009954CE"/>
    <w:rsid w:val="009A2D35"/>
    <w:rsid w:val="009A40AE"/>
    <w:rsid w:val="009A5E48"/>
    <w:rsid w:val="009B3BB4"/>
    <w:rsid w:val="009B56C5"/>
    <w:rsid w:val="009B584B"/>
    <w:rsid w:val="009B7814"/>
    <w:rsid w:val="009D2EEF"/>
    <w:rsid w:val="009D3B8F"/>
    <w:rsid w:val="009D7F80"/>
    <w:rsid w:val="009E0E4D"/>
    <w:rsid w:val="009E223B"/>
    <w:rsid w:val="009E2B0B"/>
    <w:rsid w:val="009E5556"/>
    <w:rsid w:val="009E781C"/>
    <w:rsid w:val="009F6360"/>
    <w:rsid w:val="00A02315"/>
    <w:rsid w:val="00A02A8B"/>
    <w:rsid w:val="00A126B8"/>
    <w:rsid w:val="00A202D9"/>
    <w:rsid w:val="00A25B3C"/>
    <w:rsid w:val="00A25E52"/>
    <w:rsid w:val="00A27E45"/>
    <w:rsid w:val="00A3061D"/>
    <w:rsid w:val="00A33E2D"/>
    <w:rsid w:val="00A37330"/>
    <w:rsid w:val="00A42FAB"/>
    <w:rsid w:val="00A51687"/>
    <w:rsid w:val="00A5224F"/>
    <w:rsid w:val="00A537ED"/>
    <w:rsid w:val="00A57026"/>
    <w:rsid w:val="00A618EA"/>
    <w:rsid w:val="00A66643"/>
    <w:rsid w:val="00A8096A"/>
    <w:rsid w:val="00A84C84"/>
    <w:rsid w:val="00A85807"/>
    <w:rsid w:val="00A86A07"/>
    <w:rsid w:val="00A86B03"/>
    <w:rsid w:val="00A91471"/>
    <w:rsid w:val="00AA1E52"/>
    <w:rsid w:val="00AA5912"/>
    <w:rsid w:val="00AA5CCD"/>
    <w:rsid w:val="00AB69AD"/>
    <w:rsid w:val="00AC0715"/>
    <w:rsid w:val="00AC6326"/>
    <w:rsid w:val="00AC6716"/>
    <w:rsid w:val="00AD237E"/>
    <w:rsid w:val="00B01388"/>
    <w:rsid w:val="00B27021"/>
    <w:rsid w:val="00B32F21"/>
    <w:rsid w:val="00B36BBD"/>
    <w:rsid w:val="00B43D43"/>
    <w:rsid w:val="00B47150"/>
    <w:rsid w:val="00B50030"/>
    <w:rsid w:val="00B51616"/>
    <w:rsid w:val="00B54A5E"/>
    <w:rsid w:val="00B61A95"/>
    <w:rsid w:val="00B61C4B"/>
    <w:rsid w:val="00B716FC"/>
    <w:rsid w:val="00B74EE6"/>
    <w:rsid w:val="00B75C3C"/>
    <w:rsid w:val="00B813F6"/>
    <w:rsid w:val="00B87AA6"/>
    <w:rsid w:val="00B97C17"/>
    <w:rsid w:val="00BA16BD"/>
    <w:rsid w:val="00BA55F3"/>
    <w:rsid w:val="00BA77AA"/>
    <w:rsid w:val="00BA7A63"/>
    <w:rsid w:val="00BB6D27"/>
    <w:rsid w:val="00BC099D"/>
    <w:rsid w:val="00BC3206"/>
    <w:rsid w:val="00BC5457"/>
    <w:rsid w:val="00BC6788"/>
    <w:rsid w:val="00BD4C95"/>
    <w:rsid w:val="00BD5183"/>
    <w:rsid w:val="00BE46F0"/>
    <w:rsid w:val="00BF1769"/>
    <w:rsid w:val="00BF5539"/>
    <w:rsid w:val="00C16A5C"/>
    <w:rsid w:val="00C16ED8"/>
    <w:rsid w:val="00C1794E"/>
    <w:rsid w:val="00C205E8"/>
    <w:rsid w:val="00C24E29"/>
    <w:rsid w:val="00C27050"/>
    <w:rsid w:val="00C31D1A"/>
    <w:rsid w:val="00C32B5E"/>
    <w:rsid w:val="00C368D5"/>
    <w:rsid w:val="00C40188"/>
    <w:rsid w:val="00C4287B"/>
    <w:rsid w:val="00C4742E"/>
    <w:rsid w:val="00C57EBA"/>
    <w:rsid w:val="00C60303"/>
    <w:rsid w:val="00C606BD"/>
    <w:rsid w:val="00C84CDB"/>
    <w:rsid w:val="00C901E9"/>
    <w:rsid w:val="00C9355E"/>
    <w:rsid w:val="00C95967"/>
    <w:rsid w:val="00C9723B"/>
    <w:rsid w:val="00CA1C69"/>
    <w:rsid w:val="00CA50A3"/>
    <w:rsid w:val="00CA5838"/>
    <w:rsid w:val="00CA794D"/>
    <w:rsid w:val="00CB2AA6"/>
    <w:rsid w:val="00CB3953"/>
    <w:rsid w:val="00CC09D4"/>
    <w:rsid w:val="00CD3902"/>
    <w:rsid w:val="00CE05F5"/>
    <w:rsid w:val="00CE76BB"/>
    <w:rsid w:val="00CF0787"/>
    <w:rsid w:val="00CF2EAA"/>
    <w:rsid w:val="00D0275E"/>
    <w:rsid w:val="00D04B86"/>
    <w:rsid w:val="00D05233"/>
    <w:rsid w:val="00D11CBC"/>
    <w:rsid w:val="00D20538"/>
    <w:rsid w:val="00D34CDF"/>
    <w:rsid w:val="00D359CF"/>
    <w:rsid w:val="00D37675"/>
    <w:rsid w:val="00D41D1A"/>
    <w:rsid w:val="00D434F8"/>
    <w:rsid w:val="00D45BFB"/>
    <w:rsid w:val="00D50043"/>
    <w:rsid w:val="00D61C40"/>
    <w:rsid w:val="00D73E95"/>
    <w:rsid w:val="00D7734A"/>
    <w:rsid w:val="00D77AA6"/>
    <w:rsid w:val="00D81929"/>
    <w:rsid w:val="00D84743"/>
    <w:rsid w:val="00D8532D"/>
    <w:rsid w:val="00D93BE8"/>
    <w:rsid w:val="00D95DEF"/>
    <w:rsid w:val="00DA125C"/>
    <w:rsid w:val="00DA3C09"/>
    <w:rsid w:val="00DA7541"/>
    <w:rsid w:val="00DB2A4B"/>
    <w:rsid w:val="00DB2D58"/>
    <w:rsid w:val="00DC3568"/>
    <w:rsid w:val="00DE5A9A"/>
    <w:rsid w:val="00DE7540"/>
    <w:rsid w:val="00DF0B59"/>
    <w:rsid w:val="00E03033"/>
    <w:rsid w:val="00E04FA3"/>
    <w:rsid w:val="00E0690D"/>
    <w:rsid w:val="00E06D52"/>
    <w:rsid w:val="00E10A1B"/>
    <w:rsid w:val="00E11B5F"/>
    <w:rsid w:val="00E14959"/>
    <w:rsid w:val="00E27032"/>
    <w:rsid w:val="00E30763"/>
    <w:rsid w:val="00E34514"/>
    <w:rsid w:val="00E35DBB"/>
    <w:rsid w:val="00E4146F"/>
    <w:rsid w:val="00E455B6"/>
    <w:rsid w:val="00E46A39"/>
    <w:rsid w:val="00E53EB8"/>
    <w:rsid w:val="00E544E3"/>
    <w:rsid w:val="00E553FA"/>
    <w:rsid w:val="00E561A0"/>
    <w:rsid w:val="00E61299"/>
    <w:rsid w:val="00E625EE"/>
    <w:rsid w:val="00E64D39"/>
    <w:rsid w:val="00E667F5"/>
    <w:rsid w:val="00E71E8E"/>
    <w:rsid w:val="00E82FD6"/>
    <w:rsid w:val="00E836C7"/>
    <w:rsid w:val="00E868C0"/>
    <w:rsid w:val="00E91A3D"/>
    <w:rsid w:val="00E92525"/>
    <w:rsid w:val="00E97CFA"/>
    <w:rsid w:val="00EB15B3"/>
    <w:rsid w:val="00EB4DAA"/>
    <w:rsid w:val="00ED114E"/>
    <w:rsid w:val="00ED4BFA"/>
    <w:rsid w:val="00EE2F8E"/>
    <w:rsid w:val="00EE376C"/>
    <w:rsid w:val="00EF3D80"/>
    <w:rsid w:val="00EF7D47"/>
    <w:rsid w:val="00F066A0"/>
    <w:rsid w:val="00F12B65"/>
    <w:rsid w:val="00F1641C"/>
    <w:rsid w:val="00F16C9B"/>
    <w:rsid w:val="00F17BED"/>
    <w:rsid w:val="00F22B0E"/>
    <w:rsid w:val="00F25CBB"/>
    <w:rsid w:val="00F36524"/>
    <w:rsid w:val="00F404FB"/>
    <w:rsid w:val="00F449A8"/>
    <w:rsid w:val="00F45A68"/>
    <w:rsid w:val="00F50549"/>
    <w:rsid w:val="00F53242"/>
    <w:rsid w:val="00F574B7"/>
    <w:rsid w:val="00F57C9B"/>
    <w:rsid w:val="00F70DAD"/>
    <w:rsid w:val="00F716F2"/>
    <w:rsid w:val="00F8061E"/>
    <w:rsid w:val="00F91CEB"/>
    <w:rsid w:val="00FA4E04"/>
    <w:rsid w:val="00FA6D05"/>
    <w:rsid w:val="00FB22DA"/>
    <w:rsid w:val="00FB6D49"/>
    <w:rsid w:val="00FC1853"/>
    <w:rsid w:val="00FD73C1"/>
    <w:rsid w:val="00FE22AD"/>
    <w:rsid w:val="00FE4B2B"/>
    <w:rsid w:val="00FF1006"/>
    <w:rsid w:val="00FF6D6F"/>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DCD2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3A44"/>
    <w:rPr>
      <w:sz w:val="18"/>
      <w:szCs w:val="18"/>
    </w:rPr>
  </w:style>
  <w:style w:type="paragraph" w:styleId="CommentText">
    <w:name w:val="annotation text"/>
    <w:basedOn w:val="Normal"/>
    <w:link w:val="CommentTextChar"/>
    <w:uiPriority w:val="99"/>
    <w:semiHidden/>
    <w:unhideWhenUsed/>
    <w:rsid w:val="006B3A44"/>
  </w:style>
  <w:style w:type="character" w:customStyle="1" w:styleId="CommentTextChar">
    <w:name w:val="Comment Text Char"/>
    <w:basedOn w:val="DefaultParagraphFont"/>
    <w:link w:val="CommentText"/>
    <w:uiPriority w:val="99"/>
    <w:semiHidden/>
    <w:rsid w:val="006B3A44"/>
  </w:style>
  <w:style w:type="paragraph" w:styleId="CommentSubject">
    <w:name w:val="annotation subject"/>
    <w:basedOn w:val="CommentText"/>
    <w:next w:val="CommentText"/>
    <w:link w:val="CommentSubjectChar"/>
    <w:uiPriority w:val="99"/>
    <w:semiHidden/>
    <w:unhideWhenUsed/>
    <w:rsid w:val="006B3A44"/>
    <w:rPr>
      <w:b/>
      <w:bCs/>
      <w:sz w:val="20"/>
      <w:szCs w:val="20"/>
    </w:rPr>
  </w:style>
  <w:style w:type="character" w:customStyle="1" w:styleId="CommentSubjectChar">
    <w:name w:val="Comment Subject Char"/>
    <w:basedOn w:val="CommentTextChar"/>
    <w:link w:val="CommentSubject"/>
    <w:uiPriority w:val="99"/>
    <w:semiHidden/>
    <w:rsid w:val="006B3A44"/>
    <w:rPr>
      <w:b/>
      <w:bCs/>
      <w:sz w:val="20"/>
      <w:szCs w:val="20"/>
    </w:rPr>
  </w:style>
  <w:style w:type="paragraph" w:styleId="BalloonText">
    <w:name w:val="Balloon Text"/>
    <w:basedOn w:val="Normal"/>
    <w:link w:val="BalloonTextChar"/>
    <w:uiPriority w:val="99"/>
    <w:semiHidden/>
    <w:unhideWhenUsed/>
    <w:rsid w:val="006B3A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A44"/>
    <w:rPr>
      <w:rFonts w:ascii="Lucida Grande" w:hAnsi="Lucida Grande" w:cs="Lucida Grande"/>
      <w:sz w:val="18"/>
      <w:szCs w:val="18"/>
    </w:rPr>
  </w:style>
  <w:style w:type="paragraph" w:styleId="Header">
    <w:name w:val="header"/>
    <w:basedOn w:val="Normal"/>
    <w:link w:val="HeaderChar"/>
    <w:uiPriority w:val="99"/>
    <w:unhideWhenUsed/>
    <w:rsid w:val="0067082D"/>
    <w:pPr>
      <w:tabs>
        <w:tab w:val="center" w:pos="4320"/>
        <w:tab w:val="right" w:pos="8640"/>
      </w:tabs>
    </w:pPr>
  </w:style>
  <w:style w:type="character" w:customStyle="1" w:styleId="HeaderChar">
    <w:name w:val="Header Char"/>
    <w:basedOn w:val="DefaultParagraphFont"/>
    <w:link w:val="Header"/>
    <w:uiPriority w:val="99"/>
    <w:rsid w:val="0067082D"/>
  </w:style>
  <w:style w:type="paragraph" w:styleId="Footer">
    <w:name w:val="footer"/>
    <w:basedOn w:val="Normal"/>
    <w:link w:val="FooterChar"/>
    <w:uiPriority w:val="99"/>
    <w:unhideWhenUsed/>
    <w:rsid w:val="0067082D"/>
    <w:pPr>
      <w:tabs>
        <w:tab w:val="center" w:pos="4320"/>
        <w:tab w:val="right" w:pos="8640"/>
      </w:tabs>
    </w:pPr>
  </w:style>
  <w:style w:type="character" w:customStyle="1" w:styleId="FooterChar">
    <w:name w:val="Footer Char"/>
    <w:basedOn w:val="DefaultParagraphFont"/>
    <w:link w:val="Footer"/>
    <w:uiPriority w:val="99"/>
    <w:rsid w:val="0067082D"/>
  </w:style>
  <w:style w:type="paragraph" w:styleId="FootnoteText">
    <w:name w:val="footnote text"/>
    <w:aliases w:val="Footnote reference,FA Fu,Footnote Text Char Char Char Char Char,Footnote Text Char Char Char Char,Footnote Text Char Char Char,Footnote Text Char Char Char Char Char Char Char Char,5_G,Fußnotentext RAXEN,footnotes,Char, Char,fn,FN"/>
    <w:basedOn w:val="Normal"/>
    <w:link w:val="FootnoteTextChar"/>
    <w:uiPriority w:val="99"/>
    <w:unhideWhenUsed/>
    <w:rsid w:val="00D359CF"/>
    <w:rPr>
      <w:rFonts w:ascii="Arial" w:hAnsi="Arial"/>
      <w:sz w:val="16"/>
      <w:lang w:val="en-GB"/>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Char Char"/>
    <w:basedOn w:val="DefaultParagraphFont"/>
    <w:link w:val="FootnoteText"/>
    <w:uiPriority w:val="99"/>
    <w:rsid w:val="00D359CF"/>
    <w:rPr>
      <w:rFonts w:ascii="Arial" w:hAnsi="Arial"/>
      <w:sz w:val="16"/>
      <w:lang w:val="en-GB"/>
    </w:rPr>
  </w:style>
  <w:style w:type="character" w:styleId="FootnoteReference">
    <w:name w:val="footnote reference"/>
    <w:aliases w:val="4_G,Footnotes refss,Footnote number,Footnote,Footnote symbol,Footnote Refernece,callout,Footnote Reference Superscript,Footnote Reference Number,BVI fnr,ftref,NO,Voetnootverwijzing,Times 10 Point,Exposant 3 Point,Footnote Ref"/>
    <w:basedOn w:val="DefaultParagraphFont"/>
    <w:link w:val="4GChar"/>
    <w:uiPriority w:val="99"/>
    <w:unhideWhenUsed/>
    <w:rsid w:val="00204232"/>
    <w:rPr>
      <w:vertAlign w:val="superscript"/>
    </w:rPr>
  </w:style>
  <w:style w:type="character" w:styleId="PageNumber">
    <w:name w:val="page number"/>
    <w:basedOn w:val="DefaultParagraphFont"/>
    <w:uiPriority w:val="99"/>
    <w:semiHidden/>
    <w:unhideWhenUsed/>
    <w:rsid w:val="004C0A8A"/>
  </w:style>
  <w:style w:type="paragraph" w:styleId="NormalWeb">
    <w:name w:val="Normal (Web)"/>
    <w:basedOn w:val="Normal"/>
    <w:uiPriority w:val="99"/>
    <w:semiHidden/>
    <w:unhideWhenUsed/>
    <w:rsid w:val="00490447"/>
    <w:rPr>
      <w:rFonts w:ascii="Times New Roman" w:hAnsi="Times New Roman" w:cs="Times New Roman"/>
    </w:rPr>
  </w:style>
  <w:style w:type="paragraph" w:styleId="ListParagraph">
    <w:name w:val="List Paragraph"/>
    <w:basedOn w:val="Normal"/>
    <w:uiPriority w:val="34"/>
    <w:qFormat/>
    <w:rsid w:val="00F91CEB"/>
    <w:pPr>
      <w:ind w:left="720"/>
      <w:contextualSpacing/>
    </w:pPr>
  </w:style>
  <w:style w:type="character" w:styleId="Hyperlink">
    <w:name w:val="Hyperlink"/>
    <w:basedOn w:val="DefaultParagraphFont"/>
    <w:uiPriority w:val="99"/>
    <w:unhideWhenUsed/>
    <w:rsid w:val="00607E64"/>
    <w:rPr>
      <w:color w:val="0000FF" w:themeColor="hyperlink"/>
      <w:u w:val="single"/>
    </w:rPr>
  </w:style>
  <w:style w:type="character" w:styleId="FollowedHyperlink">
    <w:name w:val="FollowedHyperlink"/>
    <w:basedOn w:val="DefaultParagraphFont"/>
    <w:uiPriority w:val="99"/>
    <w:semiHidden/>
    <w:unhideWhenUsed/>
    <w:rsid w:val="002D7CB6"/>
    <w:rPr>
      <w:color w:val="800080" w:themeColor="followedHyperlink"/>
      <w:u w:val="single"/>
    </w:rPr>
  </w:style>
  <w:style w:type="character" w:customStyle="1" w:styleId="apple-converted-space">
    <w:name w:val="apple-converted-space"/>
    <w:basedOn w:val="DefaultParagraphFont"/>
    <w:rsid w:val="00F57C9B"/>
  </w:style>
  <w:style w:type="character" w:styleId="Emphasis">
    <w:name w:val="Emphasis"/>
    <w:basedOn w:val="DefaultParagraphFont"/>
    <w:uiPriority w:val="20"/>
    <w:qFormat/>
    <w:rsid w:val="00F57C9B"/>
    <w:rPr>
      <w:i/>
      <w:iCs/>
    </w:rPr>
  </w:style>
  <w:style w:type="paragraph" w:customStyle="1" w:styleId="MediumGrid21">
    <w:name w:val="Medium Grid 21"/>
    <w:qFormat/>
    <w:rsid w:val="005E553C"/>
    <w:pPr>
      <w:suppressAutoHyphens/>
    </w:pPr>
    <w:rPr>
      <w:rFonts w:ascii="Calibri" w:eastAsia="Calibri" w:hAnsi="Calibri" w:cs="SimSun"/>
      <w:kern w:val="1"/>
      <w:sz w:val="22"/>
      <w:szCs w:val="22"/>
      <w:lang w:eastAsia="ar-SA"/>
    </w:rPr>
  </w:style>
  <w:style w:type="character" w:styleId="Strong">
    <w:name w:val="Strong"/>
    <w:uiPriority w:val="22"/>
    <w:qFormat/>
    <w:rsid w:val="009B584B"/>
    <w:rPr>
      <w:b/>
      <w:bCs/>
    </w:rPr>
  </w:style>
  <w:style w:type="paragraph" w:styleId="BodyText">
    <w:name w:val="Body Text"/>
    <w:basedOn w:val="Normal"/>
    <w:link w:val="BodyTextChar"/>
    <w:rsid w:val="007B7237"/>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B7237"/>
    <w:rPr>
      <w:rFonts w:ascii="Times New Roman" w:eastAsia="Times New Roman" w:hAnsi="Times New Roman" w:cs="Times New Roman"/>
      <w:sz w:val="20"/>
      <w:szCs w:val="20"/>
    </w:rPr>
  </w:style>
  <w:style w:type="paragraph" w:styleId="Revision">
    <w:name w:val="Revision"/>
    <w:hidden/>
    <w:uiPriority w:val="99"/>
    <w:semiHidden/>
    <w:rsid w:val="007B7237"/>
  </w:style>
  <w:style w:type="paragraph" w:customStyle="1" w:styleId="Body">
    <w:name w:val="Body"/>
    <w:rsid w:val="004F2C54"/>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
    <w:name w:val="Hyperlink.0"/>
    <w:rsid w:val="00D434F8"/>
    <w:rPr>
      <w:rFonts w:ascii="Arial" w:eastAsia="Arial" w:hAnsi="Arial" w:cs="Arial"/>
      <w:color w:val="0000FF"/>
      <w:sz w:val="18"/>
      <w:szCs w:val="18"/>
      <w:u w:val="single" w:color="0000FF"/>
      <w:lang w:val="en-US"/>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uiPriority w:val="99"/>
    <w:rsid w:val="00887627"/>
    <w:pPr>
      <w:spacing w:after="160" w:line="240" w:lineRule="exact"/>
      <w:jc w:val="both"/>
    </w:pPr>
    <w:rPr>
      <w:vertAlign w:val="superscript"/>
    </w:rPr>
  </w:style>
  <w:style w:type="character" w:customStyle="1" w:styleId="Hyperlink5">
    <w:name w:val="Hyperlink.5"/>
    <w:rsid w:val="00554AA4"/>
    <w:rPr>
      <w:rFonts w:ascii="Arial" w:eastAsia="Arial" w:hAnsi="Arial" w:cs="Arial"/>
      <w:color w:val="0000FF"/>
      <w:sz w:val="18"/>
      <w:szCs w:val="18"/>
      <w:u w:val="non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0299">
      <w:bodyDiv w:val="1"/>
      <w:marLeft w:val="0"/>
      <w:marRight w:val="0"/>
      <w:marTop w:val="0"/>
      <w:marBottom w:val="0"/>
      <w:divBdr>
        <w:top w:val="none" w:sz="0" w:space="0" w:color="auto"/>
        <w:left w:val="none" w:sz="0" w:space="0" w:color="auto"/>
        <w:bottom w:val="none" w:sz="0" w:space="0" w:color="auto"/>
        <w:right w:val="none" w:sz="0" w:space="0" w:color="auto"/>
      </w:divBdr>
    </w:div>
    <w:div w:id="847596923">
      <w:bodyDiv w:val="1"/>
      <w:marLeft w:val="0"/>
      <w:marRight w:val="0"/>
      <w:marTop w:val="0"/>
      <w:marBottom w:val="0"/>
      <w:divBdr>
        <w:top w:val="none" w:sz="0" w:space="0" w:color="auto"/>
        <w:left w:val="none" w:sz="0" w:space="0" w:color="auto"/>
        <w:bottom w:val="none" w:sz="0" w:space="0" w:color="auto"/>
        <w:right w:val="none" w:sz="0" w:space="0" w:color="auto"/>
      </w:divBdr>
    </w:div>
    <w:div w:id="881556577">
      <w:bodyDiv w:val="1"/>
      <w:marLeft w:val="0"/>
      <w:marRight w:val="0"/>
      <w:marTop w:val="0"/>
      <w:marBottom w:val="0"/>
      <w:divBdr>
        <w:top w:val="none" w:sz="0" w:space="0" w:color="auto"/>
        <w:left w:val="none" w:sz="0" w:space="0" w:color="auto"/>
        <w:bottom w:val="none" w:sz="0" w:space="0" w:color="auto"/>
        <w:right w:val="none" w:sz="0" w:space="0" w:color="auto"/>
      </w:divBdr>
    </w:div>
    <w:div w:id="894702876">
      <w:bodyDiv w:val="1"/>
      <w:marLeft w:val="0"/>
      <w:marRight w:val="0"/>
      <w:marTop w:val="0"/>
      <w:marBottom w:val="0"/>
      <w:divBdr>
        <w:top w:val="none" w:sz="0" w:space="0" w:color="auto"/>
        <w:left w:val="none" w:sz="0" w:space="0" w:color="auto"/>
        <w:bottom w:val="none" w:sz="0" w:space="0" w:color="auto"/>
        <w:right w:val="none" w:sz="0" w:space="0" w:color="auto"/>
      </w:divBdr>
    </w:div>
    <w:div w:id="1078597682">
      <w:bodyDiv w:val="1"/>
      <w:marLeft w:val="0"/>
      <w:marRight w:val="0"/>
      <w:marTop w:val="0"/>
      <w:marBottom w:val="0"/>
      <w:divBdr>
        <w:top w:val="none" w:sz="0" w:space="0" w:color="auto"/>
        <w:left w:val="none" w:sz="0" w:space="0" w:color="auto"/>
        <w:bottom w:val="none" w:sz="0" w:space="0" w:color="auto"/>
        <w:right w:val="none" w:sz="0" w:space="0" w:color="auto"/>
      </w:divBdr>
    </w:div>
    <w:div w:id="1262883492">
      <w:bodyDiv w:val="1"/>
      <w:marLeft w:val="0"/>
      <w:marRight w:val="0"/>
      <w:marTop w:val="0"/>
      <w:marBottom w:val="0"/>
      <w:divBdr>
        <w:top w:val="none" w:sz="0" w:space="0" w:color="auto"/>
        <w:left w:val="none" w:sz="0" w:space="0" w:color="auto"/>
        <w:bottom w:val="none" w:sz="0" w:space="0" w:color="auto"/>
        <w:right w:val="none" w:sz="0" w:space="0" w:color="auto"/>
      </w:divBdr>
    </w:div>
    <w:div w:id="1316882420">
      <w:bodyDiv w:val="1"/>
      <w:marLeft w:val="0"/>
      <w:marRight w:val="0"/>
      <w:marTop w:val="0"/>
      <w:marBottom w:val="0"/>
      <w:divBdr>
        <w:top w:val="none" w:sz="0" w:space="0" w:color="auto"/>
        <w:left w:val="none" w:sz="0" w:space="0" w:color="auto"/>
        <w:bottom w:val="none" w:sz="0" w:space="0" w:color="auto"/>
        <w:right w:val="none" w:sz="0" w:space="0" w:color="auto"/>
      </w:divBdr>
    </w:div>
    <w:div w:id="173462350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3">
          <w:marLeft w:val="0"/>
          <w:marRight w:val="0"/>
          <w:marTop w:val="0"/>
          <w:marBottom w:val="0"/>
          <w:divBdr>
            <w:top w:val="none" w:sz="0" w:space="0" w:color="auto"/>
            <w:left w:val="none" w:sz="0" w:space="0" w:color="auto"/>
            <w:bottom w:val="none" w:sz="0" w:space="0" w:color="auto"/>
            <w:right w:val="none" w:sz="0" w:space="0" w:color="auto"/>
          </w:divBdr>
          <w:divsChild>
            <w:div w:id="1940522451">
              <w:marLeft w:val="0"/>
              <w:marRight w:val="0"/>
              <w:marTop w:val="0"/>
              <w:marBottom w:val="0"/>
              <w:divBdr>
                <w:top w:val="none" w:sz="0" w:space="0" w:color="auto"/>
                <w:left w:val="none" w:sz="0" w:space="0" w:color="auto"/>
                <w:bottom w:val="none" w:sz="0" w:space="0" w:color="auto"/>
                <w:right w:val="none" w:sz="0" w:space="0" w:color="auto"/>
              </w:divBdr>
              <w:divsChild>
                <w:div w:id="97530349">
                  <w:marLeft w:val="0"/>
                  <w:marRight w:val="0"/>
                  <w:marTop w:val="0"/>
                  <w:marBottom w:val="0"/>
                  <w:divBdr>
                    <w:top w:val="none" w:sz="0" w:space="0" w:color="auto"/>
                    <w:left w:val="none" w:sz="0" w:space="0" w:color="auto"/>
                    <w:bottom w:val="none" w:sz="0" w:space="0" w:color="auto"/>
                    <w:right w:val="none" w:sz="0" w:space="0" w:color="auto"/>
                  </w:divBdr>
                  <w:divsChild>
                    <w:div w:id="258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76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lee@ida-secretariat.org" TargetMode="External"/><Relationship Id="rId12" Type="http://schemas.openxmlformats.org/officeDocument/2006/relationships/hyperlink" Target="mailto:danielatontsch@yahoo.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f-feph.org" TargetMode="External"/><Relationship Id="rId9" Type="http://schemas.openxmlformats.org/officeDocument/2006/relationships/hyperlink" Target="mailto:Ansofie.Leenknecht@edf-feph.org" TargetMode="External"/><Relationship Id="rId10" Type="http://schemas.openxmlformats.org/officeDocument/2006/relationships/hyperlink" Target="http://www.internationaldisabilityalliance.or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retsinformation.dk/Forms/R0710.aspx?id=163419" TargetMode="External"/><Relationship Id="rId12" Type="http://schemas.openxmlformats.org/officeDocument/2006/relationships/hyperlink" Target="http://www.ligebehandlingsnaevnet.dk/naevnsdatabase/afgoerelse.aspx?aid=1040&amp;type=Afgoerelse" TargetMode="External"/><Relationship Id="rId13" Type="http://schemas.openxmlformats.org/officeDocument/2006/relationships/hyperlink" Target="http://www.unicef.org/ceecis/2.Cerovic_.ppt" TargetMode="External"/><Relationship Id="rId14" Type="http://schemas.openxmlformats.org/officeDocument/2006/relationships/hyperlink" Target="http://www.poderjudicial.es/search/contenidos.action?action=contentpdf&amp;databasematch=AN&amp;reference=8111156&amp;links=EDUCACION%20INCLUSIVA&amp;optimize=20170801&amp;publicinterface=true" TargetMode="External"/><Relationship Id="rId1" Type="http://schemas.openxmlformats.org/officeDocument/2006/relationships/hyperlink" Target="http://ap.ohchr.org/documents/dpage_e.aspx?si=A/HRC/34/26" TargetMode="External"/><Relationship Id="rId2" Type="http://schemas.openxmlformats.org/officeDocument/2006/relationships/hyperlink" Target="http://www.ohchr.org/documents/HRBodies/CRPD/GCArt5.docx" TargetMode="External"/><Relationship Id="rId3" Type="http://schemas.openxmlformats.org/officeDocument/2006/relationships/hyperlink" Target="http://unesdoc.unesco.org/images/0024/002456/245656e.pdf" TargetMode="External"/><Relationship Id="rId4" Type="http://schemas.openxmlformats.org/officeDocument/2006/relationships/hyperlink" Target="http://hudoc.echr.coe.int/eng?i=001-91079" TargetMode="External"/><Relationship Id="rId5" Type="http://schemas.openxmlformats.org/officeDocument/2006/relationships/hyperlink" Target="https://www.unicef.org/eca/Background_NoteFINAL(1).pdf" TargetMode="External"/><Relationship Id="rId6" Type="http://schemas.openxmlformats.org/officeDocument/2006/relationships/hyperlink" Target="http://www.ncse.ie/researches/InclusiveEducationFramework_InteractiveVersion.pdf" TargetMode="External"/><Relationship Id="rId7" Type="http://schemas.openxmlformats.org/officeDocument/2006/relationships/hyperlink" Target="http://mes.gov.ge/content.php?id=540&amp;lang=eng" TargetMode="External"/><Relationship Id="rId8" Type="http://schemas.openxmlformats.org/officeDocument/2006/relationships/hyperlink" Target="http://mes.gov.ge/content.php?t=srch&amp;search=inclusive%20education&amp;id=7091&amp;lang=eng" TargetMode="External"/><Relationship Id="rId9" Type="http://schemas.openxmlformats.org/officeDocument/2006/relationships/hyperlink" Target="https://edu.ge.ch/site/capintegration/acteurs-de-lecole/assistants-a-lintegration-scolaire-ais/" TargetMode="External"/><Relationship Id="rId10" Type="http://schemas.openxmlformats.org/officeDocument/2006/relationships/hyperlink" Target="http://www.minedu.sk/data/att/5689.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439CE-EF24-B04F-A5D2-66DFD780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5385</Words>
  <Characters>30700</Characters>
  <Application>Microsoft Macintosh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x</cp:lastModifiedBy>
  <cp:revision>2</cp:revision>
  <dcterms:created xsi:type="dcterms:W3CDTF">2017-10-17T16:04:00Z</dcterms:created>
  <dcterms:modified xsi:type="dcterms:W3CDTF">2017-10-17T16:04:00Z</dcterms:modified>
</cp:coreProperties>
</file>