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ABF99" w14:textId="618D7F2C" w:rsidR="003201CF" w:rsidRPr="003201CF" w:rsidRDefault="003201CF" w:rsidP="003201CF">
      <w:pPr>
        <w:pStyle w:val="NoSpacing"/>
        <w:contextualSpacing/>
        <w:jc w:val="center"/>
        <w:rPr>
          <w:rFonts w:asciiTheme="minorHAnsi" w:hAnsiTheme="minorHAnsi" w:cstheme="minorHAnsi"/>
          <w:sz w:val="30"/>
          <w:szCs w:val="30"/>
        </w:rPr>
      </w:pPr>
      <w:bookmarkStart w:id="0" w:name="_GoBack"/>
      <w:bookmarkEnd w:id="0"/>
      <w:r w:rsidRPr="003201CF">
        <w:rPr>
          <w:rFonts w:asciiTheme="minorHAnsi" w:hAnsiTheme="minorHAnsi" w:cstheme="minorHAnsi"/>
          <w:b/>
          <w:sz w:val="30"/>
          <w:szCs w:val="30"/>
        </w:rPr>
        <w:t xml:space="preserve">POLICY BRIEF ON SDG </w:t>
      </w:r>
      <w:r w:rsidRPr="003201CF">
        <w:rPr>
          <w:rFonts w:asciiTheme="minorHAnsi" w:hAnsiTheme="minorHAnsi" w:cstheme="minorHAnsi"/>
          <w:b/>
          <w:sz w:val="30"/>
          <w:szCs w:val="30"/>
        </w:rPr>
        <w:t>3</w:t>
      </w:r>
    </w:p>
    <w:p w14:paraId="608143AE" w14:textId="290B58B5" w:rsidR="007B0C9E" w:rsidRPr="003201CF" w:rsidRDefault="007B0C9E" w:rsidP="003201CF">
      <w:pPr>
        <w:spacing w:after="0" w:line="240" w:lineRule="auto"/>
        <w:jc w:val="center"/>
        <w:rPr>
          <w:b/>
          <w:sz w:val="30"/>
          <w:szCs w:val="30"/>
          <w:lang w:val="en-GB"/>
        </w:rPr>
      </w:pPr>
      <w:r w:rsidRPr="003201CF">
        <w:rPr>
          <w:b/>
          <w:sz w:val="30"/>
          <w:szCs w:val="30"/>
          <w:lang w:val="en-GB"/>
        </w:rPr>
        <w:t>Ensure healthy lives and promote wellbeing for all at all ages</w:t>
      </w:r>
      <w:r w:rsidR="003201CF" w:rsidRPr="003201CF">
        <w:rPr>
          <w:b/>
          <w:sz w:val="30"/>
          <w:szCs w:val="30"/>
          <w:lang w:val="en-GB"/>
        </w:rPr>
        <w:t xml:space="preserve"> </w:t>
      </w:r>
      <w:r w:rsidRPr="003201CF">
        <w:rPr>
          <w:b/>
          <w:sz w:val="30"/>
          <w:szCs w:val="30"/>
          <w:lang w:val="en-GB"/>
        </w:rPr>
        <w:t>Implementation for persons with disabilities</w:t>
      </w:r>
    </w:p>
    <w:p w14:paraId="5A0E4386" w14:textId="77777777" w:rsidR="007B0C9E" w:rsidRPr="00853240" w:rsidRDefault="007B0C9E" w:rsidP="003201CF">
      <w:pPr>
        <w:spacing w:after="0" w:line="240" w:lineRule="auto"/>
        <w:contextualSpacing/>
        <w:jc w:val="both"/>
        <w:rPr>
          <w:rFonts w:cs="Times New Roman"/>
          <w:lang w:val="en-US"/>
        </w:rPr>
      </w:pPr>
    </w:p>
    <w:p w14:paraId="5CB3125D" w14:textId="77777777" w:rsidR="00574D97" w:rsidRPr="006B6CE8" w:rsidRDefault="007B0C9E" w:rsidP="003201CF">
      <w:pPr>
        <w:spacing w:after="0" w:line="240" w:lineRule="auto"/>
        <w:contextualSpacing/>
        <w:jc w:val="both"/>
        <w:rPr>
          <w:b/>
          <w:sz w:val="21"/>
          <w:szCs w:val="21"/>
          <w:lang w:val="en-GB"/>
        </w:rPr>
      </w:pPr>
      <w:r w:rsidRPr="006B6CE8">
        <w:rPr>
          <w:rFonts w:cs="Times New Roman"/>
          <w:b/>
          <w:sz w:val="21"/>
          <w:szCs w:val="21"/>
          <w:lang w:val="en-US"/>
        </w:rPr>
        <w:t>The right to the highest attainable standard of physical and mental health is a fundamental human right, indispensable for the exercise of other human rights.</w:t>
      </w:r>
      <w:r w:rsidRPr="006B6CE8">
        <w:rPr>
          <w:rStyle w:val="EndnoteReference"/>
          <w:rFonts w:cs="Times New Roman"/>
          <w:b/>
          <w:sz w:val="21"/>
          <w:szCs w:val="21"/>
          <w:lang w:val="en-US"/>
        </w:rPr>
        <w:endnoteReference w:id="1"/>
      </w:r>
      <w:r w:rsidRPr="006B6CE8">
        <w:rPr>
          <w:rFonts w:cs="Times New Roman"/>
          <w:b/>
          <w:sz w:val="21"/>
          <w:szCs w:val="21"/>
          <w:lang w:val="en-US"/>
        </w:rPr>
        <w:t xml:space="preserve"> </w:t>
      </w:r>
      <w:r w:rsidR="00574D97" w:rsidRPr="006B6CE8">
        <w:rPr>
          <w:b/>
          <w:sz w:val="21"/>
          <w:szCs w:val="21"/>
          <w:lang w:val="en-GB"/>
        </w:rPr>
        <w:t xml:space="preserve">Persons with disabilities are more likely to have health needs, but much less likely to receive health services. </w:t>
      </w:r>
    </w:p>
    <w:p w14:paraId="5A1FE135" w14:textId="77777777" w:rsidR="00574D97" w:rsidRPr="006B6CE8" w:rsidRDefault="00574D97" w:rsidP="003201CF">
      <w:pPr>
        <w:spacing w:after="0" w:line="240" w:lineRule="auto"/>
        <w:contextualSpacing/>
        <w:jc w:val="both"/>
        <w:rPr>
          <w:sz w:val="21"/>
          <w:szCs w:val="21"/>
          <w:lang w:val="en-GB"/>
        </w:rPr>
      </w:pPr>
    </w:p>
    <w:p w14:paraId="04BD14B4" w14:textId="21946C84" w:rsidR="00036BF4" w:rsidRPr="006B6CE8" w:rsidRDefault="007B0C9E" w:rsidP="003201CF">
      <w:pPr>
        <w:spacing w:after="0" w:line="240" w:lineRule="auto"/>
        <w:contextualSpacing/>
        <w:jc w:val="both"/>
        <w:rPr>
          <w:sz w:val="21"/>
          <w:szCs w:val="21"/>
          <w:lang w:val="en-GB"/>
        </w:rPr>
      </w:pPr>
      <w:r w:rsidRPr="006B6CE8">
        <w:rPr>
          <w:sz w:val="21"/>
          <w:szCs w:val="21"/>
          <w:lang w:val="en-GB"/>
        </w:rPr>
        <w:t>The UN Convention on the Rights of Persons wi</w:t>
      </w:r>
      <w:r w:rsidR="00565250" w:rsidRPr="006B6CE8">
        <w:rPr>
          <w:sz w:val="21"/>
          <w:szCs w:val="21"/>
          <w:lang w:val="en-GB"/>
        </w:rPr>
        <w:t>th Disabilities, ratified by 173</w:t>
      </w:r>
      <w:r w:rsidRPr="006B6CE8">
        <w:rPr>
          <w:sz w:val="21"/>
          <w:szCs w:val="21"/>
          <w:lang w:val="en-GB"/>
        </w:rPr>
        <w:t xml:space="preserve"> countries, defines persons with disabilities as “</w:t>
      </w:r>
      <w:r w:rsidRPr="006B6CE8">
        <w:rPr>
          <w:i/>
          <w:sz w:val="21"/>
          <w:szCs w:val="21"/>
          <w:lang w:val="en-GB"/>
        </w:rPr>
        <w:t>those who have long-term physical, mental, intellectual, or sensory impairments which in interaction with various barriers may hinder their full and effective participation in society on an equal basis with others.”</w:t>
      </w:r>
      <w:r w:rsidRPr="006B6CE8">
        <w:rPr>
          <w:sz w:val="21"/>
          <w:szCs w:val="21"/>
          <w:lang w:val="en-GB"/>
        </w:rPr>
        <w:t xml:space="preserve"> Article 25 of the Convention on the Rights of Persons with Disabilities reinforces the rights of persons with disabilities to enjoy the highest standard of health without discrimination on the basis of disability</w:t>
      </w:r>
      <w:r w:rsidRPr="006B6CE8">
        <w:rPr>
          <w:rStyle w:val="EndnoteReference"/>
          <w:sz w:val="21"/>
          <w:szCs w:val="21"/>
        </w:rPr>
        <w:endnoteReference w:id="2"/>
      </w:r>
      <w:r w:rsidR="00036BF4" w:rsidRPr="006B6CE8">
        <w:rPr>
          <w:sz w:val="21"/>
          <w:szCs w:val="21"/>
          <w:lang w:val="en-GB"/>
        </w:rPr>
        <w:t>,</w:t>
      </w:r>
      <w:r w:rsidR="00A43662" w:rsidRPr="006B6CE8">
        <w:rPr>
          <w:sz w:val="21"/>
          <w:szCs w:val="21"/>
          <w:lang w:val="en-GB"/>
        </w:rPr>
        <w:t xml:space="preserve"> </w:t>
      </w:r>
      <w:r w:rsidR="00036BF4" w:rsidRPr="006B6CE8">
        <w:rPr>
          <w:sz w:val="21"/>
          <w:szCs w:val="21"/>
          <w:lang w:val="en-GB"/>
        </w:rPr>
        <w:t>as well as continuation of services in the event of disasters or other emergencies.</w:t>
      </w:r>
    </w:p>
    <w:p w14:paraId="160BAED9" w14:textId="77777777" w:rsidR="00A43662" w:rsidRPr="006B6CE8" w:rsidRDefault="00A43662" w:rsidP="003201CF">
      <w:pPr>
        <w:spacing w:after="0" w:line="240" w:lineRule="auto"/>
        <w:contextualSpacing/>
        <w:jc w:val="both"/>
        <w:rPr>
          <w:sz w:val="21"/>
          <w:szCs w:val="21"/>
          <w:lang w:val="en-GB"/>
        </w:rPr>
      </w:pPr>
    </w:p>
    <w:p w14:paraId="593F8695" w14:textId="77777777" w:rsidR="00FA0D12" w:rsidRPr="006B6CE8" w:rsidRDefault="00FA0D12" w:rsidP="003201CF">
      <w:pPr>
        <w:spacing w:after="120" w:line="240" w:lineRule="auto"/>
        <w:contextualSpacing/>
        <w:jc w:val="both"/>
        <w:rPr>
          <w:b/>
          <w:sz w:val="21"/>
          <w:szCs w:val="21"/>
          <w:lang w:val="en-GB"/>
        </w:rPr>
      </w:pPr>
      <w:r w:rsidRPr="006B6CE8">
        <w:rPr>
          <w:b/>
          <w:sz w:val="21"/>
          <w:szCs w:val="21"/>
          <w:lang w:val="en-GB"/>
        </w:rPr>
        <w:t xml:space="preserve">Disability and Goal 3. </w:t>
      </w:r>
    </w:p>
    <w:p w14:paraId="77BCDBEE" w14:textId="19560F27" w:rsidR="00036BF4" w:rsidRPr="006B6CE8" w:rsidRDefault="00FA0D12" w:rsidP="003201CF">
      <w:pPr>
        <w:spacing w:after="0" w:line="240" w:lineRule="auto"/>
        <w:contextualSpacing/>
        <w:jc w:val="both"/>
        <w:rPr>
          <w:sz w:val="21"/>
          <w:szCs w:val="21"/>
          <w:lang w:val="en-GB"/>
        </w:rPr>
      </w:pPr>
      <w:r w:rsidRPr="006B6CE8">
        <w:rPr>
          <w:sz w:val="21"/>
          <w:szCs w:val="21"/>
          <w:lang w:val="en-GB"/>
        </w:rPr>
        <w:t xml:space="preserve">Goal 3 of the SDGs pertains to health and wellbeing and </w:t>
      </w:r>
      <w:r w:rsidR="00D766C4" w:rsidRPr="006B6CE8">
        <w:rPr>
          <w:sz w:val="21"/>
          <w:szCs w:val="21"/>
          <w:lang w:val="en-GB"/>
        </w:rPr>
        <w:t>contains 9 targets</w:t>
      </w:r>
      <w:r w:rsidRPr="006B6CE8">
        <w:rPr>
          <w:sz w:val="21"/>
          <w:szCs w:val="21"/>
          <w:lang w:val="en-GB"/>
        </w:rPr>
        <w:t>.  No target will be reached without considering the needs</w:t>
      </w:r>
      <w:r w:rsidR="00D766C4" w:rsidRPr="006B6CE8">
        <w:rPr>
          <w:sz w:val="21"/>
          <w:szCs w:val="21"/>
          <w:lang w:val="en-GB"/>
        </w:rPr>
        <w:t xml:space="preserve"> of persons with disabilities. </w:t>
      </w:r>
      <w:r w:rsidR="004F5A49" w:rsidRPr="006B6CE8">
        <w:rPr>
          <w:sz w:val="21"/>
          <w:szCs w:val="21"/>
          <w:lang w:val="en-GB"/>
        </w:rPr>
        <w:t>Pertaining to each target</w:t>
      </w:r>
      <w:r w:rsidR="00D766C4" w:rsidRPr="006B6CE8">
        <w:rPr>
          <w:sz w:val="21"/>
          <w:szCs w:val="21"/>
          <w:lang w:val="en-GB"/>
        </w:rPr>
        <w:t>:</w:t>
      </w:r>
      <w:r w:rsidR="004F5A49" w:rsidRPr="006B6CE8">
        <w:rPr>
          <w:sz w:val="21"/>
          <w:szCs w:val="21"/>
          <w:lang w:val="en-GB"/>
        </w:rPr>
        <w:t xml:space="preserve"> </w:t>
      </w:r>
      <w:r w:rsidR="00D766C4" w:rsidRPr="006B6CE8">
        <w:rPr>
          <w:sz w:val="21"/>
          <w:szCs w:val="21"/>
          <w:lang w:val="en-GB"/>
        </w:rPr>
        <w:t xml:space="preserve">pregnant </w:t>
      </w:r>
      <w:r w:rsidR="001677AE" w:rsidRPr="006B6CE8">
        <w:rPr>
          <w:sz w:val="21"/>
          <w:szCs w:val="21"/>
          <w:lang w:val="en-GB"/>
        </w:rPr>
        <w:t xml:space="preserve">women with disabilities may </w:t>
      </w:r>
      <w:r w:rsidR="00D766C4" w:rsidRPr="006B6CE8">
        <w:rPr>
          <w:sz w:val="21"/>
          <w:szCs w:val="21"/>
          <w:lang w:val="en-GB"/>
        </w:rPr>
        <w:t xml:space="preserve">have much less access to </w:t>
      </w:r>
      <w:r w:rsidR="001677AE" w:rsidRPr="006B6CE8">
        <w:rPr>
          <w:sz w:val="21"/>
          <w:szCs w:val="21"/>
          <w:lang w:val="en-GB"/>
        </w:rPr>
        <w:t xml:space="preserve">prenatal, labour and delivery and post-natal services </w:t>
      </w:r>
      <w:r w:rsidR="00C93835" w:rsidRPr="006B6CE8">
        <w:rPr>
          <w:sz w:val="21"/>
          <w:szCs w:val="21"/>
          <w:lang w:val="en-GB"/>
        </w:rPr>
        <w:t>(</w:t>
      </w:r>
      <w:r w:rsidR="00D766C4" w:rsidRPr="006B6CE8">
        <w:rPr>
          <w:sz w:val="21"/>
          <w:szCs w:val="21"/>
          <w:lang w:val="en-GB"/>
        </w:rPr>
        <w:t>target 1</w:t>
      </w:r>
      <w:r w:rsidR="00C93835" w:rsidRPr="006B6CE8">
        <w:rPr>
          <w:sz w:val="21"/>
          <w:szCs w:val="21"/>
          <w:lang w:val="en-GB"/>
        </w:rPr>
        <w:t>)</w:t>
      </w:r>
      <w:r w:rsidR="00D766C4" w:rsidRPr="006B6CE8">
        <w:rPr>
          <w:rStyle w:val="EndnoteReference"/>
          <w:sz w:val="21"/>
          <w:szCs w:val="21"/>
          <w:lang w:val="en-GB"/>
        </w:rPr>
        <w:endnoteReference w:id="3"/>
      </w:r>
      <w:r w:rsidRPr="006B6CE8">
        <w:rPr>
          <w:sz w:val="21"/>
          <w:szCs w:val="21"/>
          <w:lang w:val="en-GB"/>
        </w:rPr>
        <w:t xml:space="preserve">; </w:t>
      </w:r>
      <w:r w:rsidR="004F5A49" w:rsidRPr="006B6CE8">
        <w:rPr>
          <w:sz w:val="21"/>
          <w:szCs w:val="21"/>
          <w:lang w:val="en-GB"/>
        </w:rPr>
        <w:t>infant mortality amongst children with disabilities is higher (target 2)</w:t>
      </w:r>
      <w:r w:rsidR="004F5A49" w:rsidRPr="006B6CE8">
        <w:rPr>
          <w:rStyle w:val="EndnoteReference"/>
          <w:sz w:val="21"/>
          <w:szCs w:val="21"/>
          <w:lang w:val="en-GB"/>
        </w:rPr>
        <w:t xml:space="preserve"> </w:t>
      </w:r>
      <w:r w:rsidR="004F5A49" w:rsidRPr="006B6CE8">
        <w:rPr>
          <w:rStyle w:val="EndnoteReference"/>
          <w:sz w:val="21"/>
          <w:szCs w:val="21"/>
        </w:rPr>
        <w:endnoteReference w:id="4"/>
      </w:r>
      <w:r w:rsidR="004F5A49" w:rsidRPr="006B6CE8">
        <w:rPr>
          <w:sz w:val="21"/>
          <w:szCs w:val="21"/>
          <w:lang w:val="en-GB"/>
        </w:rPr>
        <w:t>; persons with disabilities may have higher rates of HIV (target 3)</w:t>
      </w:r>
      <w:r w:rsidR="004F5A49" w:rsidRPr="006B6CE8">
        <w:rPr>
          <w:rStyle w:val="EndnoteReference"/>
          <w:sz w:val="21"/>
          <w:szCs w:val="21"/>
        </w:rPr>
        <w:endnoteReference w:id="5"/>
      </w:r>
      <w:r w:rsidR="004F5A49" w:rsidRPr="006B6CE8">
        <w:rPr>
          <w:sz w:val="21"/>
          <w:szCs w:val="21"/>
          <w:lang w:val="en-GB"/>
        </w:rPr>
        <w:t xml:space="preserve">; </w:t>
      </w:r>
      <w:r w:rsidR="00E40A81" w:rsidRPr="006B6CE8">
        <w:rPr>
          <w:sz w:val="21"/>
          <w:szCs w:val="21"/>
          <w:lang w:val="en-GB"/>
        </w:rPr>
        <w:t>80</w:t>
      </w:r>
      <w:r w:rsidR="004F5A49" w:rsidRPr="006B6CE8">
        <w:rPr>
          <w:sz w:val="21"/>
          <w:szCs w:val="21"/>
          <w:lang w:val="en-GB"/>
        </w:rPr>
        <w:t>% of all years lived with disability are caused by NCDs</w:t>
      </w:r>
      <w:r w:rsidR="00C93835" w:rsidRPr="006B6CE8">
        <w:rPr>
          <w:sz w:val="21"/>
          <w:szCs w:val="21"/>
          <w:lang w:val="en-GB"/>
        </w:rPr>
        <w:t xml:space="preserve"> (target 4)</w:t>
      </w:r>
      <w:r w:rsidR="00E40A81" w:rsidRPr="006B6CE8">
        <w:rPr>
          <w:rStyle w:val="EndnoteReference"/>
          <w:sz w:val="21"/>
          <w:szCs w:val="21"/>
          <w:lang w:val="en-GB"/>
        </w:rPr>
        <w:endnoteReference w:id="6"/>
      </w:r>
      <w:r w:rsidR="004F5A49" w:rsidRPr="006B6CE8">
        <w:rPr>
          <w:sz w:val="21"/>
          <w:szCs w:val="21"/>
          <w:lang w:val="en-GB"/>
        </w:rPr>
        <w:t xml:space="preserve">; persons with disabilities may exhibit higher health risk </w:t>
      </w:r>
      <w:r w:rsidR="00574D97" w:rsidRPr="006B6CE8">
        <w:rPr>
          <w:sz w:val="21"/>
          <w:szCs w:val="21"/>
          <w:lang w:val="en-GB"/>
        </w:rPr>
        <w:t>behaviours</w:t>
      </w:r>
      <w:r w:rsidR="004F5A49" w:rsidRPr="006B6CE8">
        <w:rPr>
          <w:sz w:val="21"/>
          <w:szCs w:val="21"/>
          <w:lang w:val="en-GB"/>
        </w:rPr>
        <w:t xml:space="preserve"> (target 5)</w:t>
      </w:r>
      <w:r w:rsidR="004F5A49" w:rsidRPr="006B6CE8">
        <w:rPr>
          <w:rStyle w:val="EndnoteReference"/>
          <w:sz w:val="21"/>
          <w:szCs w:val="21"/>
        </w:rPr>
        <w:endnoteReference w:id="7"/>
      </w:r>
      <w:r w:rsidR="004F5A49" w:rsidRPr="006B6CE8">
        <w:rPr>
          <w:sz w:val="21"/>
          <w:szCs w:val="21"/>
          <w:lang w:val="en-GB"/>
        </w:rPr>
        <w:t>; in addition to the estimated 1</w:t>
      </w:r>
      <w:r w:rsidR="00B1283C" w:rsidRPr="006B6CE8">
        <w:rPr>
          <w:sz w:val="21"/>
          <w:szCs w:val="21"/>
          <w:lang w:val="en-GB"/>
        </w:rPr>
        <w:t>.25</w:t>
      </w:r>
      <w:r w:rsidR="004F5A49" w:rsidRPr="006B6CE8">
        <w:rPr>
          <w:sz w:val="21"/>
          <w:szCs w:val="21"/>
          <w:lang w:val="en-GB"/>
        </w:rPr>
        <w:t xml:space="preserve"> million road deaths each year, there are 50 million injuries leading to temporary or permanent impairments and disabilities</w:t>
      </w:r>
      <w:r w:rsidR="00C93835" w:rsidRPr="006B6CE8">
        <w:rPr>
          <w:sz w:val="21"/>
          <w:szCs w:val="21"/>
          <w:lang w:val="en-GB"/>
        </w:rPr>
        <w:t xml:space="preserve"> (target 6)</w:t>
      </w:r>
      <w:r w:rsidR="00B1283C" w:rsidRPr="006B6CE8">
        <w:rPr>
          <w:rStyle w:val="EndnoteReference"/>
          <w:sz w:val="21"/>
          <w:szCs w:val="21"/>
          <w:lang w:val="en-GB"/>
        </w:rPr>
        <w:endnoteReference w:id="8"/>
      </w:r>
      <w:r w:rsidR="004F5A49" w:rsidRPr="006B6CE8">
        <w:rPr>
          <w:sz w:val="21"/>
          <w:szCs w:val="21"/>
          <w:lang w:val="en-GB"/>
        </w:rPr>
        <w:t>; Women with disabilities are less likely to access sexual and reproductive health (target 7)</w:t>
      </w:r>
      <w:r w:rsidR="004F5A49" w:rsidRPr="006B6CE8">
        <w:rPr>
          <w:rStyle w:val="EndnoteReference"/>
          <w:sz w:val="21"/>
          <w:szCs w:val="21"/>
          <w:lang w:val="en-US"/>
        </w:rPr>
        <w:endnoteReference w:id="9"/>
      </w:r>
      <w:r w:rsidR="004F5A49" w:rsidRPr="006B6CE8">
        <w:rPr>
          <w:sz w:val="21"/>
          <w:szCs w:val="21"/>
          <w:lang w:val="en-GB"/>
        </w:rPr>
        <w:t xml:space="preserve">; </w:t>
      </w:r>
      <w:r w:rsidR="00C93835" w:rsidRPr="006B6CE8">
        <w:rPr>
          <w:sz w:val="21"/>
          <w:szCs w:val="21"/>
          <w:lang w:val="en-GB"/>
        </w:rPr>
        <w:t xml:space="preserve">persons with disabilities are less likely </w:t>
      </w:r>
      <w:r w:rsidR="00E40A81" w:rsidRPr="006B6CE8">
        <w:rPr>
          <w:sz w:val="21"/>
          <w:szCs w:val="21"/>
          <w:lang w:val="en-GB"/>
        </w:rPr>
        <w:t xml:space="preserve">to access </w:t>
      </w:r>
      <w:r w:rsidR="00A16DD7" w:rsidRPr="006B6CE8">
        <w:rPr>
          <w:sz w:val="21"/>
          <w:szCs w:val="21"/>
          <w:lang w:val="en-GB"/>
        </w:rPr>
        <w:t>health services or experience discrimination from health care providers  (target 8)</w:t>
      </w:r>
      <w:r w:rsidR="00A16DD7" w:rsidRPr="006B6CE8">
        <w:rPr>
          <w:rStyle w:val="EndnoteReference"/>
          <w:sz w:val="21"/>
          <w:szCs w:val="21"/>
          <w:lang w:val="en-GB"/>
        </w:rPr>
        <w:t xml:space="preserve"> </w:t>
      </w:r>
      <w:r w:rsidR="00A16DD7" w:rsidRPr="006B6CE8">
        <w:rPr>
          <w:rStyle w:val="EndnoteReference"/>
          <w:sz w:val="21"/>
          <w:szCs w:val="21"/>
        </w:rPr>
        <w:endnoteReference w:id="10"/>
      </w:r>
      <w:r w:rsidR="00A16DD7" w:rsidRPr="006B6CE8">
        <w:rPr>
          <w:sz w:val="21"/>
          <w:szCs w:val="21"/>
          <w:lang w:val="en-GB"/>
        </w:rPr>
        <w:t xml:space="preserve">; and persons with disabilities </w:t>
      </w:r>
      <w:r w:rsidR="00BE4871" w:rsidRPr="006B6CE8">
        <w:rPr>
          <w:sz w:val="21"/>
          <w:szCs w:val="21"/>
          <w:lang w:val="en-GB"/>
        </w:rPr>
        <w:t>may</w:t>
      </w:r>
      <w:r w:rsidR="00A16DD7" w:rsidRPr="006B6CE8">
        <w:rPr>
          <w:sz w:val="21"/>
          <w:szCs w:val="21"/>
          <w:lang w:val="en-GB"/>
        </w:rPr>
        <w:t xml:space="preserve"> be more vulnerable to hazardous pollution and contamination (target 9)</w:t>
      </w:r>
      <w:r w:rsidR="00A16DD7" w:rsidRPr="006B6CE8">
        <w:rPr>
          <w:rStyle w:val="EndnoteReference"/>
          <w:sz w:val="21"/>
          <w:szCs w:val="21"/>
          <w:lang w:val="en-GB"/>
        </w:rPr>
        <w:endnoteReference w:id="11"/>
      </w:r>
      <w:r w:rsidR="00A16DD7" w:rsidRPr="006B6CE8">
        <w:rPr>
          <w:sz w:val="21"/>
          <w:szCs w:val="21"/>
          <w:lang w:val="en-GB"/>
        </w:rPr>
        <w:t xml:space="preserve">. </w:t>
      </w:r>
      <w:r w:rsidR="00036BF4" w:rsidRPr="006B6CE8">
        <w:rPr>
          <w:sz w:val="21"/>
          <w:szCs w:val="21"/>
          <w:lang w:val="en-GB"/>
        </w:rPr>
        <w:t>Despite clear evidence that we are moving towards a society where for the first time global health impacts are more relating to disability than death, this is poorly reflected within the Goal 3 indicators.</w:t>
      </w:r>
    </w:p>
    <w:p w14:paraId="270B6864" w14:textId="77777777" w:rsidR="00574D97" w:rsidRPr="006B6CE8" w:rsidRDefault="00574D97" w:rsidP="003201CF">
      <w:pPr>
        <w:spacing w:after="0" w:line="240" w:lineRule="auto"/>
        <w:contextualSpacing/>
        <w:jc w:val="both"/>
        <w:rPr>
          <w:sz w:val="21"/>
          <w:szCs w:val="21"/>
          <w:lang w:val="en-GB"/>
        </w:rPr>
      </w:pPr>
    </w:p>
    <w:p w14:paraId="6E4A9CE9" w14:textId="77777777" w:rsidR="007B0C9E" w:rsidRPr="006B6CE8" w:rsidRDefault="00A43662" w:rsidP="003201CF">
      <w:pPr>
        <w:spacing w:after="120" w:line="240" w:lineRule="auto"/>
        <w:contextualSpacing/>
        <w:jc w:val="both"/>
        <w:rPr>
          <w:b/>
          <w:sz w:val="21"/>
          <w:szCs w:val="21"/>
          <w:lang w:val="en-GB"/>
        </w:rPr>
      </w:pPr>
      <w:r w:rsidRPr="006B6CE8">
        <w:rPr>
          <w:b/>
          <w:sz w:val="21"/>
          <w:szCs w:val="21"/>
          <w:lang w:val="en-GB"/>
        </w:rPr>
        <w:t>Accelerating Progress to achieve Universal Health Coverage for all persons with disabilities</w:t>
      </w:r>
    </w:p>
    <w:p w14:paraId="2A7C2FB8" w14:textId="281DF766" w:rsidR="00A43662" w:rsidRPr="006B6CE8" w:rsidRDefault="004F5A49" w:rsidP="003201CF">
      <w:pPr>
        <w:spacing w:after="0" w:line="240" w:lineRule="auto"/>
        <w:contextualSpacing/>
        <w:jc w:val="both"/>
        <w:rPr>
          <w:sz w:val="21"/>
          <w:szCs w:val="21"/>
          <w:lang w:val="en-GB"/>
        </w:rPr>
      </w:pPr>
      <w:r w:rsidRPr="006B6CE8">
        <w:rPr>
          <w:sz w:val="21"/>
          <w:szCs w:val="21"/>
          <w:lang w:val="en-GB"/>
        </w:rPr>
        <w:t xml:space="preserve">Of all the targets, however, </w:t>
      </w:r>
      <w:r w:rsidR="00A43662" w:rsidRPr="006B6CE8">
        <w:rPr>
          <w:sz w:val="21"/>
          <w:szCs w:val="21"/>
          <w:lang w:val="en-GB"/>
        </w:rPr>
        <w:t xml:space="preserve">Universal health coverage (UHC) </w:t>
      </w:r>
      <w:r w:rsidR="008313D8" w:rsidRPr="006B6CE8">
        <w:rPr>
          <w:sz w:val="21"/>
          <w:szCs w:val="21"/>
          <w:lang w:val="en-GB"/>
        </w:rPr>
        <w:t xml:space="preserve">is </w:t>
      </w:r>
      <w:r w:rsidRPr="006B6CE8">
        <w:rPr>
          <w:sz w:val="21"/>
          <w:szCs w:val="21"/>
          <w:lang w:val="en-GB"/>
        </w:rPr>
        <w:t>the most</w:t>
      </w:r>
      <w:r w:rsidR="008313D8" w:rsidRPr="006B6CE8">
        <w:rPr>
          <w:sz w:val="21"/>
          <w:szCs w:val="21"/>
          <w:lang w:val="en-GB"/>
        </w:rPr>
        <w:t xml:space="preserve"> powerful tool </w:t>
      </w:r>
      <w:r w:rsidR="006778EE" w:rsidRPr="006B6CE8">
        <w:rPr>
          <w:sz w:val="21"/>
          <w:szCs w:val="21"/>
          <w:lang w:val="en-GB"/>
        </w:rPr>
        <w:t xml:space="preserve">to address this gap, achieve </w:t>
      </w:r>
      <w:r w:rsidR="008313D8" w:rsidRPr="006B6CE8">
        <w:rPr>
          <w:sz w:val="21"/>
          <w:szCs w:val="21"/>
          <w:lang w:val="en-GB"/>
        </w:rPr>
        <w:t>equity and leave no one behind</w:t>
      </w:r>
      <w:r w:rsidRPr="006B6CE8">
        <w:rPr>
          <w:sz w:val="21"/>
          <w:szCs w:val="21"/>
          <w:lang w:val="en-GB"/>
        </w:rPr>
        <w:t>.</w:t>
      </w:r>
      <w:r w:rsidR="008313D8" w:rsidRPr="006B6CE8">
        <w:rPr>
          <w:sz w:val="21"/>
          <w:szCs w:val="21"/>
          <w:lang w:val="en-GB"/>
        </w:rPr>
        <w:t xml:space="preserve"> </w:t>
      </w:r>
      <w:r w:rsidRPr="006B6CE8">
        <w:rPr>
          <w:sz w:val="21"/>
          <w:szCs w:val="21"/>
          <w:lang w:val="en-GB"/>
        </w:rPr>
        <w:t>I</w:t>
      </w:r>
      <w:r w:rsidR="008313D8" w:rsidRPr="006B6CE8">
        <w:rPr>
          <w:sz w:val="21"/>
          <w:szCs w:val="21"/>
          <w:lang w:val="en-GB"/>
        </w:rPr>
        <w:t>f fully implemented</w:t>
      </w:r>
      <w:r w:rsidR="007B3339" w:rsidRPr="006B6CE8">
        <w:rPr>
          <w:sz w:val="21"/>
          <w:szCs w:val="21"/>
          <w:lang w:val="en-GB"/>
        </w:rPr>
        <w:t>,</w:t>
      </w:r>
      <w:r w:rsidRPr="006B6CE8">
        <w:rPr>
          <w:sz w:val="21"/>
          <w:szCs w:val="21"/>
          <w:lang w:val="en-GB"/>
        </w:rPr>
        <w:t xml:space="preserve"> “</w:t>
      </w:r>
      <w:r w:rsidR="00A43662" w:rsidRPr="006B6CE8">
        <w:rPr>
          <w:i/>
          <w:sz w:val="21"/>
          <w:szCs w:val="21"/>
          <w:lang w:val="en-GB"/>
        </w:rPr>
        <w:t>all people and communities can use the promotive, preventive, curative, rehabilitative and palliative health services they need, of sufficient quality to be effective, while also ensuring that the use of these services does not expose the user to financial hardship</w:t>
      </w:r>
      <w:r w:rsidR="00A43662" w:rsidRPr="006B6CE8">
        <w:rPr>
          <w:sz w:val="21"/>
          <w:szCs w:val="21"/>
          <w:lang w:val="en-GB"/>
        </w:rPr>
        <w:t>.</w:t>
      </w:r>
      <w:r w:rsidR="00A43662" w:rsidRPr="006B6CE8">
        <w:rPr>
          <w:rStyle w:val="EndnoteReference"/>
          <w:sz w:val="21"/>
          <w:szCs w:val="21"/>
          <w:lang w:val="en-GB"/>
        </w:rPr>
        <w:endnoteReference w:id="12"/>
      </w:r>
      <w:r w:rsidR="00A43662" w:rsidRPr="006B6CE8">
        <w:rPr>
          <w:sz w:val="21"/>
          <w:szCs w:val="21"/>
          <w:lang w:val="en-GB"/>
        </w:rPr>
        <w:t xml:space="preserve"> </w:t>
      </w:r>
    </w:p>
    <w:p w14:paraId="793F8034" w14:textId="77777777" w:rsidR="008313D8" w:rsidRPr="006B6CE8" w:rsidRDefault="008313D8" w:rsidP="003201CF">
      <w:pPr>
        <w:pStyle w:val="NormalWeb"/>
        <w:spacing w:before="0" w:beforeAutospacing="0" w:after="0" w:afterAutospacing="0"/>
        <w:contextualSpacing/>
        <w:jc w:val="both"/>
        <w:rPr>
          <w:rFonts w:asciiTheme="minorHAnsi" w:hAnsiTheme="minorHAnsi"/>
          <w:sz w:val="21"/>
          <w:szCs w:val="21"/>
          <w:lang w:val="en-GB"/>
        </w:rPr>
      </w:pPr>
    </w:p>
    <w:p w14:paraId="14264D58" w14:textId="77777777" w:rsidR="008313D8" w:rsidRPr="006B6CE8" w:rsidRDefault="008313D8" w:rsidP="003201CF">
      <w:pPr>
        <w:spacing w:after="120" w:line="240" w:lineRule="auto"/>
        <w:contextualSpacing/>
        <w:jc w:val="both"/>
        <w:rPr>
          <w:b/>
          <w:sz w:val="21"/>
          <w:szCs w:val="21"/>
          <w:lang w:val="en-GB"/>
        </w:rPr>
      </w:pPr>
      <w:r w:rsidRPr="006B6CE8">
        <w:rPr>
          <w:b/>
          <w:sz w:val="21"/>
          <w:szCs w:val="21"/>
          <w:lang w:val="en-GB"/>
        </w:rPr>
        <w:t>Remove barriers for persons with disabilities to access health services</w:t>
      </w:r>
    </w:p>
    <w:p w14:paraId="1C71E597" w14:textId="5E161971" w:rsidR="00167CCE" w:rsidRPr="006B6CE8" w:rsidRDefault="004D6920" w:rsidP="003201CF">
      <w:pPr>
        <w:spacing w:after="0" w:line="240" w:lineRule="auto"/>
        <w:contextualSpacing/>
        <w:jc w:val="both"/>
        <w:rPr>
          <w:rFonts w:cs="Times New Roman"/>
          <w:sz w:val="21"/>
          <w:szCs w:val="21"/>
          <w:lang w:val="en-US"/>
        </w:rPr>
      </w:pPr>
      <w:r w:rsidRPr="006B6CE8">
        <w:rPr>
          <w:rFonts w:cs="Times New Roman"/>
          <w:sz w:val="21"/>
          <w:szCs w:val="21"/>
          <w:lang w:val="en-US"/>
        </w:rPr>
        <w:t>Persons with disabilities encounter communication, informational, attitudinal and physical barriers to achieving the highest attainable standard of health, and face additional barriers in accessing healthcare services compared to persons without disabilities.</w:t>
      </w:r>
      <w:r w:rsidRPr="006B6CE8">
        <w:rPr>
          <w:rStyle w:val="EndnoteReference"/>
          <w:sz w:val="21"/>
          <w:szCs w:val="21"/>
          <w:lang w:val="en-US"/>
        </w:rPr>
        <w:endnoteReference w:id="13"/>
      </w:r>
      <w:r w:rsidRPr="006B6CE8">
        <w:rPr>
          <w:sz w:val="21"/>
          <w:szCs w:val="21"/>
          <w:lang w:val="en-US"/>
        </w:rPr>
        <w:t xml:space="preserve"> </w:t>
      </w:r>
      <w:r w:rsidRPr="006B6CE8">
        <w:rPr>
          <w:rFonts w:cs="Times New Roman"/>
          <w:sz w:val="21"/>
          <w:szCs w:val="21"/>
          <w:lang w:val="en-US"/>
        </w:rPr>
        <w:t>Other barriers include lack of disability awareness among health workers, which can lead to persons with d</w:t>
      </w:r>
      <w:r w:rsidR="00697361" w:rsidRPr="006B6CE8">
        <w:rPr>
          <w:rFonts w:cs="Times New Roman"/>
          <w:sz w:val="21"/>
          <w:szCs w:val="21"/>
          <w:lang w:val="en-US"/>
        </w:rPr>
        <w:t xml:space="preserve">isabilities being denied health </w:t>
      </w:r>
      <w:r w:rsidRPr="006B6CE8">
        <w:rPr>
          <w:rFonts w:cs="Times New Roman"/>
          <w:sz w:val="21"/>
          <w:szCs w:val="21"/>
          <w:lang w:val="en-US"/>
        </w:rPr>
        <w:t xml:space="preserve">care and other health services. </w:t>
      </w:r>
    </w:p>
    <w:p w14:paraId="30169956" w14:textId="77777777" w:rsidR="00697361" w:rsidRPr="006B6CE8" w:rsidRDefault="00697361" w:rsidP="003201CF">
      <w:pPr>
        <w:spacing w:after="0" w:line="240" w:lineRule="auto"/>
        <w:contextualSpacing/>
        <w:jc w:val="both"/>
        <w:rPr>
          <w:rFonts w:cs="Times New Roman"/>
          <w:sz w:val="21"/>
          <w:szCs w:val="21"/>
          <w:lang w:val="en-US"/>
        </w:rPr>
      </w:pPr>
    </w:p>
    <w:p w14:paraId="5881834F" w14:textId="77777777" w:rsidR="00167CCE" w:rsidRDefault="00167CCE" w:rsidP="003201CF">
      <w:pPr>
        <w:spacing w:after="0" w:line="240" w:lineRule="auto"/>
        <w:contextualSpacing/>
        <w:jc w:val="both"/>
        <w:rPr>
          <w:sz w:val="21"/>
          <w:szCs w:val="21"/>
          <w:lang w:val="en-GB"/>
        </w:rPr>
      </w:pPr>
      <w:r w:rsidRPr="006B6CE8">
        <w:rPr>
          <w:rFonts w:cs="Times New Roman"/>
          <w:sz w:val="21"/>
          <w:szCs w:val="21"/>
          <w:lang w:val="en-GB"/>
        </w:rPr>
        <w:t>Health systems and all its six building blocks must be strengthened so that quality essential healthcare services are inclusive of and accessible to persons with disabilities.  Furthermore, t</w:t>
      </w:r>
      <w:r w:rsidR="00565250" w:rsidRPr="006B6CE8">
        <w:rPr>
          <w:sz w:val="21"/>
          <w:szCs w:val="21"/>
          <w:lang w:val="en-GB"/>
        </w:rPr>
        <w:t>he Committee on Economic, Social and Cultural Rights has recommended that health facilities, goods and services be located within safe physical reach for all sections of the population, especially vulnerable or marginalized groups, such as persons with disabilities.</w:t>
      </w:r>
      <w:r w:rsidR="00565250" w:rsidRPr="006B6CE8">
        <w:rPr>
          <w:rStyle w:val="EndnoteReference"/>
          <w:sz w:val="21"/>
          <w:szCs w:val="21"/>
          <w:lang w:val="en-GB"/>
        </w:rPr>
        <w:endnoteReference w:id="14"/>
      </w:r>
      <w:r w:rsidRPr="006B6CE8">
        <w:rPr>
          <w:sz w:val="21"/>
          <w:szCs w:val="21"/>
          <w:lang w:val="en-GB"/>
        </w:rPr>
        <w:t xml:space="preserve"> Health facilities must be </w:t>
      </w:r>
      <w:r w:rsidRPr="006B6CE8">
        <w:rPr>
          <w:rFonts w:cs="Times New Roman"/>
          <w:sz w:val="21"/>
          <w:szCs w:val="21"/>
          <w:lang w:val="en-GB"/>
        </w:rPr>
        <w:t xml:space="preserve">gender sensitive, scientifically and medically appropriate, of good quality and respectful of medical ethics, including autonomy and non-discrimination. </w:t>
      </w:r>
      <w:r w:rsidRPr="006B6CE8">
        <w:rPr>
          <w:sz w:val="21"/>
          <w:szCs w:val="21"/>
          <w:lang w:val="en-GB"/>
        </w:rPr>
        <w:t>Ensuring access to healthcare services, including rehabilitation, contributes towards the empowerment of persons with disability fully participating and contributing within society.</w:t>
      </w:r>
    </w:p>
    <w:p w14:paraId="0149304F" w14:textId="1BDB2B61" w:rsidR="006B6CE8" w:rsidRPr="006B6CE8" w:rsidRDefault="008313D8" w:rsidP="003201CF">
      <w:pPr>
        <w:spacing w:after="120" w:line="240" w:lineRule="auto"/>
        <w:contextualSpacing/>
        <w:jc w:val="both"/>
        <w:rPr>
          <w:b/>
          <w:sz w:val="21"/>
          <w:szCs w:val="21"/>
          <w:lang w:val="en-GB"/>
        </w:rPr>
      </w:pPr>
      <w:r w:rsidRPr="006B6CE8">
        <w:rPr>
          <w:b/>
          <w:sz w:val="21"/>
          <w:szCs w:val="21"/>
          <w:lang w:val="en-GB"/>
        </w:rPr>
        <w:t>Ensure participation and inclusion of persons with disabilities in health systems development</w:t>
      </w:r>
    </w:p>
    <w:p w14:paraId="1C7B7B33" w14:textId="77777777" w:rsidR="003201CF" w:rsidRDefault="008313D8" w:rsidP="003201CF">
      <w:pPr>
        <w:spacing w:after="0" w:line="240" w:lineRule="auto"/>
        <w:contextualSpacing/>
        <w:jc w:val="both"/>
        <w:rPr>
          <w:sz w:val="21"/>
          <w:szCs w:val="21"/>
          <w:lang w:val="en-GB"/>
        </w:rPr>
      </w:pPr>
      <w:r w:rsidRPr="006B6CE8">
        <w:rPr>
          <w:sz w:val="21"/>
          <w:szCs w:val="21"/>
          <w:lang w:val="en-GB"/>
        </w:rPr>
        <w:lastRenderedPageBreak/>
        <w:t>The full participation of affected communities in the development, implementation and monitoring of policy has a positive impact on health outcomes and on the realization of their human rights. Ensuring their participation supports the development of responses that are relevant to the context and ensures that policies are effective.</w:t>
      </w:r>
      <w:r w:rsidR="004D6920" w:rsidRPr="006B6CE8">
        <w:rPr>
          <w:rStyle w:val="EndnoteReference"/>
          <w:sz w:val="21"/>
          <w:szCs w:val="21"/>
          <w:lang w:val="en-GB"/>
        </w:rPr>
        <w:endnoteReference w:id="15"/>
      </w:r>
      <w:r w:rsidR="004D6920" w:rsidRPr="006B6CE8">
        <w:rPr>
          <w:sz w:val="21"/>
          <w:szCs w:val="21"/>
          <w:lang w:val="en-GB"/>
        </w:rPr>
        <w:t xml:space="preserve"> </w:t>
      </w:r>
      <w:r w:rsidR="00167CCE" w:rsidRPr="006B6CE8">
        <w:rPr>
          <w:sz w:val="21"/>
          <w:szCs w:val="21"/>
          <w:lang w:val="en-GB"/>
        </w:rPr>
        <w:t xml:space="preserve"> The meaningful participation of persons with disabilities during all stages of planning and implementation is </w:t>
      </w:r>
      <w:r w:rsidR="007218C5" w:rsidRPr="006B6CE8">
        <w:rPr>
          <w:sz w:val="21"/>
          <w:szCs w:val="21"/>
          <w:lang w:val="en-GB"/>
        </w:rPr>
        <w:t>envisaged in article 4 (3) of the Convention on the Rights of Persons with Disabilities and recommended by the Committee on Economic, Social and Cultural Rights in its gen</w:t>
      </w:r>
      <w:r w:rsidR="003201CF">
        <w:rPr>
          <w:sz w:val="21"/>
          <w:szCs w:val="21"/>
          <w:lang w:val="en-GB"/>
        </w:rPr>
        <w:t>eral comment No. 14 (para. 54).</w:t>
      </w:r>
    </w:p>
    <w:p w14:paraId="48E1C8EF" w14:textId="4687D1E4" w:rsidR="00167CCE" w:rsidRPr="006B6CE8" w:rsidRDefault="00167CCE" w:rsidP="003201CF">
      <w:pPr>
        <w:spacing w:after="0" w:line="240" w:lineRule="auto"/>
        <w:contextualSpacing/>
        <w:jc w:val="both"/>
        <w:rPr>
          <w:sz w:val="21"/>
          <w:szCs w:val="21"/>
          <w:lang w:val="en-GB"/>
        </w:rPr>
      </w:pPr>
    </w:p>
    <w:p w14:paraId="18E664F3" w14:textId="77777777" w:rsidR="008313D8" w:rsidRPr="006B6CE8" w:rsidRDefault="008313D8" w:rsidP="003201CF">
      <w:pPr>
        <w:spacing w:after="120" w:line="240" w:lineRule="auto"/>
        <w:contextualSpacing/>
        <w:jc w:val="both"/>
        <w:rPr>
          <w:b/>
          <w:sz w:val="21"/>
          <w:szCs w:val="21"/>
          <w:lang w:val="en-GB"/>
        </w:rPr>
      </w:pPr>
      <w:r w:rsidRPr="006B6CE8">
        <w:rPr>
          <w:b/>
          <w:sz w:val="21"/>
          <w:szCs w:val="21"/>
          <w:lang w:val="en-GB"/>
        </w:rPr>
        <w:t>Eliminate the financial burden and discriminatory practices in health financing</w:t>
      </w:r>
    </w:p>
    <w:p w14:paraId="07A5E3AD" w14:textId="4FFA2A58" w:rsidR="00E72ECA" w:rsidRPr="006B6CE8" w:rsidRDefault="004D6920" w:rsidP="003201CF">
      <w:pPr>
        <w:spacing w:after="0" w:line="240" w:lineRule="auto"/>
        <w:contextualSpacing/>
        <w:jc w:val="both"/>
        <w:rPr>
          <w:sz w:val="21"/>
          <w:szCs w:val="21"/>
          <w:lang w:val="en-GB"/>
        </w:rPr>
      </w:pPr>
      <w:r w:rsidRPr="006B6CE8">
        <w:rPr>
          <w:sz w:val="21"/>
          <w:szCs w:val="21"/>
          <w:lang w:val="en-GB"/>
        </w:rPr>
        <w:t>Of all persons with disabilities, half cannot afford required health care; people with disabilities are also 50% more likely than those without disability to suffer catastrophic health expenditures.</w:t>
      </w:r>
      <w:r w:rsidRPr="006B6CE8">
        <w:rPr>
          <w:rStyle w:val="EndnoteReference"/>
          <w:sz w:val="21"/>
          <w:szCs w:val="21"/>
        </w:rPr>
        <w:endnoteReference w:id="16"/>
      </w:r>
      <w:r w:rsidRPr="006B6CE8">
        <w:rPr>
          <w:sz w:val="21"/>
          <w:szCs w:val="21"/>
          <w:lang w:val="en-GB"/>
        </w:rPr>
        <w:t xml:space="preserve">  Furthermore, a major review by the London School of Hygiene and Tropical Medicine highlighted the significant economic costs of excluding persons with disabilities, and the gains of inclusion.</w:t>
      </w:r>
      <w:r w:rsidRPr="006B6CE8">
        <w:rPr>
          <w:rStyle w:val="EndnoteReference"/>
          <w:sz w:val="21"/>
          <w:szCs w:val="21"/>
        </w:rPr>
        <w:endnoteReference w:id="17"/>
      </w:r>
      <w:r w:rsidRPr="006B6CE8">
        <w:rPr>
          <w:sz w:val="21"/>
          <w:szCs w:val="21"/>
          <w:lang w:val="en-GB"/>
        </w:rPr>
        <w:t xml:space="preserve"> Existing health financing and social protection systems frequently fail to protect persons with disabilities and their families from financial risks associated with using available health services</w:t>
      </w:r>
      <w:r w:rsidR="00167CCE" w:rsidRPr="006B6CE8">
        <w:rPr>
          <w:sz w:val="21"/>
          <w:szCs w:val="21"/>
          <w:lang w:val="en-GB"/>
        </w:rPr>
        <w:t>.</w:t>
      </w:r>
      <w:r w:rsidR="00697361" w:rsidRPr="006B6CE8">
        <w:rPr>
          <w:sz w:val="21"/>
          <w:szCs w:val="21"/>
          <w:lang w:val="en-GB"/>
        </w:rPr>
        <w:t xml:space="preserve"> </w:t>
      </w:r>
      <w:r w:rsidR="00167CCE" w:rsidRPr="006B6CE8">
        <w:rPr>
          <w:sz w:val="21"/>
          <w:szCs w:val="21"/>
          <w:lang w:val="en-GB"/>
        </w:rPr>
        <w:t xml:space="preserve">Public health financing and health insurances must be fully inclusive of persons with disabilities and any discrimination on the basis </w:t>
      </w:r>
      <w:r w:rsidR="00E72ECA" w:rsidRPr="006B6CE8">
        <w:rPr>
          <w:rFonts w:cs="Times New Roman"/>
          <w:sz w:val="21"/>
          <w:szCs w:val="21"/>
          <w:lang w:val="en-GB"/>
        </w:rPr>
        <w:t xml:space="preserve">of disability by private health insurance companies </w:t>
      </w:r>
      <w:r w:rsidR="00167CCE" w:rsidRPr="006B6CE8">
        <w:rPr>
          <w:rFonts w:cs="Times New Roman"/>
          <w:sz w:val="21"/>
          <w:szCs w:val="21"/>
          <w:lang w:val="en-GB"/>
        </w:rPr>
        <w:t>must be prohibited.</w:t>
      </w:r>
    </w:p>
    <w:p w14:paraId="021C1A66" w14:textId="77777777" w:rsidR="004D6920" w:rsidRPr="006B6CE8" w:rsidRDefault="004D6920" w:rsidP="003201CF">
      <w:pPr>
        <w:spacing w:after="0" w:line="240" w:lineRule="auto"/>
        <w:contextualSpacing/>
        <w:jc w:val="both"/>
        <w:rPr>
          <w:rFonts w:cs="Times New Roman"/>
          <w:sz w:val="21"/>
          <w:szCs w:val="21"/>
          <w:lang w:val="en-GB"/>
        </w:rPr>
      </w:pPr>
    </w:p>
    <w:p w14:paraId="0B2D7786" w14:textId="77777777" w:rsidR="00167CCE" w:rsidRPr="006B6CE8" w:rsidRDefault="008313D8" w:rsidP="003201CF">
      <w:pPr>
        <w:spacing w:after="120" w:line="240" w:lineRule="auto"/>
        <w:contextualSpacing/>
        <w:jc w:val="both"/>
        <w:rPr>
          <w:b/>
          <w:sz w:val="21"/>
          <w:szCs w:val="21"/>
          <w:lang w:val="en-GB"/>
        </w:rPr>
      </w:pPr>
      <w:r w:rsidRPr="006B6CE8">
        <w:rPr>
          <w:b/>
          <w:sz w:val="21"/>
          <w:szCs w:val="21"/>
          <w:lang w:val="en-GB"/>
        </w:rPr>
        <w:t xml:space="preserve">Strengthen rehabilitation services </w:t>
      </w:r>
      <w:r w:rsidR="00167CCE" w:rsidRPr="006B6CE8">
        <w:rPr>
          <w:b/>
          <w:sz w:val="21"/>
          <w:szCs w:val="21"/>
          <w:lang w:val="en-GB"/>
        </w:rPr>
        <w:t>and access to assistive devices</w:t>
      </w:r>
    </w:p>
    <w:p w14:paraId="77947786" w14:textId="21EE66B0" w:rsidR="00E72ECA" w:rsidRPr="006B6CE8" w:rsidRDefault="004D6920" w:rsidP="003201CF">
      <w:pPr>
        <w:spacing w:after="0" w:line="240" w:lineRule="auto"/>
        <w:contextualSpacing/>
        <w:jc w:val="both"/>
        <w:rPr>
          <w:sz w:val="21"/>
          <w:szCs w:val="21"/>
          <w:lang w:val="en-GB"/>
        </w:rPr>
      </w:pPr>
      <w:r w:rsidRPr="006B6CE8">
        <w:rPr>
          <w:sz w:val="21"/>
          <w:szCs w:val="21"/>
          <w:lang w:val="en-GB"/>
        </w:rPr>
        <w:t>Disability inclusion and rehabilitation services are broadly overlooked in global health planning and budgets. For example, despite its clear disabling consequences, the Global Polio Eradication Initiative contains no specific budget for meeting the needs of people who have impairments caused by polio.</w:t>
      </w:r>
      <w:r w:rsidRPr="006B6CE8">
        <w:rPr>
          <w:rStyle w:val="EndnoteReference"/>
          <w:sz w:val="21"/>
          <w:szCs w:val="21"/>
        </w:rPr>
        <w:endnoteReference w:id="18"/>
      </w:r>
      <w:r w:rsidRPr="006B6CE8">
        <w:rPr>
          <w:sz w:val="21"/>
          <w:szCs w:val="21"/>
          <w:lang w:val="en-GB"/>
        </w:rPr>
        <w:t xml:space="preserve">  A recent systematic review suggested that rehabilitation services may well be cost effective for many health conditions.</w:t>
      </w:r>
      <w:r w:rsidRPr="006B6CE8">
        <w:rPr>
          <w:rStyle w:val="EndnoteReference"/>
          <w:sz w:val="21"/>
          <w:szCs w:val="21"/>
        </w:rPr>
        <w:endnoteReference w:id="19"/>
      </w:r>
      <w:r w:rsidR="00697361" w:rsidRPr="006B6CE8">
        <w:rPr>
          <w:sz w:val="21"/>
          <w:szCs w:val="21"/>
          <w:lang w:val="en-GB"/>
        </w:rPr>
        <w:t xml:space="preserve"> </w:t>
      </w:r>
      <w:r w:rsidR="00E02009" w:rsidRPr="006B6CE8">
        <w:rPr>
          <w:sz w:val="21"/>
          <w:szCs w:val="21"/>
          <w:lang w:val="en-GB"/>
        </w:rPr>
        <w:t xml:space="preserve">Health and Social policies need to ensure </w:t>
      </w:r>
      <w:r w:rsidR="00E02009" w:rsidRPr="006B6CE8">
        <w:rPr>
          <w:rFonts w:cs="Times New Roman"/>
          <w:sz w:val="21"/>
          <w:szCs w:val="21"/>
          <w:lang w:val="en-GB"/>
        </w:rPr>
        <w:t>continuous access to rehabilitation and the provision of</w:t>
      </w:r>
      <w:r w:rsidR="00E02009" w:rsidRPr="006B6CE8">
        <w:rPr>
          <w:sz w:val="21"/>
          <w:szCs w:val="21"/>
          <w:lang w:val="en-GB"/>
        </w:rPr>
        <w:t xml:space="preserve"> </w:t>
      </w:r>
      <w:r w:rsidR="00E72ECA" w:rsidRPr="006B6CE8">
        <w:rPr>
          <w:rFonts w:cs="Times New Roman"/>
          <w:sz w:val="21"/>
          <w:szCs w:val="21"/>
          <w:lang w:val="en-GB"/>
        </w:rPr>
        <w:t>well designed, easily usable and affordable assistive devices in a timely manner.</w:t>
      </w:r>
    </w:p>
    <w:p w14:paraId="15BA58E0" w14:textId="77777777" w:rsidR="004D6920" w:rsidRPr="006B6CE8" w:rsidRDefault="004D6920" w:rsidP="003201CF">
      <w:pPr>
        <w:spacing w:after="0" w:line="240" w:lineRule="auto"/>
        <w:contextualSpacing/>
        <w:jc w:val="both"/>
        <w:rPr>
          <w:rFonts w:cs="Times New Roman"/>
          <w:sz w:val="21"/>
          <w:szCs w:val="21"/>
          <w:lang w:val="en-GB"/>
        </w:rPr>
      </w:pPr>
    </w:p>
    <w:p w14:paraId="28F05355" w14:textId="77777777" w:rsidR="004D6920" w:rsidRPr="006B6CE8" w:rsidRDefault="004D6920" w:rsidP="003201CF">
      <w:pPr>
        <w:spacing w:after="120" w:line="240" w:lineRule="auto"/>
        <w:contextualSpacing/>
        <w:jc w:val="both"/>
        <w:rPr>
          <w:b/>
          <w:sz w:val="21"/>
          <w:szCs w:val="21"/>
          <w:lang w:val="en-GB"/>
        </w:rPr>
      </w:pPr>
      <w:r w:rsidRPr="006B6CE8">
        <w:rPr>
          <w:b/>
          <w:sz w:val="21"/>
          <w:szCs w:val="21"/>
          <w:lang w:val="en-GB"/>
        </w:rPr>
        <w:t xml:space="preserve">Scale up in </w:t>
      </w:r>
      <w:r w:rsidR="00E02009" w:rsidRPr="006B6CE8">
        <w:rPr>
          <w:b/>
          <w:sz w:val="21"/>
          <w:szCs w:val="21"/>
          <w:lang w:val="en-GB"/>
        </w:rPr>
        <w:t xml:space="preserve">non-discriminatory </w:t>
      </w:r>
      <w:r w:rsidRPr="006B6CE8">
        <w:rPr>
          <w:b/>
          <w:sz w:val="21"/>
          <w:szCs w:val="21"/>
          <w:lang w:val="en-GB"/>
        </w:rPr>
        <w:t>mental health</w:t>
      </w:r>
      <w:r w:rsidR="00E02009" w:rsidRPr="006B6CE8">
        <w:rPr>
          <w:b/>
          <w:sz w:val="21"/>
          <w:szCs w:val="21"/>
          <w:lang w:val="en-GB"/>
        </w:rPr>
        <w:t xml:space="preserve"> services</w:t>
      </w:r>
    </w:p>
    <w:p w14:paraId="26B9A212" w14:textId="709547C2" w:rsidR="00E02009" w:rsidRPr="006B6CE8" w:rsidRDefault="00697361" w:rsidP="003201CF">
      <w:pPr>
        <w:spacing w:after="0" w:line="240" w:lineRule="auto"/>
        <w:contextualSpacing/>
        <w:jc w:val="both"/>
        <w:rPr>
          <w:rFonts w:cs="Times New Roman"/>
          <w:sz w:val="21"/>
          <w:szCs w:val="21"/>
          <w:lang w:val="en-US"/>
        </w:rPr>
      </w:pPr>
      <w:r w:rsidRPr="006B6CE8">
        <w:rPr>
          <w:rFonts w:cs="Times New Roman"/>
          <w:sz w:val="21"/>
          <w:szCs w:val="21"/>
          <w:lang w:val="en-US"/>
        </w:rPr>
        <w:t>Mental health and well</w:t>
      </w:r>
      <w:r w:rsidR="004D6920" w:rsidRPr="006B6CE8">
        <w:rPr>
          <w:rFonts w:cs="Times New Roman"/>
          <w:sz w:val="21"/>
          <w:szCs w:val="21"/>
          <w:lang w:val="en-US"/>
        </w:rPr>
        <w:t xml:space="preserve">being are essential to society as a whole in which </w:t>
      </w:r>
      <w:r w:rsidR="004D6920" w:rsidRPr="006B6CE8">
        <w:rPr>
          <w:rFonts w:cs="Times New Roman"/>
          <w:sz w:val="21"/>
          <w:szCs w:val="21"/>
          <w:u w:val="single"/>
          <w:lang w:val="en-US"/>
        </w:rPr>
        <w:softHyphen/>
      </w:r>
      <w:r w:rsidR="004D6920" w:rsidRPr="006B6CE8">
        <w:rPr>
          <w:rFonts w:cs="Times New Roman"/>
          <w:sz w:val="21"/>
          <w:szCs w:val="21"/>
          <w:lang w:val="en-US"/>
        </w:rPr>
        <w:t>all people are able to realize their own abilities, enjoy personal freedoms and have the ability to shape and lead, on one’s own terms, a fulfilling life. A</w:t>
      </w:r>
      <w:r w:rsidRPr="006B6CE8">
        <w:rPr>
          <w:rFonts w:cs="Times New Roman"/>
          <w:sz w:val="21"/>
          <w:szCs w:val="21"/>
          <w:lang w:val="en-US"/>
        </w:rPr>
        <w:t>chieving mental health and well</w:t>
      </w:r>
      <w:r w:rsidR="004D6920" w:rsidRPr="006B6CE8">
        <w:rPr>
          <w:rFonts w:cs="Times New Roman"/>
          <w:sz w:val="21"/>
          <w:szCs w:val="21"/>
          <w:lang w:val="en-US"/>
        </w:rPr>
        <w:t xml:space="preserve">being for all does not concern only, nor particularly, persons with disabilities. </w:t>
      </w:r>
    </w:p>
    <w:p w14:paraId="51E61F9D" w14:textId="77777777" w:rsidR="00697361" w:rsidRPr="006B6CE8" w:rsidRDefault="00697361" w:rsidP="003201CF">
      <w:pPr>
        <w:spacing w:after="0" w:line="240" w:lineRule="auto"/>
        <w:contextualSpacing/>
        <w:jc w:val="both"/>
        <w:rPr>
          <w:rFonts w:cs="Times New Roman"/>
          <w:sz w:val="21"/>
          <w:szCs w:val="21"/>
          <w:lang w:val="en-US"/>
        </w:rPr>
      </w:pPr>
    </w:p>
    <w:p w14:paraId="3A8B5D3D" w14:textId="33AC1DBA" w:rsidR="004D6920" w:rsidRPr="006B6CE8" w:rsidRDefault="00265FA7" w:rsidP="003201CF">
      <w:pPr>
        <w:spacing w:after="0" w:line="240" w:lineRule="auto"/>
        <w:contextualSpacing/>
        <w:jc w:val="both"/>
        <w:rPr>
          <w:rFonts w:eastAsia="Arial" w:cs="Times New Roman"/>
          <w:sz w:val="21"/>
          <w:szCs w:val="21"/>
          <w:lang w:val="en-US"/>
        </w:rPr>
      </w:pPr>
      <w:r w:rsidRPr="006B6CE8">
        <w:rPr>
          <w:rFonts w:cs="Times New Roman"/>
          <w:sz w:val="21"/>
          <w:szCs w:val="21"/>
          <w:lang w:val="en-US"/>
        </w:rPr>
        <w:t xml:space="preserve">The quantity </w:t>
      </w:r>
      <w:r w:rsidR="00E02009" w:rsidRPr="006B6CE8">
        <w:rPr>
          <w:rFonts w:cs="Times New Roman"/>
          <w:sz w:val="21"/>
          <w:szCs w:val="21"/>
          <w:lang w:val="en-US"/>
        </w:rPr>
        <w:t xml:space="preserve">and quality of mental health services </w:t>
      </w:r>
      <w:r w:rsidRPr="006B6CE8">
        <w:rPr>
          <w:rFonts w:cs="Times New Roman"/>
          <w:sz w:val="21"/>
          <w:szCs w:val="21"/>
          <w:lang w:val="en-US"/>
        </w:rPr>
        <w:t xml:space="preserve">need to be improved </w:t>
      </w:r>
      <w:r w:rsidR="00697361" w:rsidRPr="006B6CE8">
        <w:rPr>
          <w:rFonts w:cs="Times New Roman"/>
          <w:sz w:val="21"/>
          <w:szCs w:val="21"/>
          <w:lang w:val="en-US"/>
        </w:rPr>
        <w:t>within a</w:t>
      </w:r>
      <w:r w:rsidR="00E02009" w:rsidRPr="006B6CE8">
        <w:rPr>
          <w:rFonts w:cs="Times New Roman"/>
          <w:sz w:val="21"/>
          <w:szCs w:val="21"/>
          <w:lang w:val="en-US"/>
        </w:rPr>
        <w:t xml:space="preserve"> </w:t>
      </w:r>
      <w:r w:rsidR="00E02009" w:rsidRPr="006B6CE8">
        <w:rPr>
          <w:rFonts w:cs="Times New Roman"/>
          <w:sz w:val="21"/>
          <w:szCs w:val="21"/>
          <w:lang w:val="en-GB"/>
        </w:rPr>
        <w:t xml:space="preserve">legal and policy environment that is conducive to the realization of the human rights of persons with disabilities, including those with mental health conditions, psychosocial disabilities and intellectual disabilities. Involuntary treatment and forced institutionalization must be put to an end, </w:t>
      </w:r>
      <w:r w:rsidRPr="006B6CE8">
        <w:rPr>
          <w:rFonts w:cs="Times New Roman"/>
          <w:sz w:val="21"/>
          <w:szCs w:val="21"/>
          <w:lang w:val="en-GB"/>
        </w:rPr>
        <w:t xml:space="preserve">equally any </w:t>
      </w:r>
      <w:r w:rsidR="00E02009" w:rsidRPr="006B6CE8">
        <w:rPr>
          <w:rFonts w:cs="Times New Roman"/>
          <w:sz w:val="21"/>
          <w:szCs w:val="21"/>
          <w:lang w:val="en-GB"/>
        </w:rPr>
        <w:t>mental health policies</w:t>
      </w:r>
      <w:r w:rsidRPr="006B6CE8">
        <w:rPr>
          <w:rFonts w:cs="Times New Roman"/>
          <w:sz w:val="21"/>
          <w:szCs w:val="21"/>
          <w:lang w:val="en-GB"/>
        </w:rPr>
        <w:t xml:space="preserve"> which</w:t>
      </w:r>
      <w:r w:rsidR="00E02009" w:rsidRPr="006B6CE8">
        <w:rPr>
          <w:rFonts w:cs="Times New Roman"/>
          <w:sz w:val="21"/>
          <w:szCs w:val="21"/>
          <w:lang w:val="en-GB"/>
        </w:rPr>
        <w:t xml:space="preserve"> </w:t>
      </w:r>
      <w:r w:rsidR="004D6920" w:rsidRPr="006B6CE8">
        <w:rPr>
          <w:rFonts w:cs="Times New Roman"/>
          <w:sz w:val="21"/>
          <w:szCs w:val="21"/>
          <w:lang w:val="en-US"/>
        </w:rPr>
        <w:t>lead to discrimination, stigmatization and exclusion against persons with disabilities.</w:t>
      </w:r>
    </w:p>
    <w:p w14:paraId="0F84B8B1" w14:textId="77777777" w:rsidR="004D6920" w:rsidRPr="006B6CE8" w:rsidRDefault="004D6920" w:rsidP="003201CF">
      <w:pPr>
        <w:spacing w:after="0" w:line="240" w:lineRule="auto"/>
        <w:contextualSpacing/>
        <w:jc w:val="both"/>
        <w:rPr>
          <w:rFonts w:cs="Times New Roman"/>
          <w:sz w:val="21"/>
          <w:szCs w:val="21"/>
          <w:lang w:val="en-US"/>
        </w:rPr>
      </w:pPr>
    </w:p>
    <w:p w14:paraId="71AE155F" w14:textId="77777777" w:rsidR="008313D8" w:rsidRPr="006B6CE8" w:rsidRDefault="008313D8" w:rsidP="003201CF">
      <w:pPr>
        <w:spacing w:after="120" w:line="240" w:lineRule="auto"/>
        <w:contextualSpacing/>
        <w:jc w:val="both"/>
        <w:rPr>
          <w:b/>
          <w:sz w:val="21"/>
          <w:szCs w:val="21"/>
          <w:lang w:val="en-GB"/>
        </w:rPr>
      </w:pPr>
      <w:r w:rsidRPr="006B6CE8">
        <w:rPr>
          <w:b/>
          <w:sz w:val="21"/>
          <w:szCs w:val="21"/>
          <w:lang w:val="en-GB"/>
        </w:rPr>
        <w:t xml:space="preserve">Collect data and evidence </w:t>
      </w:r>
      <w:r w:rsidR="004D6920" w:rsidRPr="006B6CE8">
        <w:rPr>
          <w:b/>
          <w:sz w:val="21"/>
          <w:szCs w:val="21"/>
          <w:lang w:val="en-GB"/>
        </w:rPr>
        <w:t>on access to health by persons with disabilities</w:t>
      </w:r>
      <w:r w:rsidR="00E02009" w:rsidRPr="006B6CE8">
        <w:rPr>
          <w:b/>
          <w:sz w:val="21"/>
          <w:szCs w:val="21"/>
          <w:lang w:val="en-GB"/>
        </w:rPr>
        <w:t xml:space="preserve"> and their reach by UHC systems</w:t>
      </w:r>
    </w:p>
    <w:p w14:paraId="3CD2E287" w14:textId="35602520" w:rsidR="006B6CE8" w:rsidRPr="006B6CE8" w:rsidRDefault="00265FA7" w:rsidP="003201CF">
      <w:pPr>
        <w:spacing w:line="240" w:lineRule="auto"/>
        <w:contextualSpacing/>
        <w:jc w:val="both"/>
        <w:textAlignment w:val="baseline"/>
        <w:rPr>
          <w:rFonts w:cs="Times New Roman"/>
          <w:sz w:val="21"/>
          <w:szCs w:val="21"/>
          <w:lang w:val="en-GB"/>
        </w:rPr>
      </w:pPr>
      <w:r w:rsidRPr="006B6CE8">
        <w:rPr>
          <w:rFonts w:cs="Times New Roman"/>
          <w:sz w:val="21"/>
          <w:szCs w:val="21"/>
          <w:lang w:val="en-GB"/>
        </w:rPr>
        <w:t>Data in Health Information Systems need to be increasingly disaggregated by disability. Indicators to measure progress towards Universal Health Coverage need to be able to show the level of access to health services by persons with disabilities (compared to the general population), and the availability of quality rehabilitation services. Further qualitative evidence on accessibility of and inclusion in health systems needs to be created.</w:t>
      </w:r>
    </w:p>
    <w:sectPr w:rsidR="006B6CE8" w:rsidRPr="006B6CE8" w:rsidSect="00D3686B">
      <w:headerReference w:type="first" r:id="rId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2F7F9" w14:textId="77777777" w:rsidR="00135F00" w:rsidRDefault="00135F00" w:rsidP="00C71A81">
      <w:pPr>
        <w:spacing w:after="0" w:line="240" w:lineRule="auto"/>
      </w:pPr>
      <w:r>
        <w:separator/>
      </w:r>
    </w:p>
  </w:endnote>
  <w:endnote w:type="continuationSeparator" w:id="0">
    <w:p w14:paraId="65335904" w14:textId="77777777" w:rsidR="00135F00" w:rsidRDefault="00135F00" w:rsidP="00C71A81">
      <w:pPr>
        <w:spacing w:after="0" w:line="240" w:lineRule="auto"/>
      </w:pPr>
      <w:r>
        <w:continuationSeparator/>
      </w:r>
    </w:p>
  </w:endnote>
  <w:endnote w:id="1">
    <w:p w14:paraId="72C8AE0C" w14:textId="77777777" w:rsidR="007B0C9E" w:rsidRPr="003201CF" w:rsidRDefault="007B0C9E">
      <w:pPr>
        <w:pStyle w:val="EndnoteText"/>
        <w:rPr>
          <w:sz w:val="14"/>
          <w:szCs w:val="14"/>
          <w:lang w:val="en-GB"/>
        </w:rPr>
      </w:pPr>
      <w:r w:rsidRPr="003201CF">
        <w:rPr>
          <w:rStyle w:val="EndnoteReference"/>
          <w:sz w:val="14"/>
          <w:szCs w:val="14"/>
        </w:rPr>
        <w:endnoteRef/>
      </w:r>
      <w:r w:rsidRPr="003201CF">
        <w:rPr>
          <w:sz w:val="14"/>
          <w:szCs w:val="14"/>
        </w:rPr>
        <w:t xml:space="preserve"> </w:t>
      </w:r>
      <w:r w:rsidRPr="003201CF">
        <w:rPr>
          <w:rFonts w:eastAsia="Times New Roman"/>
          <w:sz w:val="14"/>
          <w:szCs w:val="14"/>
        </w:rPr>
        <w:t>Committee on Economic Social and Cultural Rights, General Comment No. 14 (2000). The Right to the Highest Attainable Standard of Health (Art. 12), para. 1.</w:t>
      </w:r>
    </w:p>
  </w:endnote>
  <w:endnote w:id="2">
    <w:p w14:paraId="17C9EBA3" w14:textId="77777777" w:rsidR="007B0C9E" w:rsidRPr="003201CF" w:rsidRDefault="007B0C9E" w:rsidP="007B0C9E">
      <w:pPr>
        <w:pStyle w:val="EndnoteText"/>
        <w:rPr>
          <w:sz w:val="14"/>
          <w:szCs w:val="14"/>
        </w:rPr>
      </w:pPr>
      <w:r w:rsidRPr="003201CF">
        <w:rPr>
          <w:rStyle w:val="EndnoteReference"/>
          <w:sz w:val="14"/>
          <w:szCs w:val="14"/>
        </w:rPr>
        <w:endnoteRef/>
      </w:r>
      <w:r w:rsidRPr="003201CF">
        <w:rPr>
          <w:sz w:val="14"/>
          <w:szCs w:val="14"/>
        </w:rPr>
        <w:t xml:space="preserve"> UN (2006) Convention on the Rights of Persons with Disabilities </w:t>
      </w:r>
      <w:hyperlink r:id="rId1" w:history="1">
        <w:r w:rsidR="008313D8" w:rsidRPr="003201CF">
          <w:rPr>
            <w:rStyle w:val="Hyperlink"/>
            <w:sz w:val="14"/>
            <w:szCs w:val="14"/>
          </w:rPr>
          <w:t>http://www.un.org/disabilities/documents/convention/convoptprot-e.pdf</w:t>
        </w:r>
      </w:hyperlink>
      <w:r w:rsidR="008313D8" w:rsidRPr="003201CF">
        <w:rPr>
          <w:sz w:val="14"/>
          <w:szCs w:val="14"/>
        </w:rPr>
        <w:t xml:space="preserve"> </w:t>
      </w:r>
    </w:p>
  </w:endnote>
  <w:endnote w:id="3">
    <w:p w14:paraId="010099A5" w14:textId="219AFBF4" w:rsidR="00D766C4" w:rsidRPr="003201CF" w:rsidRDefault="00D766C4">
      <w:pPr>
        <w:pStyle w:val="EndnoteText"/>
        <w:rPr>
          <w:sz w:val="14"/>
          <w:szCs w:val="14"/>
        </w:rPr>
      </w:pPr>
      <w:r w:rsidRPr="003201CF">
        <w:rPr>
          <w:rStyle w:val="EndnoteReference"/>
          <w:sz w:val="14"/>
          <w:szCs w:val="14"/>
        </w:rPr>
        <w:endnoteRef/>
      </w:r>
      <w:r w:rsidRPr="003201CF">
        <w:rPr>
          <w:sz w:val="14"/>
          <w:szCs w:val="14"/>
        </w:rPr>
        <w:t xml:space="preserve"> </w:t>
      </w:r>
      <w:r w:rsidRPr="003201CF">
        <w:rPr>
          <w:rFonts w:eastAsia="Times New Roman"/>
          <w:sz w:val="14"/>
          <w:szCs w:val="14"/>
        </w:rPr>
        <w:t>WHO/UNFPA (2009) Promoting sexual and reproductive health for persons with disabilitieshttps://www.unfpa.org/sites/default/files/pub-pdf/srh_for_disabilities.pdf</w:t>
      </w:r>
    </w:p>
  </w:endnote>
  <w:endnote w:id="4">
    <w:p w14:paraId="386187A2" w14:textId="77777777" w:rsidR="004F5A49" w:rsidRPr="003201CF" w:rsidRDefault="004F5A49" w:rsidP="004F5A49">
      <w:pPr>
        <w:pStyle w:val="EndnoteText"/>
        <w:rPr>
          <w:sz w:val="14"/>
          <w:szCs w:val="14"/>
          <w:lang w:val="en-GB"/>
        </w:rPr>
      </w:pPr>
      <w:r w:rsidRPr="003201CF">
        <w:rPr>
          <w:rStyle w:val="EndnoteReference"/>
          <w:sz w:val="14"/>
          <w:szCs w:val="14"/>
        </w:rPr>
        <w:endnoteRef/>
      </w:r>
      <w:r w:rsidRPr="003201CF">
        <w:rPr>
          <w:sz w:val="14"/>
          <w:szCs w:val="14"/>
        </w:rPr>
        <w:t xml:space="preserve"> </w:t>
      </w:r>
      <w:r w:rsidRPr="003201CF">
        <w:rPr>
          <w:sz w:val="14"/>
          <w:szCs w:val="14"/>
          <w:lang w:val="en-GB"/>
        </w:rPr>
        <w:t xml:space="preserve">UNICEF (2013) Children and Young People with Disabilities: Fact Sheet </w:t>
      </w:r>
      <w:hyperlink r:id="rId2" w:history="1">
        <w:r w:rsidRPr="003201CF">
          <w:rPr>
            <w:rStyle w:val="Hyperlink"/>
            <w:sz w:val="14"/>
            <w:szCs w:val="14"/>
            <w:lang w:val="en-GB"/>
          </w:rPr>
          <w:t>http://www.unicef.org/disabilities/files/Factsheet_A5__Web_NEW.pdf</w:t>
        </w:r>
      </w:hyperlink>
      <w:r w:rsidRPr="003201CF">
        <w:rPr>
          <w:sz w:val="14"/>
          <w:szCs w:val="14"/>
          <w:lang w:val="en-GB"/>
        </w:rPr>
        <w:t xml:space="preserve"> </w:t>
      </w:r>
    </w:p>
  </w:endnote>
  <w:endnote w:id="5">
    <w:p w14:paraId="109D2D44" w14:textId="77777777" w:rsidR="004F5A49" w:rsidRPr="003201CF" w:rsidRDefault="004F5A49" w:rsidP="004F5A49">
      <w:pPr>
        <w:pStyle w:val="EndnoteText"/>
        <w:rPr>
          <w:sz w:val="14"/>
          <w:szCs w:val="14"/>
          <w:lang w:val="en-GB"/>
        </w:rPr>
      </w:pPr>
      <w:r w:rsidRPr="003201CF">
        <w:rPr>
          <w:sz w:val="14"/>
          <w:szCs w:val="14"/>
          <w:vertAlign w:val="superscript"/>
          <w:lang w:val="en-GB"/>
        </w:rPr>
        <w:endnoteRef/>
      </w:r>
      <w:r w:rsidRPr="003201CF">
        <w:rPr>
          <w:sz w:val="14"/>
          <w:szCs w:val="14"/>
          <w:vertAlign w:val="superscript"/>
          <w:lang w:val="en-GB"/>
        </w:rPr>
        <w:t xml:space="preserve"> </w:t>
      </w:r>
      <w:r w:rsidRPr="003201CF">
        <w:rPr>
          <w:sz w:val="14"/>
          <w:szCs w:val="14"/>
          <w:lang w:val="en-GB"/>
        </w:rPr>
        <w:t xml:space="preserve">De </w:t>
      </w:r>
      <w:proofErr w:type="spellStart"/>
      <w:r w:rsidRPr="003201CF">
        <w:rPr>
          <w:sz w:val="14"/>
          <w:szCs w:val="14"/>
          <w:lang w:val="en-GB"/>
        </w:rPr>
        <w:t>Beaudrap</w:t>
      </w:r>
      <w:proofErr w:type="spellEnd"/>
      <w:r w:rsidRPr="003201CF">
        <w:rPr>
          <w:sz w:val="14"/>
          <w:szCs w:val="14"/>
          <w:lang w:val="en-GB"/>
        </w:rPr>
        <w:t>, P. et al (2014) Disability and HIV: a systematic review and a meta-analysis of the risk of HIV infection among adults with disabilities in Sub-Saharan Africa,</w:t>
      </w:r>
      <w:r w:rsidRPr="003201CF">
        <w:rPr>
          <w:i/>
          <w:sz w:val="14"/>
          <w:szCs w:val="14"/>
          <w:lang w:val="en-GB"/>
        </w:rPr>
        <w:t xml:space="preserve"> </w:t>
      </w:r>
      <w:hyperlink r:id="rId3" w:tooltip="AIDS care." w:history="1">
        <w:r w:rsidRPr="003201CF">
          <w:rPr>
            <w:i/>
            <w:sz w:val="14"/>
            <w:szCs w:val="14"/>
            <w:lang w:val="en-GB"/>
          </w:rPr>
          <w:t>,</w:t>
        </w:r>
      </w:hyperlink>
      <w:r w:rsidRPr="003201CF">
        <w:rPr>
          <w:sz w:val="14"/>
          <w:szCs w:val="14"/>
          <w:lang w:val="en-GB"/>
        </w:rPr>
        <w:t> </w:t>
      </w:r>
      <w:r w:rsidRPr="003201CF" w:rsidDel="001D3632">
        <w:rPr>
          <w:sz w:val="14"/>
          <w:szCs w:val="14"/>
          <w:lang w:val="en-GB"/>
        </w:rPr>
        <w:t xml:space="preserve"> </w:t>
      </w:r>
      <w:r w:rsidRPr="003201CF">
        <w:rPr>
          <w:rFonts w:cs="Arial"/>
          <w:color w:val="000000"/>
          <w:sz w:val="14"/>
          <w:szCs w:val="14"/>
          <w:shd w:val="clear" w:color="auto" w:fill="FFFFFF"/>
        </w:rPr>
        <w:t>26(12):1467-76</w:t>
      </w:r>
    </w:p>
    <w:p w14:paraId="78DE5441" w14:textId="77777777" w:rsidR="004F5A49" w:rsidRPr="003201CF" w:rsidRDefault="004F5A49" w:rsidP="004F5A49">
      <w:pPr>
        <w:pStyle w:val="EndnoteText"/>
        <w:rPr>
          <w:sz w:val="14"/>
          <w:szCs w:val="14"/>
          <w:lang w:val="en-GB"/>
        </w:rPr>
      </w:pPr>
      <w:r w:rsidRPr="003201CF">
        <w:rPr>
          <w:sz w:val="14"/>
          <w:szCs w:val="14"/>
          <w:lang w:val="en-GB"/>
        </w:rPr>
        <w:t xml:space="preserve"> </w:t>
      </w:r>
      <w:hyperlink r:id="rId4" w:history="1">
        <w:r w:rsidRPr="003201CF">
          <w:rPr>
            <w:rStyle w:val="Hyperlink"/>
            <w:sz w:val="14"/>
            <w:szCs w:val="14"/>
            <w:lang w:val="en-GB"/>
          </w:rPr>
          <w:t>https://www.ncbi.nlm.nih.gov/pubmed/25033274</w:t>
        </w:r>
      </w:hyperlink>
      <w:r w:rsidRPr="003201CF">
        <w:rPr>
          <w:sz w:val="14"/>
          <w:szCs w:val="14"/>
          <w:lang w:val="en-GB"/>
        </w:rPr>
        <w:t xml:space="preserve"> </w:t>
      </w:r>
    </w:p>
  </w:endnote>
  <w:endnote w:id="6">
    <w:p w14:paraId="0453378E" w14:textId="77777777" w:rsidR="00E40A81" w:rsidRPr="003201CF" w:rsidRDefault="00E40A81">
      <w:pPr>
        <w:pStyle w:val="EndnoteText"/>
        <w:rPr>
          <w:sz w:val="14"/>
          <w:szCs w:val="14"/>
        </w:rPr>
      </w:pPr>
      <w:r w:rsidRPr="003201CF">
        <w:rPr>
          <w:rStyle w:val="EndnoteReference"/>
          <w:sz w:val="14"/>
          <w:szCs w:val="14"/>
        </w:rPr>
        <w:endnoteRef/>
      </w:r>
      <w:r w:rsidRPr="003201CF">
        <w:rPr>
          <w:sz w:val="14"/>
          <w:szCs w:val="14"/>
        </w:rPr>
        <w:t xml:space="preserve"> </w:t>
      </w:r>
      <w:r w:rsidRPr="003201CF">
        <w:rPr>
          <w:sz w:val="14"/>
          <w:szCs w:val="14"/>
          <w:lang w:val="en-GB"/>
        </w:rPr>
        <w:t>IHME/</w:t>
      </w:r>
      <w:proofErr w:type="spellStart"/>
      <w:r w:rsidRPr="003201CF">
        <w:rPr>
          <w:sz w:val="14"/>
          <w:szCs w:val="14"/>
          <w:lang w:val="en-GB"/>
        </w:rPr>
        <w:t>Universoty</w:t>
      </w:r>
      <w:proofErr w:type="spellEnd"/>
      <w:r w:rsidRPr="003201CF">
        <w:rPr>
          <w:sz w:val="14"/>
          <w:szCs w:val="14"/>
          <w:lang w:val="en-GB"/>
        </w:rPr>
        <w:t xml:space="preserve"> of Washington (2017) GBD Compare: data from 2015 Global Burden of Disease report, available at https://vizhub.healthdata.org/gbd-compare/</w:t>
      </w:r>
    </w:p>
  </w:endnote>
  <w:endnote w:id="7">
    <w:p w14:paraId="0786F278" w14:textId="77777777" w:rsidR="004F5A49" w:rsidRPr="003201CF" w:rsidRDefault="004F5A49" w:rsidP="004F5A49">
      <w:pPr>
        <w:pStyle w:val="EndnoteText"/>
        <w:rPr>
          <w:sz w:val="14"/>
          <w:szCs w:val="14"/>
          <w:lang w:val="en-GB"/>
        </w:rPr>
      </w:pPr>
      <w:r w:rsidRPr="003201CF">
        <w:rPr>
          <w:rStyle w:val="EndnoteReference"/>
          <w:sz w:val="14"/>
          <w:szCs w:val="14"/>
        </w:rPr>
        <w:endnoteRef/>
      </w:r>
      <w:r w:rsidRPr="003201CF">
        <w:rPr>
          <w:sz w:val="14"/>
          <w:szCs w:val="14"/>
        </w:rPr>
        <w:t xml:space="preserve"> </w:t>
      </w:r>
      <w:r w:rsidRPr="003201CF">
        <w:rPr>
          <w:sz w:val="14"/>
          <w:szCs w:val="14"/>
          <w:lang w:val="en-GB"/>
        </w:rPr>
        <w:t xml:space="preserve">World Bank/WHO (2011) World Report on Disability </w:t>
      </w:r>
      <w:hyperlink r:id="rId5" w:history="1">
        <w:r w:rsidRPr="003201CF">
          <w:rPr>
            <w:rStyle w:val="Hyperlink"/>
            <w:sz w:val="14"/>
            <w:szCs w:val="14"/>
            <w:lang w:val="en-GB"/>
          </w:rPr>
          <w:t>http://www.who.int/disabilities/world_report/2011/report/en/</w:t>
        </w:r>
      </w:hyperlink>
    </w:p>
  </w:endnote>
  <w:endnote w:id="8">
    <w:p w14:paraId="5F109BB1" w14:textId="77777777" w:rsidR="00B1283C" w:rsidRPr="003201CF" w:rsidRDefault="00B1283C">
      <w:pPr>
        <w:pStyle w:val="EndnoteText"/>
        <w:rPr>
          <w:sz w:val="14"/>
          <w:szCs w:val="14"/>
          <w:lang w:val="en-GB"/>
        </w:rPr>
      </w:pPr>
      <w:r w:rsidRPr="003201CF">
        <w:rPr>
          <w:rStyle w:val="EndnoteReference"/>
          <w:sz w:val="14"/>
          <w:szCs w:val="14"/>
        </w:rPr>
        <w:endnoteRef/>
      </w:r>
      <w:r w:rsidRPr="003201CF">
        <w:rPr>
          <w:sz w:val="14"/>
          <w:szCs w:val="14"/>
        </w:rPr>
        <w:t xml:space="preserve"> </w:t>
      </w:r>
      <w:r w:rsidRPr="003201CF">
        <w:rPr>
          <w:sz w:val="14"/>
          <w:szCs w:val="14"/>
          <w:lang w:val="en-GB"/>
        </w:rPr>
        <w:t xml:space="preserve">WHO </w:t>
      </w:r>
      <w:r w:rsidR="00E40A81" w:rsidRPr="003201CF">
        <w:rPr>
          <w:sz w:val="14"/>
          <w:szCs w:val="14"/>
          <w:lang w:val="en-GB"/>
        </w:rPr>
        <w:t>(2015) Global status report on road safety http://www.who.int/violence_injury_prevention/road_safety_status/2015/en/</w:t>
      </w:r>
    </w:p>
  </w:endnote>
  <w:endnote w:id="9">
    <w:p w14:paraId="1B31B4B0" w14:textId="77777777" w:rsidR="004F5A49" w:rsidRPr="003201CF" w:rsidRDefault="004F5A49" w:rsidP="004F5A49">
      <w:pPr>
        <w:pStyle w:val="EndnoteText"/>
        <w:rPr>
          <w:sz w:val="14"/>
          <w:szCs w:val="14"/>
          <w:lang w:val="en-GB"/>
        </w:rPr>
      </w:pPr>
      <w:r w:rsidRPr="003201CF">
        <w:rPr>
          <w:rStyle w:val="EndnoteReference"/>
          <w:sz w:val="14"/>
          <w:szCs w:val="14"/>
        </w:rPr>
        <w:endnoteRef/>
      </w:r>
      <w:r w:rsidRPr="003201CF">
        <w:rPr>
          <w:sz w:val="14"/>
          <w:szCs w:val="14"/>
        </w:rPr>
        <w:t xml:space="preserve"> Women Enabled International. (2016). Women Enabled International Submission to OHCHR: </w:t>
      </w:r>
      <w:r w:rsidRPr="003201CF">
        <w:rPr>
          <w:i/>
          <w:sz w:val="14"/>
          <w:szCs w:val="14"/>
        </w:rPr>
        <w:t>Protection of the Rights of the Child and 2030 Agenda for Sustainable Development</w:t>
      </w:r>
      <w:r w:rsidRPr="003201CF">
        <w:rPr>
          <w:sz w:val="14"/>
          <w:szCs w:val="14"/>
        </w:rPr>
        <w:t>.</w:t>
      </w:r>
    </w:p>
  </w:endnote>
  <w:endnote w:id="10">
    <w:p w14:paraId="5CED802E" w14:textId="77777777" w:rsidR="00A16DD7" w:rsidRPr="003201CF" w:rsidRDefault="00A16DD7" w:rsidP="00A16DD7">
      <w:pPr>
        <w:pStyle w:val="EndnoteText"/>
        <w:rPr>
          <w:sz w:val="14"/>
          <w:szCs w:val="14"/>
        </w:rPr>
      </w:pPr>
      <w:r w:rsidRPr="003201CF">
        <w:rPr>
          <w:rStyle w:val="EndnoteReference"/>
          <w:sz w:val="14"/>
          <w:szCs w:val="14"/>
        </w:rPr>
        <w:endnoteRef/>
      </w:r>
      <w:r w:rsidRPr="003201CF">
        <w:rPr>
          <w:sz w:val="14"/>
          <w:szCs w:val="14"/>
        </w:rPr>
        <w:t xml:space="preserve"> </w:t>
      </w:r>
      <w:r w:rsidRPr="003201CF">
        <w:rPr>
          <w:sz w:val="14"/>
          <w:szCs w:val="14"/>
          <w:lang w:val="en-GB"/>
        </w:rPr>
        <w:t xml:space="preserve">World Bank/WHO (2011) World Report on Disability </w:t>
      </w:r>
      <w:hyperlink r:id="rId6" w:history="1">
        <w:r w:rsidRPr="003201CF">
          <w:rPr>
            <w:rStyle w:val="Hyperlink"/>
            <w:sz w:val="14"/>
            <w:szCs w:val="14"/>
            <w:lang w:val="en-GB"/>
          </w:rPr>
          <w:t>http://www.who.int/disabilities/world_report/2011/report/en/</w:t>
        </w:r>
      </w:hyperlink>
    </w:p>
  </w:endnote>
  <w:endnote w:id="11">
    <w:p w14:paraId="1E5B400D" w14:textId="77777777" w:rsidR="00A16DD7" w:rsidRPr="003201CF" w:rsidRDefault="00A16DD7">
      <w:pPr>
        <w:pStyle w:val="EndnoteText"/>
        <w:rPr>
          <w:sz w:val="14"/>
          <w:szCs w:val="14"/>
          <w:lang w:val="en-GB"/>
        </w:rPr>
      </w:pPr>
      <w:r w:rsidRPr="003201CF">
        <w:rPr>
          <w:rStyle w:val="EndnoteReference"/>
          <w:sz w:val="14"/>
          <w:szCs w:val="14"/>
        </w:rPr>
        <w:endnoteRef/>
      </w:r>
      <w:r w:rsidRPr="003201CF">
        <w:rPr>
          <w:sz w:val="14"/>
          <w:szCs w:val="14"/>
        </w:rPr>
        <w:t xml:space="preserve"> https://www.cbm.org/article/downloads/54741/Disability_and_Climate_Change.pdf</w:t>
      </w:r>
    </w:p>
  </w:endnote>
  <w:endnote w:id="12">
    <w:p w14:paraId="38791440" w14:textId="77777777" w:rsidR="00A43662" w:rsidRPr="003201CF" w:rsidRDefault="00A43662">
      <w:pPr>
        <w:pStyle w:val="EndnoteText"/>
        <w:rPr>
          <w:sz w:val="14"/>
          <w:szCs w:val="14"/>
        </w:rPr>
      </w:pPr>
      <w:r w:rsidRPr="003201CF">
        <w:rPr>
          <w:rStyle w:val="EndnoteReference"/>
          <w:sz w:val="14"/>
          <w:szCs w:val="14"/>
        </w:rPr>
        <w:endnoteRef/>
      </w:r>
      <w:r w:rsidRPr="003201CF">
        <w:rPr>
          <w:sz w:val="14"/>
          <w:szCs w:val="14"/>
        </w:rPr>
        <w:t xml:space="preserve"> </w:t>
      </w:r>
      <w:hyperlink r:id="rId7" w:history="1">
        <w:r w:rsidR="008313D8" w:rsidRPr="003201CF">
          <w:rPr>
            <w:rStyle w:val="Hyperlink"/>
            <w:sz w:val="14"/>
            <w:szCs w:val="14"/>
          </w:rPr>
          <w:t>http://www.who.int/health_financing/universal_coverage_definition/en/</w:t>
        </w:r>
      </w:hyperlink>
      <w:r w:rsidR="008313D8" w:rsidRPr="003201CF">
        <w:rPr>
          <w:sz w:val="14"/>
          <w:szCs w:val="14"/>
        </w:rPr>
        <w:t xml:space="preserve"> </w:t>
      </w:r>
    </w:p>
  </w:endnote>
  <w:endnote w:id="13">
    <w:p w14:paraId="180ABAB6" w14:textId="77777777" w:rsidR="004D6920" w:rsidRPr="003201CF" w:rsidRDefault="004D6920">
      <w:pPr>
        <w:pStyle w:val="EndnoteText"/>
        <w:rPr>
          <w:sz w:val="14"/>
          <w:szCs w:val="14"/>
        </w:rPr>
      </w:pPr>
      <w:r w:rsidRPr="003201CF">
        <w:rPr>
          <w:rStyle w:val="EndnoteReference"/>
          <w:sz w:val="14"/>
          <w:szCs w:val="14"/>
        </w:rPr>
        <w:endnoteRef/>
      </w:r>
      <w:r w:rsidRPr="003201CF">
        <w:rPr>
          <w:sz w:val="14"/>
          <w:szCs w:val="14"/>
        </w:rPr>
        <w:t xml:space="preserve"> CBM (2015). Dialogues on Sustainable Development: A Disability-inclusive Perspective.</w:t>
      </w:r>
    </w:p>
  </w:endnote>
  <w:endnote w:id="14">
    <w:p w14:paraId="6EA99B53" w14:textId="77777777" w:rsidR="00565250" w:rsidRPr="003201CF" w:rsidRDefault="00565250">
      <w:pPr>
        <w:pStyle w:val="EndnoteText"/>
        <w:rPr>
          <w:sz w:val="14"/>
          <w:szCs w:val="14"/>
        </w:rPr>
      </w:pPr>
      <w:r w:rsidRPr="003201CF">
        <w:rPr>
          <w:rStyle w:val="EndnoteReference"/>
          <w:sz w:val="14"/>
          <w:szCs w:val="14"/>
        </w:rPr>
        <w:endnoteRef/>
      </w:r>
      <w:r w:rsidRPr="003201CF">
        <w:rPr>
          <w:sz w:val="14"/>
          <w:szCs w:val="14"/>
        </w:rPr>
        <w:t xml:space="preserve"> See general comment No. 14, para. 12 (b).  </w:t>
      </w:r>
    </w:p>
  </w:endnote>
  <w:endnote w:id="15">
    <w:p w14:paraId="7BB8BCBB" w14:textId="77777777" w:rsidR="004D6920" w:rsidRPr="003201CF" w:rsidRDefault="004D6920">
      <w:pPr>
        <w:pStyle w:val="EndnoteText"/>
        <w:rPr>
          <w:sz w:val="14"/>
          <w:szCs w:val="14"/>
        </w:rPr>
      </w:pPr>
      <w:r w:rsidRPr="003201CF">
        <w:rPr>
          <w:rStyle w:val="EndnoteReference"/>
          <w:sz w:val="14"/>
          <w:szCs w:val="14"/>
        </w:rPr>
        <w:endnoteRef/>
      </w:r>
      <w:r w:rsidRPr="003201CF">
        <w:rPr>
          <w:sz w:val="14"/>
          <w:szCs w:val="14"/>
        </w:rPr>
        <w:t xml:space="preserve"> See Joint United Nations </w:t>
      </w:r>
      <w:proofErr w:type="spellStart"/>
      <w:r w:rsidRPr="003201CF">
        <w:rPr>
          <w:sz w:val="14"/>
          <w:szCs w:val="14"/>
        </w:rPr>
        <w:t>Programme</w:t>
      </w:r>
      <w:proofErr w:type="spellEnd"/>
      <w:r w:rsidRPr="003201CF">
        <w:rPr>
          <w:sz w:val="14"/>
          <w:szCs w:val="14"/>
        </w:rPr>
        <w:t xml:space="preserve"> on HIV/AIDS, “Non-discrimination in HIV responses” (June 2010), paras. 18-22.  </w:t>
      </w:r>
    </w:p>
  </w:endnote>
  <w:endnote w:id="16">
    <w:p w14:paraId="792D3C41" w14:textId="77777777" w:rsidR="004D6920" w:rsidRPr="003201CF" w:rsidRDefault="004D6920" w:rsidP="004D6920">
      <w:pPr>
        <w:pStyle w:val="EndnoteText"/>
        <w:rPr>
          <w:sz w:val="14"/>
          <w:szCs w:val="14"/>
          <w:lang w:val="en-GB"/>
        </w:rPr>
      </w:pPr>
      <w:r w:rsidRPr="003201CF">
        <w:rPr>
          <w:rStyle w:val="EndnoteReference"/>
          <w:sz w:val="14"/>
          <w:szCs w:val="14"/>
        </w:rPr>
        <w:endnoteRef/>
      </w:r>
      <w:r w:rsidRPr="003201CF">
        <w:rPr>
          <w:sz w:val="14"/>
          <w:szCs w:val="14"/>
        </w:rPr>
        <w:t xml:space="preserve"> </w:t>
      </w:r>
      <w:r w:rsidRPr="003201CF">
        <w:rPr>
          <w:sz w:val="14"/>
          <w:szCs w:val="14"/>
          <w:lang w:val="en-GB"/>
        </w:rPr>
        <w:t xml:space="preserve">WHO (2014) WHO Global Disability Action Plan 2014-2021 </w:t>
      </w:r>
      <w:hyperlink r:id="rId8" w:history="1">
        <w:r w:rsidRPr="003201CF">
          <w:rPr>
            <w:rStyle w:val="Hyperlink"/>
            <w:sz w:val="14"/>
            <w:szCs w:val="14"/>
            <w:lang w:val="en-GB"/>
          </w:rPr>
          <w:t>http://www.who.int/disabilities/actionplan/en/</w:t>
        </w:r>
      </w:hyperlink>
      <w:r w:rsidRPr="003201CF">
        <w:rPr>
          <w:sz w:val="14"/>
          <w:szCs w:val="14"/>
          <w:lang w:val="en-GB"/>
        </w:rPr>
        <w:t xml:space="preserve"> </w:t>
      </w:r>
    </w:p>
  </w:endnote>
  <w:endnote w:id="17">
    <w:p w14:paraId="576D8039" w14:textId="77777777" w:rsidR="004D6920" w:rsidRPr="003201CF" w:rsidRDefault="004D6920" w:rsidP="004D6920">
      <w:pPr>
        <w:pStyle w:val="EndnoteText"/>
        <w:rPr>
          <w:sz w:val="14"/>
          <w:szCs w:val="14"/>
          <w:lang w:val="en-GB"/>
        </w:rPr>
      </w:pPr>
      <w:r w:rsidRPr="003201CF">
        <w:rPr>
          <w:sz w:val="14"/>
          <w:szCs w:val="14"/>
          <w:lang w:val="en-GB"/>
        </w:rPr>
        <w:endnoteRef/>
      </w:r>
      <w:r w:rsidRPr="003201CF">
        <w:rPr>
          <w:sz w:val="14"/>
          <w:szCs w:val="14"/>
          <w:lang w:val="en-GB"/>
        </w:rPr>
        <w:t xml:space="preserve"> Banks, L, M. and Polack, S. (2014) The Economic Costs of Exclusion and Gains of Inclusion of People with Disabilities </w:t>
      </w:r>
      <w:hyperlink r:id="rId9" w:history="1">
        <w:r w:rsidRPr="003201CF">
          <w:rPr>
            <w:rStyle w:val="Hyperlink"/>
            <w:sz w:val="14"/>
            <w:szCs w:val="14"/>
            <w:lang w:val="en-GB"/>
          </w:rPr>
          <w:t>http://disabilitycentre.lshtm.ac.uk/new-report-economic-costs-exclusion-gains-inclusion-people-disabilities/</w:t>
        </w:r>
      </w:hyperlink>
    </w:p>
  </w:endnote>
  <w:endnote w:id="18">
    <w:p w14:paraId="1EDCF93B" w14:textId="77777777" w:rsidR="004D6920" w:rsidRPr="003201CF" w:rsidRDefault="004D6920" w:rsidP="004D6920">
      <w:pPr>
        <w:pStyle w:val="EndnoteText"/>
        <w:rPr>
          <w:sz w:val="14"/>
          <w:szCs w:val="14"/>
          <w:lang w:val="en-GB"/>
        </w:rPr>
      </w:pPr>
      <w:r w:rsidRPr="003201CF">
        <w:rPr>
          <w:rStyle w:val="EndnoteReference"/>
          <w:sz w:val="14"/>
          <w:szCs w:val="14"/>
        </w:rPr>
        <w:endnoteRef/>
      </w:r>
      <w:r w:rsidRPr="003201CF">
        <w:rPr>
          <w:sz w:val="14"/>
          <w:szCs w:val="14"/>
          <w:lang w:val="en-GB"/>
        </w:rPr>
        <w:t xml:space="preserve"> GPEI (2016) </w:t>
      </w:r>
      <w:r w:rsidRPr="003201CF">
        <w:rPr>
          <w:sz w:val="14"/>
          <w:szCs w:val="14"/>
        </w:rPr>
        <w:t xml:space="preserve">FINANCIAL RESOURCE REQUIREMENTS </w:t>
      </w:r>
      <w:r w:rsidRPr="003201CF">
        <w:rPr>
          <w:sz w:val="14"/>
          <w:szCs w:val="14"/>
          <w:lang w:val="en-GB"/>
        </w:rPr>
        <w:t>http://polioeradication.org/wp-content/uploads/2016/10/FRR2013-2019_April2016_EN_A4.pdf#page=23</w:t>
      </w:r>
    </w:p>
  </w:endnote>
  <w:endnote w:id="19">
    <w:p w14:paraId="1E51FCD7" w14:textId="77777777" w:rsidR="004D6920" w:rsidRPr="003201CF" w:rsidRDefault="004D6920" w:rsidP="004D6920">
      <w:pPr>
        <w:pStyle w:val="EndnoteText"/>
        <w:rPr>
          <w:sz w:val="14"/>
          <w:szCs w:val="14"/>
          <w:lang w:val="en-GB"/>
        </w:rPr>
      </w:pPr>
      <w:r w:rsidRPr="003201CF">
        <w:rPr>
          <w:sz w:val="14"/>
          <w:szCs w:val="14"/>
          <w:lang w:val="en-GB"/>
        </w:rPr>
        <w:endnoteRef/>
      </w:r>
      <w:r w:rsidRPr="003201CF">
        <w:rPr>
          <w:sz w:val="14"/>
          <w:szCs w:val="14"/>
          <w:lang w:val="en-GB"/>
        </w:rPr>
        <w:t xml:space="preserve"> Howard-Wilshire et al (2015) Systematic overview of economic evaluations of health-related rehabilitation </w:t>
      </w:r>
      <w:hyperlink r:id="rId10" w:history="1">
        <w:r w:rsidRPr="003201CF">
          <w:rPr>
            <w:rStyle w:val="Hyperlink"/>
            <w:sz w:val="14"/>
            <w:szCs w:val="14"/>
            <w:lang w:val="en-GB"/>
          </w:rPr>
          <w:t>https://www.ncbi.nlm.nih.gov/pubmed/26440556</w:t>
        </w:r>
      </w:hyperlink>
      <w:r w:rsidRPr="003201CF">
        <w:rPr>
          <w:sz w:val="14"/>
          <w:szCs w:val="14"/>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C1F10" w14:textId="77777777" w:rsidR="00135F00" w:rsidRDefault="00135F00" w:rsidP="00C71A81">
      <w:pPr>
        <w:spacing w:after="0" w:line="240" w:lineRule="auto"/>
      </w:pPr>
      <w:r>
        <w:separator/>
      </w:r>
    </w:p>
  </w:footnote>
  <w:footnote w:type="continuationSeparator" w:id="0">
    <w:p w14:paraId="4748C399" w14:textId="77777777" w:rsidR="00135F00" w:rsidRDefault="00135F00" w:rsidP="00C71A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0C4D3" w14:textId="00DA05D9" w:rsidR="00BA6F40" w:rsidRDefault="00D3686B" w:rsidP="00BA6F40">
    <w:pPr>
      <w:pStyle w:val="Header"/>
      <w:jc w:val="center"/>
    </w:pPr>
    <w:r>
      <w:rPr>
        <w:noProof/>
        <w:lang w:val="en-GB" w:eastAsia="en-GB"/>
      </w:rPr>
      <w:drawing>
        <wp:anchor distT="0" distB="0" distL="114300" distR="114300" simplePos="0" relativeHeight="251658240" behindDoc="0" locked="0" layoutInCell="1" allowOverlap="1" wp14:anchorId="57FADF44" wp14:editId="69DFE151">
          <wp:simplePos x="0" y="0"/>
          <wp:positionH relativeFrom="column">
            <wp:posOffset>2226310</wp:posOffset>
          </wp:positionH>
          <wp:positionV relativeFrom="paragraph">
            <wp:posOffset>6985</wp:posOffset>
          </wp:positionV>
          <wp:extent cx="2371090" cy="1073150"/>
          <wp:effectExtent l="0" t="0" r="0" b="0"/>
          <wp:wrapTopAndBottom/>
          <wp:docPr id="1" name="Picture 1" descr="../../Desktop/SGPwD_rev3-01%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GPwD_rev3-01%2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21D43" w14:textId="3954AF68" w:rsidR="00BA6F40" w:rsidRDefault="00BA6F40" w:rsidP="00BA6F40">
    <w:pPr>
      <w:pStyle w:val="Header"/>
      <w:jc w:val="center"/>
    </w:pPr>
  </w:p>
  <w:p w14:paraId="73A2C2FF" w14:textId="69F5A846" w:rsidR="00BA6F40" w:rsidRDefault="00BA6F40" w:rsidP="00BA6F40">
    <w:pPr>
      <w:pStyle w:val="Header"/>
      <w:jc w:val="center"/>
    </w:pPr>
  </w:p>
  <w:p w14:paraId="461F99D6" w14:textId="77777777" w:rsidR="00BA6F40" w:rsidRDefault="00BA6F40" w:rsidP="00BA6F40">
    <w:pPr>
      <w:pStyle w:val="Header"/>
      <w:jc w:val="center"/>
    </w:pPr>
  </w:p>
  <w:p w14:paraId="5E6A8DD2" w14:textId="77777777" w:rsidR="00BA6F40" w:rsidRDefault="00BA6F40" w:rsidP="00890028">
    <w:pPr>
      <w:pStyle w:val="Header"/>
    </w:pPr>
  </w:p>
  <w:p w14:paraId="2CADEFBC" w14:textId="77777777" w:rsidR="005479AA" w:rsidRDefault="005479AA" w:rsidP="008900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37DE4"/>
    <w:multiLevelType w:val="hybridMultilevel"/>
    <w:tmpl w:val="8FB0D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0732C"/>
    <w:multiLevelType w:val="hybridMultilevel"/>
    <w:tmpl w:val="58263B38"/>
    <w:lvl w:ilvl="0" w:tplc="212629AC">
      <w:start w:val="1"/>
      <w:numFmt w:val="decimal"/>
      <w:lvlText w:val="(%1)"/>
      <w:lvlJc w:val="left"/>
      <w:pPr>
        <w:tabs>
          <w:tab w:val="num" w:pos="720"/>
        </w:tabs>
        <w:ind w:left="720" w:hanging="360"/>
      </w:pPr>
    </w:lvl>
    <w:lvl w:ilvl="1" w:tplc="F6608B5E" w:tentative="1">
      <w:start w:val="1"/>
      <w:numFmt w:val="decimal"/>
      <w:lvlText w:val="(%2)"/>
      <w:lvlJc w:val="left"/>
      <w:pPr>
        <w:tabs>
          <w:tab w:val="num" w:pos="1440"/>
        </w:tabs>
        <w:ind w:left="1440" w:hanging="360"/>
      </w:pPr>
    </w:lvl>
    <w:lvl w:ilvl="2" w:tplc="19F8C4C4" w:tentative="1">
      <w:start w:val="1"/>
      <w:numFmt w:val="decimal"/>
      <w:lvlText w:val="(%3)"/>
      <w:lvlJc w:val="left"/>
      <w:pPr>
        <w:tabs>
          <w:tab w:val="num" w:pos="2160"/>
        </w:tabs>
        <w:ind w:left="2160" w:hanging="360"/>
      </w:pPr>
    </w:lvl>
    <w:lvl w:ilvl="3" w:tplc="11BA706C" w:tentative="1">
      <w:start w:val="1"/>
      <w:numFmt w:val="decimal"/>
      <w:lvlText w:val="(%4)"/>
      <w:lvlJc w:val="left"/>
      <w:pPr>
        <w:tabs>
          <w:tab w:val="num" w:pos="2880"/>
        </w:tabs>
        <w:ind w:left="2880" w:hanging="360"/>
      </w:pPr>
    </w:lvl>
    <w:lvl w:ilvl="4" w:tplc="43E88BCE" w:tentative="1">
      <w:start w:val="1"/>
      <w:numFmt w:val="decimal"/>
      <w:lvlText w:val="(%5)"/>
      <w:lvlJc w:val="left"/>
      <w:pPr>
        <w:tabs>
          <w:tab w:val="num" w:pos="3600"/>
        </w:tabs>
        <w:ind w:left="3600" w:hanging="360"/>
      </w:pPr>
    </w:lvl>
    <w:lvl w:ilvl="5" w:tplc="FE9A0A70" w:tentative="1">
      <w:start w:val="1"/>
      <w:numFmt w:val="decimal"/>
      <w:lvlText w:val="(%6)"/>
      <w:lvlJc w:val="left"/>
      <w:pPr>
        <w:tabs>
          <w:tab w:val="num" w:pos="4320"/>
        </w:tabs>
        <w:ind w:left="4320" w:hanging="360"/>
      </w:pPr>
    </w:lvl>
    <w:lvl w:ilvl="6" w:tplc="BB4ABE5E" w:tentative="1">
      <w:start w:val="1"/>
      <w:numFmt w:val="decimal"/>
      <w:lvlText w:val="(%7)"/>
      <w:lvlJc w:val="left"/>
      <w:pPr>
        <w:tabs>
          <w:tab w:val="num" w:pos="5040"/>
        </w:tabs>
        <w:ind w:left="5040" w:hanging="360"/>
      </w:pPr>
    </w:lvl>
    <w:lvl w:ilvl="7" w:tplc="A6EAF0F6" w:tentative="1">
      <w:start w:val="1"/>
      <w:numFmt w:val="decimal"/>
      <w:lvlText w:val="(%8)"/>
      <w:lvlJc w:val="left"/>
      <w:pPr>
        <w:tabs>
          <w:tab w:val="num" w:pos="5760"/>
        </w:tabs>
        <w:ind w:left="5760" w:hanging="360"/>
      </w:pPr>
    </w:lvl>
    <w:lvl w:ilvl="8" w:tplc="C4C0A6F6" w:tentative="1">
      <w:start w:val="1"/>
      <w:numFmt w:val="decimal"/>
      <w:lvlText w:val="(%9)"/>
      <w:lvlJc w:val="left"/>
      <w:pPr>
        <w:tabs>
          <w:tab w:val="num" w:pos="6480"/>
        </w:tabs>
        <w:ind w:left="6480" w:hanging="360"/>
      </w:pPr>
    </w:lvl>
  </w:abstractNum>
  <w:abstractNum w:abstractNumId="2">
    <w:nsid w:val="49BC789F"/>
    <w:multiLevelType w:val="hybridMultilevel"/>
    <w:tmpl w:val="7EA6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82279E"/>
    <w:multiLevelType w:val="hybridMultilevel"/>
    <w:tmpl w:val="274C1268"/>
    <w:lvl w:ilvl="0" w:tplc="8E5024D6">
      <w:start w:val="1"/>
      <w:numFmt w:val="decimal"/>
      <w:lvlText w:val="(%1)"/>
      <w:lvlJc w:val="left"/>
      <w:pPr>
        <w:tabs>
          <w:tab w:val="num" w:pos="720"/>
        </w:tabs>
        <w:ind w:left="720" w:hanging="360"/>
      </w:pPr>
    </w:lvl>
    <w:lvl w:ilvl="1" w:tplc="90801284" w:tentative="1">
      <w:start w:val="1"/>
      <w:numFmt w:val="decimal"/>
      <w:lvlText w:val="(%2)"/>
      <w:lvlJc w:val="left"/>
      <w:pPr>
        <w:tabs>
          <w:tab w:val="num" w:pos="1440"/>
        </w:tabs>
        <w:ind w:left="1440" w:hanging="360"/>
      </w:pPr>
    </w:lvl>
    <w:lvl w:ilvl="2" w:tplc="D7F8C7F0" w:tentative="1">
      <w:start w:val="1"/>
      <w:numFmt w:val="decimal"/>
      <w:lvlText w:val="(%3)"/>
      <w:lvlJc w:val="left"/>
      <w:pPr>
        <w:tabs>
          <w:tab w:val="num" w:pos="2160"/>
        </w:tabs>
        <w:ind w:left="2160" w:hanging="360"/>
      </w:pPr>
    </w:lvl>
    <w:lvl w:ilvl="3" w:tplc="D2D6F1B2" w:tentative="1">
      <w:start w:val="1"/>
      <w:numFmt w:val="decimal"/>
      <w:lvlText w:val="(%4)"/>
      <w:lvlJc w:val="left"/>
      <w:pPr>
        <w:tabs>
          <w:tab w:val="num" w:pos="2880"/>
        </w:tabs>
        <w:ind w:left="2880" w:hanging="360"/>
      </w:pPr>
    </w:lvl>
    <w:lvl w:ilvl="4" w:tplc="C99600D4" w:tentative="1">
      <w:start w:val="1"/>
      <w:numFmt w:val="decimal"/>
      <w:lvlText w:val="(%5)"/>
      <w:lvlJc w:val="left"/>
      <w:pPr>
        <w:tabs>
          <w:tab w:val="num" w:pos="3600"/>
        </w:tabs>
        <w:ind w:left="3600" w:hanging="360"/>
      </w:pPr>
    </w:lvl>
    <w:lvl w:ilvl="5" w:tplc="405A3D3E" w:tentative="1">
      <w:start w:val="1"/>
      <w:numFmt w:val="decimal"/>
      <w:lvlText w:val="(%6)"/>
      <w:lvlJc w:val="left"/>
      <w:pPr>
        <w:tabs>
          <w:tab w:val="num" w:pos="4320"/>
        </w:tabs>
        <w:ind w:left="4320" w:hanging="360"/>
      </w:pPr>
    </w:lvl>
    <w:lvl w:ilvl="6" w:tplc="F99A4CEA" w:tentative="1">
      <w:start w:val="1"/>
      <w:numFmt w:val="decimal"/>
      <w:lvlText w:val="(%7)"/>
      <w:lvlJc w:val="left"/>
      <w:pPr>
        <w:tabs>
          <w:tab w:val="num" w:pos="5040"/>
        </w:tabs>
        <w:ind w:left="5040" w:hanging="360"/>
      </w:pPr>
    </w:lvl>
    <w:lvl w:ilvl="7" w:tplc="FD902516" w:tentative="1">
      <w:start w:val="1"/>
      <w:numFmt w:val="decimal"/>
      <w:lvlText w:val="(%8)"/>
      <w:lvlJc w:val="left"/>
      <w:pPr>
        <w:tabs>
          <w:tab w:val="num" w:pos="5760"/>
        </w:tabs>
        <w:ind w:left="5760" w:hanging="360"/>
      </w:pPr>
    </w:lvl>
    <w:lvl w:ilvl="8" w:tplc="0CD6EAFC"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81"/>
    <w:rsid w:val="0003434C"/>
    <w:rsid w:val="00036BF4"/>
    <w:rsid w:val="000572E3"/>
    <w:rsid w:val="00064BB1"/>
    <w:rsid w:val="000818BE"/>
    <w:rsid w:val="00135F00"/>
    <w:rsid w:val="001677AE"/>
    <w:rsid w:val="00167CCE"/>
    <w:rsid w:val="00180B89"/>
    <w:rsid w:val="00187F63"/>
    <w:rsid w:val="001E22F6"/>
    <w:rsid w:val="00265FA7"/>
    <w:rsid w:val="003201CF"/>
    <w:rsid w:val="003354BA"/>
    <w:rsid w:val="004B1E2E"/>
    <w:rsid w:val="004D6920"/>
    <w:rsid w:val="004F5A49"/>
    <w:rsid w:val="005479AA"/>
    <w:rsid w:val="00565250"/>
    <w:rsid w:val="00574D97"/>
    <w:rsid w:val="006778EE"/>
    <w:rsid w:val="00697361"/>
    <w:rsid w:val="006B6CE8"/>
    <w:rsid w:val="007218C5"/>
    <w:rsid w:val="007B0C9E"/>
    <w:rsid w:val="007B3339"/>
    <w:rsid w:val="007E44FC"/>
    <w:rsid w:val="008313D8"/>
    <w:rsid w:val="00853240"/>
    <w:rsid w:val="0086215E"/>
    <w:rsid w:val="00890028"/>
    <w:rsid w:val="00907567"/>
    <w:rsid w:val="00997C92"/>
    <w:rsid w:val="00A16DD7"/>
    <w:rsid w:val="00A43662"/>
    <w:rsid w:val="00AE6313"/>
    <w:rsid w:val="00B1283C"/>
    <w:rsid w:val="00B6288A"/>
    <w:rsid w:val="00BA6F40"/>
    <w:rsid w:val="00BE4871"/>
    <w:rsid w:val="00C55A1E"/>
    <w:rsid w:val="00C71A81"/>
    <w:rsid w:val="00C93835"/>
    <w:rsid w:val="00CE0C4A"/>
    <w:rsid w:val="00D3618E"/>
    <w:rsid w:val="00D3686B"/>
    <w:rsid w:val="00D766C4"/>
    <w:rsid w:val="00E02009"/>
    <w:rsid w:val="00E40A81"/>
    <w:rsid w:val="00E67B5E"/>
    <w:rsid w:val="00E72ECA"/>
    <w:rsid w:val="00FA0D12"/>
    <w:rsid w:val="00FD44C7"/>
  </w:rsids>
  <m:mathPr>
    <m:mathFont m:val="Cambria Math"/>
    <m:brkBin m:val="before"/>
    <m:brkBinSub m:val="--"/>
    <m:smallFrac m:val="0"/>
    <m:dispDef/>
    <m:lMargin m:val="0"/>
    <m:rMargin m:val="0"/>
    <m:defJc m:val="centerGroup"/>
    <m:wrapIndent m:val="1440"/>
    <m:intLim m:val="subSup"/>
    <m:naryLim m:val="undOvr"/>
  </m:mathPr>
  <w:themeFontLang w:val="de-A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8FF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A81"/>
    <w:rPr>
      <w:color w:val="0000FF"/>
      <w:u w:val="single"/>
    </w:rPr>
  </w:style>
  <w:style w:type="paragraph" w:styleId="FootnoteText">
    <w:name w:val="footnote text"/>
    <w:basedOn w:val="Normal"/>
    <w:link w:val="FootnoteTextChar"/>
    <w:uiPriority w:val="99"/>
    <w:semiHidden/>
    <w:unhideWhenUsed/>
    <w:rsid w:val="00C71A81"/>
    <w:pPr>
      <w:spacing w:after="0" w:line="240" w:lineRule="auto"/>
    </w:pPr>
    <w:rPr>
      <w:rFonts w:ascii="Arial" w:eastAsia="Arial" w:hAnsi="Arial" w:cs="Arial"/>
      <w:color w:val="000000"/>
      <w:sz w:val="24"/>
      <w:szCs w:val="24"/>
      <w:lang w:val="es-US"/>
    </w:rPr>
  </w:style>
  <w:style w:type="character" w:customStyle="1" w:styleId="FootnoteTextChar">
    <w:name w:val="Footnote Text Char"/>
    <w:basedOn w:val="DefaultParagraphFont"/>
    <w:link w:val="FootnoteText"/>
    <w:uiPriority w:val="99"/>
    <w:semiHidden/>
    <w:rsid w:val="00C71A81"/>
    <w:rPr>
      <w:rFonts w:ascii="Arial" w:eastAsia="Arial" w:hAnsi="Arial" w:cs="Arial"/>
      <w:color w:val="000000"/>
      <w:sz w:val="24"/>
      <w:szCs w:val="24"/>
      <w:lang w:val="es-US"/>
    </w:rPr>
  </w:style>
  <w:style w:type="paragraph" w:styleId="ListParagraph">
    <w:name w:val="List Paragraph"/>
    <w:basedOn w:val="Normal"/>
    <w:uiPriority w:val="34"/>
    <w:qFormat/>
    <w:rsid w:val="00C71A81"/>
    <w:pPr>
      <w:spacing w:after="0"/>
      <w:ind w:left="720"/>
      <w:contextualSpacing/>
    </w:pPr>
    <w:rPr>
      <w:rFonts w:ascii="Arial" w:eastAsia="Arial" w:hAnsi="Arial" w:cs="Arial"/>
      <w:color w:val="000000"/>
      <w:lang w:val="en-US"/>
    </w:rPr>
  </w:style>
  <w:style w:type="paragraph" w:customStyle="1" w:styleId="Normal1">
    <w:name w:val="Normal1"/>
    <w:rsid w:val="00C71A81"/>
    <w:pPr>
      <w:spacing w:after="0"/>
    </w:pPr>
    <w:rPr>
      <w:rFonts w:ascii="Arial" w:eastAsia="Arial" w:hAnsi="Arial" w:cs="Arial"/>
      <w:color w:val="000000"/>
      <w:lang w:val="es-US"/>
    </w:rPr>
  </w:style>
  <w:style w:type="character" w:styleId="FootnoteReference">
    <w:name w:val="footnote reference"/>
    <w:basedOn w:val="DefaultParagraphFont"/>
    <w:uiPriority w:val="99"/>
    <w:semiHidden/>
    <w:unhideWhenUsed/>
    <w:rsid w:val="00C71A81"/>
    <w:rPr>
      <w:vertAlign w:val="superscript"/>
    </w:rPr>
  </w:style>
  <w:style w:type="paragraph" w:styleId="EndnoteText">
    <w:name w:val="endnote text"/>
    <w:basedOn w:val="Normal"/>
    <w:link w:val="EndnoteTextChar"/>
    <w:uiPriority w:val="99"/>
    <w:semiHidden/>
    <w:unhideWhenUsed/>
    <w:rsid w:val="007B0C9E"/>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7B0C9E"/>
    <w:rPr>
      <w:sz w:val="20"/>
      <w:szCs w:val="20"/>
      <w:lang w:val="en-US"/>
    </w:rPr>
  </w:style>
  <w:style w:type="character" w:styleId="EndnoteReference">
    <w:name w:val="endnote reference"/>
    <w:basedOn w:val="DefaultParagraphFont"/>
    <w:uiPriority w:val="99"/>
    <w:semiHidden/>
    <w:unhideWhenUsed/>
    <w:rsid w:val="007B0C9E"/>
    <w:rPr>
      <w:vertAlign w:val="superscript"/>
    </w:rPr>
  </w:style>
  <w:style w:type="paragraph" w:styleId="NormalWeb">
    <w:name w:val="Normal (Web)"/>
    <w:basedOn w:val="Normal"/>
    <w:uiPriority w:val="99"/>
    <w:semiHidden/>
    <w:unhideWhenUsed/>
    <w:rsid w:val="00A4366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CommentReference">
    <w:name w:val="annotation reference"/>
    <w:basedOn w:val="DefaultParagraphFont"/>
    <w:uiPriority w:val="99"/>
    <w:semiHidden/>
    <w:unhideWhenUsed/>
    <w:rsid w:val="00FA0D12"/>
    <w:rPr>
      <w:sz w:val="16"/>
      <w:szCs w:val="16"/>
    </w:rPr>
  </w:style>
  <w:style w:type="paragraph" w:styleId="CommentText">
    <w:name w:val="annotation text"/>
    <w:basedOn w:val="Normal"/>
    <w:link w:val="CommentTextChar"/>
    <w:uiPriority w:val="99"/>
    <w:semiHidden/>
    <w:unhideWhenUsed/>
    <w:rsid w:val="00FA0D12"/>
    <w:pPr>
      <w:spacing w:line="240" w:lineRule="auto"/>
    </w:pPr>
    <w:rPr>
      <w:sz w:val="20"/>
      <w:szCs w:val="20"/>
    </w:rPr>
  </w:style>
  <w:style w:type="character" w:customStyle="1" w:styleId="CommentTextChar">
    <w:name w:val="Comment Text Char"/>
    <w:basedOn w:val="DefaultParagraphFont"/>
    <w:link w:val="CommentText"/>
    <w:uiPriority w:val="99"/>
    <w:semiHidden/>
    <w:rsid w:val="00FA0D12"/>
    <w:rPr>
      <w:sz w:val="20"/>
      <w:szCs w:val="20"/>
    </w:rPr>
  </w:style>
  <w:style w:type="paragraph" w:styleId="CommentSubject">
    <w:name w:val="annotation subject"/>
    <w:basedOn w:val="CommentText"/>
    <w:next w:val="CommentText"/>
    <w:link w:val="CommentSubjectChar"/>
    <w:uiPriority w:val="99"/>
    <w:semiHidden/>
    <w:unhideWhenUsed/>
    <w:rsid w:val="00FA0D12"/>
    <w:rPr>
      <w:b/>
      <w:bCs/>
    </w:rPr>
  </w:style>
  <w:style w:type="character" w:customStyle="1" w:styleId="CommentSubjectChar">
    <w:name w:val="Comment Subject Char"/>
    <w:basedOn w:val="CommentTextChar"/>
    <w:link w:val="CommentSubject"/>
    <w:uiPriority w:val="99"/>
    <w:semiHidden/>
    <w:rsid w:val="00FA0D12"/>
    <w:rPr>
      <w:b/>
      <w:bCs/>
      <w:sz w:val="20"/>
      <w:szCs w:val="20"/>
    </w:rPr>
  </w:style>
  <w:style w:type="paragraph" w:styleId="BalloonText">
    <w:name w:val="Balloon Text"/>
    <w:basedOn w:val="Normal"/>
    <w:link w:val="BalloonTextChar"/>
    <w:uiPriority w:val="99"/>
    <w:semiHidden/>
    <w:unhideWhenUsed/>
    <w:rsid w:val="00FA0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D12"/>
    <w:rPr>
      <w:rFonts w:ascii="Segoe UI" w:hAnsi="Segoe UI" w:cs="Segoe UI"/>
      <w:sz w:val="18"/>
      <w:szCs w:val="18"/>
    </w:rPr>
  </w:style>
  <w:style w:type="paragraph" w:styleId="Header">
    <w:name w:val="header"/>
    <w:basedOn w:val="Normal"/>
    <w:link w:val="HeaderChar"/>
    <w:uiPriority w:val="99"/>
    <w:unhideWhenUsed/>
    <w:rsid w:val="00BA6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40"/>
  </w:style>
  <w:style w:type="paragraph" w:styleId="Footer">
    <w:name w:val="footer"/>
    <w:basedOn w:val="Normal"/>
    <w:link w:val="FooterChar"/>
    <w:uiPriority w:val="99"/>
    <w:unhideWhenUsed/>
    <w:rsid w:val="00BA6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40"/>
  </w:style>
  <w:style w:type="paragraph" w:styleId="NoSpacing">
    <w:name w:val="No Spacing"/>
    <w:uiPriority w:val="1"/>
    <w:qFormat/>
    <w:rsid w:val="003201CF"/>
    <w:pPr>
      <w:spacing w:after="0" w:line="240" w:lineRule="auto"/>
    </w:pPr>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10889">
      <w:bodyDiv w:val="1"/>
      <w:marLeft w:val="0"/>
      <w:marRight w:val="0"/>
      <w:marTop w:val="0"/>
      <w:marBottom w:val="0"/>
      <w:divBdr>
        <w:top w:val="none" w:sz="0" w:space="0" w:color="auto"/>
        <w:left w:val="none" w:sz="0" w:space="0" w:color="auto"/>
        <w:bottom w:val="none" w:sz="0" w:space="0" w:color="auto"/>
        <w:right w:val="none" w:sz="0" w:space="0" w:color="auto"/>
      </w:divBdr>
      <w:divsChild>
        <w:div w:id="1372728391">
          <w:marLeft w:val="0"/>
          <w:marRight w:val="0"/>
          <w:marTop w:val="0"/>
          <w:marBottom w:val="0"/>
          <w:divBdr>
            <w:top w:val="none" w:sz="0" w:space="0" w:color="auto"/>
            <w:left w:val="none" w:sz="0" w:space="0" w:color="auto"/>
            <w:bottom w:val="none" w:sz="0" w:space="0" w:color="auto"/>
            <w:right w:val="none" w:sz="0" w:space="0" w:color="auto"/>
          </w:divBdr>
          <w:divsChild>
            <w:div w:id="1457335611">
              <w:marLeft w:val="0"/>
              <w:marRight w:val="0"/>
              <w:marTop w:val="0"/>
              <w:marBottom w:val="0"/>
              <w:divBdr>
                <w:top w:val="none" w:sz="0" w:space="0" w:color="auto"/>
                <w:left w:val="none" w:sz="0" w:space="0" w:color="auto"/>
                <w:bottom w:val="none" w:sz="0" w:space="0" w:color="auto"/>
                <w:right w:val="none" w:sz="0" w:space="0" w:color="auto"/>
              </w:divBdr>
              <w:divsChild>
                <w:div w:id="210655761">
                  <w:marLeft w:val="0"/>
                  <w:marRight w:val="0"/>
                  <w:marTop w:val="0"/>
                  <w:marBottom w:val="0"/>
                  <w:divBdr>
                    <w:top w:val="none" w:sz="0" w:space="0" w:color="auto"/>
                    <w:left w:val="none" w:sz="0" w:space="0" w:color="auto"/>
                    <w:bottom w:val="none" w:sz="0" w:space="0" w:color="auto"/>
                    <w:right w:val="none" w:sz="0" w:space="0" w:color="auto"/>
                  </w:divBdr>
                  <w:divsChild>
                    <w:div w:id="128786101">
                      <w:marLeft w:val="0"/>
                      <w:marRight w:val="0"/>
                      <w:marTop w:val="0"/>
                      <w:marBottom w:val="0"/>
                      <w:divBdr>
                        <w:top w:val="none" w:sz="0" w:space="0" w:color="auto"/>
                        <w:left w:val="none" w:sz="0" w:space="0" w:color="auto"/>
                        <w:bottom w:val="none" w:sz="0" w:space="0" w:color="auto"/>
                        <w:right w:val="none" w:sz="0" w:space="0" w:color="auto"/>
                      </w:divBdr>
                      <w:divsChild>
                        <w:div w:id="17668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510270">
      <w:bodyDiv w:val="1"/>
      <w:marLeft w:val="0"/>
      <w:marRight w:val="0"/>
      <w:marTop w:val="0"/>
      <w:marBottom w:val="0"/>
      <w:divBdr>
        <w:top w:val="none" w:sz="0" w:space="0" w:color="auto"/>
        <w:left w:val="none" w:sz="0" w:space="0" w:color="auto"/>
        <w:bottom w:val="none" w:sz="0" w:space="0" w:color="auto"/>
        <w:right w:val="none" w:sz="0" w:space="0" w:color="auto"/>
      </w:divBdr>
      <w:divsChild>
        <w:div w:id="1083448660">
          <w:marLeft w:val="720"/>
          <w:marRight w:val="0"/>
          <w:marTop w:val="0"/>
          <w:marBottom w:val="0"/>
          <w:divBdr>
            <w:top w:val="none" w:sz="0" w:space="0" w:color="auto"/>
            <w:left w:val="none" w:sz="0" w:space="0" w:color="auto"/>
            <w:bottom w:val="none" w:sz="0" w:space="0" w:color="auto"/>
            <w:right w:val="none" w:sz="0" w:space="0" w:color="auto"/>
          </w:divBdr>
        </w:div>
      </w:divsChild>
    </w:div>
    <w:div w:id="920800576">
      <w:bodyDiv w:val="1"/>
      <w:marLeft w:val="0"/>
      <w:marRight w:val="0"/>
      <w:marTop w:val="0"/>
      <w:marBottom w:val="0"/>
      <w:divBdr>
        <w:top w:val="none" w:sz="0" w:space="0" w:color="auto"/>
        <w:left w:val="none" w:sz="0" w:space="0" w:color="auto"/>
        <w:bottom w:val="none" w:sz="0" w:space="0" w:color="auto"/>
        <w:right w:val="none" w:sz="0" w:space="0" w:color="auto"/>
      </w:divBdr>
    </w:div>
    <w:div w:id="1065640130">
      <w:bodyDiv w:val="1"/>
      <w:marLeft w:val="0"/>
      <w:marRight w:val="0"/>
      <w:marTop w:val="0"/>
      <w:marBottom w:val="0"/>
      <w:divBdr>
        <w:top w:val="none" w:sz="0" w:space="0" w:color="auto"/>
        <w:left w:val="none" w:sz="0" w:space="0" w:color="auto"/>
        <w:bottom w:val="none" w:sz="0" w:space="0" w:color="auto"/>
        <w:right w:val="none" w:sz="0" w:space="0" w:color="auto"/>
      </w:divBdr>
    </w:div>
    <w:div w:id="1486556150">
      <w:bodyDiv w:val="1"/>
      <w:marLeft w:val="0"/>
      <w:marRight w:val="0"/>
      <w:marTop w:val="0"/>
      <w:marBottom w:val="0"/>
      <w:divBdr>
        <w:top w:val="none" w:sz="0" w:space="0" w:color="auto"/>
        <w:left w:val="none" w:sz="0" w:space="0" w:color="auto"/>
        <w:bottom w:val="none" w:sz="0" w:space="0" w:color="auto"/>
        <w:right w:val="none" w:sz="0" w:space="0" w:color="auto"/>
      </w:divBdr>
      <w:divsChild>
        <w:div w:id="122410182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3" Type="http://schemas.openxmlformats.org/officeDocument/2006/relationships/hyperlink" Target="https://www.ncbi.nlm.nih.gov/pubmed/25033274" TargetMode="External"/><Relationship Id="rId4" Type="http://schemas.openxmlformats.org/officeDocument/2006/relationships/hyperlink" Target="https://www.ncbi.nlm.nih.gov/pubmed/25033274" TargetMode="External"/><Relationship Id="rId5" Type="http://schemas.openxmlformats.org/officeDocument/2006/relationships/hyperlink" Target="http://www.who.int/disabilities/world_report/2011/report/en/" TargetMode="External"/><Relationship Id="rId6" Type="http://schemas.openxmlformats.org/officeDocument/2006/relationships/hyperlink" Target="http://www.who.int/disabilities/world_report/2011/report/en/" TargetMode="External"/><Relationship Id="rId7" Type="http://schemas.openxmlformats.org/officeDocument/2006/relationships/hyperlink" Target="http://www.who.int/health_financing/universal_coverage_definition/en/" TargetMode="External"/><Relationship Id="rId8" Type="http://schemas.openxmlformats.org/officeDocument/2006/relationships/hyperlink" Target="http://www.who.int/disabilities/actionplan/en/" TargetMode="External"/><Relationship Id="rId9" Type="http://schemas.openxmlformats.org/officeDocument/2006/relationships/hyperlink" Target="http://disabilitycentre.lshtm.ac.uk/new-report-economic-costs-exclusion-gains-inclusion-people-disabilities/" TargetMode="External"/><Relationship Id="rId10" Type="http://schemas.openxmlformats.org/officeDocument/2006/relationships/hyperlink" Target="https://www.ncbi.nlm.nih.gov/pubmed/26440556" TargetMode="External"/><Relationship Id="rId1" Type="http://schemas.openxmlformats.org/officeDocument/2006/relationships/hyperlink" Target="http://www.un.org/disabilities/documents/convention/convoptprot-e.pdf" TargetMode="External"/><Relationship Id="rId2" Type="http://schemas.openxmlformats.org/officeDocument/2006/relationships/hyperlink" Target="http://www.unicef.org/disabilities/files/Factsheet_A5__Web_NEW.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2044-F51C-2241-B2C5-94EE35B3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1197</Words>
  <Characters>6825</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jtrimmel</dc:creator>
  <cp:lastModifiedBy>Talin Avades</cp:lastModifiedBy>
  <cp:revision>3</cp:revision>
  <cp:lastPrinted>2017-07-06T18:35:00Z</cp:lastPrinted>
  <dcterms:created xsi:type="dcterms:W3CDTF">2017-07-06T19:40:00Z</dcterms:created>
  <dcterms:modified xsi:type="dcterms:W3CDTF">2017-07-06T19:41:00Z</dcterms:modified>
</cp:coreProperties>
</file>