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032D" w14:textId="3D7809FB" w:rsidR="00F13443" w:rsidRPr="002B19AC" w:rsidRDefault="005A38CB" w:rsidP="005A38CB">
      <w:pPr>
        <w:jc w:val="center"/>
        <w:rPr>
          <w:rFonts w:ascii="Verdana" w:hAnsi="Verdana"/>
          <w:b/>
          <w:sz w:val="22"/>
          <w:szCs w:val="22"/>
        </w:rPr>
      </w:pPr>
      <w:r w:rsidRPr="002B19AC">
        <w:rPr>
          <w:rFonts w:ascii="Verdana" w:hAnsi="Verdana"/>
          <w:b/>
          <w:sz w:val="22"/>
          <w:szCs w:val="22"/>
        </w:rPr>
        <w:t>Financing for Development</w:t>
      </w:r>
    </w:p>
    <w:p w14:paraId="6AD661EF" w14:textId="77777777" w:rsidR="005A38CB" w:rsidRPr="002B19AC" w:rsidRDefault="005A38CB" w:rsidP="00BA77A6">
      <w:pPr>
        <w:rPr>
          <w:rFonts w:ascii="Verdana" w:hAnsi="Verdana"/>
          <w:sz w:val="22"/>
          <w:szCs w:val="22"/>
        </w:rPr>
      </w:pPr>
    </w:p>
    <w:p w14:paraId="03C2C1A2" w14:textId="25AAA672" w:rsidR="00BA77A6" w:rsidRDefault="005A38CB" w:rsidP="00BA77A6">
      <w:pPr>
        <w:jc w:val="center"/>
        <w:rPr>
          <w:rFonts w:ascii="Verdana" w:hAnsi="Verdana"/>
          <w:sz w:val="22"/>
          <w:szCs w:val="22"/>
        </w:rPr>
      </w:pPr>
      <w:r w:rsidRPr="002B19AC">
        <w:rPr>
          <w:rFonts w:ascii="Verdana" w:hAnsi="Verdana"/>
          <w:sz w:val="22"/>
          <w:szCs w:val="22"/>
        </w:rPr>
        <w:t xml:space="preserve">The </w:t>
      </w:r>
      <w:r w:rsidR="00993E68" w:rsidRPr="002B19AC">
        <w:rPr>
          <w:rFonts w:ascii="Verdana" w:hAnsi="Verdana"/>
          <w:sz w:val="22"/>
          <w:szCs w:val="22"/>
        </w:rPr>
        <w:t>Civil Society Financing for Development Group’s Strategic Planning Session was organized in cooperation with Civil Society Partnership for Development E</w:t>
      </w:r>
      <w:r w:rsidRPr="002B19AC">
        <w:rPr>
          <w:rFonts w:ascii="Verdana" w:hAnsi="Verdana"/>
          <w:sz w:val="22"/>
          <w:szCs w:val="22"/>
        </w:rPr>
        <w:t xml:space="preserve">ffectiveness and held </w:t>
      </w:r>
      <w:r w:rsidR="00993E68" w:rsidRPr="002B19AC">
        <w:rPr>
          <w:rFonts w:ascii="Verdana" w:hAnsi="Verdana"/>
          <w:sz w:val="22"/>
          <w:szCs w:val="22"/>
        </w:rPr>
        <w:t xml:space="preserve">in </w:t>
      </w:r>
      <w:r w:rsidR="00BA77A6">
        <w:rPr>
          <w:rFonts w:ascii="Verdana" w:hAnsi="Verdana"/>
          <w:sz w:val="22"/>
          <w:szCs w:val="22"/>
        </w:rPr>
        <w:t>Rome, Italy</w:t>
      </w:r>
      <w:r w:rsidR="00993E68" w:rsidRPr="002B19AC">
        <w:rPr>
          <w:rFonts w:ascii="Verdana" w:hAnsi="Verdana"/>
          <w:sz w:val="22"/>
          <w:szCs w:val="22"/>
        </w:rPr>
        <w:t xml:space="preserve"> </w:t>
      </w:r>
    </w:p>
    <w:p w14:paraId="1C80A539" w14:textId="618B233D" w:rsidR="00F13443" w:rsidRDefault="00993E68" w:rsidP="00BA77A6">
      <w:pPr>
        <w:jc w:val="center"/>
        <w:rPr>
          <w:rFonts w:ascii="Verdana" w:hAnsi="Verdana"/>
          <w:sz w:val="22"/>
          <w:szCs w:val="22"/>
        </w:rPr>
      </w:pPr>
      <w:r w:rsidRPr="002B19AC">
        <w:rPr>
          <w:rFonts w:ascii="Verdana" w:hAnsi="Verdana"/>
          <w:sz w:val="22"/>
          <w:szCs w:val="22"/>
        </w:rPr>
        <w:t>December 11-13, 2017</w:t>
      </w:r>
    </w:p>
    <w:p w14:paraId="77C46D4F" w14:textId="77777777" w:rsidR="00BA77A6" w:rsidRPr="002B19AC" w:rsidRDefault="00BA77A6" w:rsidP="00BA77A6">
      <w:pPr>
        <w:jc w:val="center"/>
        <w:rPr>
          <w:rFonts w:ascii="Verdana" w:hAnsi="Verdana"/>
          <w:sz w:val="22"/>
          <w:szCs w:val="22"/>
        </w:rPr>
      </w:pPr>
    </w:p>
    <w:p w14:paraId="15F09713" w14:textId="77777777" w:rsidR="005A38CB" w:rsidRPr="002B19AC" w:rsidRDefault="005A38CB" w:rsidP="00124E9D">
      <w:pPr>
        <w:rPr>
          <w:rFonts w:ascii="Verdana" w:hAnsi="Verdana"/>
          <w:b/>
          <w:sz w:val="22"/>
          <w:szCs w:val="22"/>
        </w:rPr>
      </w:pPr>
    </w:p>
    <w:p w14:paraId="48962CD6" w14:textId="685B2932" w:rsidR="005A38CB" w:rsidRDefault="002B19AC" w:rsidP="005A38CB">
      <w:pPr>
        <w:pStyle w:val="ListParagraph"/>
        <w:numPr>
          <w:ilvl w:val="0"/>
          <w:numId w:val="10"/>
        </w:numPr>
        <w:rPr>
          <w:rFonts w:ascii="Verdana" w:hAnsi="Verdana"/>
          <w:b/>
          <w:sz w:val="22"/>
          <w:szCs w:val="22"/>
        </w:rPr>
      </w:pPr>
      <w:r>
        <w:rPr>
          <w:rFonts w:ascii="Verdana" w:hAnsi="Verdana"/>
          <w:b/>
          <w:sz w:val="22"/>
          <w:szCs w:val="22"/>
        </w:rPr>
        <w:t>Brief</w:t>
      </w:r>
      <w:r w:rsidR="00FB1863" w:rsidRPr="002B19AC">
        <w:rPr>
          <w:rFonts w:ascii="Verdana" w:hAnsi="Verdana"/>
          <w:b/>
          <w:sz w:val="22"/>
          <w:szCs w:val="22"/>
        </w:rPr>
        <w:t xml:space="preserve"> summary</w:t>
      </w:r>
      <w:r w:rsidR="005A38CB" w:rsidRPr="002B19AC">
        <w:rPr>
          <w:rFonts w:ascii="Verdana" w:hAnsi="Verdana"/>
          <w:b/>
          <w:sz w:val="22"/>
          <w:szCs w:val="22"/>
        </w:rPr>
        <w:t xml:space="preserve"> of the meeting</w:t>
      </w:r>
    </w:p>
    <w:p w14:paraId="28149237" w14:textId="77777777" w:rsidR="002B19AC" w:rsidRDefault="002B19AC" w:rsidP="002B19AC">
      <w:pPr>
        <w:rPr>
          <w:rFonts w:ascii="Verdana" w:hAnsi="Verdana"/>
          <w:b/>
          <w:sz w:val="22"/>
          <w:szCs w:val="22"/>
        </w:rPr>
      </w:pPr>
    </w:p>
    <w:p w14:paraId="2C3E3D6F" w14:textId="77777777" w:rsidR="00743A29" w:rsidRDefault="00743A29" w:rsidP="00743A29">
      <w:pPr>
        <w:shd w:val="clear" w:color="auto" w:fill="FFFFFF"/>
        <w:jc w:val="both"/>
        <w:rPr>
          <w:rFonts w:ascii="Verdana" w:eastAsia="Times New Roman" w:hAnsi="Verdana" w:cs="Times New Roman"/>
          <w:color w:val="222222"/>
          <w:sz w:val="22"/>
          <w:szCs w:val="22"/>
        </w:rPr>
      </w:pPr>
      <w:r w:rsidRPr="002B19AC">
        <w:rPr>
          <w:rFonts w:ascii="Verdana" w:eastAsia="Times New Roman" w:hAnsi="Verdana" w:cs="Times New Roman"/>
          <w:color w:val="222222"/>
          <w:sz w:val="22"/>
          <w:szCs w:val="22"/>
        </w:rPr>
        <w:t xml:space="preserve">The objective of the meeting </w:t>
      </w:r>
      <w:r>
        <w:rPr>
          <w:rFonts w:ascii="Verdana" w:eastAsia="Times New Roman" w:hAnsi="Verdana" w:cs="Times New Roman"/>
          <w:color w:val="222222"/>
          <w:sz w:val="22"/>
          <w:szCs w:val="22"/>
        </w:rPr>
        <w:t xml:space="preserve">was to define a joint </w:t>
      </w:r>
      <w:r w:rsidRPr="002B19AC">
        <w:rPr>
          <w:rFonts w:ascii="Verdana" w:eastAsia="Times New Roman" w:hAnsi="Verdana" w:cs="Times New Roman"/>
          <w:color w:val="222222"/>
          <w:sz w:val="22"/>
          <w:szCs w:val="22"/>
        </w:rPr>
        <w:t>strategy and map the steps leading up to</w:t>
      </w:r>
      <w:r>
        <w:rPr>
          <w:rFonts w:ascii="Verdana" w:eastAsia="Times New Roman" w:hAnsi="Verdana" w:cs="Times New Roman"/>
          <w:color w:val="222222"/>
          <w:sz w:val="22"/>
          <w:szCs w:val="22"/>
        </w:rPr>
        <w:t xml:space="preserve"> the Financing for Development Forum</w:t>
      </w:r>
      <w:r w:rsidRPr="002B19AC">
        <w:rPr>
          <w:rFonts w:ascii="Verdana" w:eastAsia="Times New Roman" w:hAnsi="Verdana" w:cs="Times New Roman"/>
          <w:color w:val="222222"/>
          <w:sz w:val="22"/>
          <w:szCs w:val="22"/>
        </w:rPr>
        <w:t xml:space="preserve"> </w:t>
      </w:r>
      <w:r>
        <w:rPr>
          <w:rFonts w:ascii="Verdana" w:eastAsia="Times New Roman" w:hAnsi="Verdana" w:cs="Times New Roman"/>
          <w:color w:val="222222"/>
          <w:sz w:val="22"/>
          <w:szCs w:val="22"/>
        </w:rPr>
        <w:t>that will take place from</w:t>
      </w:r>
      <w:r w:rsidRPr="002B19AC">
        <w:rPr>
          <w:rFonts w:ascii="Verdana" w:eastAsia="Times New Roman" w:hAnsi="Verdana" w:cs="Times New Roman"/>
          <w:color w:val="222222"/>
          <w:sz w:val="22"/>
          <w:szCs w:val="22"/>
        </w:rPr>
        <w:t xml:space="preserve"> </w:t>
      </w:r>
      <w:r>
        <w:rPr>
          <w:rFonts w:ascii="Verdana" w:eastAsia="Times New Roman" w:hAnsi="Verdana" w:cs="Times New Roman"/>
          <w:color w:val="222222"/>
          <w:sz w:val="22"/>
          <w:szCs w:val="22"/>
        </w:rPr>
        <w:t>23-26 April, 2018 at the UN in</w:t>
      </w:r>
      <w:r w:rsidRPr="002B19AC">
        <w:rPr>
          <w:rFonts w:ascii="Verdana" w:eastAsia="Times New Roman" w:hAnsi="Verdana" w:cs="Times New Roman"/>
          <w:color w:val="222222"/>
          <w:sz w:val="22"/>
          <w:szCs w:val="22"/>
        </w:rPr>
        <w:t xml:space="preserve"> New York.</w:t>
      </w:r>
    </w:p>
    <w:p w14:paraId="6AC79846" w14:textId="77777777" w:rsidR="00743A29" w:rsidRDefault="00743A29" w:rsidP="00743A29">
      <w:pPr>
        <w:shd w:val="clear" w:color="auto" w:fill="FFFFFF"/>
        <w:jc w:val="both"/>
        <w:rPr>
          <w:rFonts w:ascii="Verdana" w:eastAsia="Times New Roman" w:hAnsi="Verdana" w:cs="Times New Roman"/>
          <w:color w:val="222222"/>
          <w:sz w:val="22"/>
          <w:szCs w:val="22"/>
        </w:rPr>
      </w:pPr>
    </w:p>
    <w:p w14:paraId="0629A42D" w14:textId="23DF9F80" w:rsidR="00743A29" w:rsidRDefault="00743A29" w:rsidP="00743A29">
      <w:pPr>
        <w:shd w:val="clear" w:color="auto" w:fill="FFFFFF"/>
        <w:jc w:val="both"/>
        <w:rPr>
          <w:rFonts w:ascii="Verdana" w:eastAsia="Times New Roman" w:hAnsi="Verdana" w:cs="Times New Roman"/>
          <w:color w:val="222222"/>
          <w:sz w:val="22"/>
          <w:szCs w:val="22"/>
        </w:rPr>
      </w:pPr>
      <w:r>
        <w:rPr>
          <w:rFonts w:ascii="Verdana" w:eastAsia="Times New Roman" w:hAnsi="Verdana" w:cs="Times New Roman"/>
          <w:color w:val="222222"/>
          <w:sz w:val="22"/>
          <w:szCs w:val="22"/>
        </w:rPr>
        <w:t>Overarching discussions</w:t>
      </w:r>
    </w:p>
    <w:p w14:paraId="068C17CF" w14:textId="77777777" w:rsidR="00743A29" w:rsidRDefault="00743A29" w:rsidP="00743A29">
      <w:pPr>
        <w:shd w:val="clear" w:color="auto" w:fill="FFFFFF"/>
        <w:jc w:val="both"/>
        <w:rPr>
          <w:rFonts w:ascii="Verdana" w:eastAsia="Times New Roman" w:hAnsi="Verdana" w:cs="Times New Roman"/>
          <w:color w:val="222222"/>
          <w:sz w:val="22"/>
          <w:szCs w:val="22"/>
        </w:rPr>
      </w:pPr>
    </w:p>
    <w:p w14:paraId="477A2249" w14:textId="77777777" w:rsidR="00743A29" w:rsidRDefault="00743A29" w:rsidP="00743A29">
      <w:pPr>
        <w:shd w:val="clear" w:color="auto" w:fill="FFFFFF"/>
        <w:jc w:val="both"/>
        <w:rPr>
          <w:rFonts w:ascii="Verdana" w:eastAsia="Times New Roman" w:hAnsi="Verdana" w:cs="Times New Roman"/>
          <w:color w:val="000000"/>
          <w:sz w:val="22"/>
          <w:szCs w:val="22"/>
        </w:rPr>
      </w:pPr>
      <w:r w:rsidRPr="002B19AC">
        <w:rPr>
          <w:rFonts w:ascii="Verdana" w:eastAsia="Times New Roman" w:hAnsi="Verdana" w:cs="Times New Roman"/>
          <w:color w:val="222222"/>
          <w:sz w:val="22"/>
          <w:szCs w:val="22"/>
        </w:rPr>
        <w:t>During the initial discussions, participants agreed on and expressed concern about</w:t>
      </w:r>
      <w:r>
        <w:rPr>
          <w:rFonts w:ascii="Verdana" w:eastAsia="Times New Roman" w:hAnsi="Verdana" w:cs="Times New Roman"/>
          <w:color w:val="222222"/>
          <w:sz w:val="22"/>
          <w:szCs w:val="22"/>
        </w:rPr>
        <w:t xml:space="preserve"> the</w:t>
      </w:r>
      <w:r w:rsidRPr="002B19AC">
        <w:rPr>
          <w:rFonts w:ascii="Verdana" w:eastAsia="Times New Roman" w:hAnsi="Verdana" w:cs="Times New Roman"/>
          <w:color w:val="222222"/>
          <w:sz w:val="22"/>
          <w:szCs w:val="22"/>
        </w:rPr>
        <w:t xml:space="preserve"> following subjects: the impact of the Trump administration on the global financial landscape, the lack of private sector accountability, the worsening debt crisis, the weakening of multilateralism, the lack of financial support to deal with climate change, the increase in global </w:t>
      </w:r>
      <w:r w:rsidRPr="002B19AC">
        <w:rPr>
          <w:rFonts w:ascii="Verdana" w:eastAsia="Times New Roman" w:hAnsi="Verdana" w:cs="Times New Roman"/>
          <w:color w:val="000000"/>
          <w:sz w:val="22"/>
          <w:szCs w:val="22"/>
        </w:rPr>
        <w:t>inequality, instability in the world financial system, and concern about the ability of pension funds to meet their obligations.</w:t>
      </w:r>
    </w:p>
    <w:p w14:paraId="33822C4D" w14:textId="77777777" w:rsidR="00743A29" w:rsidRDefault="00743A29" w:rsidP="00743A29">
      <w:pPr>
        <w:shd w:val="clear" w:color="auto" w:fill="FFFFFF"/>
        <w:jc w:val="both"/>
        <w:rPr>
          <w:rFonts w:ascii="Verdana" w:eastAsia="Times New Roman" w:hAnsi="Verdana" w:cs="Times New Roman"/>
          <w:color w:val="000000"/>
          <w:sz w:val="22"/>
          <w:szCs w:val="22"/>
        </w:rPr>
      </w:pPr>
    </w:p>
    <w:p w14:paraId="23EA6163" w14:textId="77777777" w:rsidR="00743A29" w:rsidRDefault="00743A29" w:rsidP="00743A29">
      <w:pPr>
        <w:shd w:val="clear" w:color="auto" w:fill="FFFFFF"/>
        <w:jc w:val="both"/>
        <w:rPr>
          <w:rFonts w:ascii="Verdana" w:eastAsia="Times New Roman" w:hAnsi="Verdana" w:cs="Times New Roman"/>
          <w:color w:val="222222"/>
          <w:sz w:val="22"/>
          <w:szCs w:val="22"/>
        </w:rPr>
      </w:pPr>
      <w:r>
        <w:rPr>
          <w:rFonts w:ascii="Verdana" w:eastAsia="Times New Roman" w:hAnsi="Verdana" w:cs="Times New Roman"/>
          <w:color w:val="222222"/>
          <w:sz w:val="22"/>
          <w:szCs w:val="22"/>
        </w:rPr>
        <w:t>Overall p</w:t>
      </w:r>
      <w:r w:rsidRPr="002B19AC">
        <w:rPr>
          <w:rFonts w:ascii="Verdana" w:eastAsia="Times New Roman" w:hAnsi="Verdana" w:cs="Times New Roman"/>
          <w:color w:val="222222"/>
          <w:sz w:val="22"/>
          <w:szCs w:val="22"/>
        </w:rPr>
        <w:t>articipants did not have a high opinion of the UN</w:t>
      </w:r>
      <w:r>
        <w:rPr>
          <w:rFonts w:ascii="Verdana" w:eastAsia="Times New Roman" w:hAnsi="Verdana" w:cs="Times New Roman"/>
          <w:color w:val="222222"/>
          <w:sz w:val="22"/>
          <w:szCs w:val="22"/>
        </w:rPr>
        <w:t>.</w:t>
      </w:r>
      <w:r w:rsidRPr="002B19AC">
        <w:rPr>
          <w:rFonts w:ascii="Verdana" w:eastAsia="Times New Roman" w:hAnsi="Verdana" w:cs="Times New Roman"/>
          <w:color w:val="222222"/>
          <w:sz w:val="22"/>
          <w:szCs w:val="22"/>
        </w:rPr>
        <w:t xml:space="preserve"> </w:t>
      </w:r>
      <w:r>
        <w:rPr>
          <w:rFonts w:ascii="Verdana" w:eastAsia="Times New Roman" w:hAnsi="Verdana" w:cs="Times New Roman"/>
          <w:color w:val="222222"/>
          <w:sz w:val="22"/>
          <w:szCs w:val="22"/>
        </w:rPr>
        <w:t xml:space="preserve">While participants considered the UN a more democratic forum for decisions on development finance than other groups that lack universal membership, </w:t>
      </w:r>
      <w:r w:rsidRPr="002B19AC">
        <w:rPr>
          <w:rFonts w:ascii="Verdana" w:eastAsia="Times New Roman" w:hAnsi="Verdana" w:cs="Times New Roman"/>
          <w:color w:val="222222"/>
          <w:sz w:val="22"/>
          <w:szCs w:val="22"/>
        </w:rPr>
        <w:t>it</w:t>
      </w:r>
      <w:r>
        <w:rPr>
          <w:rFonts w:ascii="Verdana" w:eastAsia="Times New Roman" w:hAnsi="Verdana" w:cs="Times New Roman"/>
          <w:color w:val="222222"/>
          <w:sz w:val="22"/>
          <w:szCs w:val="22"/>
        </w:rPr>
        <w:t>s ways of working</w:t>
      </w:r>
      <w:r w:rsidRPr="002B19AC">
        <w:rPr>
          <w:rFonts w:ascii="Verdana" w:eastAsia="Times New Roman" w:hAnsi="Verdana" w:cs="Times New Roman"/>
          <w:color w:val="222222"/>
          <w:sz w:val="22"/>
          <w:szCs w:val="22"/>
        </w:rPr>
        <w:t xml:space="preserve"> w</w:t>
      </w:r>
      <w:r>
        <w:rPr>
          <w:rFonts w:ascii="Verdana" w:eastAsia="Times New Roman" w:hAnsi="Verdana" w:cs="Times New Roman"/>
          <w:color w:val="222222"/>
          <w:sz w:val="22"/>
          <w:szCs w:val="22"/>
        </w:rPr>
        <w:t>ere</w:t>
      </w:r>
      <w:r w:rsidRPr="002B19AC">
        <w:rPr>
          <w:rFonts w:ascii="Verdana" w:eastAsia="Times New Roman" w:hAnsi="Verdana" w:cs="Times New Roman"/>
          <w:color w:val="222222"/>
          <w:sz w:val="22"/>
          <w:szCs w:val="22"/>
        </w:rPr>
        <w:t xml:space="preserve"> viewed as ineffective and as hampering accountability.</w:t>
      </w:r>
    </w:p>
    <w:p w14:paraId="71A6DD84" w14:textId="77777777" w:rsidR="00743A29" w:rsidRDefault="00743A29" w:rsidP="00743A29">
      <w:pPr>
        <w:shd w:val="clear" w:color="auto" w:fill="FFFFFF"/>
        <w:jc w:val="both"/>
        <w:rPr>
          <w:rFonts w:ascii="Verdana" w:eastAsia="Times New Roman" w:hAnsi="Verdana" w:cs="Times New Roman"/>
          <w:color w:val="222222"/>
          <w:sz w:val="22"/>
          <w:szCs w:val="22"/>
        </w:rPr>
      </w:pPr>
    </w:p>
    <w:p w14:paraId="298D06E4" w14:textId="77777777" w:rsidR="00743A29" w:rsidRDefault="00743A29" w:rsidP="00743A29">
      <w:pPr>
        <w:shd w:val="clear" w:color="auto" w:fill="FFFFFF"/>
        <w:jc w:val="both"/>
        <w:rPr>
          <w:rFonts w:ascii="Verdana" w:eastAsia="Times New Roman" w:hAnsi="Verdana" w:cs="Times New Roman"/>
          <w:color w:val="222222"/>
          <w:sz w:val="22"/>
          <w:szCs w:val="22"/>
        </w:rPr>
      </w:pPr>
      <w:r w:rsidRPr="002B19AC">
        <w:rPr>
          <w:rFonts w:ascii="Verdana" w:eastAsia="Times New Roman" w:hAnsi="Verdana" w:cs="Times New Roman"/>
          <w:color w:val="222222"/>
          <w:sz w:val="22"/>
          <w:szCs w:val="22"/>
        </w:rPr>
        <w:t xml:space="preserve">According to participants, </w:t>
      </w:r>
      <w:r>
        <w:rPr>
          <w:rFonts w:ascii="Verdana" w:eastAsia="Times New Roman" w:hAnsi="Verdana" w:cs="Times New Roman"/>
          <w:color w:val="222222"/>
          <w:sz w:val="22"/>
          <w:szCs w:val="22"/>
        </w:rPr>
        <w:t>development finance is showing worrying trends</w:t>
      </w:r>
      <w:r w:rsidRPr="002B19AC">
        <w:rPr>
          <w:rFonts w:ascii="Verdana" w:eastAsia="Times New Roman" w:hAnsi="Verdana" w:cs="Times New Roman"/>
          <w:color w:val="222222"/>
          <w:sz w:val="22"/>
          <w:szCs w:val="22"/>
        </w:rPr>
        <w:t>; there is more tax avoidance, human rights are largely disregarded, and principles of sound financial governance are not upheld. As such, democratization of economic governance is needed.</w:t>
      </w:r>
    </w:p>
    <w:p w14:paraId="224E2F13" w14:textId="77777777" w:rsidR="00743A29" w:rsidRDefault="00743A29" w:rsidP="00743A29">
      <w:pPr>
        <w:shd w:val="clear" w:color="auto" w:fill="FFFFFF"/>
        <w:jc w:val="both"/>
        <w:rPr>
          <w:rFonts w:ascii="Verdana" w:eastAsia="Times New Roman" w:hAnsi="Verdana" w:cs="Times New Roman"/>
          <w:color w:val="222222"/>
          <w:sz w:val="22"/>
          <w:szCs w:val="22"/>
        </w:rPr>
      </w:pPr>
    </w:p>
    <w:p w14:paraId="2C70A201" w14:textId="77777777" w:rsidR="00743A29" w:rsidRDefault="00743A29" w:rsidP="00743A29">
      <w:pPr>
        <w:shd w:val="clear" w:color="auto" w:fill="FFFFFF"/>
        <w:jc w:val="both"/>
        <w:rPr>
          <w:rFonts w:ascii="Verdana" w:eastAsia="Times New Roman" w:hAnsi="Verdana" w:cs="Times New Roman"/>
          <w:color w:val="222222"/>
          <w:sz w:val="22"/>
          <w:szCs w:val="22"/>
        </w:rPr>
      </w:pPr>
      <w:r w:rsidRPr="002B19AC">
        <w:rPr>
          <w:rFonts w:ascii="Verdana" w:eastAsia="Times New Roman" w:hAnsi="Verdana" w:cs="Times New Roman"/>
          <w:color w:val="222222"/>
          <w:sz w:val="22"/>
          <w:szCs w:val="22"/>
        </w:rPr>
        <w:t xml:space="preserve">Climate change, climate justice and the need to transform the world’s energy sources away from fossil fuels to renewable fuels are critical issues that frame current financial approaches to economic development. Worker migration continues to be important to the world economy, but anti-migrant xenophobia in </w:t>
      </w:r>
      <w:r>
        <w:rPr>
          <w:rFonts w:ascii="Verdana" w:eastAsia="Times New Roman" w:hAnsi="Verdana" w:cs="Times New Roman"/>
          <w:color w:val="222222"/>
          <w:sz w:val="22"/>
          <w:szCs w:val="22"/>
        </w:rPr>
        <w:t xml:space="preserve">the </w:t>
      </w:r>
      <w:r w:rsidRPr="002B19AC">
        <w:rPr>
          <w:rFonts w:ascii="Verdana" w:eastAsia="Times New Roman" w:hAnsi="Verdana" w:cs="Times New Roman"/>
          <w:color w:val="222222"/>
          <w:sz w:val="22"/>
          <w:szCs w:val="22"/>
        </w:rPr>
        <w:t>West, driven by fear, is likely to deliver a serious economic blow.</w:t>
      </w:r>
    </w:p>
    <w:p w14:paraId="7803B961" w14:textId="77777777" w:rsidR="00743A29" w:rsidRDefault="00743A29" w:rsidP="00743A29">
      <w:pPr>
        <w:shd w:val="clear" w:color="auto" w:fill="FFFFFF"/>
        <w:jc w:val="both"/>
        <w:rPr>
          <w:rFonts w:ascii="Verdana" w:eastAsia="Times New Roman" w:hAnsi="Verdana" w:cs="Times New Roman"/>
          <w:color w:val="222222"/>
          <w:sz w:val="22"/>
          <w:szCs w:val="22"/>
        </w:rPr>
      </w:pPr>
    </w:p>
    <w:p w14:paraId="6F21054B" w14:textId="77777777" w:rsidR="00091B7E" w:rsidRDefault="00743A29" w:rsidP="00743A29">
      <w:pPr>
        <w:shd w:val="clear" w:color="auto" w:fill="FFFFFF"/>
        <w:jc w:val="both"/>
        <w:rPr>
          <w:rFonts w:ascii="Verdana" w:eastAsia="Times New Roman" w:hAnsi="Verdana" w:cs="Times New Roman"/>
          <w:color w:val="222222"/>
          <w:sz w:val="22"/>
          <w:szCs w:val="22"/>
        </w:rPr>
      </w:pPr>
      <w:r w:rsidRPr="002B19AC">
        <w:rPr>
          <w:rFonts w:ascii="Verdana" w:eastAsia="Times New Roman" w:hAnsi="Verdana" w:cs="Times New Roman"/>
          <w:color w:val="222222"/>
          <w:sz w:val="22"/>
          <w:szCs w:val="22"/>
        </w:rPr>
        <w:t xml:space="preserve">The group took time to reflect on new trends in </w:t>
      </w:r>
      <w:r>
        <w:rPr>
          <w:rFonts w:ascii="Verdana" w:eastAsia="Times New Roman" w:hAnsi="Verdana" w:cs="Times New Roman"/>
          <w:color w:val="222222"/>
          <w:sz w:val="22"/>
          <w:szCs w:val="22"/>
        </w:rPr>
        <w:t>“</w:t>
      </w:r>
      <w:proofErr w:type="spellStart"/>
      <w:r w:rsidRPr="002B19AC">
        <w:rPr>
          <w:rFonts w:ascii="Verdana" w:eastAsia="Times New Roman" w:hAnsi="Verdana" w:cs="Times New Roman"/>
          <w:color w:val="222222"/>
          <w:sz w:val="22"/>
          <w:szCs w:val="22"/>
        </w:rPr>
        <w:t>financialization</w:t>
      </w:r>
      <w:proofErr w:type="spellEnd"/>
      <w:r w:rsidRPr="002B19AC">
        <w:rPr>
          <w:rFonts w:ascii="Verdana" w:eastAsia="Times New Roman" w:hAnsi="Verdana" w:cs="Times New Roman"/>
          <w:color w:val="222222"/>
          <w:sz w:val="22"/>
          <w:szCs w:val="22"/>
        </w:rPr>
        <w:t>,</w:t>
      </w:r>
      <w:r>
        <w:rPr>
          <w:rFonts w:ascii="Verdana" w:eastAsia="Times New Roman" w:hAnsi="Verdana" w:cs="Times New Roman"/>
          <w:color w:val="222222"/>
          <w:sz w:val="22"/>
          <w:szCs w:val="22"/>
        </w:rPr>
        <w:t>”</w:t>
      </w:r>
      <w:r w:rsidRPr="002B19AC">
        <w:rPr>
          <w:rFonts w:ascii="Verdana" w:eastAsia="Times New Roman" w:hAnsi="Verdana" w:cs="Times New Roman"/>
          <w:color w:val="222222"/>
          <w:sz w:val="22"/>
          <w:szCs w:val="22"/>
        </w:rPr>
        <w:t xml:space="preserve"> such as the digitalization of the economy, new financial technologies such as smartphone-based payments, and less reliance on physical currency or physical assets such as gold</w:t>
      </w:r>
      <w:r>
        <w:rPr>
          <w:rFonts w:ascii="Verdana" w:eastAsia="Times New Roman" w:hAnsi="Verdana" w:cs="Times New Roman"/>
          <w:color w:val="222222"/>
          <w:sz w:val="22"/>
          <w:szCs w:val="22"/>
        </w:rPr>
        <w:t xml:space="preserve">, e.g. </w:t>
      </w:r>
      <w:r w:rsidRPr="002B19AC">
        <w:rPr>
          <w:rFonts w:ascii="Verdana" w:eastAsia="Times New Roman" w:hAnsi="Verdana" w:cs="Times New Roman"/>
          <w:color w:val="222222"/>
          <w:sz w:val="22"/>
          <w:szCs w:val="22"/>
        </w:rPr>
        <w:t>crypto finance. New financial instruments are also playing a role, such as the SDG Bond</w:t>
      </w:r>
      <w:r w:rsidR="00091B7E">
        <w:rPr>
          <w:rFonts w:ascii="Verdana" w:eastAsia="Times New Roman" w:hAnsi="Verdana" w:cs="Times New Roman"/>
          <w:color w:val="222222"/>
          <w:sz w:val="22"/>
          <w:szCs w:val="22"/>
        </w:rPr>
        <w:t>s</w:t>
      </w:r>
      <w:r w:rsidRPr="002B19AC">
        <w:rPr>
          <w:rFonts w:ascii="Verdana" w:eastAsia="Times New Roman" w:hAnsi="Verdana" w:cs="Times New Roman"/>
          <w:color w:val="222222"/>
          <w:sz w:val="22"/>
          <w:szCs w:val="22"/>
        </w:rPr>
        <w:t xml:space="preserve"> (newly issued by released by HSBC and the World Bank).  </w:t>
      </w:r>
    </w:p>
    <w:p w14:paraId="645F5426" w14:textId="77777777" w:rsidR="00091B7E" w:rsidRDefault="00091B7E" w:rsidP="00743A29">
      <w:pPr>
        <w:shd w:val="clear" w:color="auto" w:fill="FFFFFF"/>
        <w:jc w:val="both"/>
        <w:rPr>
          <w:rFonts w:ascii="Verdana" w:eastAsia="Times New Roman" w:hAnsi="Verdana" w:cs="Times New Roman"/>
          <w:color w:val="222222"/>
          <w:sz w:val="22"/>
          <w:szCs w:val="22"/>
        </w:rPr>
      </w:pPr>
    </w:p>
    <w:p w14:paraId="5503E5CE" w14:textId="1099F980" w:rsidR="00743A29" w:rsidRDefault="00091B7E" w:rsidP="00743A29">
      <w:pPr>
        <w:shd w:val="clear" w:color="auto" w:fill="FFFFFF"/>
        <w:jc w:val="both"/>
        <w:rPr>
          <w:rFonts w:ascii="Verdana" w:eastAsia="Times New Roman" w:hAnsi="Verdana" w:cs="Times New Roman"/>
          <w:color w:val="222222"/>
          <w:sz w:val="22"/>
          <w:szCs w:val="22"/>
        </w:rPr>
      </w:pPr>
      <w:r>
        <w:rPr>
          <w:rFonts w:ascii="Verdana" w:eastAsia="Times New Roman" w:hAnsi="Verdana" w:cs="Times New Roman"/>
          <w:color w:val="222222"/>
          <w:sz w:val="22"/>
          <w:szCs w:val="22"/>
        </w:rPr>
        <w:t xml:space="preserve">Public resources </w:t>
      </w:r>
    </w:p>
    <w:p w14:paraId="1193E389" w14:textId="77777777" w:rsidR="00743A29" w:rsidRDefault="00743A29" w:rsidP="00743A29">
      <w:pPr>
        <w:shd w:val="clear" w:color="auto" w:fill="FFFFFF"/>
        <w:jc w:val="both"/>
        <w:rPr>
          <w:rFonts w:ascii="Verdana" w:eastAsia="Times New Roman" w:hAnsi="Verdana" w:cs="Times New Roman"/>
          <w:color w:val="222222"/>
          <w:sz w:val="22"/>
          <w:szCs w:val="22"/>
        </w:rPr>
      </w:pPr>
    </w:p>
    <w:p w14:paraId="718CAE1F" w14:textId="77777777" w:rsidR="00743A29" w:rsidRPr="00091B7E" w:rsidRDefault="00743A29" w:rsidP="00091B7E">
      <w:pPr>
        <w:shd w:val="clear" w:color="auto" w:fill="FFFFFF"/>
        <w:jc w:val="both"/>
        <w:rPr>
          <w:rFonts w:ascii="Verdana" w:eastAsia="Times New Roman" w:hAnsi="Verdana" w:cs="Times New Roman"/>
          <w:color w:val="222222"/>
          <w:sz w:val="22"/>
          <w:szCs w:val="22"/>
        </w:rPr>
      </w:pPr>
      <w:r w:rsidRPr="00091B7E">
        <w:rPr>
          <w:rFonts w:ascii="Verdana" w:eastAsia="Times New Roman" w:hAnsi="Verdana" w:cs="Times New Roman"/>
          <w:color w:val="222222"/>
          <w:sz w:val="22"/>
          <w:szCs w:val="22"/>
        </w:rPr>
        <w:t>Tax</w:t>
      </w:r>
    </w:p>
    <w:p w14:paraId="3D00D3AC" w14:textId="77777777" w:rsidR="00743A29" w:rsidRDefault="00743A29" w:rsidP="00743A29">
      <w:pPr>
        <w:shd w:val="clear" w:color="auto" w:fill="FFFFFF"/>
        <w:jc w:val="both"/>
        <w:rPr>
          <w:rFonts w:ascii="Verdana" w:eastAsia="Times New Roman" w:hAnsi="Verdana" w:cs="Times New Roman"/>
          <w:color w:val="222222"/>
          <w:sz w:val="22"/>
          <w:szCs w:val="22"/>
        </w:rPr>
      </w:pPr>
    </w:p>
    <w:p w14:paraId="63C5436D" w14:textId="77777777" w:rsidR="00743A29" w:rsidRDefault="00743A29" w:rsidP="00743A29">
      <w:pPr>
        <w:shd w:val="clear" w:color="auto" w:fill="FFFFFF"/>
        <w:jc w:val="both"/>
        <w:rPr>
          <w:rFonts w:ascii="Verdana" w:eastAsia="Times New Roman" w:hAnsi="Verdana" w:cs="Times New Roman"/>
          <w:color w:val="222222"/>
          <w:sz w:val="22"/>
          <w:szCs w:val="22"/>
        </w:rPr>
      </w:pPr>
      <w:r>
        <w:rPr>
          <w:rFonts w:ascii="Verdana" w:eastAsia="Times New Roman" w:hAnsi="Verdana" w:cs="Times New Roman"/>
          <w:color w:val="222222"/>
          <w:sz w:val="22"/>
          <w:szCs w:val="22"/>
        </w:rPr>
        <w:t xml:space="preserve">Tax revenue is essential to financing the SDGs – yet the revenue raising capacity of states in the global south is constrained by tax policies made by states in the global north. Such policies include loopholes and harmful practices that allow multinational corporations to avoid paying taxes in the countries where they operate; as well as a lack of transparency that makes it difficult for citizens to hold tax avoiders to account. </w:t>
      </w:r>
    </w:p>
    <w:p w14:paraId="21B8938D" w14:textId="77777777" w:rsidR="00743A29" w:rsidRDefault="00743A29" w:rsidP="00743A29">
      <w:pPr>
        <w:shd w:val="clear" w:color="auto" w:fill="FFFFFF"/>
        <w:jc w:val="both"/>
        <w:rPr>
          <w:rFonts w:ascii="Verdana" w:eastAsia="Times New Roman" w:hAnsi="Verdana" w:cs="Times New Roman"/>
          <w:color w:val="222222"/>
          <w:sz w:val="22"/>
          <w:szCs w:val="22"/>
        </w:rPr>
      </w:pPr>
    </w:p>
    <w:p w14:paraId="410151BA" w14:textId="77777777" w:rsidR="00743A29" w:rsidRDefault="00743A29" w:rsidP="00743A29">
      <w:pPr>
        <w:shd w:val="clear" w:color="auto" w:fill="FFFFFF"/>
        <w:jc w:val="both"/>
        <w:rPr>
          <w:rFonts w:ascii="Verdana" w:eastAsia="Times New Roman" w:hAnsi="Verdana" w:cs="Times New Roman"/>
          <w:color w:val="222222"/>
          <w:sz w:val="22"/>
          <w:szCs w:val="22"/>
        </w:rPr>
      </w:pPr>
      <w:r>
        <w:rPr>
          <w:rFonts w:ascii="Verdana" w:eastAsia="Times New Roman" w:hAnsi="Verdana" w:cs="Times New Roman"/>
          <w:color w:val="222222"/>
          <w:sz w:val="22"/>
          <w:szCs w:val="22"/>
        </w:rPr>
        <w:t>Participants in the meeting argued that recent developments in international tax governance have done little to improve matters – they are like “trying to stop leakage with a sieve”. The civil society financing for development group has long been calling for a global tax body under the auspices of the UN, which would allow countries in the global south more of a say on international tax rules; but so far this has been thwarted.</w:t>
      </w:r>
    </w:p>
    <w:p w14:paraId="6AA92DAD" w14:textId="77777777" w:rsidR="00743A29" w:rsidRDefault="00743A29" w:rsidP="00743A29">
      <w:pPr>
        <w:shd w:val="clear" w:color="auto" w:fill="FFFFFF"/>
        <w:jc w:val="both"/>
        <w:rPr>
          <w:rFonts w:ascii="Verdana" w:eastAsia="Times New Roman" w:hAnsi="Verdana" w:cs="Times New Roman"/>
          <w:color w:val="222222"/>
          <w:sz w:val="22"/>
          <w:szCs w:val="22"/>
        </w:rPr>
      </w:pPr>
    </w:p>
    <w:p w14:paraId="774A2F45" w14:textId="77777777" w:rsidR="00743A29" w:rsidRDefault="00743A29" w:rsidP="00743A29">
      <w:pPr>
        <w:shd w:val="clear" w:color="auto" w:fill="FFFFFF"/>
        <w:jc w:val="both"/>
        <w:rPr>
          <w:rFonts w:ascii="Verdana" w:eastAsia="Times New Roman" w:hAnsi="Verdana" w:cs="Times New Roman"/>
          <w:color w:val="222222"/>
          <w:sz w:val="22"/>
          <w:szCs w:val="22"/>
        </w:rPr>
      </w:pPr>
      <w:r w:rsidRPr="00000264">
        <w:rPr>
          <w:rFonts w:ascii="Verdana" w:eastAsia="Times New Roman" w:hAnsi="Verdana" w:cs="Times New Roman"/>
          <w:color w:val="222222"/>
          <w:sz w:val="22"/>
          <w:szCs w:val="22"/>
        </w:rPr>
        <w:t>Participants also discussed the important links between global tax rules and national realities in the global south</w:t>
      </w:r>
      <w:r>
        <w:rPr>
          <w:rFonts w:ascii="Verdana" w:eastAsia="Times New Roman" w:hAnsi="Verdana" w:cs="Times New Roman"/>
          <w:color w:val="222222"/>
          <w:sz w:val="22"/>
          <w:szCs w:val="22"/>
        </w:rPr>
        <w:t>. This includes considering the links between</w:t>
      </w:r>
      <w:r w:rsidRPr="002B4B6D">
        <w:rPr>
          <w:rFonts w:ascii="Verdana" w:eastAsia="Times New Roman" w:hAnsi="Verdana" w:cs="Times New Roman"/>
          <w:color w:val="222222"/>
          <w:sz w:val="22"/>
          <w:szCs w:val="22"/>
        </w:rPr>
        <w:t xml:space="preserve"> tax </w:t>
      </w:r>
      <w:proofErr w:type="gramStart"/>
      <w:r w:rsidRPr="002B4B6D">
        <w:rPr>
          <w:rFonts w:ascii="Verdana" w:eastAsia="Times New Roman" w:hAnsi="Verdana" w:cs="Times New Roman"/>
          <w:color w:val="222222"/>
          <w:sz w:val="22"/>
          <w:szCs w:val="22"/>
        </w:rPr>
        <w:t>and  budgeting</w:t>
      </w:r>
      <w:proofErr w:type="gramEnd"/>
      <w:r w:rsidRPr="002B4B6D">
        <w:rPr>
          <w:rFonts w:ascii="Verdana" w:eastAsia="Times New Roman" w:hAnsi="Verdana" w:cs="Times New Roman"/>
          <w:color w:val="222222"/>
          <w:sz w:val="22"/>
          <w:szCs w:val="22"/>
        </w:rPr>
        <w:t xml:space="preserve">, </w:t>
      </w:r>
      <w:r>
        <w:rPr>
          <w:rFonts w:ascii="Verdana" w:eastAsia="Times New Roman" w:hAnsi="Verdana" w:cs="Times New Roman"/>
          <w:color w:val="222222"/>
          <w:sz w:val="22"/>
          <w:szCs w:val="22"/>
        </w:rPr>
        <w:t xml:space="preserve">which must be transparent and accountable. It also includes considering </w:t>
      </w:r>
      <w:r w:rsidRPr="00776838">
        <w:rPr>
          <w:rFonts w:ascii="Verdana" w:eastAsia="Times New Roman" w:hAnsi="Verdana" w:cs="Times New Roman"/>
          <w:color w:val="222222"/>
          <w:sz w:val="22"/>
          <w:szCs w:val="22"/>
        </w:rPr>
        <w:t>the progressive or regressive nature of taxation.</w:t>
      </w:r>
    </w:p>
    <w:p w14:paraId="740459B5" w14:textId="77777777" w:rsidR="00743A29" w:rsidRDefault="00743A29" w:rsidP="00743A29">
      <w:pPr>
        <w:shd w:val="clear" w:color="auto" w:fill="FFFFFF"/>
        <w:jc w:val="both"/>
        <w:rPr>
          <w:rFonts w:ascii="Verdana" w:eastAsia="Times New Roman" w:hAnsi="Verdana" w:cs="Times New Roman"/>
          <w:color w:val="222222"/>
          <w:sz w:val="22"/>
          <w:szCs w:val="22"/>
        </w:rPr>
      </w:pPr>
    </w:p>
    <w:p w14:paraId="65F26778" w14:textId="77777777" w:rsidR="00743A29" w:rsidRDefault="00743A29" w:rsidP="00743A29">
      <w:pPr>
        <w:shd w:val="clear" w:color="auto" w:fill="FFFFFF"/>
        <w:jc w:val="both"/>
        <w:rPr>
          <w:rFonts w:ascii="Verdana" w:eastAsia="Times New Roman" w:hAnsi="Verdana" w:cs="Times New Roman"/>
          <w:color w:val="222222"/>
          <w:sz w:val="22"/>
          <w:szCs w:val="22"/>
        </w:rPr>
      </w:pPr>
      <w:r>
        <w:rPr>
          <w:rFonts w:ascii="Verdana" w:eastAsia="Times New Roman" w:hAnsi="Verdana" w:cs="Times New Roman"/>
          <w:color w:val="222222"/>
          <w:sz w:val="22"/>
          <w:szCs w:val="22"/>
        </w:rPr>
        <w:t>Many participants noted the importance of applying a gender and human rights lens to work on taxation.</w:t>
      </w:r>
    </w:p>
    <w:p w14:paraId="1F784408" w14:textId="77777777" w:rsidR="00743A29" w:rsidRDefault="00743A29" w:rsidP="00743A29">
      <w:pPr>
        <w:shd w:val="clear" w:color="auto" w:fill="FFFFFF"/>
        <w:jc w:val="both"/>
        <w:rPr>
          <w:rFonts w:ascii="Verdana" w:eastAsia="Times New Roman" w:hAnsi="Verdana" w:cs="Times New Roman"/>
          <w:color w:val="222222"/>
          <w:sz w:val="22"/>
          <w:szCs w:val="22"/>
        </w:rPr>
      </w:pPr>
    </w:p>
    <w:p w14:paraId="63D6ADC9" w14:textId="77777777" w:rsidR="00743A29" w:rsidRPr="00091B7E" w:rsidRDefault="00743A29" w:rsidP="00091B7E">
      <w:pPr>
        <w:shd w:val="clear" w:color="auto" w:fill="FFFFFF"/>
        <w:jc w:val="both"/>
        <w:rPr>
          <w:rFonts w:ascii="Verdana" w:eastAsia="Times New Roman" w:hAnsi="Verdana" w:cs="Times New Roman"/>
          <w:color w:val="222222"/>
          <w:sz w:val="22"/>
          <w:szCs w:val="22"/>
        </w:rPr>
      </w:pPr>
      <w:r w:rsidRPr="00091B7E">
        <w:rPr>
          <w:rFonts w:ascii="Verdana" w:eastAsia="Times New Roman" w:hAnsi="Verdana" w:cs="Times New Roman"/>
          <w:color w:val="222222"/>
          <w:sz w:val="22"/>
          <w:szCs w:val="22"/>
        </w:rPr>
        <w:t>Debt</w:t>
      </w:r>
    </w:p>
    <w:p w14:paraId="53A93F80" w14:textId="77777777" w:rsidR="00743A29" w:rsidRDefault="00743A29" w:rsidP="00743A29">
      <w:pPr>
        <w:shd w:val="clear" w:color="auto" w:fill="FFFFFF"/>
        <w:jc w:val="both"/>
        <w:rPr>
          <w:rFonts w:ascii="Verdana" w:eastAsia="Times New Roman" w:hAnsi="Verdana" w:cs="Times New Roman"/>
          <w:color w:val="222222"/>
          <w:sz w:val="22"/>
          <w:szCs w:val="22"/>
        </w:rPr>
      </w:pPr>
    </w:p>
    <w:p w14:paraId="1EF5F408" w14:textId="77777777" w:rsidR="00743A29" w:rsidRDefault="00743A29" w:rsidP="00743A29">
      <w:pPr>
        <w:shd w:val="clear" w:color="auto" w:fill="FFFFFF"/>
        <w:jc w:val="both"/>
        <w:rPr>
          <w:rFonts w:ascii="Verdana" w:eastAsia="Times New Roman" w:hAnsi="Verdana" w:cs="Times New Roman"/>
          <w:color w:val="222222"/>
          <w:sz w:val="22"/>
          <w:szCs w:val="22"/>
        </w:rPr>
      </w:pPr>
      <w:r w:rsidRPr="002B19AC">
        <w:rPr>
          <w:rFonts w:ascii="Verdana" w:eastAsia="Times New Roman" w:hAnsi="Verdana" w:cs="Times New Roman"/>
          <w:color w:val="222222"/>
          <w:sz w:val="22"/>
          <w:szCs w:val="22"/>
        </w:rPr>
        <w:t>Debt relief has been important to the Financing for Development (</w:t>
      </w:r>
      <w:proofErr w:type="spellStart"/>
      <w:r w:rsidRPr="002B19AC">
        <w:rPr>
          <w:rFonts w:ascii="Verdana" w:eastAsia="Times New Roman" w:hAnsi="Verdana" w:cs="Times New Roman"/>
          <w:color w:val="222222"/>
          <w:sz w:val="22"/>
          <w:szCs w:val="22"/>
        </w:rPr>
        <w:t>FfD</w:t>
      </w:r>
      <w:proofErr w:type="spellEnd"/>
      <w:r w:rsidRPr="002B19AC">
        <w:rPr>
          <w:rFonts w:ascii="Verdana" w:eastAsia="Times New Roman" w:hAnsi="Verdana" w:cs="Times New Roman"/>
          <w:color w:val="222222"/>
          <w:sz w:val="22"/>
          <w:szCs w:val="22"/>
        </w:rPr>
        <w:t xml:space="preserve">) process since Monterrey. </w:t>
      </w:r>
      <w:r>
        <w:rPr>
          <w:rFonts w:ascii="Verdana" w:eastAsia="Times New Roman" w:hAnsi="Verdana" w:cs="Times New Roman"/>
          <w:color w:val="222222"/>
          <w:sz w:val="22"/>
          <w:szCs w:val="22"/>
        </w:rPr>
        <w:t>As background, s</w:t>
      </w:r>
      <w:r w:rsidRPr="002B19AC">
        <w:rPr>
          <w:rFonts w:ascii="Verdana" w:eastAsia="Times New Roman" w:hAnsi="Verdana" w:cs="Times New Roman"/>
          <w:color w:val="222222"/>
          <w:sz w:val="22"/>
          <w:szCs w:val="22"/>
        </w:rPr>
        <w:t xml:space="preserve">ervicing of existing debts </w:t>
      </w:r>
      <w:proofErr w:type="gramStart"/>
      <w:r w:rsidRPr="002B19AC">
        <w:rPr>
          <w:rFonts w:ascii="Verdana" w:eastAsia="Times New Roman" w:hAnsi="Verdana" w:cs="Times New Roman"/>
          <w:color w:val="222222"/>
          <w:sz w:val="22"/>
          <w:szCs w:val="22"/>
        </w:rPr>
        <w:t>are</w:t>
      </w:r>
      <w:proofErr w:type="gramEnd"/>
      <w:r w:rsidRPr="002B19AC">
        <w:rPr>
          <w:rFonts w:ascii="Verdana" w:eastAsia="Times New Roman" w:hAnsi="Verdana" w:cs="Times New Roman"/>
          <w:color w:val="222222"/>
          <w:sz w:val="22"/>
          <w:szCs w:val="22"/>
        </w:rPr>
        <w:t xml:space="preserve"> an obstacle to financing additional development, and as such represent opportunity costs. In Addis, debt did not have a high profile, but this is changing now, because debt levels in developing countries are increasing. This is due to slumps in commodity prices, leading to fiscal and balance-of-payments deficits, higher interest payments due to the issuance of bonds with </w:t>
      </w:r>
      <w:r>
        <w:rPr>
          <w:rFonts w:ascii="Verdana" w:eastAsia="Times New Roman" w:hAnsi="Verdana" w:cs="Times New Roman"/>
          <w:color w:val="222222"/>
          <w:sz w:val="22"/>
          <w:szCs w:val="22"/>
        </w:rPr>
        <w:t xml:space="preserve">lower </w:t>
      </w:r>
      <w:proofErr w:type="spellStart"/>
      <w:r>
        <w:rPr>
          <w:rFonts w:ascii="Verdana" w:eastAsia="Times New Roman" w:hAnsi="Verdana" w:cs="Times New Roman"/>
          <w:color w:val="222222"/>
          <w:sz w:val="22"/>
          <w:szCs w:val="22"/>
        </w:rPr>
        <w:t>concessionality</w:t>
      </w:r>
      <w:proofErr w:type="spellEnd"/>
      <w:r w:rsidRPr="002B19AC">
        <w:rPr>
          <w:rFonts w:ascii="Verdana" w:eastAsia="Times New Roman" w:hAnsi="Verdana" w:cs="Times New Roman"/>
          <w:color w:val="222222"/>
          <w:sz w:val="22"/>
          <w:szCs w:val="22"/>
        </w:rPr>
        <w:t xml:space="preserve"> on the part of lenders, and unfavorable changes in exchange rates leading to a higher cost of debt service for debts held in foreign curren</w:t>
      </w:r>
      <w:r>
        <w:rPr>
          <w:rFonts w:ascii="Verdana" w:eastAsia="Times New Roman" w:hAnsi="Verdana" w:cs="Times New Roman"/>
          <w:color w:val="222222"/>
          <w:sz w:val="22"/>
          <w:szCs w:val="22"/>
        </w:rPr>
        <w:t>cies</w:t>
      </w:r>
      <w:r w:rsidRPr="002B19AC">
        <w:rPr>
          <w:rFonts w:ascii="Verdana" w:eastAsia="Times New Roman" w:hAnsi="Verdana" w:cs="Times New Roman"/>
          <w:color w:val="222222"/>
          <w:sz w:val="22"/>
          <w:szCs w:val="22"/>
        </w:rPr>
        <w:t>. As a result of all these factors, debt service is an increasing burden which absorbs domestic resources that could otherwise be directed to other purposes and can preclude the taking on of additional debt for development purposes.</w:t>
      </w:r>
    </w:p>
    <w:p w14:paraId="5C9FAB46" w14:textId="77777777" w:rsidR="00743A29" w:rsidRPr="002B19AC" w:rsidRDefault="00743A29" w:rsidP="00743A29">
      <w:pPr>
        <w:shd w:val="clear" w:color="auto" w:fill="FFFFFF"/>
        <w:jc w:val="both"/>
        <w:rPr>
          <w:rFonts w:ascii="Verdana" w:eastAsia="Times New Roman" w:hAnsi="Verdana" w:cs="Times New Roman"/>
          <w:color w:val="222222"/>
          <w:sz w:val="22"/>
          <w:szCs w:val="22"/>
        </w:rPr>
      </w:pPr>
    </w:p>
    <w:p w14:paraId="747A8A7F" w14:textId="77777777" w:rsidR="00743A29" w:rsidRDefault="00743A29" w:rsidP="00743A29">
      <w:pPr>
        <w:shd w:val="clear" w:color="auto" w:fill="FFFFFF"/>
        <w:jc w:val="both"/>
        <w:rPr>
          <w:rFonts w:ascii="Verdana" w:eastAsia="Times New Roman" w:hAnsi="Verdana" w:cs="Times New Roman"/>
          <w:color w:val="222222"/>
          <w:sz w:val="22"/>
          <w:szCs w:val="22"/>
        </w:rPr>
      </w:pPr>
      <w:r w:rsidRPr="002B19AC">
        <w:rPr>
          <w:rFonts w:ascii="Verdana" w:eastAsia="Times New Roman" w:hAnsi="Verdana" w:cs="Times New Roman"/>
          <w:color w:val="222222"/>
          <w:sz w:val="22"/>
          <w:szCs w:val="22"/>
        </w:rPr>
        <w:t xml:space="preserve">Recent debt-creating development finance initiatives and approaches have made things worse (examples of this are the EU External Investment Plan, the Compact with </w:t>
      </w:r>
      <w:proofErr w:type="gramStart"/>
      <w:r w:rsidRPr="002B19AC">
        <w:rPr>
          <w:rFonts w:ascii="Verdana" w:eastAsia="Times New Roman" w:hAnsi="Verdana" w:cs="Times New Roman"/>
          <w:color w:val="222222"/>
          <w:sz w:val="22"/>
          <w:szCs w:val="22"/>
        </w:rPr>
        <w:t>Africa,  and</w:t>
      </w:r>
      <w:proofErr w:type="gramEnd"/>
      <w:r w:rsidRPr="002B19AC">
        <w:rPr>
          <w:rFonts w:ascii="Verdana" w:eastAsia="Times New Roman" w:hAnsi="Verdana" w:cs="Times New Roman"/>
          <w:color w:val="222222"/>
          <w:sz w:val="22"/>
          <w:szCs w:val="22"/>
        </w:rPr>
        <w:t xml:space="preserve"> climate funds).</w:t>
      </w:r>
    </w:p>
    <w:p w14:paraId="180B0888" w14:textId="77777777" w:rsidR="00743A29" w:rsidRPr="002B19AC" w:rsidRDefault="00743A29" w:rsidP="00743A29">
      <w:pPr>
        <w:shd w:val="clear" w:color="auto" w:fill="FFFFFF"/>
        <w:jc w:val="both"/>
        <w:rPr>
          <w:rFonts w:ascii="Verdana" w:eastAsia="Times New Roman" w:hAnsi="Verdana" w:cs="Times New Roman"/>
          <w:color w:val="222222"/>
          <w:sz w:val="22"/>
          <w:szCs w:val="22"/>
        </w:rPr>
      </w:pPr>
    </w:p>
    <w:p w14:paraId="499F2E8F" w14:textId="77777777" w:rsidR="00743A29" w:rsidRPr="00091B7E" w:rsidRDefault="00743A29" w:rsidP="00091B7E">
      <w:pPr>
        <w:shd w:val="clear" w:color="auto" w:fill="FFFFFF"/>
        <w:jc w:val="both"/>
        <w:rPr>
          <w:rFonts w:ascii="Verdana" w:eastAsia="Times New Roman" w:hAnsi="Verdana" w:cs="Times New Roman"/>
          <w:color w:val="222222"/>
          <w:sz w:val="22"/>
          <w:szCs w:val="22"/>
        </w:rPr>
      </w:pPr>
      <w:r w:rsidRPr="00091B7E">
        <w:rPr>
          <w:rFonts w:ascii="Verdana" w:eastAsia="Times New Roman" w:hAnsi="Verdana" w:cs="Times New Roman"/>
          <w:color w:val="222222"/>
          <w:sz w:val="22"/>
          <w:szCs w:val="22"/>
        </w:rPr>
        <w:t>Development cooperation</w:t>
      </w:r>
    </w:p>
    <w:p w14:paraId="7AC9F731" w14:textId="77777777" w:rsidR="00743A29" w:rsidRPr="002B19AC" w:rsidRDefault="00743A29" w:rsidP="00743A29">
      <w:pPr>
        <w:shd w:val="clear" w:color="auto" w:fill="FFFFFF"/>
        <w:jc w:val="both"/>
        <w:rPr>
          <w:rFonts w:ascii="Verdana" w:eastAsia="Times New Roman" w:hAnsi="Verdana" w:cs="Times New Roman"/>
          <w:color w:val="222222"/>
          <w:sz w:val="22"/>
          <w:szCs w:val="22"/>
        </w:rPr>
      </w:pPr>
    </w:p>
    <w:p w14:paraId="311D0B70" w14:textId="77777777" w:rsidR="00743A29" w:rsidRDefault="00743A29" w:rsidP="00743A29">
      <w:pPr>
        <w:shd w:val="clear" w:color="auto" w:fill="FFFFFF"/>
        <w:jc w:val="both"/>
        <w:rPr>
          <w:rFonts w:ascii="Verdana" w:eastAsia="Times New Roman" w:hAnsi="Verdana" w:cs="Times New Roman"/>
          <w:color w:val="222222"/>
          <w:sz w:val="22"/>
          <w:szCs w:val="22"/>
        </w:rPr>
      </w:pPr>
      <w:r w:rsidRPr="002B19AC">
        <w:rPr>
          <w:rFonts w:ascii="Verdana" w:eastAsia="Times New Roman" w:hAnsi="Verdana" w:cs="Times New Roman"/>
          <w:color w:val="222222"/>
          <w:sz w:val="22"/>
          <w:szCs w:val="22"/>
        </w:rPr>
        <w:t>Official Development Assistance (ODA)</w:t>
      </w:r>
      <w:r>
        <w:rPr>
          <w:rFonts w:ascii="Verdana" w:eastAsia="Times New Roman" w:hAnsi="Verdana" w:cs="Times New Roman"/>
          <w:color w:val="222222"/>
          <w:sz w:val="22"/>
          <w:szCs w:val="22"/>
        </w:rPr>
        <w:t xml:space="preserve"> is a small resource relative to other sources such as domestic taxation</w:t>
      </w:r>
      <w:r w:rsidRPr="002B19AC">
        <w:rPr>
          <w:rFonts w:ascii="Verdana" w:eastAsia="Times New Roman" w:hAnsi="Verdana" w:cs="Times New Roman"/>
          <w:color w:val="222222"/>
          <w:sz w:val="22"/>
          <w:szCs w:val="22"/>
        </w:rPr>
        <w:t xml:space="preserve">. </w:t>
      </w:r>
      <w:r>
        <w:rPr>
          <w:rFonts w:ascii="Verdana" w:eastAsia="Times New Roman" w:hAnsi="Verdana" w:cs="Times New Roman"/>
          <w:color w:val="222222"/>
          <w:sz w:val="22"/>
          <w:szCs w:val="22"/>
        </w:rPr>
        <w:t>Nonetheless, it has a unique mandate (all ODA must have as its main objective the promotion of the economic development and welfare of developing countries), and this means it has a valuable role to play in f</w:t>
      </w:r>
      <w:r w:rsidRPr="002B19AC">
        <w:rPr>
          <w:rFonts w:ascii="Verdana" w:eastAsia="Times New Roman" w:hAnsi="Verdana" w:cs="Times New Roman"/>
          <w:color w:val="222222"/>
          <w:sz w:val="22"/>
          <w:szCs w:val="22"/>
        </w:rPr>
        <w:t>inancing implementation of the SDGs</w:t>
      </w:r>
      <w:r>
        <w:rPr>
          <w:rFonts w:ascii="Verdana" w:eastAsia="Times New Roman" w:hAnsi="Verdana" w:cs="Times New Roman"/>
          <w:color w:val="222222"/>
          <w:sz w:val="22"/>
          <w:szCs w:val="22"/>
        </w:rPr>
        <w:t>.</w:t>
      </w:r>
      <w:r w:rsidRPr="002B19AC">
        <w:rPr>
          <w:rFonts w:ascii="Verdana" w:eastAsia="Times New Roman" w:hAnsi="Verdana" w:cs="Times New Roman"/>
          <w:color w:val="222222"/>
          <w:sz w:val="22"/>
          <w:szCs w:val="22"/>
        </w:rPr>
        <w:t xml:space="preserve"> </w:t>
      </w:r>
      <w:proofErr w:type="gramStart"/>
      <w:r w:rsidRPr="002B19AC">
        <w:rPr>
          <w:rFonts w:ascii="Verdana" w:eastAsia="Times New Roman" w:hAnsi="Verdana" w:cs="Times New Roman"/>
          <w:color w:val="222222"/>
          <w:sz w:val="22"/>
          <w:szCs w:val="22"/>
        </w:rPr>
        <w:t xml:space="preserve">However, </w:t>
      </w:r>
      <w:r>
        <w:rPr>
          <w:rFonts w:ascii="Verdana" w:eastAsia="Times New Roman" w:hAnsi="Verdana" w:cs="Times New Roman"/>
          <w:color w:val="222222"/>
          <w:sz w:val="22"/>
          <w:szCs w:val="22"/>
        </w:rPr>
        <w:t xml:space="preserve"> there</w:t>
      </w:r>
      <w:proofErr w:type="gramEnd"/>
      <w:r>
        <w:rPr>
          <w:rFonts w:ascii="Verdana" w:eastAsia="Times New Roman" w:hAnsi="Verdana" w:cs="Times New Roman"/>
          <w:color w:val="222222"/>
          <w:sz w:val="22"/>
          <w:szCs w:val="22"/>
        </w:rPr>
        <w:t xml:space="preserve"> is currently a risk that ODA will be used in ways that actually put donors’ own objectives ahead of poverty eradication, reduction of inequality, and realization of human rights. For example, high levels of </w:t>
      </w:r>
      <w:r w:rsidRPr="002B19AC">
        <w:rPr>
          <w:rFonts w:ascii="Verdana" w:eastAsia="Times New Roman" w:hAnsi="Verdana" w:cs="Times New Roman"/>
          <w:color w:val="222222"/>
          <w:sz w:val="22"/>
          <w:szCs w:val="22"/>
        </w:rPr>
        <w:t xml:space="preserve">ODA </w:t>
      </w:r>
      <w:r>
        <w:rPr>
          <w:rFonts w:ascii="Verdana" w:eastAsia="Times New Roman" w:hAnsi="Verdana" w:cs="Times New Roman"/>
          <w:color w:val="222222"/>
          <w:sz w:val="22"/>
          <w:szCs w:val="22"/>
        </w:rPr>
        <w:t xml:space="preserve">are currently used to cover the costs of hosting </w:t>
      </w:r>
      <w:r w:rsidRPr="002B19AC">
        <w:rPr>
          <w:rFonts w:ascii="Verdana" w:eastAsia="Times New Roman" w:hAnsi="Verdana" w:cs="Times New Roman"/>
          <w:color w:val="222222"/>
          <w:sz w:val="22"/>
          <w:szCs w:val="22"/>
        </w:rPr>
        <w:t xml:space="preserve">refugees </w:t>
      </w:r>
      <w:r>
        <w:rPr>
          <w:rFonts w:ascii="Verdana" w:eastAsia="Times New Roman" w:hAnsi="Verdana" w:cs="Times New Roman"/>
          <w:color w:val="222222"/>
          <w:sz w:val="22"/>
          <w:szCs w:val="22"/>
        </w:rPr>
        <w:t xml:space="preserve">in donor countries [a vital activity, but one that many CSOs should not count as ODA]. In addition, the use of ODA to support private sector actors through </w:t>
      </w:r>
      <w:r w:rsidRPr="002B19AC">
        <w:rPr>
          <w:rFonts w:ascii="Verdana" w:eastAsia="Times New Roman" w:hAnsi="Verdana" w:cs="Times New Roman"/>
          <w:color w:val="222222"/>
          <w:sz w:val="22"/>
          <w:szCs w:val="22"/>
        </w:rPr>
        <w:t>Private Sector In</w:t>
      </w:r>
      <w:r>
        <w:rPr>
          <w:rFonts w:ascii="Verdana" w:eastAsia="Times New Roman" w:hAnsi="Verdana" w:cs="Times New Roman"/>
          <w:color w:val="222222"/>
          <w:sz w:val="22"/>
          <w:szCs w:val="22"/>
        </w:rPr>
        <w:t>struments</w:t>
      </w:r>
      <w:r w:rsidRPr="002B19AC">
        <w:rPr>
          <w:rFonts w:ascii="Verdana" w:eastAsia="Times New Roman" w:hAnsi="Verdana" w:cs="Times New Roman"/>
          <w:color w:val="222222"/>
          <w:sz w:val="22"/>
          <w:szCs w:val="22"/>
        </w:rPr>
        <w:t xml:space="preserve"> (PSI)</w:t>
      </w:r>
      <w:r>
        <w:rPr>
          <w:rFonts w:ascii="Verdana" w:eastAsia="Times New Roman" w:hAnsi="Verdana" w:cs="Times New Roman"/>
          <w:color w:val="222222"/>
          <w:sz w:val="22"/>
          <w:szCs w:val="22"/>
        </w:rPr>
        <w:t xml:space="preserve">, </w:t>
      </w:r>
      <w:r w:rsidRPr="002B19AC">
        <w:rPr>
          <w:rFonts w:ascii="Verdana" w:eastAsia="Times New Roman" w:hAnsi="Verdana" w:cs="Times New Roman"/>
          <w:color w:val="222222"/>
          <w:sz w:val="22"/>
          <w:szCs w:val="22"/>
        </w:rPr>
        <w:t xml:space="preserve">raises alarm, </w:t>
      </w:r>
      <w:r>
        <w:rPr>
          <w:rFonts w:ascii="Verdana" w:eastAsia="Times New Roman" w:hAnsi="Verdana" w:cs="Times New Roman"/>
          <w:color w:val="222222"/>
          <w:sz w:val="22"/>
          <w:szCs w:val="22"/>
        </w:rPr>
        <w:t xml:space="preserve">not least </w:t>
      </w:r>
      <w:r w:rsidRPr="002B19AC">
        <w:rPr>
          <w:rFonts w:ascii="Verdana" w:eastAsia="Times New Roman" w:hAnsi="Verdana" w:cs="Times New Roman"/>
          <w:color w:val="222222"/>
          <w:sz w:val="22"/>
          <w:szCs w:val="22"/>
        </w:rPr>
        <w:t xml:space="preserve">because </w:t>
      </w:r>
      <w:r>
        <w:rPr>
          <w:rFonts w:ascii="Verdana" w:eastAsia="Times New Roman" w:hAnsi="Verdana" w:cs="Times New Roman"/>
          <w:color w:val="222222"/>
          <w:sz w:val="22"/>
          <w:szCs w:val="22"/>
        </w:rPr>
        <w:t xml:space="preserve">of challenges in holding </w:t>
      </w:r>
      <w:r w:rsidRPr="002B19AC">
        <w:rPr>
          <w:rFonts w:ascii="Verdana" w:eastAsia="Times New Roman" w:hAnsi="Verdana" w:cs="Times New Roman"/>
          <w:color w:val="222222"/>
          <w:sz w:val="22"/>
          <w:szCs w:val="22"/>
        </w:rPr>
        <w:t xml:space="preserve">private sector actors accountable </w:t>
      </w:r>
      <w:r>
        <w:rPr>
          <w:rFonts w:ascii="Verdana" w:eastAsia="Times New Roman" w:hAnsi="Verdana" w:cs="Times New Roman"/>
          <w:color w:val="222222"/>
          <w:sz w:val="22"/>
          <w:szCs w:val="22"/>
        </w:rPr>
        <w:t>for their compliance with development effectiveness standards and human rights obligations.</w:t>
      </w:r>
    </w:p>
    <w:p w14:paraId="424C8C3F" w14:textId="77777777" w:rsidR="00743A29" w:rsidRDefault="00743A29" w:rsidP="00743A29">
      <w:pPr>
        <w:shd w:val="clear" w:color="auto" w:fill="FFFFFF"/>
        <w:jc w:val="both"/>
        <w:rPr>
          <w:rFonts w:ascii="Verdana" w:eastAsia="Times New Roman" w:hAnsi="Verdana" w:cs="Times New Roman"/>
          <w:color w:val="222222"/>
          <w:sz w:val="22"/>
          <w:szCs w:val="22"/>
        </w:rPr>
      </w:pPr>
    </w:p>
    <w:p w14:paraId="0DAD2E72" w14:textId="77777777" w:rsidR="00743A29" w:rsidRDefault="00743A29" w:rsidP="00743A29">
      <w:pPr>
        <w:shd w:val="clear" w:color="auto" w:fill="FFFFFF"/>
        <w:jc w:val="both"/>
        <w:rPr>
          <w:rFonts w:ascii="Verdana" w:eastAsia="Times New Roman" w:hAnsi="Verdana" w:cs="Times New Roman"/>
          <w:color w:val="222222"/>
          <w:sz w:val="22"/>
          <w:szCs w:val="22"/>
        </w:rPr>
      </w:pPr>
      <w:r>
        <w:rPr>
          <w:rFonts w:ascii="Verdana" w:eastAsia="Times New Roman" w:hAnsi="Verdana" w:cs="Times New Roman"/>
          <w:color w:val="222222"/>
          <w:sz w:val="22"/>
          <w:szCs w:val="22"/>
        </w:rPr>
        <w:t>Participants agreed on the central importance of ensuring that all development cooperation complies with internationally agreed standards on development effectiveness</w:t>
      </w:r>
      <w:r w:rsidRPr="002B19AC">
        <w:rPr>
          <w:rFonts w:ascii="Verdana" w:eastAsia="Times New Roman" w:hAnsi="Verdana" w:cs="Times New Roman"/>
          <w:color w:val="222222"/>
          <w:sz w:val="22"/>
          <w:szCs w:val="22"/>
        </w:rPr>
        <w:t xml:space="preserve">. In order for development to work, developing countries must </w:t>
      </w:r>
      <w:r>
        <w:rPr>
          <w:rFonts w:ascii="Verdana" w:eastAsia="Times New Roman" w:hAnsi="Verdana" w:cs="Times New Roman"/>
          <w:color w:val="222222"/>
          <w:sz w:val="22"/>
          <w:szCs w:val="22"/>
        </w:rPr>
        <w:t>have</w:t>
      </w:r>
      <w:r w:rsidRPr="002B19AC">
        <w:rPr>
          <w:rFonts w:ascii="Verdana" w:eastAsia="Times New Roman" w:hAnsi="Verdana" w:cs="Times New Roman"/>
          <w:color w:val="222222"/>
          <w:sz w:val="22"/>
          <w:szCs w:val="22"/>
        </w:rPr>
        <w:t xml:space="preserve"> ownership of development priorities. There must be a focus on the results, based on their impact on the eradication of poverty and the reduction of inequality, and on increasing the capabilities of developing countries themselves. </w:t>
      </w:r>
      <w:r>
        <w:rPr>
          <w:rFonts w:ascii="Verdana" w:eastAsia="Times New Roman" w:hAnsi="Verdana" w:cs="Times New Roman"/>
          <w:color w:val="222222"/>
          <w:sz w:val="22"/>
          <w:szCs w:val="22"/>
        </w:rPr>
        <w:t xml:space="preserve">Inclusive development partnerships are also a core development effectiveness principle, but some participants cautioned that this idea could be subverted to increase the power of private sector actors relative to states, so caution is needed. </w:t>
      </w:r>
    </w:p>
    <w:p w14:paraId="4D79E1A7" w14:textId="77777777" w:rsidR="00743A29" w:rsidRDefault="00743A29" w:rsidP="00743A29">
      <w:pPr>
        <w:shd w:val="clear" w:color="auto" w:fill="FFFFFF"/>
        <w:jc w:val="both"/>
        <w:rPr>
          <w:rFonts w:ascii="Verdana" w:eastAsia="Times New Roman" w:hAnsi="Verdana" w:cs="Times New Roman"/>
          <w:color w:val="222222"/>
          <w:sz w:val="22"/>
          <w:szCs w:val="22"/>
        </w:rPr>
      </w:pPr>
    </w:p>
    <w:p w14:paraId="57D2921E" w14:textId="77777777" w:rsidR="00743A29" w:rsidRDefault="00743A29" w:rsidP="00743A29">
      <w:pPr>
        <w:shd w:val="clear" w:color="auto" w:fill="FFFFFF"/>
        <w:jc w:val="both"/>
        <w:rPr>
          <w:rFonts w:ascii="Verdana" w:eastAsia="Times New Roman" w:hAnsi="Verdana" w:cs="Times New Roman"/>
          <w:color w:val="222222"/>
          <w:sz w:val="22"/>
          <w:szCs w:val="22"/>
        </w:rPr>
      </w:pPr>
    </w:p>
    <w:p w14:paraId="443C698E" w14:textId="77777777" w:rsidR="00743A29" w:rsidRDefault="00743A29" w:rsidP="00743A29">
      <w:pPr>
        <w:shd w:val="clear" w:color="auto" w:fill="FFFFFF"/>
        <w:jc w:val="both"/>
        <w:rPr>
          <w:rFonts w:ascii="Verdana" w:eastAsia="Times New Roman" w:hAnsi="Verdana" w:cs="Times New Roman"/>
          <w:color w:val="222222"/>
          <w:sz w:val="22"/>
          <w:szCs w:val="22"/>
        </w:rPr>
      </w:pPr>
      <w:r w:rsidRPr="002B19AC">
        <w:rPr>
          <w:rFonts w:ascii="Verdana" w:eastAsia="Times New Roman" w:hAnsi="Verdana" w:cs="Times New Roman"/>
          <w:color w:val="222222"/>
          <w:sz w:val="22"/>
          <w:szCs w:val="22"/>
        </w:rPr>
        <w:t xml:space="preserve">The group reacted to Public Private Partnerships (PPP). PPPs can be problematic in that the private partners are not accountable, and therefore the projects they lead are not accountable, yet they benefit from public financing and public credit. PPPs need regulation. They have not delivered to date, so </w:t>
      </w:r>
      <w:r>
        <w:rPr>
          <w:rFonts w:ascii="Verdana" w:eastAsia="Times New Roman" w:hAnsi="Verdana" w:cs="Times New Roman"/>
          <w:color w:val="222222"/>
          <w:sz w:val="22"/>
          <w:szCs w:val="22"/>
        </w:rPr>
        <w:t xml:space="preserve">new proposals should be treated with great caution, and in particular </w:t>
      </w:r>
      <w:r w:rsidRPr="002B19AC">
        <w:rPr>
          <w:rFonts w:ascii="Verdana" w:eastAsia="Times New Roman" w:hAnsi="Verdana" w:cs="Times New Roman"/>
          <w:color w:val="222222"/>
          <w:sz w:val="22"/>
          <w:szCs w:val="22"/>
        </w:rPr>
        <w:t xml:space="preserve">it may be desirable to exclude </w:t>
      </w:r>
      <w:r>
        <w:rPr>
          <w:rFonts w:ascii="Verdana" w:eastAsia="Times New Roman" w:hAnsi="Verdana" w:cs="Times New Roman"/>
          <w:color w:val="222222"/>
          <w:sz w:val="22"/>
          <w:szCs w:val="22"/>
        </w:rPr>
        <w:t>PPPs</w:t>
      </w:r>
      <w:r w:rsidRPr="002B19AC">
        <w:rPr>
          <w:rFonts w:ascii="Verdana" w:eastAsia="Times New Roman" w:hAnsi="Verdana" w:cs="Times New Roman"/>
          <w:color w:val="222222"/>
          <w:sz w:val="22"/>
          <w:szCs w:val="22"/>
        </w:rPr>
        <w:t xml:space="preserve"> from critical projects in sectors such as education and health. </w:t>
      </w:r>
    </w:p>
    <w:p w14:paraId="5CAA5290" w14:textId="77777777" w:rsidR="00743A29" w:rsidRDefault="00743A29" w:rsidP="00743A29">
      <w:pPr>
        <w:shd w:val="clear" w:color="auto" w:fill="FFFFFF"/>
        <w:jc w:val="both"/>
      </w:pPr>
    </w:p>
    <w:p w14:paraId="0D2E4052" w14:textId="7EF3C366" w:rsidR="00743A29" w:rsidRDefault="00743A29" w:rsidP="00743A29">
      <w:pPr>
        <w:shd w:val="clear" w:color="auto" w:fill="FFFFFF"/>
        <w:jc w:val="both"/>
        <w:rPr>
          <w:rFonts w:ascii="Verdana" w:eastAsia="Times New Roman" w:hAnsi="Verdana" w:cs="Times New Roman"/>
          <w:color w:val="222222"/>
          <w:sz w:val="22"/>
          <w:szCs w:val="22"/>
        </w:rPr>
      </w:pPr>
      <w:r w:rsidRPr="00776838">
        <w:rPr>
          <w:rFonts w:ascii="Verdana" w:eastAsia="Times New Roman" w:hAnsi="Verdana" w:cs="Times New Roman"/>
          <w:color w:val="222222"/>
          <w:sz w:val="22"/>
          <w:szCs w:val="22"/>
        </w:rPr>
        <w:t>Accounta</w:t>
      </w:r>
      <w:r w:rsidR="00091B7E">
        <w:rPr>
          <w:rFonts w:ascii="Verdana" w:eastAsia="Times New Roman" w:hAnsi="Verdana" w:cs="Times New Roman"/>
          <w:color w:val="222222"/>
          <w:sz w:val="22"/>
          <w:szCs w:val="22"/>
        </w:rPr>
        <w:t>bility for commitments on FFD</w:t>
      </w:r>
    </w:p>
    <w:p w14:paraId="7EB4F3A3" w14:textId="77777777" w:rsidR="00091B7E" w:rsidRPr="00776838" w:rsidRDefault="00091B7E" w:rsidP="00743A29">
      <w:pPr>
        <w:shd w:val="clear" w:color="auto" w:fill="FFFFFF"/>
        <w:jc w:val="both"/>
        <w:rPr>
          <w:rFonts w:ascii="Verdana" w:eastAsia="Times New Roman" w:hAnsi="Verdana" w:cs="Times New Roman"/>
          <w:color w:val="222222"/>
          <w:sz w:val="22"/>
          <w:szCs w:val="22"/>
        </w:rPr>
      </w:pPr>
    </w:p>
    <w:p w14:paraId="426653BE" w14:textId="77777777" w:rsidR="00743A29" w:rsidRDefault="00743A29" w:rsidP="00743A29">
      <w:pPr>
        <w:shd w:val="clear" w:color="auto" w:fill="FFFFFF"/>
        <w:jc w:val="both"/>
        <w:rPr>
          <w:rFonts w:ascii="Verdana" w:eastAsia="Times New Roman" w:hAnsi="Verdana" w:cs="Times New Roman"/>
          <w:color w:val="222222"/>
          <w:sz w:val="22"/>
          <w:szCs w:val="22"/>
        </w:rPr>
      </w:pPr>
      <w:r w:rsidRPr="002B19AC">
        <w:rPr>
          <w:rFonts w:ascii="Verdana" w:eastAsia="Times New Roman" w:hAnsi="Verdana" w:cs="Times New Roman"/>
          <w:color w:val="222222"/>
          <w:sz w:val="22"/>
          <w:szCs w:val="22"/>
        </w:rPr>
        <w:t xml:space="preserve">While the </w:t>
      </w:r>
      <w:proofErr w:type="spellStart"/>
      <w:r w:rsidRPr="002B19AC">
        <w:rPr>
          <w:rFonts w:ascii="Verdana" w:eastAsia="Times New Roman" w:hAnsi="Verdana" w:cs="Times New Roman"/>
          <w:color w:val="222222"/>
          <w:sz w:val="22"/>
          <w:szCs w:val="22"/>
        </w:rPr>
        <w:t>FfD</w:t>
      </w:r>
      <w:proofErr w:type="spellEnd"/>
      <w:r w:rsidRPr="002B19AC">
        <w:rPr>
          <w:rFonts w:ascii="Verdana" w:eastAsia="Times New Roman" w:hAnsi="Verdana" w:cs="Times New Roman"/>
          <w:color w:val="222222"/>
          <w:sz w:val="22"/>
          <w:szCs w:val="22"/>
        </w:rPr>
        <w:t xml:space="preserve"> process is mandated by the Addis Ababa Action Agenda (AAAA), it is not well monitored. Effective monitoring relies on the collection of reliable data. </w:t>
      </w:r>
      <w:r>
        <w:rPr>
          <w:rFonts w:ascii="Verdana" w:eastAsia="Times New Roman" w:hAnsi="Verdana" w:cs="Times New Roman"/>
          <w:color w:val="222222"/>
          <w:sz w:val="22"/>
          <w:szCs w:val="22"/>
        </w:rPr>
        <w:t xml:space="preserve">Synergies should be sought wherever possible. For example, the Global Partnership for Effective Development Cooperation provides valuable data on compliance with AAAA commitments on international public finance. </w:t>
      </w:r>
      <w:r w:rsidRPr="002B19AC">
        <w:rPr>
          <w:rFonts w:ascii="Verdana" w:eastAsia="Times New Roman" w:hAnsi="Verdana" w:cs="Times New Roman"/>
          <w:color w:val="222222"/>
          <w:sz w:val="22"/>
          <w:szCs w:val="22"/>
        </w:rPr>
        <w:t xml:space="preserve">Countries that participate in </w:t>
      </w:r>
      <w:r>
        <w:rPr>
          <w:rFonts w:ascii="Verdana" w:eastAsia="Times New Roman" w:hAnsi="Verdana" w:cs="Times New Roman"/>
          <w:color w:val="222222"/>
          <w:sz w:val="22"/>
          <w:szCs w:val="22"/>
        </w:rPr>
        <w:t>the AAAA</w:t>
      </w:r>
      <w:r w:rsidRPr="002B19AC">
        <w:rPr>
          <w:rFonts w:ascii="Verdana" w:eastAsia="Times New Roman" w:hAnsi="Verdana" w:cs="Times New Roman"/>
          <w:color w:val="222222"/>
          <w:sz w:val="22"/>
          <w:szCs w:val="22"/>
        </w:rPr>
        <w:t xml:space="preserve"> monitoring process will not have to initiate separate processes for </w:t>
      </w:r>
      <w:r>
        <w:rPr>
          <w:rFonts w:ascii="Verdana" w:eastAsia="Times New Roman" w:hAnsi="Verdana" w:cs="Times New Roman"/>
          <w:color w:val="222222"/>
          <w:sz w:val="22"/>
          <w:szCs w:val="22"/>
        </w:rPr>
        <w:t>SDG G</w:t>
      </w:r>
      <w:r w:rsidRPr="002B19AC">
        <w:rPr>
          <w:rFonts w:ascii="Verdana" w:eastAsia="Times New Roman" w:hAnsi="Verdana" w:cs="Times New Roman"/>
          <w:color w:val="222222"/>
          <w:sz w:val="22"/>
          <w:szCs w:val="22"/>
        </w:rPr>
        <w:t xml:space="preserve">oals 16 and </w:t>
      </w:r>
      <w:r>
        <w:rPr>
          <w:rFonts w:ascii="Verdana" w:eastAsia="Times New Roman" w:hAnsi="Verdana" w:cs="Times New Roman"/>
          <w:color w:val="222222"/>
          <w:sz w:val="22"/>
          <w:szCs w:val="22"/>
        </w:rPr>
        <w:t>17.</w:t>
      </w:r>
    </w:p>
    <w:p w14:paraId="6AA78493" w14:textId="77777777" w:rsidR="00743A29" w:rsidRPr="002B19AC" w:rsidRDefault="00743A29" w:rsidP="00743A29">
      <w:pPr>
        <w:shd w:val="clear" w:color="auto" w:fill="FFFFFF"/>
        <w:jc w:val="both"/>
        <w:rPr>
          <w:rFonts w:ascii="Verdana" w:eastAsia="Times New Roman" w:hAnsi="Verdana" w:cs="Times New Roman"/>
          <w:color w:val="222222"/>
          <w:sz w:val="22"/>
          <w:szCs w:val="22"/>
        </w:rPr>
      </w:pPr>
    </w:p>
    <w:p w14:paraId="3795F277" w14:textId="77777777" w:rsidR="00743A29" w:rsidRDefault="00743A29" w:rsidP="00743A29">
      <w:pPr>
        <w:shd w:val="clear" w:color="auto" w:fill="FFFFFF"/>
        <w:jc w:val="both"/>
      </w:pPr>
    </w:p>
    <w:p w14:paraId="1271A3C2" w14:textId="0E69265B" w:rsidR="002B19AC" w:rsidRPr="00814229" w:rsidRDefault="00814229" w:rsidP="00814229">
      <w:pPr>
        <w:pStyle w:val="ListParagraph"/>
        <w:numPr>
          <w:ilvl w:val="0"/>
          <w:numId w:val="10"/>
        </w:numPr>
        <w:shd w:val="clear" w:color="auto" w:fill="FFFFFF"/>
        <w:rPr>
          <w:rFonts w:ascii="Verdana" w:eastAsia="Times New Roman" w:hAnsi="Verdana" w:cs="Times New Roman"/>
          <w:color w:val="222222"/>
          <w:sz w:val="22"/>
          <w:szCs w:val="22"/>
        </w:rPr>
      </w:pPr>
      <w:r w:rsidRPr="00814229">
        <w:rPr>
          <w:rFonts w:ascii="Verdana" w:hAnsi="Verdana"/>
          <w:b/>
          <w:bCs/>
          <w:sz w:val="22"/>
          <w:szCs w:val="22"/>
        </w:rPr>
        <w:t>Mapping of disability and finances</w:t>
      </w:r>
    </w:p>
    <w:p w14:paraId="6CA3FC6A" w14:textId="77777777" w:rsidR="001220A5" w:rsidRPr="002B19AC" w:rsidRDefault="001220A5" w:rsidP="001220A5">
      <w:pPr>
        <w:rPr>
          <w:rFonts w:ascii="Verdana" w:hAnsi="Verdana"/>
          <w:sz w:val="22"/>
          <w:szCs w:val="22"/>
        </w:rPr>
      </w:pPr>
    </w:p>
    <w:p w14:paraId="2D64C27D" w14:textId="3CFCA2F2" w:rsidR="003371EE" w:rsidRDefault="003371EE" w:rsidP="003371EE">
      <w:pPr>
        <w:jc w:val="both"/>
        <w:rPr>
          <w:rFonts w:ascii="Verdana" w:hAnsi="Verdana"/>
          <w:sz w:val="22"/>
          <w:szCs w:val="22"/>
        </w:rPr>
      </w:pPr>
      <w:r>
        <w:rPr>
          <w:rFonts w:ascii="Verdana" w:hAnsi="Verdana"/>
          <w:sz w:val="22"/>
          <w:szCs w:val="22"/>
        </w:rPr>
        <w:t>The following is an explanation of the flows of financing for development and how they link to persons with disabilities with entry points for advocacy for persons with disabilities. The focus i</w:t>
      </w:r>
      <w:r w:rsidR="00091B7E">
        <w:rPr>
          <w:rFonts w:ascii="Verdana" w:hAnsi="Verdana"/>
          <w:sz w:val="22"/>
          <w:szCs w:val="22"/>
        </w:rPr>
        <w:t>s on micro- and macro-economics and finance</w:t>
      </w:r>
      <w:r>
        <w:rPr>
          <w:rFonts w:ascii="Verdana" w:hAnsi="Verdana"/>
          <w:sz w:val="22"/>
          <w:szCs w:val="22"/>
        </w:rPr>
        <w:t xml:space="preserve">. </w:t>
      </w:r>
    </w:p>
    <w:p w14:paraId="0D85FCBF" w14:textId="77777777" w:rsidR="003371EE" w:rsidRDefault="003371EE" w:rsidP="003371EE">
      <w:pPr>
        <w:jc w:val="both"/>
        <w:rPr>
          <w:rFonts w:ascii="Verdana" w:hAnsi="Verdana"/>
          <w:sz w:val="22"/>
          <w:szCs w:val="22"/>
        </w:rPr>
      </w:pPr>
    </w:p>
    <w:p w14:paraId="683DDBDD" w14:textId="77777777" w:rsidR="003371EE" w:rsidRDefault="003371EE" w:rsidP="003371EE">
      <w:pPr>
        <w:jc w:val="both"/>
        <w:rPr>
          <w:rFonts w:ascii="Verdana" w:hAnsi="Verdana"/>
          <w:sz w:val="22"/>
          <w:szCs w:val="22"/>
        </w:rPr>
      </w:pPr>
      <w:r>
        <w:rPr>
          <w:rFonts w:ascii="Verdana" w:hAnsi="Verdana"/>
          <w:b/>
          <w:sz w:val="22"/>
          <w:szCs w:val="22"/>
        </w:rPr>
        <w:t>Finance r</w:t>
      </w:r>
      <w:r w:rsidRPr="009546B2">
        <w:rPr>
          <w:rFonts w:ascii="Verdana" w:hAnsi="Verdana"/>
          <w:b/>
          <w:sz w:val="22"/>
          <w:szCs w:val="22"/>
        </w:rPr>
        <w:t>egulations</w:t>
      </w:r>
      <w:r>
        <w:rPr>
          <w:rFonts w:ascii="Verdana" w:hAnsi="Verdana"/>
          <w:b/>
          <w:sz w:val="22"/>
          <w:szCs w:val="22"/>
        </w:rPr>
        <w:t xml:space="preserve"> </w:t>
      </w:r>
      <w:r>
        <w:rPr>
          <w:rFonts w:ascii="Verdana" w:hAnsi="Verdana"/>
          <w:sz w:val="22"/>
          <w:szCs w:val="22"/>
        </w:rPr>
        <w:t xml:space="preserve">is the overarching theme with the main principles for persons with disabilities being: inequalities, human rights, leave no one behind, accessibility, and inclusion. </w:t>
      </w:r>
      <w:r w:rsidRPr="00091B7E">
        <w:rPr>
          <w:rFonts w:ascii="Verdana" w:hAnsi="Verdana"/>
          <w:i/>
          <w:sz w:val="22"/>
          <w:szCs w:val="22"/>
        </w:rPr>
        <w:t>An example entry point</w:t>
      </w:r>
      <w:r>
        <w:rPr>
          <w:rFonts w:ascii="Verdana" w:hAnsi="Verdana"/>
          <w:sz w:val="22"/>
          <w:szCs w:val="22"/>
        </w:rPr>
        <w:t xml:space="preserve"> for advocacy is </w:t>
      </w:r>
      <w:r w:rsidRPr="009546B2">
        <w:rPr>
          <w:rFonts w:ascii="Verdana" w:hAnsi="Verdana"/>
          <w:sz w:val="22"/>
          <w:szCs w:val="22"/>
        </w:rPr>
        <w:t>ensuring that discourses on rights-based finance include disability rights wherever relevant.</w:t>
      </w:r>
    </w:p>
    <w:p w14:paraId="28289B22" w14:textId="77777777" w:rsidR="003371EE" w:rsidRDefault="003371EE" w:rsidP="003371EE">
      <w:pPr>
        <w:jc w:val="both"/>
        <w:rPr>
          <w:rFonts w:ascii="Verdana" w:hAnsi="Verdana"/>
          <w:sz w:val="22"/>
          <w:szCs w:val="22"/>
        </w:rPr>
      </w:pPr>
    </w:p>
    <w:p w14:paraId="38D425C5" w14:textId="77777777" w:rsidR="003371EE" w:rsidRDefault="003371EE" w:rsidP="003371EE">
      <w:pPr>
        <w:jc w:val="both"/>
        <w:rPr>
          <w:rFonts w:ascii="Verdana" w:hAnsi="Verdana"/>
          <w:sz w:val="22"/>
          <w:szCs w:val="22"/>
        </w:rPr>
      </w:pPr>
      <w:r>
        <w:rPr>
          <w:rFonts w:ascii="Verdana" w:hAnsi="Verdana"/>
          <w:sz w:val="22"/>
          <w:szCs w:val="22"/>
        </w:rPr>
        <w:t xml:space="preserve">Stemming from finance regulations are </w:t>
      </w:r>
      <w:r w:rsidRPr="000F23C2">
        <w:rPr>
          <w:rFonts w:ascii="Verdana" w:hAnsi="Verdana"/>
          <w:b/>
          <w:sz w:val="22"/>
          <w:szCs w:val="22"/>
        </w:rPr>
        <w:t>public</w:t>
      </w:r>
      <w:r>
        <w:rPr>
          <w:rFonts w:ascii="Verdana" w:hAnsi="Verdana"/>
          <w:sz w:val="22"/>
          <w:szCs w:val="22"/>
        </w:rPr>
        <w:t xml:space="preserve"> and </w:t>
      </w:r>
      <w:r w:rsidRPr="000F23C2">
        <w:rPr>
          <w:rFonts w:ascii="Verdana" w:hAnsi="Verdana"/>
          <w:b/>
          <w:sz w:val="22"/>
          <w:szCs w:val="22"/>
        </w:rPr>
        <w:t>privat</w:t>
      </w:r>
      <w:r>
        <w:rPr>
          <w:rFonts w:ascii="Verdana" w:hAnsi="Verdana"/>
          <w:b/>
          <w:sz w:val="22"/>
          <w:szCs w:val="22"/>
        </w:rPr>
        <w:t xml:space="preserve">e finance. </w:t>
      </w:r>
      <w:r>
        <w:rPr>
          <w:rFonts w:ascii="Verdana" w:hAnsi="Verdana"/>
          <w:sz w:val="22"/>
          <w:szCs w:val="22"/>
        </w:rPr>
        <w:t xml:space="preserve">The aspects of </w:t>
      </w:r>
      <w:r>
        <w:rPr>
          <w:rFonts w:ascii="Verdana" w:hAnsi="Verdana"/>
          <w:b/>
          <w:sz w:val="22"/>
          <w:szCs w:val="22"/>
        </w:rPr>
        <w:t xml:space="preserve">private finance </w:t>
      </w:r>
      <w:r w:rsidRPr="00EA4565">
        <w:rPr>
          <w:rFonts w:ascii="Verdana" w:hAnsi="Verdana"/>
          <w:sz w:val="22"/>
          <w:szCs w:val="22"/>
        </w:rPr>
        <w:t>particularly relevant for persons with disabilities</w:t>
      </w:r>
      <w:r>
        <w:rPr>
          <w:rFonts w:ascii="Verdana" w:hAnsi="Verdana"/>
          <w:b/>
          <w:sz w:val="22"/>
          <w:szCs w:val="22"/>
        </w:rPr>
        <w:t xml:space="preserve"> </w:t>
      </w:r>
      <w:r>
        <w:rPr>
          <w:rFonts w:ascii="Verdana" w:hAnsi="Verdana"/>
          <w:sz w:val="22"/>
          <w:szCs w:val="22"/>
        </w:rPr>
        <w:t>include public-private partnerships (PPPs), safeguards by States for public services, and regulation of the private sector</w:t>
      </w:r>
      <w:r w:rsidRPr="00091B7E">
        <w:rPr>
          <w:rFonts w:ascii="Verdana" w:hAnsi="Verdana"/>
          <w:i/>
          <w:sz w:val="22"/>
          <w:szCs w:val="22"/>
        </w:rPr>
        <w:t>. Example entry points</w:t>
      </w:r>
      <w:r>
        <w:rPr>
          <w:rFonts w:ascii="Verdana" w:hAnsi="Verdana"/>
          <w:sz w:val="22"/>
          <w:szCs w:val="22"/>
        </w:rPr>
        <w:t xml:space="preserve"> for advocacy include </w:t>
      </w:r>
      <w:r w:rsidRPr="00EA4565">
        <w:rPr>
          <w:rFonts w:ascii="Verdana" w:hAnsi="Verdana"/>
          <w:sz w:val="22"/>
          <w:szCs w:val="22"/>
        </w:rPr>
        <w:t>highlighting how persons with disabilities are likely to be hit hardest if essential public services and infrast</w:t>
      </w:r>
      <w:r>
        <w:rPr>
          <w:rFonts w:ascii="Verdana" w:hAnsi="Verdana"/>
          <w:sz w:val="22"/>
          <w:szCs w:val="22"/>
        </w:rPr>
        <w:t>ructure are handed over to PPPs and</w:t>
      </w:r>
      <w:r w:rsidRPr="00EA4565">
        <w:rPr>
          <w:rFonts w:ascii="Verdana" w:hAnsi="Verdana"/>
          <w:sz w:val="22"/>
          <w:szCs w:val="22"/>
        </w:rPr>
        <w:t xml:space="preserve"> ensuring that the proposed new binding standard on business and human rights gives due prominence to CRPD obligations.</w:t>
      </w:r>
    </w:p>
    <w:p w14:paraId="3DB9B5CE" w14:textId="77777777" w:rsidR="003371EE" w:rsidRDefault="003371EE" w:rsidP="003371EE">
      <w:pPr>
        <w:jc w:val="both"/>
        <w:rPr>
          <w:rFonts w:ascii="Verdana" w:hAnsi="Verdana"/>
          <w:sz w:val="22"/>
          <w:szCs w:val="22"/>
        </w:rPr>
      </w:pPr>
    </w:p>
    <w:p w14:paraId="1880855E" w14:textId="77777777" w:rsidR="003371EE" w:rsidRDefault="003371EE" w:rsidP="003371EE">
      <w:pPr>
        <w:jc w:val="both"/>
        <w:rPr>
          <w:rFonts w:ascii="Verdana" w:hAnsi="Verdana"/>
          <w:sz w:val="22"/>
          <w:szCs w:val="22"/>
        </w:rPr>
      </w:pPr>
      <w:r>
        <w:rPr>
          <w:rFonts w:ascii="Verdana" w:hAnsi="Verdana"/>
          <w:b/>
          <w:sz w:val="22"/>
          <w:szCs w:val="22"/>
        </w:rPr>
        <w:t xml:space="preserve">Public finance </w:t>
      </w:r>
      <w:r>
        <w:rPr>
          <w:rFonts w:ascii="Verdana" w:hAnsi="Verdana"/>
          <w:sz w:val="22"/>
          <w:szCs w:val="22"/>
        </w:rPr>
        <w:t xml:space="preserve">has both </w:t>
      </w:r>
      <w:r>
        <w:rPr>
          <w:rFonts w:ascii="Verdana" w:hAnsi="Verdana"/>
          <w:b/>
          <w:sz w:val="22"/>
          <w:szCs w:val="22"/>
        </w:rPr>
        <w:t>i</w:t>
      </w:r>
      <w:r w:rsidRPr="002B19AC">
        <w:rPr>
          <w:rFonts w:ascii="Verdana" w:hAnsi="Verdana"/>
          <w:b/>
          <w:sz w:val="22"/>
          <w:szCs w:val="22"/>
        </w:rPr>
        <w:t>nternal</w:t>
      </w:r>
      <w:r w:rsidRPr="002B19AC">
        <w:rPr>
          <w:rFonts w:ascii="Verdana" w:hAnsi="Verdana"/>
          <w:sz w:val="22"/>
          <w:szCs w:val="22"/>
        </w:rPr>
        <w:t xml:space="preserve"> and </w:t>
      </w:r>
      <w:r>
        <w:rPr>
          <w:rFonts w:ascii="Verdana" w:hAnsi="Verdana"/>
          <w:b/>
          <w:sz w:val="22"/>
          <w:szCs w:val="22"/>
        </w:rPr>
        <w:t>e</w:t>
      </w:r>
      <w:r w:rsidRPr="002B19AC">
        <w:rPr>
          <w:rFonts w:ascii="Verdana" w:hAnsi="Verdana"/>
          <w:b/>
          <w:sz w:val="22"/>
          <w:szCs w:val="22"/>
        </w:rPr>
        <w:t xml:space="preserve">xternal </w:t>
      </w:r>
      <w:r>
        <w:rPr>
          <w:rFonts w:ascii="Verdana" w:hAnsi="Verdana"/>
          <w:b/>
          <w:sz w:val="22"/>
          <w:szCs w:val="22"/>
        </w:rPr>
        <w:t xml:space="preserve">financial </w:t>
      </w:r>
      <w:r w:rsidRPr="00EA4565">
        <w:rPr>
          <w:rFonts w:ascii="Verdana" w:hAnsi="Verdana"/>
          <w:b/>
          <w:sz w:val="22"/>
          <w:szCs w:val="22"/>
        </w:rPr>
        <w:t>processes</w:t>
      </w:r>
      <w:r>
        <w:rPr>
          <w:rFonts w:ascii="Verdana" w:hAnsi="Verdana"/>
          <w:sz w:val="22"/>
          <w:szCs w:val="22"/>
        </w:rPr>
        <w:t xml:space="preserve"> relevant for persons with disabilities. </w:t>
      </w:r>
    </w:p>
    <w:p w14:paraId="15891F59" w14:textId="77777777" w:rsidR="003371EE" w:rsidRDefault="003371EE" w:rsidP="003371EE">
      <w:pPr>
        <w:jc w:val="both"/>
        <w:rPr>
          <w:rFonts w:ascii="Verdana" w:hAnsi="Verdana"/>
          <w:sz w:val="22"/>
          <w:szCs w:val="22"/>
        </w:rPr>
      </w:pPr>
    </w:p>
    <w:p w14:paraId="488455A6" w14:textId="77777777" w:rsidR="003371EE" w:rsidRDefault="003371EE" w:rsidP="003371EE">
      <w:pPr>
        <w:jc w:val="both"/>
        <w:rPr>
          <w:rFonts w:ascii="Verdana" w:hAnsi="Verdana"/>
          <w:sz w:val="22"/>
          <w:szCs w:val="22"/>
        </w:rPr>
      </w:pPr>
      <w:r w:rsidRPr="002B19AC">
        <w:rPr>
          <w:rFonts w:ascii="Verdana" w:hAnsi="Verdana"/>
          <w:sz w:val="22"/>
          <w:szCs w:val="22"/>
        </w:rPr>
        <w:t xml:space="preserve">The </w:t>
      </w:r>
      <w:r>
        <w:rPr>
          <w:rFonts w:ascii="Verdana" w:hAnsi="Verdana"/>
          <w:b/>
          <w:sz w:val="22"/>
          <w:szCs w:val="22"/>
        </w:rPr>
        <w:t>e</w:t>
      </w:r>
      <w:r w:rsidRPr="002B19AC">
        <w:rPr>
          <w:rFonts w:ascii="Verdana" w:hAnsi="Verdana"/>
          <w:b/>
          <w:sz w:val="22"/>
          <w:szCs w:val="22"/>
        </w:rPr>
        <w:t xml:space="preserve">xternal </w:t>
      </w:r>
      <w:r>
        <w:rPr>
          <w:rFonts w:ascii="Verdana" w:hAnsi="Verdana"/>
          <w:b/>
          <w:sz w:val="22"/>
          <w:szCs w:val="22"/>
        </w:rPr>
        <w:t xml:space="preserve">financial </w:t>
      </w:r>
      <w:r w:rsidRPr="00EA4565">
        <w:rPr>
          <w:rFonts w:ascii="Verdana" w:hAnsi="Verdana"/>
          <w:b/>
          <w:sz w:val="22"/>
          <w:szCs w:val="22"/>
        </w:rPr>
        <w:t>process</w:t>
      </w:r>
      <w:r w:rsidRPr="002B19AC">
        <w:rPr>
          <w:rFonts w:ascii="Verdana" w:hAnsi="Verdana"/>
          <w:b/>
          <w:sz w:val="22"/>
          <w:szCs w:val="22"/>
        </w:rPr>
        <w:t xml:space="preserve"> </w:t>
      </w:r>
      <w:r w:rsidRPr="002B19AC">
        <w:rPr>
          <w:rFonts w:ascii="Verdana" w:hAnsi="Verdana"/>
          <w:sz w:val="22"/>
          <w:szCs w:val="22"/>
        </w:rPr>
        <w:t xml:space="preserve">is </w:t>
      </w:r>
      <w:r>
        <w:rPr>
          <w:rFonts w:ascii="Verdana" w:hAnsi="Verdana"/>
          <w:sz w:val="22"/>
          <w:szCs w:val="22"/>
        </w:rPr>
        <w:t xml:space="preserve">linked to the </w:t>
      </w:r>
      <w:r w:rsidRPr="002B19AC">
        <w:rPr>
          <w:rFonts w:ascii="Verdana" w:hAnsi="Verdana"/>
          <w:b/>
          <w:sz w:val="22"/>
          <w:szCs w:val="22"/>
        </w:rPr>
        <w:t>S</w:t>
      </w:r>
      <w:r>
        <w:rPr>
          <w:rFonts w:ascii="Verdana" w:hAnsi="Verdana"/>
          <w:b/>
          <w:sz w:val="22"/>
          <w:szCs w:val="22"/>
        </w:rPr>
        <w:t xml:space="preserve">ustainable </w:t>
      </w:r>
      <w:r w:rsidRPr="002B19AC">
        <w:rPr>
          <w:rFonts w:ascii="Verdana" w:hAnsi="Verdana"/>
          <w:b/>
          <w:sz w:val="22"/>
          <w:szCs w:val="22"/>
        </w:rPr>
        <w:t>D</w:t>
      </w:r>
      <w:r>
        <w:rPr>
          <w:rFonts w:ascii="Verdana" w:hAnsi="Verdana"/>
          <w:b/>
          <w:sz w:val="22"/>
          <w:szCs w:val="22"/>
        </w:rPr>
        <w:t xml:space="preserve">evelopment </w:t>
      </w:r>
      <w:r w:rsidRPr="002B19AC">
        <w:rPr>
          <w:rFonts w:ascii="Verdana" w:hAnsi="Verdana"/>
          <w:b/>
          <w:sz w:val="22"/>
          <w:szCs w:val="22"/>
        </w:rPr>
        <w:t>G</w:t>
      </w:r>
      <w:r>
        <w:rPr>
          <w:rFonts w:ascii="Verdana" w:hAnsi="Verdana"/>
          <w:b/>
          <w:sz w:val="22"/>
          <w:szCs w:val="22"/>
        </w:rPr>
        <w:t>oal</w:t>
      </w:r>
      <w:r w:rsidRPr="002B19AC">
        <w:rPr>
          <w:rFonts w:ascii="Verdana" w:hAnsi="Verdana"/>
          <w:b/>
          <w:sz w:val="22"/>
          <w:szCs w:val="22"/>
        </w:rPr>
        <w:t>s</w:t>
      </w:r>
      <w:r>
        <w:rPr>
          <w:rFonts w:ascii="Verdana" w:hAnsi="Verdana"/>
          <w:b/>
          <w:sz w:val="22"/>
          <w:szCs w:val="22"/>
        </w:rPr>
        <w:t xml:space="preserve"> (SDGs)</w:t>
      </w:r>
      <w:r>
        <w:rPr>
          <w:rFonts w:ascii="Verdana" w:hAnsi="Verdana"/>
          <w:sz w:val="22"/>
          <w:szCs w:val="22"/>
        </w:rPr>
        <w:t>. Particularly relevant in the</w:t>
      </w:r>
      <w:r w:rsidRPr="002B19AC">
        <w:rPr>
          <w:rFonts w:ascii="Verdana" w:hAnsi="Verdana"/>
          <w:sz w:val="22"/>
          <w:szCs w:val="22"/>
        </w:rPr>
        <w:t xml:space="preserve"> </w:t>
      </w:r>
      <w:r w:rsidRPr="002B19AC">
        <w:rPr>
          <w:rFonts w:ascii="Verdana" w:hAnsi="Verdana"/>
          <w:b/>
          <w:sz w:val="22"/>
          <w:szCs w:val="22"/>
        </w:rPr>
        <w:t>SDGs</w:t>
      </w:r>
      <w:r>
        <w:rPr>
          <w:rFonts w:ascii="Verdana" w:hAnsi="Verdana"/>
          <w:b/>
          <w:sz w:val="22"/>
          <w:szCs w:val="22"/>
        </w:rPr>
        <w:t xml:space="preserve"> </w:t>
      </w:r>
      <w:r>
        <w:rPr>
          <w:rFonts w:ascii="Verdana" w:hAnsi="Verdana"/>
          <w:sz w:val="22"/>
          <w:szCs w:val="22"/>
        </w:rPr>
        <w:t xml:space="preserve">is Goal 17 on Means of Implementation and the meaningful inclusion for persons with disabilities. </w:t>
      </w:r>
    </w:p>
    <w:p w14:paraId="17D6A39D" w14:textId="77777777" w:rsidR="003371EE" w:rsidRDefault="003371EE" w:rsidP="003371EE">
      <w:pPr>
        <w:jc w:val="both"/>
        <w:rPr>
          <w:rFonts w:ascii="Verdana" w:hAnsi="Verdana"/>
          <w:sz w:val="22"/>
          <w:szCs w:val="22"/>
        </w:rPr>
      </w:pPr>
    </w:p>
    <w:p w14:paraId="204F7D80" w14:textId="77777777" w:rsidR="003371EE" w:rsidRPr="00EA4565" w:rsidRDefault="003371EE" w:rsidP="003371EE">
      <w:pPr>
        <w:jc w:val="both"/>
        <w:rPr>
          <w:rFonts w:ascii="Verdana" w:hAnsi="Verdana"/>
          <w:sz w:val="22"/>
          <w:szCs w:val="22"/>
        </w:rPr>
      </w:pPr>
      <w:r>
        <w:rPr>
          <w:rFonts w:ascii="Verdana" w:hAnsi="Verdana"/>
          <w:sz w:val="22"/>
          <w:szCs w:val="22"/>
        </w:rPr>
        <w:t xml:space="preserve">Another </w:t>
      </w:r>
      <w:r w:rsidRPr="00EA4565">
        <w:rPr>
          <w:rFonts w:ascii="Verdana" w:hAnsi="Verdana"/>
          <w:b/>
          <w:sz w:val="22"/>
          <w:szCs w:val="22"/>
        </w:rPr>
        <w:t xml:space="preserve">external </w:t>
      </w:r>
      <w:r>
        <w:rPr>
          <w:rFonts w:ascii="Verdana" w:hAnsi="Verdana"/>
          <w:b/>
          <w:sz w:val="22"/>
          <w:szCs w:val="22"/>
        </w:rPr>
        <w:t xml:space="preserve">financial </w:t>
      </w:r>
      <w:r w:rsidRPr="00AB3A20">
        <w:rPr>
          <w:rFonts w:ascii="Verdana" w:hAnsi="Verdana"/>
          <w:b/>
          <w:sz w:val="22"/>
          <w:szCs w:val="22"/>
        </w:rPr>
        <w:t>process</w:t>
      </w:r>
      <w:r w:rsidRPr="00EA4565">
        <w:rPr>
          <w:rFonts w:ascii="Verdana" w:hAnsi="Verdana"/>
          <w:sz w:val="22"/>
          <w:szCs w:val="22"/>
        </w:rPr>
        <w:t xml:space="preserve"> linked to the </w:t>
      </w:r>
      <w:r w:rsidRPr="00EA4565">
        <w:rPr>
          <w:rFonts w:ascii="Verdana" w:hAnsi="Verdana"/>
          <w:b/>
          <w:sz w:val="22"/>
          <w:szCs w:val="22"/>
        </w:rPr>
        <w:t>SDGs</w:t>
      </w:r>
      <w:r w:rsidRPr="00EA4565">
        <w:rPr>
          <w:rFonts w:ascii="Verdana" w:hAnsi="Verdana"/>
          <w:sz w:val="22"/>
          <w:szCs w:val="22"/>
        </w:rPr>
        <w:t xml:space="preserve"> is</w:t>
      </w:r>
      <w:r>
        <w:rPr>
          <w:rFonts w:ascii="Verdana" w:hAnsi="Verdana"/>
          <w:sz w:val="22"/>
          <w:szCs w:val="22"/>
        </w:rPr>
        <w:t xml:space="preserve"> </w:t>
      </w:r>
      <w:r w:rsidRPr="00EA4565">
        <w:rPr>
          <w:rFonts w:ascii="Verdana" w:hAnsi="Verdana"/>
          <w:b/>
          <w:sz w:val="22"/>
          <w:szCs w:val="22"/>
        </w:rPr>
        <w:t>international</w:t>
      </w:r>
      <w:r w:rsidRPr="00EA4565">
        <w:rPr>
          <w:rFonts w:ascii="Verdana" w:hAnsi="Verdana"/>
          <w:sz w:val="22"/>
          <w:szCs w:val="22"/>
        </w:rPr>
        <w:t xml:space="preserve"> </w:t>
      </w:r>
      <w:r w:rsidRPr="00EA4565">
        <w:rPr>
          <w:rFonts w:ascii="Verdana" w:hAnsi="Verdana"/>
          <w:b/>
          <w:sz w:val="22"/>
          <w:szCs w:val="22"/>
        </w:rPr>
        <w:t>cooperation</w:t>
      </w:r>
      <w:r w:rsidRPr="00EA4565">
        <w:rPr>
          <w:rFonts w:ascii="Verdana" w:hAnsi="Verdana"/>
          <w:sz w:val="22"/>
          <w:szCs w:val="22"/>
        </w:rPr>
        <w:t xml:space="preserve">, </w:t>
      </w:r>
      <w:r>
        <w:rPr>
          <w:rFonts w:ascii="Verdana" w:hAnsi="Verdana"/>
          <w:sz w:val="22"/>
          <w:szCs w:val="22"/>
        </w:rPr>
        <w:t>which includes</w:t>
      </w:r>
      <w:r w:rsidRPr="00EA4565">
        <w:rPr>
          <w:rFonts w:ascii="Verdana" w:hAnsi="Verdana"/>
          <w:sz w:val="22"/>
          <w:szCs w:val="22"/>
        </w:rPr>
        <w:t xml:space="preserve"> 0.7</w:t>
      </w:r>
      <w:r>
        <w:rPr>
          <w:rFonts w:ascii="Verdana" w:hAnsi="Verdana"/>
          <w:sz w:val="22"/>
          <w:szCs w:val="22"/>
        </w:rPr>
        <w:t>%</w:t>
      </w:r>
      <w:r w:rsidRPr="00EA4565">
        <w:rPr>
          <w:rFonts w:ascii="Verdana" w:hAnsi="Verdana"/>
          <w:sz w:val="22"/>
          <w:szCs w:val="22"/>
        </w:rPr>
        <w:t xml:space="preserve"> ODA</w:t>
      </w:r>
      <w:r>
        <w:rPr>
          <w:rFonts w:ascii="Verdana" w:hAnsi="Verdana"/>
          <w:sz w:val="22"/>
          <w:szCs w:val="22"/>
        </w:rPr>
        <w:t xml:space="preserve"> spending (as part or all spent on SDGs). An</w:t>
      </w:r>
      <w:r w:rsidRPr="00EA4565">
        <w:rPr>
          <w:rFonts w:ascii="Verdana" w:hAnsi="Verdana"/>
          <w:sz w:val="22"/>
          <w:szCs w:val="22"/>
        </w:rPr>
        <w:t xml:space="preserve"> </w:t>
      </w:r>
      <w:r w:rsidRPr="00091B7E">
        <w:rPr>
          <w:rFonts w:ascii="Verdana" w:hAnsi="Verdana"/>
          <w:i/>
          <w:sz w:val="22"/>
          <w:szCs w:val="22"/>
        </w:rPr>
        <w:t>example entry</w:t>
      </w:r>
      <w:r w:rsidRPr="00EA4565">
        <w:rPr>
          <w:rFonts w:ascii="Verdana" w:hAnsi="Verdana"/>
          <w:sz w:val="22"/>
          <w:szCs w:val="22"/>
        </w:rPr>
        <w:t xml:space="preserve"> point for advocacy</w:t>
      </w:r>
      <w:r>
        <w:rPr>
          <w:rFonts w:ascii="Verdana" w:hAnsi="Verdana"/>
          <w:sz w:val="22"/>
          <w:szCs w:val="22"/>
        </w:rPr>
        <w:t xml:space="preserve"> here</w:t>
      </w:r>
      <w:r w:rsidRPr="00EA4565">
        <w:rPr>
          <w:rFonts w:ascii="Verdana" w:hAnsi="Verdana"/>
          <w:sz w:val="22"/>
          <w:szCs w:val="22"/>
        </w:rPr>
        <w:t xml:space="preserve"> is to ensure donors allocate funds for the inclusion of persons with disabilities (linked to disability DAC marker).</w:t>
      </w:r>
    </w:p>
    <w:p w14:paraId="248E6B92" w14:textId="77777777" w:rsidR="003371EE" w:rsidRPr="002B19AC" w:rsidRDefault="003371EE" w:rsidP="003371EE">
      <w:pPr>
        <w:jc w:val="both"/>
        <w:rPr>
          <w:rFonts w:ascii="Verdana" w:hAnsi="Verdana"/>
          <w:sz w:val="22"/>
          <w:szCs w:val="22"/>
        </w:rPr>
      </w:pPr>
    </w:p>
    <w:p w14:paraId="06C1923D" w14:textId="77777777" w:rsidR="003371EE" w:rsidRPr="00AB3A20" w:rsidRDefault="003371EE" w:rsidP="003371EE">
      <w:pPr>
        <w:jc w:val="both"/>
        <w:rPr>
          <w:rFonts w:ascii="Verdana" w:hAnsi="Verdana"/>
          <w:b/>
          <w:sz w:val="22"/>
          <w:szCs w:val="22"/>
        </w:rPr>
      </w:pPr>
      <w:r>
        <w:rPr>
          <w:rFonts w:ascii="Verdana" w:hAnsi="Verdana"/>
          <w:sz w:val="22"/>
          <w:szCs w:val="22"/>
        </w:rPr>
        <w:t xml:space="preserve">The </w:t>
      </w:r>
      <w:r w:rsidRPr="00EA4565">
        <w:rPr>
          <w:rFonts w:ascii="Verdana" w:hAnsi="Verdana"/>
          <w:b/>
          <w:sz w:val="22"/>
          <w:szCs w:val="22"/>
        </w:rPr>
        <w:t xml:space="preserve">internal </w:t>
      </w:r>
      <w:r>
        <w:rPr>
          <w:rFonts w:ascii="Verdana" w:hAnsi="Verdana"/>
          <w:b/>
          <w:sz w:val="22"/>
          <w:szCs w:val="22"/>
        </w:rPr>
        <w:t xml:space="preserve">financial </w:t>
      </w:r>
      <w:r w:rsidRPr="00AB3A20">
        <w:rPr>
          <w:rFonts w:ascii="Verdana" w:hAnsi="Verdana"/>
          <w:b/>
          <w:sz w:val="22"/>
          <w:szCs w:val="22"/>
        </w:rPr>
        <w:t>process</w:t>
      </w:r>
      <w:r>
        <w:rPr>
          <w:rFonts w:ascii="Verdana" w:hAnsi="Verdana"/>
          <w:sz w:val="22"/>
          <w:szCs w:val="22"/>
        </w:rPr>
        <w:t xml:space="preserve"> has two categories: </w:t>
      </w:r>
      <w:r>
        <w:rPr>
          <w:rFonts w:ascii="Verdana" w:hAnsi="Verdana"/>
          <w:b/>
          <w:sz w:val="22"/>
          <w:szCs w:val="22"/>
        </w:rPr>
        <w:t>f</w:t>
      </w:r>
      <w:r w:rsidRPr="002B19AC">
        <w:rPr>
          <w:rFonts w:ascii="Verdana" w:hAnsi="Verdana"/>
          <w:b/>
          <w:sz w:val="22"/>
          <w:szCs w:val="22"/>
        </w:rPr>
        <w:t>unding (income)</w:t>
      </w:r>
      <w:r w:rsidRPr="002B19AC">
        <w:rPr>
          <w:rFonts w:ascii="Verdana" w:hAnsi="Verdana"/>
          <w:sz w:val="22"/>
          <w:szCs w:val="22"/>
        </w:rPr>
        <w:t xml:space="preserve"> and </w:t>
      </w:r>
      <w:r>
        <w:rPr>
          <w:rFonts w:ascii="Verdana" w:hAnsi="Verdana"/>
          <w:b/>
          <w:sz w:val="22"/>
          <w:szCs w:val="22"/>
        </w:rPr>
        <w:t>e</w:t>
      </w:r>
      <w:r w:rsidRPr="002B19AC">
        <w:rPr>
          <w:rFonts w:ascii="Verdana" w:hAnsi="Verdana"/>
          <w:b/>
          <w:sz w:val="22"/>
          <w:szCs w:val="22"/>
        </w:rPr>
        <w:t>xpenditure</w:t>
      </w:r>
      <w:r>
        <w:rPr>
          <w:rFonts w:ascii="Verdana" w:hAnsi="Verdana"/>
          <w:sz w:val="22"/>
          <w:szCs w:val="22"/>
        </w:rPr>
        <w:t xml:space="preserve"> (</w:t>
      </w:r>
      <w:r w:rsidRPr="00AB3A20">
        <w:rPr>
          <w:rFonts w:ascii="Verdana" w:hAnsi="Verdana"/>
          <w:b/>
          <w:sz w:val="22"/>
          <w:szCs w:val="22"/>
        </w:rPr>
        <w:t>Expenditure</w:t>
      </w:r>
      <w:r>
        <w:rPr>
          <w:rFonts w:ascii="Verdana" w:hAnsi="Verdana"/>
          <w:sz w:val="22"/>
          <w:szCs w:val="22"/>
        </w:rPr>
        <w:t xml:space="preserve"> is also linked to </w:t>
      </w:r>
      <w:r w:rsidRPr="00AB3A20">
        <w:rPr>
          <w:rFonts w:ascii="Verdana" w:hAnsi="Verdana"/>
          <w:b/>
          <w:sz w:val="22"/>
          <w:szCs w:val="22"/>
        </w:rPr>
        <w:t>external financial processes</w:t>
      </w:r>
      <w:r w:rsidRPr="00AB3A20">
        <w:rPr>
          <w:rFonts w:ascii="Verdana" w:hAnsi="Verdana"/>
          <w:sz w:val="22"/>
          <w:szCs w:val="22"/>
        </w:rPr>
        <w:t>.)</w:t>
      </w:r>
    </w:p>
    <w:p w14:paraId="4B13EB9A" w14:textId="77777777" w:rsidR="003371EE" w:rsidRPr="00AB3A20" w:rsidRDefault="003371EE" w:rsidP="003371EE">
      <w:pPr>
        <w:jc w:val="both"/>
        <w:rPr>
          <w:rFonts w:ascii="Verdana" w:hAnsi="Verdana"/>
          <w:b/>
          <w:sz w:val="22"/>
          <w:szCs w:val="22"/>
        </w:rPr>
      </w:pPr>
    </w:p>
    <w:p w14:paraId="56424AAF" w14:textId="77777777" w:rsidR="003371EE" w:rsidRPr="00AB3A20" w:rsidRDefault="003371EE" w:rsidP="003371EE">
      <w:pPr>
        <w:jc w:val="both"/>
        <w:rPr>
          <w:rFonts w:ascii="Verdana" w:hAnsi="Verdana"/>
          <w:sz w:val="22"/>
          <w:szCs w:val="22"/>
        </w:rPr>
      </w:pPr>
      <w:r w:rsidRPr="002B19AC">
        <w:rPr>
          <w:rFonts w:ascii="Verdana" w:hAnsi="Verdana"/>
          <w:b/>
          <w:sz w:val="22"/>
          <w:szCs w:val="22"/>
        </w:rPr>
        <w:t>Funding (income)</w:t>
      </w:r>
      <w:r w:rsidRPr="002B19AC">
        <w:rPr>
          <w:rFonts w:ascii="Verdana" w:hAnsi="Verdana"/>
          <w:sz w:val="22"/>
          <w:szCs w:val="22"/>
        </w:rPr>
        <w:t xml:space="preserve"> </w:t>
      </w:r>
      <w:r>
        <w:rPr>
          <w:rFonts w:ascii="Verdana" w:hAnsi="Verdana"/>
          <w:sz w:val="22"/>
          <w:szCs w:val="22"/>
        </w:rPr>
        <w:t>is linked</w:t>
      </w:r>
      <w:r w:rsidRPr="002B19AC">
        <w:rPr>
          <w:rFonts w:ascii="Verdana" w:hAnsi="Verdana"/>
          <w:sz w:val="22"/>
          <w:szCs w:val="22"/>
        </w:rPr>
        <w:t xml:space="preserve"> to </w:t>
      </w:r>
      <w:r>
        <w:rPr>
          <w:rFonts w:ascii="Verdana" w:hAnsi="Verdana"/>
          <w:b/>
          <w:sz w:val="22"/>
          <w:szCs w:val="22"/>
        </w:rPr>
        <w:t>Tax r</w:t>
      </w:r>
      <w:r w:rsidRPr="002B19AC">
        <w:rPr>
          <w:rFonts w:ascii="Verdana" w:hAnsi="Verdana"/>
          <w:b/>
          <w:sz w:val="22"/>
          <w:szCs w:val="22"/>
        </w:rPr>
        <w:t>edistribution</w:t>
      </w:r>
      <w:r>
        <w:rPr>
          <w:rFonts w:ascii="Verdana" w:hAnsi="Verdana"/>
          <w:sz w:val="22"/>
          <w:szCs w:val="22"/>
        </w:rPr>
        <w:t xml:space="preserve">. The areas of </w:t>
      </w:r>
      <w:r w:rsidRPr="00AB3A20">
        <w:rPr>
          <w:rFonts w:ascii="Verdana" w:hAnsi="Verdana"/>
          <w:b/>
          <w:sz w:val="22"/>
          <w:szCs w:val="22"/>
        </w:rPr>
        <w:t>tax redistribution</w:t>
      </w:r>
      <w:r w:rsidRPr="00AB3A20">
        <w:rPr>
          <w:rFonts w:ascii="Verdana" w:hAnsi="Verdana"/>
          <w:sz w:val="22"/>
          <w:szCs w:val="22"/>
        </w:rPr>
        <w:t xml:space="preserve"> particularly</w:t>
      </w:r>
      <w:r>
        <w:rPr>
          <w:rFonts w:ascii="Verdana" w:hAnsi="Verdana"/>
          <w:b/>
          <w:sz w:val="22"/>
          <w:szCs w:val="22"/>
        </w:rPr>
        <w:t xml:space="preserve"> </w:t>
      </w:r>
      <w:r>
        <w:rPr>
          <w:rFonts w:ascii="Verdana" w:hAnsi="Verdana"/>
          <w:sz w:val="22"/>
          <w:szCs w:val="22"/>
        </w:rPr>
        <w:t>relevant for persons with disabilities include t</w:t>
      </w:r>
      <w:r w:rsidRPr="00AB3A20">
        <w:rPr>
          <w:rFonts w:ascii="Verdana" w:hAnsi="Verdana"/>
          <w:sz w:val="22"/>
          <w:szCs w:val="22"/>
        </w:rPr>
        <w:t>ax exemption – on assistive devices</w:t>
      </w:r>
      <w:r>
        <w:rPr>
          <w:rFonts w:ascii="Verdana" w:hAnsi="Verdana"/>
          <w:sz w:val="22"/>
          <w:szCs w:val="22"/>
        </w:rPr>
        <w:t xml:space="preserve"> and t</w:t>
      </w:r>
      <w:r w:rsidRPr="00AB3A20">
        <w:rPr>
          <w:rFonts w:ascii="Verdana" w:hAnsi="Verdana"/>
          <w:sz w:val="22"/>
          <w:szCs w:val="22"/>
        </w:rPr>
        <w:t>ax avoidance, illicit flows</w:t>
      </w:r>
      <w:r>
        <w:rPr>
          <w:rFonts w:ascii="Verdana" w:hAnsi="Verdana"/>
          <w:sz w:val="22"/>
          <w:szCs w:val="22"/>
        </w:rPr>
        <w:t xml:space="preserve">. An </w:t>
      </w:r>
      <w:r w:rsidRPr="00091B7E">
        <w:rPr>
          <w:rFonts w:ascii="Verdana" w:hAnsi="Verdana"/>
          <w:i/>
          <w:sz w:val="22"/>
          <w:szCs w:val="22"/>
        </w:rPr>
        <w:t xml:space="preserve">example entry </w:t>
      </w:r>
      <w:r>
        <w:rPr>
          <w:rFonts w:ascii="Verdana" w:hAnsi="Verdana"/>
          <w:sz w:val="22"/>
          <w:szCs w:val="22"/>
        </w:rPr>
        <w:t>point for advocacy is</w:t>
      </w:r>
      <w:r w:rsidRPr="00AB3A20">
        <w:rPr>
          <w:rFonts w:ascii="Verdana" w:hAnsi="Verdana"/>
          <w:sz w:val="22"/>
          <w:szCs w:val="22"/>
        </w:rPr>
        <w:t xml:space="preserve"> calling for progressive taxation (e.g., more of the burden borne by the rich, less by the poor) and for exemp</w:t>
      </w:r>
      <w:r>
        <w:rPr>
          <w:rFonts w:ascii="Verdana" w:hAnsi="Verdana"/>
          <w:sz w:val="22"/>
          <w:szCs w:val="22"/>
        </w:rPr>
        <w:t>tions on assistive devices, which</w:t>
      </w:r>
      <w:r w:rsidRPr="00AB3A20">
        <w:rPr>
          <w:rFonts w:ascii="Verdana" w:hAnsi="Verdana"/>
          <w:sz w:val="22"/>
          <w:szCs w:val="22"/>
        </w:rPr>
        <w:t xml:space="preserve"> is very closely linked to disability budgeting.</w:t>
      </w:r>
    </w:p>
    <w:p w14:paraId="48381050" w14:textId="77777777" w:rsidR="003371EE" w:rsidRPr="002B19AC" w:rsidRDefault="003371EE" w:rsidP="003371EE">
      <w:pPr>
        <w:jc w:val="both"/>
        <w:rPr>
          <w:rFonts w:ascii="Verdana" w:hAnsi="Verdana"/>
          <w:sz w:val="22"/>
          <w:szCs w:val="22"/>
        </w:rPr>
      </w:pPr>
    </w:p>
    <w:p w14:paraId="29D6A6C1" w14:textId="77777777" w:rsidR="003371EE" w:rsidRPr="00AB3A20" w:rsidRDefault="003371EE" w:rsidP="003371EE">
      <w:pPr>
        <w:jc w:val="both"/>
        <w:rPr>
          <w:rFonts w:ascii="Verdana" w:hAnsi="Verdana"/>
          <w:sz w:val="22"/>
          <w:szCs w:val="22"/>
        </w:rPr>
      </w:pPr>
      <w:r w:rsidRPr="002B19AC">
        <w:rPr>
          <w:rFonts w:ascii="Verdana" w:hAnsi="Verdana"/>
          <w:b/>
          <w:sz w:val="22"/>
          <w:szCs w:val="22"/>
        </w:rPr>
        <w:t xml:space="preserve">Expenditure </w:t>
      </w:r>
      <w:r>
        <w:rPr>
          <w:rFonts w:ascii="Verdana" w:hAnsi="Verdana"/>
          <w:sz w:val="22"/>
          <w:szCs w:val="22"/>
        </w:rPr>
        <w:t xml:space="preserve">is linked to both </w:t>
      </w:r>
      <w:r w:rsidRPr="00AB3A20">
        <w:rPr>
          <w:rFonts w:ascii="Verdana" w:hAnsi="Verdana"/>
          <w:b/>
          <w:sz w:val="22"/>
          <w:szCs w:val="22"/>
        </w:rPr>
        <w:t xml:space="preserve">international </w:t>
      </w:r>
      <w:r>
        <w:rPr>
          <w:rFonts w:ascii="Verdana" w:hAnsi="Verdana"/>
          <w:b/>
          <w:sz w:val="22"/>
          <w:szCs w:val="22"/>
        </w:rPr>
        <w:t>c</w:t>
      </w:r>
      <w:r w:rsidRPr="002B19AC">
        <w:rPr>
          <w:rFonts w:ascii="Verdana" w:hAnsi="Verdana"/>
          <w:b/>
          <w:sz w:val="22"/>
          <w:szCs w:val="22"/>
        </w:rPr>
        <w:t>ooperation</w:t>
      </w:r>
      <w:r>
        <w:rPr>
          <w:rFonts w:ascii="Verdana" w:hAnsi="Verdana"/>
          <w:b/>
          <w:sz w:val="22"/>
          <w:szCs w:val="22"/>
        </w:rPr>
        <w:t xml:space="preserve"> </w:t>
      </w:r>
      <w:r>
        <w:rPr>
          <w:rFonts w:ascii="Verdana" w:hAnsi="Verdana"/>
          <w:sz w:val="22"/>
          <w:szCs w:val="22"/>
        </w:rPr>
        <w:t>(above)</w:t>
      </w:r>
      <w:r w:rsidRPr="002B19AC">
        <w:rPr>
          <w:rFonts w:ascii="Verdana" w:hAnsi="Verdana"/>
          <w:sz w:val="22"/>
          <w:szCs w:val="22"/>
        </w:rPr>
        <w:t xml:space="preserve"> and </w:t>
      </w:r>
      <w:r>
        <w:rPr>
          <w:rFonts w:ascii="Verdana" w:hAnsi="Verdana"/>
          <w:b/>
          <w:sz w:val="22"/>
          <w:szCs w:val="22"/>
        </w:rPr>
        <w:t>b</w:t>
      </w:r>
      <w:r w:rsidRPr="002B19AC">
        <w:rPr>
          <w:rFonts w:ascii="Verdana" w:hAnsi="Verdana"/>
          <w:b/>
          <w:sz w:val="22"/>
          <w:szCs w:val="22"/>
        </w:rPr>
        <w:t>udget</w:t>
      </w:r>
      <w:r w:rsidRPr="002B19AC">
        <w:rPr>
          <w:rFonts w:ascii="Verdana" w:hAnsi="Verdana"/>
          <w:sz w:val="22"/>
          <w:szCs w:val="22"/>
        </w:rPr>
        <w:t>.</w:t>
      </w:r>
      <w:r w:rsidRPr="002B19AC">
        <w:rPr>
          <w:rFonts w:ascii="Verdana" w:hAnsi="Verdana"/>
          <w:b/>
          <w:sz w:val="22"/>
          <w:szCs w:val="22"/>
        </w:rPr>
        <w:t xml:space="preserve"> Budget</w:t>
      </w:r>
      <w:r>
        <w:rPr>
          <w:rFonts w:ascii="Verdana" w:hAnsi="Verdana"/>
          <w:sz w:val="22"/>
          <w:szCs w:val="22"/>
        </w:rPr>
        <w:t xml:space="preserve"> is particularly relevant for persons with disabilities in the areas of inclusive national budgets and debt in which the </w:t>
      </w:r>
      <w:r w:rsidRPr="00AB3A20">
        <w:rPr>
          <w:rFonts w:ascii="Verdana" w:hAnsi="Verdana"/>
          <w:sz w:val="22"/>
          <w:szCs w:val="22"/>
        </w:rPr>
        <w:t xml:space="preserve">increase means </w:t>
      </w:r>
      <w:r>
        <w:rPr>
          <w:rFonts w:ascii="Verdana" w:hAnsi="Verdana"/>
          <w:sz w:val="22"/>
          <w:szCs w:val="22"/>
        </w:rPr>
        <w:t xml:space="preserve">a </w:t>
      </w:r>
      <w:r w:rsidRPr="00AB3A20">
        <w:rPr>
          <w:rFonts w:ascii="Verdana" w:hAnsi="Verdana"/>
          <w:sz w:val="22"/>
          <w:szCs w:val="22"/>
        </w:rPr>
        <w:t>drop in social protection floor and other essential services and investments</w:t>
      </w:r>
      <w:r>
        <w:rPr>
          <w:rFonts w:ascii="Verdana" w:hAnsi="Verdana"/>
          <w:sz w:val="22"/>
          <w:szCs w:val="22"/>
        </w:rPr>
        <w:t xml:space="preserve">. An </w:t>
      </w:r>
      <w:bookmarkStart w:id="0" w:name="_GoBack"/>
      <w:r w:rsidRPr="00091B7E">
        <w:rPr>
          <w:rFonts w:ascii="Verdana" w:hAnsi="Verdana"/>
          <w:i/>
          <w:sz w:val="22"/>
          <w:szCs w:val="22"/>
        </w:rPr>
        <w:t>example entry</w:t>
      </w:r>
      <w:r>
        <w:rPr>
          <w:rFonts w:ascii="Verdana" w:hAnsi="Verdana"/>
          <w:sz w:val="22"/>
          <w:szCs w:val="22"/>
        </w:rPr>
        <w:t xml:space="preserve"> </w:t>
      </w:r>
      <w:bookmarkEnd w:id="0"/>
      <w:r>
        <w:rPr>
          <w:rFonts w:ascii="Verdana" w:hAnsi="Verdana"/>
          <w:sz w:val="22"/>
          <w:szCs w:val="22"/>
        </w:rPr>
        <w:t xml:space="preserve">point for advocacy is </w:t>
      </w:r>
      <w:r w:rsidRPr="00AB3A20">
        <w:rPr>
          <w:rFonts w:ascii="Verdana" w:hAnsi="Verdana"/>
          <w:sz w:val="22"/>
          <w:szCs w:val="22"/>
        </w:rPr>
        <w:t>di</w:t>
      </w:r>
      <w:r>
        <w:rPr>
          <w:rFonts w:ascii="Verdana" w:hAnsi="Verdana"/>
          <w:sz w:val="22"/>
          <w:szCs w:val="22"/>
        </w:rPr>
        <w:t xml:space="preserve">sability budgeting, which </w:t>
      </w:r>
      <w:r w:rsidRPr="00AB3A20">
        <w:rPr>
          <w:rFonts w:ascii="Verdana" w:hAnsi="Verdana"/>
          <w:sz w:val="22"/>
          <w:szCs w:val="22"/>
        </w:rPr>
        <w:t>also indirectly links to campaigns on debt and on tax justice (as these issues affect the size of the total pot that is available).</w:t>
      </w:r>
    </w:p>
    <w:p w14:paraId="626DCD82" w14:textId="77777777" w:rsidR="003371EE" w:rsidRDefault="003371EE" w:rsidP="003371EE">
      <w:pPr>
        <w:jc w:val="both"/>
      </w:pPr>
    </w:p>
    <w:p w14:paraId="1A3606F6" w14:textId="77777777" w:rsidR="00EE5DC2" w:rsidRPr="002B19AC" w:rsidRDefault="00EE5DC2">
      <w:pPr>
        <w:rPr>
          <w:rFonts w:ascii="Verdana" w:hAnsi="Verdana"/>
          <w:sz w:val="22"/>
          <w:szCs w:val="22"/>
        </w:rPr>
      </w:pPr>
    </w:p>
    <w:p w14:paraId="7043CBED" w14:textId="51479D24" w:rsidR="00764049" w:rsidRPr="002B19AC" w:rsidRDefault="00850072" w:rsidP="00C20EFB">
      <w:pPr>
        <w:pStyle w:val="ListParagraph"/>
        <w:numPr>
          <w:ilvl w:val="0"/>
          <w:numId w:val="13"/>
        </w:numPr>
        <w:rPr>
          <w:rFonts w:ascii="Verdana" w:hAnsi="Verdana"/>
          <w:b/>
          <w:sz w:val="22"/>
          <w:szCs w:val="22"/>
        </w:rPr>
      </w:pPr>
      <w:r w:rsidRPr="002B19AC">
        <w:rPr>
          <w:rFonts w:ascii="Verdana" w:hAnsi="Verdana"/>
          <w:b/>
          <w:sz w:val="22"/>
          <w:szCs w:val="22"/>
        </w:rPr>
        <w:t xml:space="preserve">Next steps </w:t>
      </w:r>
      <w:r w:rsidR="00096D06">
        <w:rPr>
          <w:rFonts w:ascii="Verdana" w:hAnsi="Verdana"/>
          <w:b/>
          <w:sz w:val="22"/>
          <w:szCs w:val="22"/>
        </w:rPr>
        <w:t xml:space="preserve">for the CSO </w:t>
      </w:r>
      <w:proofErr w:type="spellStart"/>
      <w:r w:rsidR="00096D06">
        <w:rPr>
          <w:rFonts w:ascii="Verdana" w:hAnsi="Verdana"/>
          <w:b/>
          <w:sz w:val="22"/>
          <w:szCs w:val="22"/>
        </w:rPr>
        <w:t>FfD</w:t>
      </w:r>
      <w:proofErr w:type="spellEnd"/>
      <w:r w:rsidR="00096D06">
        <w:rPr>
          <w:rFonts w:ascii="Verdana" w:hAnsi="Verdana"/>
          <w:b/>
          <w:sz w:val="22"/>
          <w:szCs w:val="22"/>
        </w:rPr>
        <w:t xml:space="preserve"> Group</w:t>
      </w:r>
    </w:p>
    <w:p w14:paraId="317CD277" w14:textId="77777777" w:rsidR="00C20EFB" w:rsidRPr="002B19AC" w:rsidRDefault="00C20EFB" w:rsidP="00C20EFB">
      <w:pPr>
        <w:pStyle w:val="ListParagraph"/>
        <w:rPr>
          <w:rFonts w:ascii="Verdana" w:hAnsi="Verdana"/>
          <w:sz w:val="22"/>
          <w:szCs w:val="22"/>
        </w:rPr>
      </w:pPr>
    </w:p>
    <w:p w14:paraId="29E5875F" w14:textId="2DB0CFC2" w:rsidR="00E023D5" w:rsidRPr="00E023D5" w:rsidRDefault="00C20EFB" w:rsidP="00E023D5">
      <w:pPr>
        <w:pStyle w:val="ListParagraph"/>
        <w:numPr>
          <w:ilvl w:val="0"/>
          <w:numId w:val="18"/>
        </w:numPr>
        <w:rPr>
          <w:rFonts w:ascii="Verdana" w:hAnsi="Verdana"/>
          <w:sz w:val="22"/>
          <w:szCs w:val="22"/>
        </w:rPr>
      </w:pPr>
      <w:r w:rsidRPr="00E023D5">
        <w:rPr>
          <w:rFonts w:ascii="Verdana" w:hAnsi="Verdana"/>
          <w:sz w:val="22"/>
          <w:szCs w:val="22"/>
        </w:rPr>
        <w:t>15 Dec</w:t>
      </w:r>
      <w:r w:rsidR="00F77712" w:rsidRPr="00E023D5">
        <w:rPr>
          <w:rFonts w:ascii="Verdana" w:hAnsi="Verdana"/>
          <w:sz w:val="22"/>
          <w:szCs w:val="22"/>
        </w:rPr>
        <w:t>embe</w:t>
      </w:r>
      <w:r w:rsidR="00B34BFA" w:rsidRPr="00E023D5">
        <w:rPr>
          <w:rFonts w:ascii="Verdana" w:hAnsi="Verdana"/>
          <w:sz w:val="22"/>
          <w:szCs w:val="22"/>
        </w:rPr>
        <w:t>r 2017</w:t>
      </w:r>
      <w:r w:rsidR="00FD240B" w:rsidRPr="00E023D5">
        <w:rPr>
          <w:rFonts w:ascii="Verdana" w:hAnsi="Verdana"/>
          <w:sz w:val="22"/>
          <w:szCs w:val="22"/>
        </w:rPr>
        <w:t>, deadline for</w:t>
      </w:r>
      <w:r w:rsidR="00B34BFA" w:rsidRPr="00E023D5">
        <w:rPr>
          <w:rFonts w:ascii="Verdana" w:hAnsi="Verdana"/>
          <w:sz w:val="22"/>
          <w:szCs w:val="22"/>
        </w:rPr>
        <w:t xml:space="preserve"> submission</w:t>
      </w:r>
      <w:r w:rsidR="00FD240B" w:rsidRPr="00E023D5">
        <w:rPr>
          <w:rFonts w:ascii="Verdana" w:hAnsi="Verdana"/>
          <w:sz w:val="22"/>
          <w:szCs w:val="22"/>
        </w:rPr>
        <w:t xml:space="preserve"> of position paper</w:t>
      </w:r>
      <w:r w:rsidR="00B34BFA" w:rsidRPr="00E023D5">
        <w:rPr>
          <w:rFonts w:ascii="Verdana" w:hAnsi="Verdana"/>
          <w:sz w:val="22"/>
          <w:szCs w:val="22"/>
        </w:rPr>
        <w:t xml:space="preserve"> </w:t>
      </w:r>
      <w:r w:rsidR="00FD240B" w:rsidRPr="00E023D5">
        <w:rPr>
          <w:rFonts w:ascii="Verdana" w:hAnsi="Verdana"/>
          <w:sz w:val="22"/>
          <w:szCs w:val="22"/>
        </w:rPr>
        <w:t>on the</w:t>
      </w:r>
      <w:r w:rsidR="00B34BFA" w:rsidRPr="00E023D5">
        <w:rPr>
          <w:rFonts w:ascii="Verdana" w:hAnsi="Verdana"/>
          <w:sz w:val="22"/>
          <w:szCs w:val="22"/>
        </w:rPr>
        <w:t xml:space="preserve"> 2018 report of</w:t>
      </w:r>
      <w:r w:rsidRPr="00E023D5">
        <w:rPr>
          <w:rFonts w:ascii="Verdana" w:hAnsi="Verdana"/>
          <w:sz w:val="22"/>
          <w:szCs w:val="22"/>
        </w:rPr>
        <w:t xml:space="preserve"> the </w:t>
      </w:r>
      <w:r w:rsidR="007E2BC4" w:rsidRPr="00E023D5">
        <w:rPr>
          <w:rFonts w:ascii="Verdana" w:hAnsi="Verdana"/>
          <w:sz w:val="22"/>
          <w:szCs w:val="22"/>
        </w:rPr>
        <w:t>IAFT</w:t>
      </w:r>
      <w:r w:rsidR="00F77712" w:rsidRPr="00E023D5">
        <w:rPr>
          <w:rFonts w:ascii="Verdana" w:hAnsi="Verdana"/>
          <w:sz w:val="22"/>
          <w:szCs w:val="22"/>
        </w:rPr>
        <w:t xml:space="preserve"> </w:t>
      </w:r>
      <w:r w:rsidR="00B34BFA" w:rsidRPr="00E023D5">
        <w:rPr>
          <w:rFonts w:ascii="Verdana" w:eastAsia="Times New Roman" w:hAnsi="Verdana"/>
          <w:sz w:val="22"/>
          <w:szCs w:val="22"/>
        </w:rPr>
        <w:t>Inter-</w:t>
      </w:r>
      <w:proofErr w:type="gramStart"/>
      <w:r w:rsidR="00B34BFA" w:rsidRPr="00E023D5">
        <w:rPr>
          <w:rFonts w:ascii="Verdana" w:eastAsia="Times New Roman" w:hAnsi="Verdana"/>
          <w:sz w:val="22"/>
          <w:szCs w:val="22"/>
        </w:rPr>
        <w:t>agency</w:t>
      </w:r>
      <w:proofErr w:type="gramEnd"/>
      <w:r w:rsidR="00B34BFA" w:rsidRPr="00E023D5">
        <w:rPr>
          <w:rFonts w:ascii="Verdana" w:eastAsia="Times New Roman" w:hAnsi="Verdana"/>
          <w:sz w:val="22"/>
          <w:szCs w:val="22"/>
        </w:rPr>
        <w:t xml:space="preserve"> Task Force on Financing for Development</w:t>
      </w:r>
      <w:r w:rsidR="00FD240B" w:rsidRPr="00E023D5">
        <w:rPr>
          <w:rFonts w:ascii="Verdana" w:hAnsi="Verdana"/>
          <w:sz w:val="22"/>
          <w:szCs w:val="22"/>
        </w:rPr>
        <w:t>:</w:t>
      </w:r>
      <w:r w:rsidR="00F77712" w:rsidRPr="00E023D5">
        <w:rPr>
          <w:rFonts w:ascii="Verdana" w:hAnsi="Verdana"/>
          <w:sz w:val="22"/>
          <w:szCs w:val="22"/>
        </w:rPr>
        <w:t xml:space="preserve"> </w:t>
      </w:r>
    </w:p>
    <w:p w14:paraId="58E91ADE" w14:textId="77777777" w:rsidR="00E023D5" w:rsidRPr="00E023D5" w:rsidRDefault="00E023D5" w:rsidP="00E023D5">
      <w:pPr>
        <w:pStyle w:val="ListParagraph"/>
        <w:numPr>
          <w:ilvl w:val="0"/>
          <w:numId w:val="18"/>
        </w:numPr>
        <w:rPr>
          <w:rFonts w:ascii="Verdana" w:hAnsi="Verdana"/>
          <w:sz w:val="22"/>
          <w:szCs w:val="22"/>
        </w:rPr>
      </w:pPr>
      <w:r w:rsidRPr="00E023D5">
        <w:rPr>
          <w:rFonts w:ascii="Verdana" w:hAnsi="Verdana"/>
          <w:sz w:val="22"/>
          <w:szCs w:val="22"/>
        </w:rPr>
        <w:t xml:space="preserve">The CSO </w:t>
      </w:r>
      <w:proofErr w:type="spellStart"/>
      <w:r w:rsidRPr="00E023D5">
        <w:rPr>
          <w:rFonts w:ascii="Verdana" w:hAnsi="Verdana"/>
          <w:sz w:val="22"/>
          <w:szCs w:val="22"/>
        </w:rPr>
        <w:t>FfD</w:t>
      </w:r>
      <w:proofErr w:type="spellEnd"/>
      <w:r w:rsidRPr="00E023D5">
        <w:rPr>
          <w:rFonts w:ascii="Verdana" w:hAnsi="Verdana"/>
          <w:sz w:val="22"/>
          <w:szCs w:val="22"/>
        </w:rPr>
        <w:t xml:space="preserve"> Group </w:t>
      </w:r>
      <w:r w:rsidR="00096D06" w:rsidRPr="00E023D5">
        <w:rPr>
          <w:rFonts w:ascii="Verdana" w:eastAsia="Times New Roman" w:hAnsi="Verdana"/>
          <w:sz w:val="22"/>
          <w:szCs w:val="22"/>
        </w:rPr>
        <w:t>submission</w:t>
      </w:r>
      <w:r w:rsidRPr="00E023D5">
        <w:rPr>
          <w:rFonts w:ascii="Verdana" w:eastAsia="Times New Roman" w:hAnsi="Verdana"/>
          <w:sz w:val="22"/>
          <w:szCs w:val="22"/>
        </w:rPr>
        <w:t xml:space="preserve"> (with two references to disability) can be found here</w:t>
      </w:r>
      <w:r w:rsidR="00096D06" w:rsidRPr="00E023D5">
        <w:rPr>
          <w:rFonts w:ascii="Verdana" w:eastAsia="Times New Roman" w:hAnsi="Verdana"/>
          <w:sz w:val="22"/>
          <w:szCs w:val="22"/>
        </w:rPr>
        <w:t>: </w:t>
      </w:r>
      <w:hyperlink r:id="rId5" w:tgtFrame="_blank" w:history="1">
        <w:r w:rsidR="00096D06" w:rsidRPr="00E023D5">
          <w:rPr>
            <w:rStyle w:val="Hyperlink"/>
            <w:rFonts w:ascii="Verdana" w:eastAsia="Times New Roman" w:hAnsi="Verdana"/>
            <w:sz w:val="22"/>
            <w:szCs w:val="22"/>
          </w:rPr>
          <w:t>http://www.internationaldisabilityalliance.org/sites/default/files/cs_ffd_group_submission_on_iatf_report_-_18_december_20171.docx</w:t>
        </w:r>
      </w:hyperlink>
      <w:r w:rsidR="00096D06" w:rsidRPr="00E023D5">
        <w:rPr>
          <w:rFonts w:ascii="Verdana" w:eastAsia="Times New Roman" w:hAnsi="Verdana"/>
          <w:sz w:val="22"/>
          <w:szCs w:val="22"/>
        </w:rPr>
        <w:t> </w:t>
      </w:r>
    </w:p>
    <w:p w14:paraId="1C6DA0F9" w14:textId="21F0714B" w:rsidR="00FD240B" w:rsidRPr="00E023D5" w:rsidRDefault="00E023D5" w:rsidP="00E023D5">
      <w:pPr>
        <w:pStyle w:val="ListParagraph"/>
        <w:numPr>
          <w:ilvl w:val="0"/>
          <w:numId w:val="18"/>
        </w:numPr>
        <w:rPr>
          <w:rFonts w:ascii="Verdana" w:hAnsi="Verdana"/>
          <w:sz w:val="22"/>
          <w:szCs w:val="22"/>
        </w:rPr>
      </w:pPr>
      <w:r w:rsidRPr="00E023D5">
        <w:rPr>
          <w:rFonts w:ascii="Verdana" w:eastAsia="Times New Roman" w:hAnsi="Verdana"/>
          <w:sz w:val="22"/>
          <w:szCs w:val="22"/>
        </w:rPr>
        <w:t>The I</w:t>
      </w:r>
      <w:r w:rsidRPr="00E023D5">
        <w:rPr>
          <w:rFonts w:ascii="Verdana" w:hAnsi="Verdana"/>
          <w:sz w:val="22"/>
          <w:szCs w:val="22"/>
        </w:rPr>
        <w:t>DA and IDDC</w:t>
      </w:r>
      <w:r w:rsidR="00F77712" w:rsidRPr="00E023D5">
        <w:rPr>
          <w:rFonts w:ascii="Verdana" w:hAnsi="Verdana"/>
          <w:sz w:val="22"/>
          <w:szCs w:val="22"/>
        </w:rPr>
        <w:t xml:space="preserve"> submission can be found </w:t>
      </w:r>
      <w:r w:rsidRPr="00E023D5">
        <w:rPr>
          <w:rFonts w:ascii="Verdana" w:hAnsi="Verdana"/>
          <w:sz w:val="22"/>
          <w:szCs w:val="22"/>
        </w:rPr>
        <w:t>here:</w:t>
      </w:r>
      <w:r w:rsidRPr="00E023D5">
        <w:rPr>
          <w:rFonts w:ascii="Verdana" w:hAnsi="Verdana"/>
          <w:sz w:val="22"/>
          <w:szCs w:val="22"/>
          <w:highlight w:val="cyan"/>
        </w:rPr>
        <w:t xml:space="preserve"> </w:t>
      </w:r>
      <w:hyperlink r:id="rId6" w:history="1">
        <w:r w:rsidR="000966F8" w:rsidRPr="00E023D5">
          <w:rPr>
            <w:rStyle w:val="Hyperlink"/>
            <w:rFonts w:ascii="Verdana" w:hAnsi="Verdana"/>
            <w:sz w:val="22"/>
            <w:szCs w:val="22"/>
          </w:rPr>
          <w:t>http://www.internationaldisabilityalliance.org/sites/default/files/ida_and_iddc_position_paper_2018_report_of_iatf.docx</w:t>
        </w:r>
      </w:hyperlink>
    </w:p>
    <w:p w14:paraId="3F8AF461" w14:textId="0064637C" w:rsidR="00FD240B" w:rsidRPr="00E023D5" w:rsidRDefault="00FD240B" w:rsidP="00FD240B">
      <w:pPr>
        <w:pStyle w:val="ListParagraph"/>
        <w:numPr>
          <w:ilvl w:val="0"/>
          <w:numId w:val="18"/>
        </w:numPr>
        <w:rPr>
          <w:rFonts w:ascii="Verdana" w:eastAsia="Times New Roman" w:hAnsi="Verdana"/>
          <w:sz w:val="22"/>
          <w:szCs w:val="22"/>
        </w:rPr>
      </w:pPr>
      <w:r w:rsidRPr="00E023D5">
        <w:rPr>
          <w:rFonts w:ascii="Verdana" w:hAnsi="Verdana"/>
          <w:sz w:val="22"/>
          <w:szCs w:val="22"/>
        </w:rPr>
        <w:t>February (TBD</w:t>
      </w:r>
      <w:r w:rsidR="00F77712" w:rsidRPr="00E023D5">
        <w:rPr>
          <w:rFonts w:ascii="Verdana" w:hAnsi="Verdana"/>
          <w:sz w:val="22"/>
          <w:szCs w:val="22"/>
        </w:rPr>
        <w:t>)</w:t>
      </w:r>
      <w:r w:rsidRPr="00E023D5">
        <w:rPr>
          <w:rFonts w:ascii="Verdana" w:hAnsi="Verdana"/>
          <w:sz w:val="22"/>
          <w:szCs w:val="22"/>
        </w:rPr>
        <w:t>,</w:t>
      </w:r>
      <w:r w:rsidR="00F77712" w:rsidRPr="00E023D5">
        <w:rPr>
          <w:rFonts w:ascii="Verdana" w:hAnsi="Verdana"/>
          <w:sz w:val="22"/>
          <w:szCs w:val="22"/>
        </w:rPr>
        <w:t xml:space="preserve"> </w:t>
      </w:r>
      <w:r w:rsidRPr="00E023D5">
        <w:rPr>
          <w:rFonts w:ascii="Verdana" w:hAnsi="Verdana"/>
          <w:sz w:val="22"/>
          <w:szCs w:val="22"/>
        </w:rPr>
        <w:t xml:space="preserve">a </w:t>
      </w:r>
      <w:r w:rsidR="00F77712" w:rsidRPr="00E023D5">
        <w:rPr>
          <w:rFonts w:ascii="Verdana" w:hAnsi="Verdana"/>
          <w:sz w:val="22"/>
          <w:szCs w:val="22"/>
        </w:rPr>
        <w:t>consultation</w:t>
      </w:r>
      <w:r w:rsidRPr="00E023D5">
        <w:rPr>
          <w:rFonts w:ascii="Verdana" w:hAnsi="Verdana"/>
          <w:sz w:val="22"/>
          <w:szCs w:val="22"/>
        </w:rPr>
        <w:t xml:space="preserve"> will take place</w:t>
      </w:r>
      <w:r w:rsidR="00F77712" w:rsidRPr="00E023D5">
        <w:rPr>
          <w:rFonts w:ascii="Verdana" w:hAnsi="Verdana"/>
          <w:sz w:val="22"/>
          <w:szCs w:val="22"/>
        </w:rPr>
        <w:t xml:space="preserve"> on the </w:t>
      </w:r>
      <w:r w:rsidRPr="00E023D5">
        <w:rPr>
          <w:rFonts w:ascii="Verdana" w:hAnsi="Verdana"/>
          <w:sz w:val="22"/>
          <w:szCs w:val="22"/>
        </w:rPr>
        <w:t xml:space="preserve">2018 </w:t>
      </w:r>
      <w:r w:rsidR="00F77712" w:rsidRPr="00E023D5">
        <w:rPr>
          <w:rFonts w:ascii="Verdana" w:hAnsi="Verdana"/>
          <w:sz w:val="22"/>
          <w:szCs w:val="22"/>
        </w:rPr>
        <w:t>IATF report prior to finalization</w:t>
      </w:r>
    </w:p>
    <w:p w14:paraId="07AF1B9A" w14:textId="62F48E9A" w:rsidR="00FD240B" w:rsidRPr="00446D38" w:rsidRDefault="00FD240B" w:rsidP="00FD240B">
      <w:pPr>
        <w:pStyle w:val="ListParagraph"/>
        <w:numPr>
          <w:ilvl w:val="0"/>
          <w:numId w:val="18"/>
        </w:numPr>
        <w:rPr>
          <w:rFonts w:ascii="Verdana" w:eastAsia="Times New Roman" w:hAnsi="Verdana"/>
          <w:sz w:val="22"/>
          <w:szCs w:val="22"/>
        </w:rPr>
      </w:pPr>
      <w:r w:rsidRPr="00446D38">
        <w:rPr>
          <w:rFonts w:ascii="Verdana" w:hAnsi="Verdana"/>
          <w:sz w:val="22"/>
          <w:szCs w:val="22"/>
        </w:rPr>
        <w:t>March (TBD</w:t>
      </w:r>
      <w:r w:rsidR="00F77712" w:rsidRPr="00446D38">
        <w:rPr>
          <w:rFonts w:ascii="Verdana" w:hAnsi="Verdana"/>
          <w:sz w:val="22"/>
          <w:szCs w:val="22"/>
        </w:rPr>
        <w:t>)</w:t>
      </w:r>
      <w:r w:rsidRPr="00446D38">
        <w:rPr>
          <w:rFonts w:ascii="Verdana" w:hAnsi="Verdana"/>
          <w:sz w:val="22"/>
          <w:szCs w:val="22"/>
        </w:rPr>
        <w:t>,</w:t>
      </w:r>
      <w:r w:rsidR="00F77712" w:rsidRPr="00446D38">
        <w:rPr>
          <w:rFonts w:ascii="Verdana" w:hAnsi="Verdana"/>
          <w:sz w:val="22"/>
          <w:szCs w:val="22"/>
        </w:rPr>
        <w:t xml:space="preserve"> negotiations on </w:t>
      </w:r>
      <w:proofErr w:type="spellStart"/>
      <w:r w:rsidR="00F77712" w:rsidRPr="00446D38">
        <w:rPr>
          <w:rFonts w:ascii="Verdana" w:hAnsi="Verdana"/>
          <w:sz w:val="22"/>
          <w:szCs w:val="22"/>
        </w:rPr>
        <w:t>FfD</w:t>
      </w:r>
      <w:proofErr w:type="spellEnd"/>
      <w:r w:rsidR="00F77712" w:rsidRPr="00446D38">
        <w:rPr>
          <w:rFonts w:ascii="Verdana" w:hAnsi="Verdana"/>
          <w:sz w:val="22"/>
          <w:szCs w:val="22"/>
        </w:rPr>
        <w:t xml:space="preserve"> outcome</w:t>
      </w:r>
      <w:r w:rsidRPr="00446D38">
        <w:rPr>
          <w:rFonts w:ascii="Verdana" w:hAnsi="Verdana"/>
          <w:sz w:val="22"/>
          <w:szCs w:val="22"/>
        </w:rPr>
        <w:t xml:space="preserve"> document will begin</w:t>
      </w:r>
    </w:p>
    <w:p w14:paraId="552BFBC4" w14:textId="7E53A3F3" w:rsidR="00FD240B" w:rsidRPr="00446D38" w:rsidRDefault="00FD240B" w:rsidP="00FD240B">
      <w:pPr>
        <w:pStyle w:val="ListParagraph"/>
        <w:numPr>
          <w:ilvl w:val="0"/>
          <w:numId w:val="18"/>
        </w:numPr>
        <w:rPr>
          <w:rFonts w:ascii="Verdana" w:eastAsia="Times New Roman" w:hAnsi="Verdana"/>
          <w:sz w:val="22"/>
          <w:szCs w:val="22"/>
        </w:rPr>
      </w:pPr>
      <w:r w:rsidRPr="00446D38">
        <w:rPr>
          <w:rFonts w:ascii="Verdana" w:hAnsi="Verdana"/>
          <w:sz w:val="22"/>
          <w:szCs w:val="22"/>
        </w:rPr>
        <w:t xml:space="preserve">12-13 March, </w:t>
      </w:r>
      <w:r w:rsidR="00F77712" w:rsidRPr="00446D38">
        <w:rPr>
          <w:rFonts w:ascii="Verdana" w:hAnsi="Verdana"/>
          <w:sz w:val="22"/>
          <w:szCs w:val="22"/>
        </w:rPr>
        <w:t>Meeting of the Friends of Monterey</w:t>
      </w:r>
      <w:r w:rsidRPr="00446D38">
        <w:rPr>
          <w:rFonts w:ascii="Verdana" w:hAnsi="Verdana"/>
          <w:sz w:val="22"/>
          <w:szCs w:val="22"/>
        </w:rPr>
        <w:t xml:space="preserve"> in </w:t>
      </w:r>
      <w:r w:rsidR="002545EC" w:rsidRPr="00446D38">
        <w:rPr>
          <w:rFonts w:ascii="Verdana" w:hAnsi="Verdana"/>
          <w:sz w:val="22"/>
          <w:szCs w:val="22"/>
        </w:rPr>
        <w:t>Mexico; j</w:t>
      </w:r>
      <w:r w:rsidRPr="00446D38">
        <w:rPr>
          <w:rFonts w:ascii="Verdana" w:hAnsi="Verdana"/>
          <w:sz w:val="22"/>
          <w:szCs w:val="22"/>
        </w:rPr>
        <w:t>oint meeting under organization</w:t>
      </w:r>
      <w:r w:rsidR="002545EC" w:rsidRPr="00446D38">
        <w:rPr>
          <w:rFonts w:ascii="Verdana" w:hAnsi="Verdana"/>
          <w:sz w:val="22"/>
          <w:szCs w:val="22"/>
        </w:rPr>
        <w:t xml:space="preserve"> between </w:t>
      </w:r>
      <w:r w:rsidRPr="00446D38">
        <w:rPr>
          <w:rFonts w:ascii="Verdana" w:hAnsi="Verdana"/>
          <w:sz w:val="22"/>
          <w:szCs w:val="22"/>
        </w:rPr>
        <w:t xml:space="preserve">the </w:t>
      </w:r>
      <w:r w:rsidR="002545EC" w:rsidRPr="00446D38">
        <w:rPr>
          <w:rFonts w:ascii="Verdana" w:hAnsi="Verdana"/>
          <w:sz w:val="22"/>
          <w:szCs w:val="22"/>
        </w:rPr>
        <w:t xml:space="preserve">CSO </w:t>
      </w:r>
      <w:proofErr w:type="spellStart"/>
      <w:r w:rsidR="002545EC" w:rsidRPr="00446D38">
        <w:rPr>
          <w:rFonts w:ascii="Verdana" w:hAnsi="Verdana"/>
          <w:sz w:val="22"/>
          <w:szCs w:val="22"/>
        </w:rPr>
        <w:t>FfD</w:t>
      </w:r>
      <w:proofErr w:type="spellEnd"/>
      <w:r w:rsidR="002545EC" w:rsidRPr="00446D38">
        <w:rPr>
          <w:rFonts w:ascii="Verdana" w:hAnsi="Verdana"/>
          <w:sz w:val="22"/>
          <w:szCs w:val="22"/>
        </w:rPr>
        <w:t xml:space="preserve"> Group </w:t>
      </w:r>
      <w:r w:rsidRPr="00446D38">
        <w:rPr>
          <w:rFonts w:ascii="Verdana" w:hAnsi="Verdana"/>
          <w:sz w:val="22"/>
          <w:szCs w:val="22"/>
        </w:rPr>
        <w:t>and governments (possibly</w:t>
      </w:r>
      <w:r w:rsidR="002545EC" w:rsidRPr="00446D38">
        <w:rPr>
          <w:rFonts w:ascii="Verdana" w:hAnsi="Verdana"/>
          <w:sz w:val="22"/>
          <w:szCs w:val="22"/>
        </w:rPr>
        <w:t xml:space="preserve"> 1</w:t>
      </w:r>
      <w:r w:rsidRPr="00446D38">
        <w:rPr>
          <w:rFonts w:ascii="Verdana" w:hAnsi="Verdana"/>
          <w:sz w:val="22"/>
          <w:szCs w:val="22"/>
        </w:rPr>
        <w:t>1 March</w:t>
      </w:r>
      <w:r w:rsidR="002545EC" w:rsidRPr="00446D38">
        <w:rPr>
          <w:rFonts w:ascii="Verdana" w:hAnsi="Verdana"/>
          <w:sz w:val="22"/>
          <w:szCs w:val="22"/>
        </w:rPr>
        <w:t>)</w:t>
      </w:r>
    </w:p>
    <w:p w14:paraId="61E7D7FB" w14:textId="77777777" w:rsidR="006D0E29" w:rsidRPr="00446D38" w:rsidRDefault="00FD240B" w:rsidP="006D0E29">
      <w:pPr>
        <w:pStyle w:val="ListParagraph"/>
        <w:numPr>
          <w:ilvl w:val="0"/>
          <w:numId w:val="18"/>
        </w:numPr>
        <w:rPr>
          <w:rFonts w:ascii="Verdana" w:eastAsia="Times New Roman" w:hAnsi="Verdana"/>
          <w:sz w:val="22"/>
          <w:szCs w:val="22"/>
        </w:rPr>
      </w:pPr>
      <w:r w:rsidRPr="00446D38">
        <w:rPr>
          <w:rFonts w:ascii="Verdana" w:eastAsia="Times New Roman" w:hAnsi="Verdana" w:cs="Times New Roman"/>
          <w:sz w:val="22"/>
          <w:szCs w:val="22"/>
        </w:rPr>
        <w:t xml:space="preserve">12 to 23 March, </w:t>
      </w:r>
      <w:r w:rsidR="00850072" w:rsidRPr="00446D38">
        <w:rPr>
          <w:rFonts w:ascii="Verdana" w:hAnsi="Verdana"/>
          <w:sz w:val="22"/>
          <w:szCs w:val="22"/>
        </w:rPr>
        <w:t>C</w:t>
      </w:r>
      <w:r w:rsidR="002545EC" w:rsidRPr="00446D38">
        <w:rPr>
          <w:rFonts w:ascii="Verdana" w:hAnsi="Verdana"/>
          <w:sz w:val="22"/>
          <w:szCs w:val="22"/>
        </w:rPr>
        <w:t xml:space="preserve">ommission on the </w:t>
      </w:r>
      <w:r w:rsidR="00850072" w:rsidRPr="00446D38">
        <w:rPr>
          <w:rFonts w:ascii="Verdana" w:hAnsi="Verdana"/>
          <w:sz w:val="22"/>
          <w:szCs w:val="22"/>
        </w:rPr>
        <w:t>S</w:t>
      </w:r>
      <w:r w:rsidR="002545EC" w:rsidRPr="00446D38">
        <w:rPr>
          <w:rFonts w:ascii="Verdana" w:hAnsi="Verdana"/>
          <w:sz w:val="22"/>
          <w:szCs w:val="22"/>
        </w:rPr>
        <w:t xml:space="preserve">tatus of </w:t>
      </w:r>
      <w:r w:rsidR="00850072" w:rsidRPr="00446D38">
        <w:rPr>
          <w:rFonts w:ascii="Verdana" w:hAnsi="Verdana"/>
          <w:sz w:val="22"/>
          <w:szCs w:val="22"/>
        </w:rPr>
        <w:t>W</w:t>
      </w:r>
      <w:r w:rsidRPr="00446D38">
        <w:rPr>
          <w:rFonts w:ascii="Verdana" w:hAnsi="Verdana"/>
          <w:sz w:val="22"/>
          <w:szCs w:val="22"/>
        </w:rPr>
        <w:t>omen from</w:t>
      </w:r>
      <w:r w:rsidR="002545EC" w:rsidRPr="00446D38">
        <w:rPr>
          <w:rFonts w:ascii="Verdana" w:hAnsi="Verdana"/>
          <w:sz w:val="22"/>
          <w:szCs w:val="22"/>
        </w:rPr>
        <w:t>; side e</w:t>
      </w:r>
      <w:r w:rsidRPr="00446D38">
        <w:rPr>
          <w:rFonts w:ascii="Verdana" w:hAnsi="Verdana"/>
          <w:sz w:val="22"/>
          <w:szCs w:val="22"/>
        </w:rPr>
        <w:t>vent will be</w:t>
      </w:r>
      <w:r w:rsidR="002545EC" w:rsidRPr="00446D38">
        <w:rPr>
          <w:rFonts w:ascii="Verdana" w:hAnsi="Verdana"/>
          <w:sz w:val="22"/>
          <w:szCs w:val="22"/>
        </w:rPr>
        <w:t xml:space="preserve"> organized by the Women’s Major Group on FfD</w:t>
      </w:r>
    </w:p>
    <w:p w14:paraId="1E8F4243" w14:textId="77777777" w:rsidR="0058769B" w:rsidRPr="00446D38" w:rsidRDefault="00850072" w:rsidP="0058769B">
      <w:pPr>
        <w:pStyle w:val="ListParagraph"/>
        <w:numPr>
          <w:ilvl w:val="0"/>
          <w:numId w:val="18"/>
        </w:numPr>
        <w:rPr>
          <w:rFonts w:ascii="Verdana" w:eastAsia="Times New Roman" w:hAnsi="Verdana"/>
          <w:sz w:val="22"/>
          <w:szCs w:val="22"/>
        </w:rPr>
      </w:pPr>
      <w:r w:rsidRPr="00446D38">
        <w:rPr>
          <w:rFonts w:ascii="Verdana" w:hAnsi="Verdana"/>
          <w:sz w:val="22"/>
          <w:szCs w:val="22"/>
        </w:rPr>
        <w:t>23-26 April</w:t>
      </w:r>
      <w:r w:rsidR="006D0E29" w:rsidRPr="00446D38">
        <w:rPr>
          <w:rFonts w:ascii="Verdana" w:hAnsi="Verdana"/>
          <w:sz w:val="22"/>
          <w:szCs w:val="22"/>
        </w:rPr>
        <w:t xml:space="preserve">, </w:t>
      </w:r>
      <w:r w:rsidR="00FD240B" w:rsidRPr="00446D38">
        <w:rPr>
          <w:rFonts w:ascii="Verdana" w:hAnsi="Verdana"/>
          <w:sz w:val="22"/>
          <w:szCs w:val="22"/>
        </w:rPr>
        <w:t>Forum</w:t>
      </w:r>
      <w:r w:rsidR="006D0E29" w:rsidRPr="00446D38">
        <w:rPr>
          <w:rFonts w:ascii="Verdana" w:hAnsi="Verdana"/>
          <w:sz w:val="22"/>
          <w:szCs w:val="22"/>
        </w:rPr>
        <w:t xml:space="preserve"> on </w:t>
      </w:r>
      <w:proofErr w:type="spellStart"/>
      <w:r w:rsidR="006D0E29" w:rsidRPr="00446D38">
        <w:rPr>
          <w:rFonts w:ascii="Verdana" w:hAnsi="Verdana"/>
          <w:sz w:val="22"/>
          <w:szCs w:val="22"/>
        </w:rPr>
        <w:t>FfD</w:t>
      </w:r>
      <w:proofErr w:type="spellEnd"/>
      <w:r w:rsidR="006D0E29" w:rsidRPr="00446D38">
        <w:rPr>
          <w:rFonts w:ascii="Verdana" w:hAnsi="Verdana"/>
          <w:sz w:val="22"/>
          <w:szCs w:val="22"/>
        </w:rPr>
        <w:t xml:space="preserve"> follow-up</w:t>
      </w:r>
      <w:r w:rsidR="00FD240B" w:rsidRPr="00446D38">
        <w:rPr>
          <w:rFonts w:ascii="Verdana" w:hAnsi="Verdana"/>
          <w:sz w:val="22"/>
          <w:szCs w:val="22"/>
        </w:rPr>
        <w:t>;</w:t>
      </w:r>
      <w:r w:rsidR="002545EC" w:rsidRPr="00446D38">
        <w:rPr>
          <w:rFonts w:ascii="Verdana" w:hAnsi="Verdana"/>
          <w:sz w:val="22"/>
          <w:szCs w:val="22"/>
        </w:rPr>
        <w:t xml:space="preserve"> Pre-mee</w:t>
      </w:r>
      <w:r w:rsidR="006D0E29" w:rsidRPr="00446D38">
        <w:rPr>
          <w:rFonts w:ascii="Verdana" w:hAnsi="Verdana"/>
          <w:sz w:val="22"/>
          <w:szCs w:val="22"/>
        </w:rPr>
        <w:t xml:space="preserve">ting of the CSO </w:t>
      </w:r>
      <w:proofErr w:type="spellStart"/>
      <w:r w:rsidR="006D0E29" w:rsidRPr="00446D38">
        <w:rPr>
          <w:rFonts w:ascii="Verdana" w:hAnsi="Verdana"/>
          <w:sz w:val="22"/>
          <w:szCs w:val="22"/>
        </w:rPr>
        <w:t>FfD</w:t>
      </w:r>
      <w:proofErr w:type="spellEnd"/>
      <w:r w:rsidR="006D0E29" w:rsidRPr="00446D38">
        <w:rPr>
          <w:rFonts w:ascii="Verdana" w:hAnsi="Verdana"/>
          <w:sz w:val="22"/>
          <w:szCs w:val="22"/>
        </w:rPr>
        <w:t xml:space="preserve"> Group on</w:t>
      </w:r>
      <w:r w:rsidR="002545EC" w:rsidRPr="00446D38">
        <w:rPr>
          <w:rFonts w:ascii="Verdana" w:hAnsi="Verdana"/>
          <w:sz w:val="22"/>
          <w:szCs w:val="22"/>
        </w:rPr>
        <w:t xml:space="preserve"> 22</w:t>
      </w:r>
      <w:r w:rsidR="006D0E29" w:rsidRPr="00446D38">
        <w:rPr>
          <w:rFonts w:ascii="Verdana" w:hAnsi="Verdana"/>
          <w:sz w:val="22"/>
          <w:szCs w:val="22"/>
          <w:vertAlign w:val="superscript"/>
        </w:rPr>
        <w:t xml:space="preserve"> </w:t>
      </w:r>
      <w:r w:rsidR="006D0E29" w:rsidRPr="00446D38">
        <w:rPr>
          <w:rFonts w:ascii="Verdana" w:hAnsi="Verdana"/>
          <w:sz w:val="22"/>
          <w:szCs w:val="22"/>
        </w:rPr>
        <w:t>April;</w:t>
      </w:r>
      <w:r w:rsidR="002545EC" w:rsidRPr="00446D38">
        <w:rPr>
          <w:rFonts w:ascii="Verdana" w:hAnsi="Verdana"/>
          <w:sz w:val="22"/>
          <w:szCs w:val="22"/>
        </w:rPr>
        <w:t xml:space="preserve"> </w:t>
      </w:r>
      <w:r w:rsidR="006D0E29" w:rsidRPr="00446D38">
        <w:rPr>
          <w:rFonts w:ascii="Verdana" w:hAnsi="Verdana"/>
          <w:sz w:val="22"/>
          <w:szCs w:val="22"/>
        </w:rPr>
        <w:t xml:space="preserve">draft program of the Forum: </w:t>
      </w:r>
      <w:hyperlink r:id="rId7" w:history="1">
        <w:r w:rsidR="006D0E29" w:rsidRPr="00446D38">
          <w:rPr>
            <w:rStyle w:val="Hyperlink"/>
            <w:rFonts w:ascii="Verdana" w:hAnsi="Verdana"/>
            <w:sz w:val="22"/>
            <w:szCs w:val="22"/>
          </w:rPr>
          <w:t>http://www.un.org/esa/ffd/ffdforum/wp-content/uploads/sites/3/2017/10/2018-FfD-Forum-programme.pdf</w:t>
        </w:r>
      </w:hyperlink>
    </w:p>
    <w:p w14:paraId="1F9DE6E3" w14:textId="77777777" w:rsidR="001316BC" w:rsidRPr="00446D38" w:rsidRDefault="0058769B" w:rsidP="001316BC">
      <w:pPr>
        <w:pStyle w:val="ListParagraph"/>
        <w:numPr>
          <w:ilvl w:val="0"/>
          <w:numId w:val="18"/>
        </w:numPr>
        <w:rPr>
          <w:rFonts w:ascii="Verdana" w:eastAsia="Times New Roman" w:hAnsi="Verdana"/>
          <w:sz w:val="22"/>
          <w:szCs w:val="22"/>
        </w:rPr>
      </w:pPr>
      <w:r w:rsidRPr="00446D38">
        <w:rPr>
          <w:rFonts w:ascii="Verdana" w:hAnsi="Verdana"/>
          <w:sz w:val="22"/>
          <w:szCs w:val="22"/>
        </w:rPr>
        <w:t xml:space="preserve">5-6 June, </w:t>
      </w:r>
      <w:r w:rsidR="00850072" w:rsidRPr="00446D38">
        <w:rPr>
          <w:rFonts w:ascii="Verdana" w:hAnsi="Verdana"/>
          <w:sz w:val="22"/>
          <w:szCs w:val="22"/>
        </w:rPr>
        <w:t>STI</w:t>
      </w:r>
      <w:r w:rsidRPr="00446D38">
        <w:rPr>
          <w:rFonts w:ascii="Verdana" w:hAnsi="Verdana"/>
          <w:sz w:val="22"/>
          <w:szCs w:val="22"/>
        </w:rPr>
        <w:t xml:space="preserve"> Forum at the UN in New York;</w:t>
      </w:r>
      <w:r w:rsidR="002545EC" w:rsidRPr="00446D38">
        <w:rPr>
          <w:rFonts w:ascii="Verdana" w:hAnsi="Verdana"/>
          <w:sz w:val="22"/>
          <w:szCs w:val="22"/>
        </w:rPr>
        <w:t xml:space="preserve"> CSO </w:t>
      </w:r>
      <w:proofErr w:type="spellStart"/>
      <w:r w:rsidR="002545EC" w:rsidRPr="00446D38">
        <w:rPr>
          <w:rFonts w:ascii="Verdana" w:hAnsi="Verdana"/>
          <w:sz w:val="22"/>
          <w:szCs w:val="22"/>
        </w:rPr>
        <w:t>FfD</w:t>
      </w:r>
      <w:proofErr w:type="spellEnd"/>
      <w:r w:rsidR="002545EC" w:rsidRPr="00446D38">
        <w:rPr>
          <w:rFonts w:ascii="Verdana" w:hAnsi="Verdana"/>
          <w:sz w:val="22"/>
          <w:szCs w:val="22"/>
        </w:rPr>
        <w:t xml:space="preserve"> Group intends to engage, details to be defined at a later stage</w:t>
      </w:r>
      <w:r w:rsidRPr="00446D38">
        <w:rPr>
          <w:rFonts w:ascii="Verdana" w:hAnsi="Verdana"/>
          <w:sz w:val="22"/>
          <w:szCs w:val="22"/>
        </w:rPr>
        <w:t xml:space="preserve">; Additional information: </w:t>
      </w:r>
      <w:hyperlink r:id="rId8" w:history="1">
        <w:r w:rsidRPr="00446D38">
          <w:rPr>
            <w:rStyle w:val="Hyperlink"/>
            <w:rFonts w:ascii="Verdana" w:hAnsi="Verdana"/>
            <w:sz w:val="22"/>
            <w:szCs w:val="22"/>
          </w:rPr>
          <w:t>https://sustainabledevelopment.un.org/TFM/STIForum2018</w:t>
        </w:r>
      </w:hyperlink>
    </w:p>
    <w:p w14:paraId="1611B630" w14:textId="77777777" w:rsidR="001316BC" w:rsidRPr="00446D38" w:rsidRDefault="0058769B" w:rsidP="001316BC">
      <w:pPr>
        <w:pStyle w:val="ListParagraph"/>
        <w:numPr>
          <w:ilvl w:val="0"/>
          <w:numId w:val="18"/>
        </w:numPr>
        <w:rPr>
          <w:rFonts w:ascii="Verdana" w:eastAsia="Times New Roman" w:hAnsi="Verdana"/>
          <w:sz w:val="22"/>
          <w:szCs w:val="22"/>
        </w:rPr>
      </w:pPr>
      <w:r w:rsidRPr="00446D38">
        <w:rPr>
          <w:rFonts w:ascii="Verdana" w:hAnsi="Verdana"/>
          <w:sz w:val="22"/>
          <w:szCs w:val="22"/>
        </w:rPr>
        <w:t xml:space="preserve">12-14 June, </w:t>
      </w:r>
      <w:r w:rsidR="00850072" w:rsidRPr="00446D38">
        <w:rPr>
          <w:rFonts w:ascii="Verdana" w:hAnsi="Verdana"/>
          <w:sz w:val="22"/>
          <w:szCs w:val="22"/>
        </w:rPr>
        <w:t>COSP</w:t>
      </w:r>
      <w:r w:rsidRPr="00446D38">
        <w:rPr>
          <w:rFonts w:ascii="Verdana" w:hAnsi="Verdana"/>
          <w:sz w:val="22"/>
          <w:szCs w:val="22"/>
        </w:rPr>
        <w:t xml:space="preserve"> at the UN in New York;</w:t>
      </w:r>
      <w:r w:rsidR="002545EC" w:rsidRPr="00446D38">
        <w:rPr>
          <w:rFonts w:ascii="Verdana" w:hAnsi="Verdana"/>
          <w:sz w:val="22"/>
          <w:szCs w:val="22"/>
        </w:rPr>
        <w:t xml:space="preserve"> CSO </w:t>
      </w:r>
      <w:proofErr w:type="spellStart"/>
      <w:r w:rsidR="002545EC" w:rsidRPr="00446D38">
        <w:rPr>
          <w:rFonts w:ascii="Verdana" w:hAnsi="Verdana"/>
          <w:sz w:val="22"/>
          <w:szCs w:val="22"/>
        </w:rPr>
        <w:t>FfD</w:t>
      </w:r>
      <w:proofErr w:type="spellEnd"/>
      <w:r w:rsidR="002545EC" w:rsidRPr="00446D38">
        <w:rPr>
          <w:rFonts w:ascii="Verdana" w:hAnsi="Verdana"/>
          <w:sz w:val="22"/>
          <w:szCs w:val="22"/>
        </w:rPr>
        <w:t xml:space="preserve"> Group invited to organize side event – in collaboration with IDA and IDDC - on the role of pe</w:t>
      </w:r>
      <w:r w:rsidR="001316BC" w:rsidRPr="00446D38">
        <w:rPr>
          <w:rFonts w:ascii="Verdana" w:hAnsi="Verdana"/>
          <w:sz w:val="22"/>
          <w:szCs w:val="22"/>
        </w:rPr>
        <w:t>rsons with disabilities in the Financing for D</w:t>
      </w:r>
      <w:r w:rsidR="002545EC" w:rsidRPr="00446D38">
        <w:rPr>
          <w:rFonts w:ascii="Verdana" w:hAnsi="Verdana"/>
          <w:sz w:val="22"/>
          <w:szCs w:val="22"/>
        </w:rPr>
        <w:t>evelopment discussions</w:t>
      </w:r>
      <w:r w:rsidR="001316BC" w:rsidRPr="00446D38">
        <w:rPr>
          <w:rFonts w:ascii="Verdana" w:hAnsi="Verdana"/>
          <w:sz w:val="22"/>
          <w:szCs w:val="22"/>
        </w:rPr>
        <w:t xml:space="preserve"> (TBC</w:t>
      </w:r>
      <w:r w:rsidR="002F28C3" w:rsidRPr="00446D38">
        <w:rPr>
          <w:rFonts w:ascii="Verdana" w:hAnsi="Verdana"/>
          <w:sz w:val="22"/>
          <w:szCs w:val="22"/>
        </w:rPr>
        <w:t xml:space="preserve"> depending on capacity)</w:t>
      </w:r>
      <w:r w:rsidR="001316BC" w:rsidRPr="00446D38">
        <w:rPr>
          <w:rFonts w:ascii="Verdana" w:hAnsi="Verdana"/>
          <w:sz w:val="22"/>
          <w:szCs w:val="22"/>
        </w:rPr>
        <w:t xml:space="preserve">; Additional information: </w:t>
      </w:r>
      <w:hyperlink r:id="rId9" w:history="1">
        <w:r w:rsidR="001316BC" w:rsidRPr="00446D38">
          <w:rPr>
            <w:rStyle w:val="Hyperlink"/>
            <w:rFonts w:ascii="Verdana" w:hAnsi="Verdana"/>
            <w:sz w:val="22"/>
            <w:szCs w:val="22"/>
          </w:rPr>
          <w:t>https://www.un.org/development/desa/disabilities/conference-of-states-parties-to-the-convention-on-the-rights-of-persons-with-disabilities-2/cosp11.html</w:t>
        </w:r>
      </w:hyperlink>
    </w:p>
    <w:p w14:paraId="18C734E6" w14:textId="1F37B92C" w:rsidR="00446D38" w:rsidRPr="00446D38" w:rsidRDefault="001316BC" w:rsidP="00446D38">
      <w:pPr>
        <w:pStyle w:val="ListParagraph"/>
        <w:numPr>
          <w:ilvl w:val="0"/>
          <w:numId w:val="18"/>
        </w:numPr>
        <w:rPr>
          <w:rFonts w:ascii="Verdana" w:eastAsia="Times New Roman" w:hAnsi="Verdana"/>
          <w:sz w:val="22"/>
          <w:szCs w:val="22"/>
        </w:rPr>
      </w:pPr>
      <w:r w:rsidRPr="00446D38">
        <w:rPr>
          <w:rFonts w:ascii="Verdana" w:hAnsi="Verdana"/>
          <w:sz w:val="22"/>
          <w:szCs w:val="22"/>
        </w:rPr>
        <w:t xml:space="preserve">CSO </w:t>
      </w:r>
      <w:proofErr w:type="spellStart"/>
      <w:r w:rsidRPr="00446D38">
        <w:rPr>
          <w:rFonts w:ascii="Verdana" w:hAnsi="Verdana"/>
          <w:sz w:val="22"/>
          <w:szCs w:val="22"/>
        </w:rPr>
        <w:t>FfD</w:t>
      </w:r>
      <w:proofErr w:type="spellEnd"/>
      <w:r w:rsidRPr="00446D38">
        <w:rPr>
          <w:rFonts w:ascii="Verdana" w:hAnsi="Verdana"/>
          <w:sz w:val="22"/>
          <w:szCs w:val="22"/>
        </w:rPr>
        <w:t xml:space="preserve"> Group</w:t>
      </w:r>
      <w:r w:rsidR="002545EC" w:rsidRPr="00446D38">
        <w:rPr>
          <w:rFonts w:ascii="Verdana" w:hAnsi="Verdana"/>
          <w:sz w:val="22"/>
          <w:szCs w:val="22"/>
        </w:rPr>
        <w:t xml:space="preserve"> engagement at</w:t>
      </w:r>
      <w:r w:rsidR="00850072" w:rsidRPr="00446D38">
        <w:rPr>
          <w:rFonts w:ascii="Verdana" w:hAnsi="Verdana"/>
          <w:sz w:val="22"/>
          <w:szCs w:val="22"/>
        </w:rPr>
        <w:t xml:space="preserve"> HLPF</w:t>
      </w:r>
      <w:r w:rsidR="00446D38" w:rsidRPr="00446D38">
        <w:rPr>
          <w:rFonts w:ascii="Verdana" w:hAnsi="Verdana"/>
          <w:sz w:val="22"/>
          <w:szCs w:val="22"/>
        </w:rPr>
        <w:t xml:space="preserve"> - details will be</w:t>
      </w:r>
      <w:r w:rsidR="002545EC" w:rsidRPr="00446D38">
        <w:rPr>
          <w:rFonts w:ascii="Verdana" w:hAnsi="Verdana"/>
          <w:sz w:val="22"/>
          <w:szCs w:val="22"/>
        </w:rPr>
        <w:t xml:space="preserve"> defined at a later stage</w:t>
      </w:r>
    </w:p>
    <w:p w14:paraId="2FC9A680" w14:textId="3D5AE244" w:rsidR="00207370" w:rsidRPr="00096D06" w:rsidRDefault="00446D38" w:rsidP="00207370">
      <w:pPr>
        <w:pStyle w:val="ListParagraph"/>
        <w:numPr>
          <w:ilvl w:val="0"/>
          <w:numId w:val="18"/>
        </w:numPr>
        <w:rPr>
          <w:rFonts w:ascii="Verdana" w:eastAsia="Times New Roman" w:hAnsi="Verdana"/>
          <w:sz w:val="22"/>
          <w:szCs w:val="22"/>
        </w:rPr>
      </w:pPr>
      <w:r w:rsidRPr="00446D38">
        <w:rPr>
          <w:rFonts w:ascii="Verdana" w:hAnsi="Verdana"/>
          <w:sz w:val="22"/>
          <w:szCs w:val="22"/>
        </w:rPr>
        <w:t xml:space="preserve">September 2018 (TBD), </w:t>
      </w:r>
      <w:r w:rsidR="00132F0A" w:rsidRPr="00446D38">
        <w:rPr>
          <w:rFonts w:ascii="Verdana" w:eastAsia="Times New Roman" w:hAnsi="Verdana" w:cs="Times New Roman"/>
          <w:sz w:val="22"/>
          <w:szCs w:val="22"/>
        </w:rPr>
        <w:t>The UN Secretary-General will host a Finance Summit</w:t>
      </w:r>
      <w:r w:rsidRPr="00446D38">
        <w:rPr>
          <w:rFonts w:ascii="Verdana" w:eastAsia="Times New Roman" w:hAnsi="Verdana" w:cs="Times New Roman"/>
          <w:sz w:val="22"/>
          <w:szCs w:val="22"/>
        </w:rPr>
        <w:t xml:space="preserve"> in New York </w:t>
      </w:r>
      <w:r w:rsidR="00132F0A" w:rsidRPr="00446D38">
        <w:rPr>
          <w:rFonts w:ascii="Verdana" w:eastAsia="Times New Roman" w:hAnsi="Verdana" w:cs="Times New Roman"/>
          <w:sz w:val="22"/>
          <w:szCs w:val="22"/>
        </w:rPr>
        <w:t>to review progress</w:t>
      </w:r>
      <w:r w:rsidRPr="00446D38">
        <w:rPr>
          <w:rFonts w:ascii="Verdana" w:eastAsia="Times New Roman" w:hAnsi="Verdana" w:cs="Times New Roman"/>
          <w:sz w:val="22"/>
          <w:szCs w:val="22"/>
        </w:rPr>
        <w:t xml:space="preserve"> on financing for the 2030 Agenda </w:t>
      </w:r>
      <w:r w:rsidR="00132F0A" w:rsidRPr="00446D38">
        <w:rPr>
          <w:rFonts w:ascii="Verdana" w:eastAsia="Times New Roman" w:hAnsi="Verdana" w:cs="Times New Roman"/>
          <w:sz w:val="22"/>
          <w:szCs w:val="22"/>
        </w:rPr>
        <w:t>across key international platforms, and progress domestically by Member States.</w:t>
      </w:r>
    </w:p>
    <w:p w14:paraId="2C3B964C" w14:textId="77777777" w:rsidR="005A38CB" w:rsidRPr="002B19AC" w:rsidRDefault="005A38CB" w:rsidP="00207370">
      <w:pPr>
        <w:pStyle w:val="Default"/>
        <w:rPr>
          <w:rFonts w:ascii="Verdana" w:hAnsi="Verdana" w:cs="Arial"/>
          <w:b/>
          <w:color w:val="222222"/>
          <w:sz w:val="22"/>
          <w:szCs w:val="22"/>
          <w:u w:val="single"/>
          <w:shd w:val="clear" w:color="auto" w:fill="FFFFFF"/>
        </w:rPr>
      </w:pPr>
    </w:p>
    <w:p w14:paraId="0501AF04" w14:textId="5C29A176" w:rsidR="005A38CB" w:rsidRPr="002B19AC" w:rsidRDefault="00446D38" w:rsidP="00207370">
      <w:pPr>
        <w:pStyle w:val="Default"/>
        <w:rPr>
          <w:rFonts w:ascii="Verdana" w:hAnsi="Verdana" w:cs="Arial"/>
          <w:color w:val="222222"/>
          <w:sz w:val="22"/>
          <w:szCs w:val="22"/>
          <w:shd w:val="clear" w:color="auto" w:fill="FFFFFF"/>
        </w:rPr>
      </w:pPr>
      <w:r>
        <w:rPr>
          <w:rFonts w:ascii="Verdana" w:hAnsi="Verdana" w:cs="Arial"/>
          <w:b/>
          <w:color w:val="222222"/>
          <w:sz w:val="22"/>
          <w:szCs w:val="22"/>
          <w:shd w:val="clear" w:color="auto" w:fill="FFFFFF"/>
        </w:rPr>
        <w:t>4.</w:t>
      </w:r>
      <w:r w:rsidR="00BF168E" w:rsidRPr="00446D38">
        <w:rPr>
          <w:rFonts w:ascii="Verdana" w:hAnsi="Verdana" w:cs="Arial"/>
          <w:b/>
          <w:color w:val="222222"/>
          <w:sz w:val="22"/>
          <w:szCs w:val="22"/>
          <w:shd w:val="clear" w:color="auto" w:fill="FFFFFF"/>
        </w:rPr>
        <w:t xml:space="preserve"> </w:t>
      </w:r>
      <w:r w:rsidR="005A38CB" w:rsidRPr="00446D38">
        <w:rPr>
          <w:rFonts w:ascii="Verdana" w:hAnsi="Verdana" w:cs="Arial"/>
          <w:b/>
          <w:color w:val="222222"/>
          <w:sz w:val="22"/>
          <w:szCs w:val="22"/>
          <w:shd w:val="clear" w:color="auto" w:fill="FFFFFF"/>
        </w:rPr>
        <w:t>Glossary</w:t>
      </w:r>
      <w:r w:rsidR="009F2BE8" w:rsidRPr="002B19AC">
        <w:rPr>
          <w:rFonts w:ascii="Verdana" w:hAnsi="Verdana" w:cs="Arial"/>
          <w:color w:val="222222"/>
          <w:sz w:val="22"/>
          <w:szCs w:val="22"/>
          <w:shd w:val="clear" w:color="auto" w:fill="FFFFFF"/>
        </w:rPr>
        <w:t xml:space="preserve"> </w:t>
      </w:r>
    </w:p>
    <w:p w14:paraId="1854F4CF" w14:textId="77777777" w:rsidR="00C406FD" w:rsidRDefault="00C406FD" w:rsidP="00C406FD">
      <w:pPr>
        <w:rPr>
          <w:rFonts w:ascii="Verdana" w:hAnsi="Verdana"/>
          <w:b/>
          <w:sz w:val="22"/>
          <w:szCs w:val="22"/>
        </w:rPr>
      </w:pPr>
    </w:p>
    <w:p w14:paraId="5597D15F" w14:textId="77777777" w:rsidR="00C406FD" w:rsidRPr="00923698" w:rsidRDefault="00C406FD" w:rsidP="00E211E6">
      <w:pPr>
        <w:jc w:val="both"/>
        <w:rPr>
          <w:rFonts w:ascii="Verdana" w:eastAsia="Times New Roman" w:hAnsi="Verdana" w:cs="Times New Roman"/>
          <w:sz w:val="22"/>
          <w:szCs w:val="22"/>
        </w:rPr>
      </w:pPr>
      <w:r w:rsidRPr="00C406FD">
        <w:rPr>
          <w:rFonts w:ascii="Verdana" w:eastAsia="Times New Roman" w:hAnsi="Verdana" w:cs="Arial"/>
          <w:b/>
          <w:bCs/>
          <w:color w:val="000000"/>
          <w:sz w:val="22"/>
          <w:szCs w:val="22"/>
        </w:rPr>
        <w:t xml:space="preserve">The </w:t>
      </w:r>
      <w:r w:rsidRPr="00923698">
        <w:rPr>
          <w:rFonts w:ascii="Verdana" w:eastAsia="Times New Roman" w:hAnsi="Verdana" w:cs="Arial"/>
          <w:b/>
          <w:bCs/>
          <w:color w:val="000000"/>
          <w:sz w:val="22"/>
          <w:szCs w:val="22"/>
        </w:rPr>
        <w:t>Addis Ababa Action Agenda</w:t>
      </w:r>
      <w:r>
        <w:rPr>
          <w:rFonts w:ascii="Verdana" w:eastAsia="Times New Roman" w:hAnsi="Verdana" w:cs="Arial"/>
          <w:b/>
          <w:bCs/>
          <w:color w:val="000000"/>
          <w:sz w:val="22"/>
          <w:szCs w:val="22"/>
        </w:rPr>
        <w:t xml:space="preserve"> (AAAA)</w:t>
      </w:r>
      <w:r w:rsidRPr="00923698">
        <w:rPr>
          <w:rFonts w:ascii="Verdana" w:eastAsia="Times New Roman" w:hAnsi="Verdana" w:cs="Arial"/>
          <w:b/>
          <w:bCs/>
          <w:color w:val="000000"/>
          <w:sz w:val="22"/>
          <w:szCs w:val="22"/>
        </w:rPr>
        <w:t xml:space="preserve"> </w:t>
      </w:r>
      <w:r w:rsidRPr="00C406FD">
        <w:rPr>
          <w:rFonts w:ascii="Verdana" w:eastAsia="Times New Roman" w:hAnsi="Verdana" w:cs="Times New Roman"/>
          <w:sz w:val="22"/>
          <w:szCs w:val="22"/>
        </w:rPr>
        <w:t>is the</w:t>
      </w:r>
      <w:r w:rsidRPr="00923698">
        <w:rPr>
          <w:rFonts w:ascii="Verdana" w:eastAsia="Times New Roman" w:hAnsi="Verdana" w:cs="Times New Roman"/>
          <w:sz w:val="22"/>
          <w:szCs w:val="22"/>
        </w:rPr>
        <w:t xml:space="preserve"> global framework </w:t>
      </w:r>
      <w:r w:rsidRPr="00C406FD">
        <w:rPr>
          <w:rFonts w:ascii="Verdana" w:eastAsia="Times New Roman" w:hAnsi="Verdana" w:cs="Times New Roman"/>
          <w:sz w:val="22"/>
          <w:szCs w:val="22"/>
        </w:rPr>
        <w:t xml:space="preserve">on </w:t>
      </w:r>
      <w:r w:rsidRPr="00923698">
        <w:rPr>
          <w:rFonts w:ascii="Verdana" w:hAnsi="Verdana" w:cs="Arial"/>
          <w:color w:val="000000"/>
          <w:sz w:val="22"/>
          <w:szCs w:val="22"/>
        </w:rPr>
        <w:t>the financing for development follow-up process</w:t>
      </w:r>
      <w:r w:rsidRPr="00C406FD">
        <w:rPr>
          <w:rFonts w:ascii="Verdana" w:hAnsi="Verdana" w:cs="Arial"/>
          <w:color w:val="000000"/>
          <w:sz w:val="22"/>
          <w:szCs w:val="22"/>
        </w:rPr>
        <w:t xml:space="preserve"> on the implementation of the SDGs. It was adopted in July 2015 and has six explicit references to persons with disabilities. </w:t>
      </w:r>
    </w:p>
    <w:p w14:paraId="0E4058B5" w14:textId="77777777" w:rsidR="00C406FD" w:rsidRDefault="00C406FD" w:rsidP="00E211E6">
      <w:pPr>
        <w:jc w:val="both"/>
        <w:rPr>
          <w:rFonts w:ascii="Verdana" w:hAnsi="Verdana"/>
          <w:b/>
          <w:sz w:val="22"/>
          <w:szCs w:val="22"/>
        </w:rPr>
      </w:pPr>
    </w:p>
    <w:p w14:paraId="4787A4E1" w14:textId="6CFCFC60" w:rsidR="00C406FD" w:rsidRPr="00C406FD" w:rsidRDefault="00C406FD" w:rsidP="00E211E6">
      <w:pPr>
        <w:jc w:val="both"/>
        <w:rPr>
          <w:rFonts w:ascii="Verdana" w:eastAsia="Times New Roman" w:hAnsi="Verdana" w:cs="Times New Roman"/>
          <w:sz w:val="22"/>
          <w:szCs w:val="22"/>
        </w:rPr>
      </w:pPr>
      <w:r w:rsidRPr="00C406FD">
        <w:rPr>
          <w:rFonts w:ascii="Verdana" w:hAnsi="Verdana"/>
          <w:b/>
          <w:sz w:val="22"/>
          <w:szCs w:val="22"/>
        </w:rPr>
        <w:t xml:space="preserve">The </w:t>
      </w:r>
      <w:r w:rsidRPr="00C406FD">
        <w:rPr>
          <w:rFonts w:ascii="Verdana" w:eastAsia="Times New Roman" w:hAnsi="Verdana" w:cs="Times New Roman"/>
          <w:b/>
          <w:bCs/>
          <w:sz w:val="22"/>
          <w:szCs w:val="22"/>
        </w:rPr>
        <w:t>Inter-Agency Task Force on Financing for Development</w:t>
      </w:r>
      <w:r>
        <w:rPr>
          <w:rFonts w:ascii="Verdana" w:eastAsia="Times New Roman" w:hAnsi="Verdana" w:cs="Times New Roman"/>
          <w:bCs/>
          <w:sz w:val="22"/>
          <w:szCs w:val="22"/>
        </w:rPr>
        <w:t xml:space="preserve"> </w:t>
      </w:r>
      <w:r w:rsidRPr="00C406FD">
        <w:rPr>
          <w:rFonts w:ascii="Verdana" w:hAnsi="Verdana"/>
          <w:b/>
          <w:sz w:val="22"/>
          <w:szCs w:val="22"/>
        </w:rPr>
        <w:t xml:space="preserve">(IATF) </w:t>
      </w:r>
      <w:r w:rsidRPr="00206926">
        <w:rPr>
          <w:rFonts w:ascii="Verdana" w:hAnsi="Verdana"/>
          <w:sz w:val="22"/>
          <w:szCs w:val="22"/>
        </w:rPr>
        <w:t xml:space="preserve">was convened by the </w:t>
      </w:r>
      <w:r>
        <w:rPr>
          <w:rFonts w:ascii="Verdana" w:hAnsi="Verdana"/>
          <w:sz w:val="22"/>
          <w:szCs w:val="22"/>
        </w:rPr>
        <w:t xml:space="preserve">UN </w:t>
      </w:r>
      <w:r w:rsidRPr="00206926">
        <w:rPr>
          <w:rFonts w:ascii="Verdana" w:hAnsi="Verdana"/>
          <w:sz w:val="22"/>
          <w:szCs w:val="22"/>
        </w:rPr>
        <w:t>Secretary-General to follow up on the Addis Ababa Action Agenda and is comprised of over 50 Uni</w:t>
      </w:r>
      <w:r>
        <w:rPr>
          <w:rFonts w:ascii="Verdana" w:hAnsi="Verdana"/>
          <w:sz w:val="22"/>
          <w:szCs w:val="22"/>
        </w:rPr>
        <w:t>ted Nations agencies, programs</w:t>
      </w:r>
      <w:r w:rsidRPr="00206926">
        <w:rPr>
          <w:rFonts w:ascii="Verdana" w:hAnsi="Verdana"/>
          <w:sz w:val="22"/>
          <w:szCs w:val="22"/>
        </w:rPr>
        <w:t xml:space="preserve"> and offices, regional economic commissions and other relevant international institutions</w:t>
      </w:r>
      <w:r>
        <w:rPr>
          <w:rFonts w:ascii="Verdana" w:hAnsi="Verdana"/>
          <w:sz w:val="22"/>
          <w:szCs w:val="22"/>
        </w:rPr>
        <w:t xml:space="preserve">, including the World Bank and the International Monetary Fund. The IATF reports </w:t>
      </w:r>
      <w:r w:rsidRPr="00206926">
        <w:rPr>
          <w:rFonts w:ascii="Verdana" w:hAnsi="Verdana"/>
          <w:sz w:val="22"/>
          <w:szCs w:val="22"/>
        </w:rPr>
        <w:t xml:space="preserve">annually on progress in implementing the Addis Agenda and other </w:t>
      </w:r>
      <w:proofErr w:type="spellStart"/>
      <w:r>
        <w:rPr>
          <w:rFonts w:ascii="Verdana" w:hAnsi="Verdana"/>
          <w:sz w:val="22"/>
          <w:szCs w:val="22"/>
        </w:rPr>
        <w:t>FfD</w:t>
      </w:r>
      <w:proofErr w:type="spellEnd"/>
      <w:r w:rsidRPr="00206926">
        <w:rPr>
          <w:rFonts w:ascii="Verdana" w:hAnsi="Verdana"/>
          <w:sz w:val="22"/>
          <w:szCs w:val="22"/>
        </w:rPr>
        <w:t xml:space="preserve"> outcomes and the means of implementation of the 2030</w:t>
      </w:r>
      <w:r>
        <w:rPr>
          <w:rFonts w:ascii="Verdana" w:hAnsi="Verdana"/>
          <w:sz w:val="22"/>
          <w:szCs w:val="22"/>
        </w:rPr>
        <w:t xml:space="preserve"> Agenda for</w:t>
      </w:r>
      <w:r w:rsidRPr="00206926">
        <w:rPr>
          <w:rFonts w:ascii="Verdana" w:hAnsi="Verdana"/>
          <w:sz w:val="22"/>
          <w:szCs w:val="22"/>
        </w:rPr>
        <w:t xml:space="preserve"> Sus</w:t>
      </w:r>
      <w:r>
        <w:rPr>
          <w:rFonts w:ascii="Verdana" w:hAnsi="Verdana"/>
          <w:sz w:val="22"/>
          <w:szCs w:val="22"/>
        </w:rPr>
        <w:t>tainable Development.</w:t>
      </w:r>
    </w:p>
    <w:p w14:paraId="611F2522" w14:textId="77777777" w:rsidR="00923698" w:rsidRPr="002B19AC" w:rsidRDefault="00923698" w:rsidP="00E211E6">
      <w:pPr>
        <w:pStyle w:val="Default"/>
        <w:jc w:val="both"/>
        <w:rPr>
          <w:rFonts w:ascii="Verdana" w:hAnsi="Verdana"/>
          <w:b/>
          <w:sz w:val="22"/>
          <w:szCs w:val="22"/>
          <w:lang w:val="de-DE"/>
        </w:rPr>
      </w:pPr>
    </w:p>
    <w:p w14:paraId="7A9603A3" w14:textId="0790D0B2" w:rsidR="00E211E6" w:rsidRPr="00E211E6" w:rsidRDefault="00F77712" w:rsidP="00E211E6">
      <w:pPr>
        <w:pStyle w:val="Default"/>
        <w:jc w:val="both"/>
        <w:rPr>
          <w:rFonts w:ascii="Verdana" w:hAnsi="Verdana"/>
          <w:sz w:val="22"/>
          <w:szCs w:val="22"/>
        </w:rPr>
      </w:pPr>
      <w:r w:rsidRPr="00E211E6">
        <w:rPr>
          <w:rFonts w:ascii="Verdana" w:hAnsi="Verdana"/>
          <w:b/>
          <w:sz w:val="22"/>
          <w:szCs w:val="22"/>
          <w:lang w:val="de-DE"/>
        </w:rPr>
        <w:t>Monterey</w:t>
      </w:r>
      <w:r w:rsidR="001440E6" w:rsidRPr="00E211E6">
        <w:rPr>
          <w:rFonts w:ascii="Verdana" w:hAnsi="Verdana"/>
          <w:b/>
          <w:sz w:val="22"/>
          <w:szCs w:val="22"/>
          <w:lang w:val="de-DE"/>
        </w:rPr>
        <w:t xml:space="preserve"> Consensus</w:t>
      </w:r>
      <w:r w:rsidR="00E211E6">
        <w:rPr>
          <w:rFonts w:ascii="Verdana" w:hAnsi="Verdana"/>
          <w:b/>
          <w:sz w:val="22"/>
          <w:szCs w:val="22"/>
          <w:lang w:val="de-DE"/>
        </w:rPr>
        <w:t xml:space="preserve">: </w:t>
      </w:r>
      <w:r w:rsidR="00E211E6" w:rsidRPr="00E211E6">
        <w:rPr>
          <w:rFonts w:ascii="Verdana" w:hAnsi="Verdana"/>
          <w:sz w:val="22"/>
          <w:szCs w:val="22"/>
        </w:rPr>
        <w:t>The International Conference on Financing for Development took place in Mont</w:t>
      </w:r>
      <w:r w:rsidR="00E211E6">
        <w:rPr>
          <w:rFonts w:ascii="Verdana" w:hAnsi="Verdana"/>
          <w:sz w:val="22"/>
          <w:szCs w:val="22"/>
        </w:rPr>
        <w:t>errey, Mexico in</w:t>
      </w:r>
      <w:r w:rsidR="00E211E6" w:rsidRPr="00E211E6">
        <w:rPr>
          <w:rFonts w:ascii="Verdana" w:hAnsi="Verdana"/>
          <w:sz w:val="22"/>
          <w:szCs w:val="22"/>
        </w:rPr>
        <w:t xml:space="preserve"> March 2002 </w:t>
      </w:r>
      <w:r w:rsidR="00E211E6">
        <w:rPr>
          <w:rFonts w:ascii="Verdana" w:hAnsi="Verdana"/>
          <w:sz w:val="22"/>
          <w:szCs w:val="22"/>
        </w:rPr>
        <w:t>and</w:t>
      </w:r>
      <w:r w:rsidR="00E211E6" w:rsidRPr="00E211E6">
        <w:rPr>
          <w:rFonts w:ascii="Verdana" w:hAnsi="Verdana"/>
          <w:sz w:val="22"/>
          <w:szCs w:val="22"/>
        </w:rPr>
        <w:t xml:space="preserve"> was the first </w:t>
      </w:r>
      <w:r w:rsidR="00E211E6">
        <w:rPr>
          <w:rFonts w:ascii="Verdana" w:hAnsi="Verdana"/>
          <w:sz w:val="22"/>
          <w:szCs w:val="22"/>
        </w:rPr>
        <w:t>UN</w:t>
      </w:r>
      <w:r w:rsidR="00E211E6" w:rsidRPr="00E211E6">
        <w:rPr>
          <w:rFonts w:ascii="Verdana" w:hAnsi="Verdana"/>
          <w:sz w:val="22"/>
          <w:szCs w:val="22"/>
        </w:rPr>
        <w:t>-sponsored summit-level meeting to address key financial and related issues pertaining to global development. The outcome of the Conference – the Monterrey Consensus</w:t>
      </w:r>
      <w:r w:rsidR="00E211E6">
        <w:rPr>
          <w:rFonts w:ascii="Verdana" w:hAnsi="Verdana"/>
          <w:sz w:val="22"/>
          <w:szCs w:val="22"/>
        </w:rPr>
        <w:t xml:space="preserve"> -</w:t>
      </w:r>
      <w:r w:rsidR="00E211E6" w:rsidRPr="00E211E6">
        <w:rPr>
          <w:rFonts w:ascii="Verdana" w:hAnsi="Verdana"/>
          <w:sz w:val="22"/>
          <w:szCs w:val="22"/>
        </w:rPr>
        <w:t xml:space="preserve"> placed financing for development firmly on the global agenda and is a landmark global agreement between developed and developing countries, in which both recognized their responsibilities in key areas such as trade, aid, debt relief and institution building. </w:t>
      </w:r>
    </w:p>
    <w:p w14:paraId="78A0C036" w14:textId="77777777" w:rsidR="00E211E6" w:rsidRDefault="00E211E6" w:rsidP="00E211E6">
      <w:pPr>
        <w:pStyle w:val="Default"/>
        <w:jc w:val="both"/>
        <w:rPr>
          <w:rFonts w:ascii="Verdana" w:hAnsi="Verdana"/>
          <w:b/>
          <w:sz w:val="22"/>
          <w:szCs w:val="22"/>
          <w:lang w:val="de-DE"/>
        </w:rPr>
      </w:pPr>
    </w:p>
    <w:p w14:paraId="5B90F05F" w14:textId="77777777" w:rsidR="007315BB" w:rsidRDefault="007315BB" w:rsidP="007315BB">
      <w:pPr>
        <w:jc w:val="both"/>
        <w:rPr>
          <w:rFonts w:ascii="Verdana" w:hAnsi="Verdana"/>
          <w:sz w:val="22"/>
          <w:szCs w:val="22"/>
        </w:rPr>
      </w:pPr>
      <w:r w:rsidRPr="00446D38">
        <w:rPr>
          <w:rFonts w:ascii="Verdana" w:hAnsi="Verdana"/>
          <w:b/>
          <w:sz w:val="22"/>
          <w:szCs w:val="22"/>
        </w:rPr>
        <w:t>The CSO Financing for Development (</w:t>
      </w:r>
      <w:proofErr w:type="spellStart"/>
      <w:r w:rsidRPr="00446D38">
        <w:rPr>
          <w:rFonts w:ascii="Verdana" w:hAnsi="Verdana"/>
          <w:b/>
          <w:sz w:val="22"/>
          <w:szCs w:val="22"/>
        </w:rPr>
        <w:t>FfD</w:t>
      </w:r>
      <w:proofErr w:type="spellEnd"/>
      <w:r w:rsidRPr="00446D38">
        <w:rPr>
          <w:rFonts w:ascii="Verdana" w:hAnsi="Verdana"/>
          <w:b/>
          <w:sz w:val="22"/>
          <w:szCs w:val="22"/>
        </w:rPr>
        <w:t>) Group</w:t>
      </w:r>
      <w:r w:rsidRPr="002B19AC">
        <w:rPr>
          <w:rFonts w:ascii="Verdana" w:hAnsi="Verdana"/>
          <w:sz w:val="22"/>
          <w:szCs w:val="22"/>
        </w:rPr>
        <w:t xml:space="preserve"> is an open group with the single criterion for membership being representation of a public-benefit civil society organization. The Group has a fundamentally thematic focus, bringing together civil society organizations, networks and federations that are interested and active in</w:t>
      </w:r>
      <w:r>
        <w:rPr>
          <w:rFonts w:ascii="Verdana" w:hAnsi="Verdana"/>
          <w:sz w:val="22"/>
          <w:szCs w:val="22"/>
        </w:rPr>
        <w:t xml:space="preserve"> the Financing for Development p</w:t>
      </w:r>
      <w:r w:rsidRPr="002B19AC">
        <w:rPr>
          <w:rFonts w:ascii="Verdana" w:hAnsi="Verdana"/>
          <w:sz w:val="22"/>
          <w:szCs w:val="22"/>
        </w:rPr>
        <w:t xml:space="preserve">rocess and its interrelated domains. </w:t>
      </w:r>
    </w:p>
    <w:p w14:paraId="761C7292" w14:textId="77777777" w:rsidR="00697C1E" w:rsidRDefault="00697C1E" w:rsidP="007315BB">
      <w:pPr>
        <w:jc w:val="both"/>
        <w:rPr>
          <w:rFonts w:ascii="Verdana" w:hAnsi="Verdana"/>
          <w:sz w:val="22"/>
          <w:szCs w:val="22"/>
        </w:rPr>
      </w:pPr>
    </w:p>
    <w:p w14:paraId="0D2D77E0" w14:textId="6D9ACD12" w:rsidR="00697C1E" w:rsidRPr="00697C1E" w:rsidRDefault="00697C1E" w:rsidP="00697C1E">
      <w:pPr>
        <w:jc w:val="both"/>
        <w:rPr>
          <w:rFonts w:ascii="Verdana" w:hAnsi="Verdana"/>
          <w:sz w:val="22"/>
          <w:szCs w:val="22"/>
        </w:rPr>
      </w:pPr>
      <w:r w:rsidRPr="00697C1E">
        <w:rPr>
          <w:rFonts w:ascii="Verdana" w:eastAsia="Times New Roman" w:hAnsi="Verdana" w:cs="Times New Roman"/>
          <w:b/>
          <w:sz w:val="22"/>
          <w:szCs w:val="22"/>
        </w:rPr>
        <w:t xml:space="preserve">CSO Development Effectiveness Principles </w:t>
      </w:r>
      <w:r w:rsidRPr="00697C1E">
        <w:rPr>
          <w:rFonts w:ascii="Verdana" w:eastAsia="Times New Roman" w:hAnsi="Verdana" w:cs="Times New Roman"/>
          <w:sz w:val="22"/>
          <w:szCs w:val="22"/>
        </w:rPr>
        <w:t xml:space="preserve">(2010): </w:t>
      </w:r>
      <w:r w:rsidRPr="00697C1E">
        <w:rPr>
          <w:rStyle w:val="s1"/>
          <w:rFonts w:ascii="Verdana" w:hAnsi="Verdana"/>
          <w:sz w:val="22"/>
          <w:szCs w:val="22"/>
        </w:rPr>
        <w:t xml:space="preserve">Civil society organizations, partners, governments, donors, South-South co-operators, emerging national economies, and private donors agreed on eight principles for development effectiveness. </w:t>
      </w:r>
      <w:r>
        <w:rPr>
          <w:rStyle w:val="s1"/>
          <w:rFonts w:ascii="Verdana" w:hAnsi="Verdana"/>
          <w:sz w:val="22"/>
          <w:szCs w:val="22"/>
        </w:rPr>
        <w:t>These P</w:t>
      </w:r>
      <w:r w:rsidRPr="00697C1E">
        <w:rPr>
          <w:rStyle w:val="s1"/>
          <w:rFonts w:ascii="Verdana" w:hAnsi="Verdana"/>
          <w:sz w:val="22"/>
          <w:szCs w:val="22"/>
        </w:rPr>
        <w:t xml:space="preserve">rinciples form the foundation for the </w:t>
      </w:r>
      <w:r w:rsidRPr="00697C1E">
        <w:rPr>
          <w:rStyle w:val="s2"/>
          <w:rFonts w:ascii="Verdana" w:hAnsi="Verdana"/>
          <w:sz w:val="22"/>
          <w:szCs w:val="22"/>
        </w:rPr>
        <w:t>International Framework for CSO Development Effectiveness</w:t>
      </w:r>
      <w:r w:rsidRPr="00697C1E">
        <w:rPr>
          <w:rStyle w:val="apple-converted-space"/>
          <w:rFonts w:ascii="Verdana" w:hAnsi="Verdana"/>
          <w:sz w:val="22"/>
          <w:szCs w:val="22"/>
        </w:rPr>
        <w:t xml:space="preserve"> </w:t>
      </w:r>
      <w:r w:rsidRPr="00697C1E">
        <w:rPr>
          <w:rStyle w:val="s1"/>
          <w:rFonts w:ascii="Verdana" w:hAnsi="Verdana"/>
          <w:sz w:val="22"/>
          <w:szCs w:val="22"/>
        </w:rPr>
        <w:t xml:space="preserve">and the </w:t>
      </w:r>
      <w:r w:rsidRPr="00697C1E">
        <w:rPr>
          <w:rStyle w:val="s2"/>
          <w:rFonts w:ascii="Verdana" w:hAnsi="Verdana"/>
          <w:sz w:val="22"/>
          <w:szCs w:val="22"/>
        </w:rPr>
        <w:t xml:space="preserve">Busan Global Partnership for Effective Development Cooperation. </w:t>
      </w:r>
      <w:r w:rsidRPr="00697C1E">
        <w:rPr>
          <w:rFonts w:ascii="Verdana" w:eastAsia="Times New Roman" w:hAnsi="Verdana" w:cs="Times New Roman"/>
          <w:sz w:val="22"/>
          <w:szCs w:val="22"/>
        </w:rPr>
        <w:t xml:space="preserve">The Principles set a standard on how we carry out our work and provide guidelines on how to improve our development results. </w:t>
      </w:r>
    </w:p>
    <w:p w14:paraId="0F2030D9" w14:textId="6F8C5818" w:rsidR="007315BB" w:rsidRPr="00697C1E" w:rsidRDefault="007315BB" w:rsidP="00697C1E">
      <w:pPr>
        <w:pStyle w:val="NormalWeb"/>
        <w:jc w:val="both"/>
        <w:rPr>
          <w:rFonts w:ascii="Verdana" w:hAnsi="Verdana"/>
          <w:sz w:val="22"/>
          <w:szCs w:val="22"/>
        </w:rPr>
      </w:pPr>
      <w:r w:rsidRPr="00446D38">
        <w:rPr>
          <w:rFonts w:ascii="Verdana" w:hAnsi="Verdana"/>
          <w:b/>
          <w:sz w:val="22"/>
          <w:szCs w:val="22"/>
        </w:rPr>
        <w:t>CSO Partnership for Development Effectiveness (CPDE)</w:t>
      </w:r>
      <w:r>
        <w:rPr>
          <w:rFonts w:ascii="Verdana" w:hAnsi="Verdana"/>
          <w:b/>
          <w:sz w:val="22"/>
          <w:szCs w:val="22"/>
        </w:rPr>
        <w:t xml:space="preserve"> </w:t>
      </w:r>
      <w:r>
        <w:rPr>
          <w:rFonts w:ascii="Verdana" w:hAnsi="Verdana"/>
          <w:sz w:val="22"/>
          <w:szCs w:val="22"/>
        </w:rPr>
        <w:t>is</w:t>
      </w:r>
      <w:r w:rsidRPr="002B19AC">
        <w:rPr>
          <w:rFonts w:ascii="Verdana" w:hAnsi="Verdana"/>
          <w:sz w:val="22"/>
          <w:szCs w:val="22"/>
        </w:rPr>
        <w:t xml:space="preserve"> an open platform that unites CSOs from around the world on the issue of development effectiveness. It strives to make development more effective by reshaping the global aid architecture and empowe</w:t>
      </w:r>
      <w:r>
        <w:rPr>
          <w:rFonts w:ascii="Verdana" w:hAnsi="Verdana"/>
          <w:sz w:val="22"/>
          <w:szCs w:val="22"/>
        </w:rPr>
        <w:t>ring CSOs working on the ground. It is</w:t>
      </w:r>
      <w:r w:rsidRPr="002B19AC">
        <w:rPr>
          <w:rFonts w:ascii="Verdana" w:hAnsi="Verdana"/>
          <w:sz w:val="22"/>
          <w:szCs w:val="22"/>
        </w:rPr>
        <w:t xml:space="preserve"> guided by</w:t>
      </w:r>
      <w:r>
        <w:rPr>
          <w:rFonts w:ascii="Verdana" w:hAnsi="Verdana"/>
          <w:sz w:val="22"/>
          <w:szCs w:val="22"/>
        </w:rPr>
        <w:t xml:space="preserve"> a human rights-based approach and works </w:t>
      </w:r>
      <w:r w:rsidRPr="002B19AC">
        <w:rPr>
          <w:rFonts w:ascii="Verdana" w:hAnsi="Verdana"/>
          <w:sz w:val="22"/>
          <w:szCs w:val="22"/>
        </w:rPr>
        <w:t>with a strong focus to support country, regional, and sectoral civil society</w:t>
      </w:r>
      <w:r>
        <w:rPr>
          <w:rFonts w:ascii="Verdana" w:hAnsi="Verdana"/>
          <w:sz w:val="22"/>
          <w:szCs w:val="22"/>
        </w:rPr>
        <w:t>.</w:t>
      </w:r>
    </w:p>
    <w:p w14:paraId="2ADE6988" w14:textId="77777777" w:rsidR="007315BB" w:rsidRPr="007315BB" w:rsidRDefault="007315BB" w:rsidP="007315BB">
      <w:pPr>
        <w:pStyle w:val="Default"/>
        <w:jc w:val="both"/>
        <w:rPr>
          <w:rFonts w:ascii="Verdana" w:hAnsi="Verdana"/>
          <w:b/>
          <w:sz w:val="22"/>
          <w:szCs w:val="22"/>
          <w:lang w:val="de-DE"/>
        </w:rPr>
      </w:pPr>
      <w:r w:rsidRPr="007315BB">
        <w:rPr>
          <w:rFonts w:ascii="Verdana" w:eastAsia="Times New Roman" w:hAnsi="Verdana" w:cs="Times New Roman"/>
          <w:b/>
          <w:sz w:val="22"/>
          <w:szCs w:val="22"/>
        </w:rPr>
        <w:t>Busan Partnership for Development Effectiveness</w:t>
      </w:r>
      <w:r>
        <w:rPr>
          <w:rFonts w:ascii="Verdana" w:eastAsia="Times New Roman" w:hAnsi="Verdana" w:cs="Times New Roman"/>
          <w:sz w:val="22"/>
          <w:szCs w:val="22"/>
        </w:rPr>
        <w:t xml:space="preserve"> (2011):</w:t>
      </w:r>
      <w:r w:rsidRPr="007315BB">
        <w:rPr>
          <w:rFonts w:ascii="Verdana" w:eastAsia="Times New Roman" w:hAnsi="Verdana" w:cs="Times New Roman"/>
          <w:sz w:val="22"/>
          <w:szCs w:val="22"/>
        </w:rPr>
        <w:t xml:space="preserve"> </w:t>
      </w:r>
      <w:r w:rsidRPr="007315BB">
        <w:rPr>
          <w:rFonts w:ascii="Verdana" w:hAnsi="Verdana" w:cs="Times New Roman"/>
          <w:sz w:val="22"/>
          <w:szCs w:val="22"/>
        </w:rPr>
        <w:t>The Busan Partnership agreement is a consensus that</w:t>
      </w:r>
      <w:r>
        <w:rPr>
          <w:rFonts w:ascii="Verdana" w:hAnsi="Verdana" w:cs="Times New Roman"/>
          <w:sz w:val="22"/>
          <w:szCs w:val="22"/>
        </w:rPr>
        <w:t xml:space="preserve"> which</w:t>
      </w:r>
      <w:r w:rsidRPr="007315BB">
        <w:rPr>
          <w:rFonts w:ascii="Verdana" w:hAnsi="Verdana" w:cs="Times New Roman"/>
          <w:sz w:val="22"/>
          <w:szCs w:val="22"/>
        </w:rPr>
        <w:t xml:space="preserve"> a wide </w:t>
      </w:r>
      <w:r>
        <w:rPr>
          <w:rFonts w:ascii="Verdana" w:hAnsi="Verdana" w:cs="Times New Roman"/>
          <w:sz w:val="22"/>
          <w:szCs w:val="22"/>
        </w:rPr>
        <w:t>range of governments and organiz</w:t>
      </w:r>
      <w:r w:rsidRPr="007315BB">
        <w:rPr>
          <w:rFonts w:ascii="Verdana" w:hAnsi="Verdana" w:cs="Times New Roman"/>
          <w:sz w:val="22"/>
          <w:szCs w:val="22"/>
        </w:rPr>
        <w:t xml:space="preserve">ations </w:t>
      </w:r>
      <w:r>
        <w:rPr>
          <w:rFonts w:ascii="Verdana" w:hAnsi="Verdana" w:cs="Times New Roman"/>
          <w:sz w:val="22"/>
          <w:szCs w:val="22"/>
        </w:rPr>
        <w:t>have expressed their support.</w:t>
      </w:r>
      <w:r w:rsidRPr="007315BB">
        <w:rPr>
          <w:rFonts w:ascii="Verdana" w:eastAsia="Times New Roman" w:hAnsi="Verdana" w:cs="Times New Roman"/>
          <w:sz w:val="22"/>
          <w:szCs w:val="22"/>
        </w:rPr>
        <w:t xml:space="preserve"> </w:t>
      </w:r>
      <w:r w:rsidRPr="007315BB">
        <w:rPr>
          <w:rFonts w:ascii="Verdana" w:hAnsi="Verdana" w:cs="Times New Roman"/>
          <w:bCs/>
          <w:sz w:val="22"/>
          <w:szCs w:val="22"/>
        </w:rPr>
        <w:t>The Busan Partnership agreement sets out principles, commitments and actions that offe</w:t>
      </w:r>
      <w:r>
        <w:rPr>
          <w:rFonts w:ascii="Verdana" w:hAnsi="Verdana" w:cs="Times New Roman"/>
          <w:bCs/>
          <w:sz w:val="22"/>
          <w:szCs w:val="22"/>
        </w:rPr>
        <w:t>r a foundation for effective co</w:t>
      </w:r>
      <w:r w:rsidRPr="007315BB">
        <w:rPr>
          <w:rFonts w:ascii="Verdana" w:hAnsi="Verdana" w:cs="Times New Roman"/>
          <w:bCs/>
          <w:sz w:val="22"/>
          <w:szCs w:val="22"/>
        </w:rPr>
        <w:t>operation in support of international development.</w:t>
      </w:r>
    </w:p>
    <w:p w14:paraId="1B18C4F3" w14:textId="77777777" w:rsidR="007315BB" w:rsidRDefault="007315BB" w:rsidP="00E211E6">
      <w:pPr>
        <w:jc w:val="both"/>
        <w:rPr>
          <w:rFonts w:ascii="Verdana" w:eastAsia="Times New Roman" w:hAnsi="Verdana" w:cs="Times New Roman"/>
          <w:sz w:val="22"/>
          <w:szCs w:val="22"/>
        </w:rPr>
      </w:pPr>
    </w:p>
    <w:p w14:paraId="6C616CDB" w14:textId="71BE3F02" w:rsidR="00537CD5" w:rsidRPr="007315BB" w:rsidRDefault="00537CD5" w:rsidP="00E211E6">
      <w:pPr>
        <w:jc w:val="both"/>
        <w:rPr>
          <w:rFonts w:ascii="Verdana" w:eastAsia="Times New Roman" w:hAnsi="Verdana" w:cs="Times New Roman"/>
          <w:sz w:val="22"/>
          <w:szCs w:val="22"/>
        </w:rPr>
      </w:pPr>
      <w:r w:rsidRPr="007315BB">
        <w:rPr>
          <w:rFonts w:ascii="Verdana" w:eastAsia="Times New Roman" w:hAnsi="Verdana" w:cs="Times New Roman"/>
          <w:b/>
          <w:sz w:val="22"/>
          <w:szCs w:val="22"/>
        </w:rPr>
        <w:t>Nairobi Declaration for Development Effectiveness</w:t>
      </w:r>
      <w:r w:rsidRPr="007315BB">
        <w:rPr>
          <w:rFonts w:ascii="Verdana" w:eastAsia="Times New Roman" w:hAnsi="Verdana" w:cs="Times New Roman"/>
          <w:sz w:val="22"/>
          <w:szCs w:val="22"/>
        </w:rPr>
        <w:t xml:space="preserve"> (2012)</w:t>
      </w:r>
      <w:r w:rsidR="007315BB" w:rsidRPr="007315BB">
        <w:rPr>
          <w:rFonts w:ascii="Verdana" w:eastAsia="Times New Roman" w:hAnsi="Verdana" w:cs="Times New Roman"/>
          <w:sz w:val="22"/>
          <w:szCs w:val="22"/>
        </w:rPr>
        <w:t xml:space="preserve"> is the document that </w:t>
      </w:r>
      <w:r w:rsidR="007315BB" w:rsidRPr="007315BB">
        <w:rPr>
          <w:rFonts w:ascii="Verdana" w:eastAsia="Times New Roman" w:hAnsi="Verdana" w:cs="Times New Roman"/>
          <w:iCs/>
          <w:sz w:val="22"/>
          <w:szCs w:val="22"/>
        </w:rPr>
        <w:t>guides the work and to represents the foundations of the CSO Partnership for</w:t>
      </w:r>
      <w:r w:rsidR="007315BB" w:rsidRPr="007315BB">
        <w:rPr>
          <w:rFonts w:ascii="Verdana" w:eastAsia="Times New Roman" w:hAnsi="Verdana" w:cs="Times New Roman"/>
          <w:sz w:val="22"/>
          <w:szCs w:val="22"/>
        </w:rPr>
        <w:t xml:space="preserve"> </w:t>
      </w:r>
      <w:r w:rsidR="007315BB" w:rsidRPr="007315BB">
        <w:rPr>
          <w:rFonts w:ascii="Verdana" w:eastAsia="Times New Roman" w:hAnsi="Verdana" w:cs="Times New Roman"/>
          <w:iCs/>
          <w:sz w:val="22"/>
          <w:szCs w:val="22"/>
        </w:rPr>
        <w:t>Development Effectiveness (CPDE).</w:t>
      </w:r>
    </w:p>
    <w:p w14:paraId="35CF152F" w14:textId="77777777" w:rsidR="007315BB" w:rsidRDefault="007315BB" w:rsidP="00E211E6">
      <w:pPr>
        <w:jc w:val="both"/>
        <w:rPr>
          <w:rFonts w:ascii="Verdana" w:eastAsia="Times New Roman" w:hAnsi="Verdana" w:cs="Times New Roman"/>
          <w:sz w:val="22"/>
          <w:szCs w:val="22"/>
        </w:rPr>
      </w:pPr>
    </w:p>
    <w:p w14:paraId="68E5AAE2" w14:textId="77777777" w:rsidR="007315BB" w:rsidRPr="002B19AC" w:rsidRDefault="007315BB" w:rsidP="00E211E6">
      <w:pPr>
        <w:jc w:val="both"/>
        <w:rPr>
          <w:rFonts w:ascii="Verdana" w:eastAsia="Times New Roman" w:hAnsi="Verdana" w:cs="Times New Roman"/>
          <w:sz w:val="22"/>
          <w:szCs w:val="22"/>
        </w:rPr>
      </w:pPr>
    </w:p>
    <w:p w14:paraId="7524F9B1" w14:textId="77777777" w:rsidR="00537CD5" w:rsidRPr="002B19AC" w:rsidRDefault="00537CD5" w:rsidP="00E211E6">
      <w:pPr>
        <w:pStyle w:val="Default"/>
        <w:jc w:val="both"/>
        <w:rPr>
          <w:rFonts w:ascii="Verdana" w:hAnsi="Verdana"/>
          <w:b/>
          <w:sz w:val="22"/>
          <w:szCs w:val="22"/>
          <w:lang w:val="de-DE"/>
        </w:rPr>
      </w:pPr>
    </w:p>
    <w:p w14:paraId="23B8F752" w14:textId="77777777" w:rsidR="005A38CB" w:rsidRPr="002B19AC" w:rsidRDefault="005A38CB" w:rsidP="00E211E6">
      <w:pPr>
        <w:pStyle w:val="Default"/>
        <w:jc w:val="both"/>
        <w:rPr>
          <w:rFonts w:ascii="Verdana" w:hAnsi="Verdana"/>
          <w:b/>
          <w:sz w:val="22"/>
          <w:szCs w:val="22"/>
          <w:lang w:val="de-DE"/>
        </w:rPr>
      </w:pPr>
    </w:p>
    <w:p w14:paraId="465172E1" w14:textId="77777777" w:rsidR="00207370" w:rsidRPr="002B19AC" w:rsidRDefault="00207370" w:rsidP="00E211E6">
      <w:pPr>
        <w:jc w:val="both"/>
        <w:rPr>
          <w:rFonts w:ascii="Verdana" w:hAnsi="Verdana"/>
          <w:sz w:val="22"/>
          <w:szCs w:val="22"/>
        </w:rPr>
      </w:pPr>
    </w:p>
    <w:p w14:paraId="52EAE6A1" w14:textId="77777777" w:rsidR="00317648" w:rsidRPr="002B19AC" w:rsidRDefault="00317648" w:rsidP="00E211E6">
      <w:pPr>
        <w:jc w:val="both"/>
        <w:rPr>
          <w:rFonts w:ascii="Verdana" w:hAnsi="Verdana"/>
          <w:sz w:val="22"/>
          <w:szCs w:val="22"/>
        </w:rPr>
      </w:pPr>
    </w:p>
    <w:p w14:paraId="189EA2B4" w14:textId="77777777" w:rsidR="00317648" w:rsidRPr="002B19AC" w:rsidRDefault="00317648" w:rsidP="00E211E6">
      <w:pPr>
        <w:jc w:val="both"/>
        <w:rPr>
          <w:rFonts w:ascii="Verdana" w:hAnsi="Verdana"/>
          <w:sz w:val="22"/>
          <w:szCs w:val="22"/>
        </w:rPr>
      </w:pPr>
    </w:p>
    <w:p w14:paraId="7DDB2570" w14:textId="77777777" w:rsidR="00DA21B8" w:rsidRPr="002B19AC" w:rsidRDefault="00DA21B8" w:rsidP="00E211E6">
      <w:pPr>
        <w:jc w:val="both"/>
        <w:rPr>
          <w:rFonts w:ascii="Verdana" w:hAnsi="Verdana"/>
          <w:sz w:val="22"/>
          <w:szCs w:val="22"/>
        </w:rPr>
      </w:pPr>
    </w:p>
    <w:sectPr w:rsidR="00DA21B8" w:rsidRPr="002B19AC" w:rsidSect="00FF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27C"/>
    <w:multiLevelType w:val="hybridMultilevel"/>
    <w:tmpl w:val="EC6A2468"/>
    <w:lvl w:ilvl="0" w:tplc="1AFA5F8A">
      <w:start w:val="1"/>
      <w:numFmt w:val="bullet"/>
      <w:lvlText w:val="•"/>
      <w:lvlJc w:val="left"/>
      <w:pPr>
        <w:tabs>
          <w:tab w:val="num" w:pos="720"/>
        </w:tabs>
        <w:ind w:left="720" w:hanging="360"/>
      </w:pPr>
      <w:rPr>
        <w:rFonts w:ascii="Arial" w:hAnsi="Arial" w:hint="default"/>
      </w:rPr>
    </w:lvl>
    <w:lvl w:ilvl="1" w:tplc="9F4824AA" w:tentative="1">
      <w:start w:val="1"/>
      <w:numFmt w:val="bullet"/>
      <w:lvlText w:val="•"/>
      <w:lvlJc w:val="left"/>
      <w:pPr>
        <w:tabs>
          <w:tab w:val="num" w:pos="1440"/>
        </w:tabs>
        <w:ind w:left="1440" w:hanging="360"/>
      </w:pPr>
      <w:rPr>
        <w:rFonts w:ascii="Arial" w:hAnsi="Arial" w:hint="default"/>
      </w:rPr>
    </w:lvl>
    <w:lvl w:ilvl="2" w:tplc="0776AA14" w:tentative="1">
      <w:start w:val="1"/>
      <w:numFmt w:val="bullet"/>
      <w:lvlText w:val="•"/>
      <w:lvlJc w:val="left"/>
      <w:pPr>
        <w:tabs>
          <w:tab w:val="num" w:pos="2160"/>
        </w:tabs>
        <w:ind w:left="2160" w:hanging="360"/>
      </w:pPr>
      <w:rPr>
        <w:rFonts w:ascii="Arial" w:hAnsi="Arial" w:hint="default"/>
      </w:rPr>
    </w:lvl>
    <w:lvl w:ilvl="3" w:tplc="324CE6EA" w:tentative="1">
      <w:start w:val="1"/>
      <w:numFmt w:val="bullet"/>
      <w:lvlText w:val="•"/>
      <w:lvlJc w:val="left"/>
      <w:pPr>
        <w:tabs>
          <w:tab w:val="num" w:pos="2880"/>
        </w:tabs>
        <w:ind w:left="2880" w:hanging="360"/>
      </w:pPr>
      <w:rPr>
        <w:rFonts w:ascii="Arial" w:hAnsi="Arial" w:hint="default"/>
      </w:rPr>
    </w:lvl>
    <w:lvl w:ilvl="4" w:tplc="65F60916" w:tentative="1">
      <w:start w:val="1"/>
      <w:numFmt w:val="bullet"/>
      <w:lvlText w:val="•"/>
      <w:lvlJc w:val="left"/>
      <w:pPr>
        <w:tabs>
          <w:tab w:val="num" w:pos="3600"/>
        </w:tabs>
        <w:ind w:left="3600" w:hanging="360"/>
      </w:pPr>
      <w:rPr>
        <w:rFonts w:ascii="Arial" w:hAnsi="Arial" w:hint="default"/>
      </w:rPr>
    </w:lvl>
    <w:lvl w:ilvl="5" w:tplc="E50A352A" w:tentative="1">
      <w:start w:val="1"/>
      <w:numFmt w:val="bullet"/>
      <w:lvlText w:val="•"/>
      <w:lvlJc w:val="left"/>
      <w:pPr>
        <w:tabs>
          <w:tab w:val="num" w:pos="4320"/>
        </w:tabs>
        <w:ind w:left="4320" w:hanging="360"/>
      </w:pPr>
      <w:rPr>
        <w:rFonts w:ascii="Arial" w:hAnsi="Arial" w:hint="default"/>
      </w:rPr>
    </w:lvl>
    <w:lvl w:ilvl="6" w:tplc="D444C658" w:tentative="1">
      <w:start w:val="1"/>
      <w:numFmt w:val="bullet"/>
      <w:lvlText w:val="•"/>
      <w:lvlJc w:val="left"/>
      <w:pPr>
        <w:tabs>
          <w:tab w:val="num" w:pos="5040"/>
        </w:tabs>
        <w:ind w:left="5040" w:hanging="360"/>
      </w:pPr>
      <w:rPr>
        <w:rFonts w:ascii="Arial" w:hAnsi="Arial" w:hint="default"/>
      </w:rPr>
    </w:lvl>
    <w:lvl w:ilvl="7" w:tplc="B98243D4" w:tentative="1">
      <w:start w:val="1"/>
      <w:numFmt w:val="bullet"/>
      <w:lvlText w:val="•"/>
      <w:lvlJc w:val="left"/>
      <w:pPr>
        <w:tabs>
          <w:tab w:val="num" w:pos="5760"/>
        </w:tabs>
        <w:ind w:left="5760" w:hanging="360"/>
      </w:pPr>
      <w:rPr>
        <w:rFonts w:ascii="Arial" w:hAnsi="Arial" w:hint="default"/>
      </w:rPr>
    </w:lvl>
    <w:lvl w:ilvl="8" w:tplc="86C483DC" w:tentative="1">
      <w:start w:val="1"/>
      <w:numFmt w:val="bullet"/>
      <w:lvlText w:val="•"/>
      <w:lvlJc w:val="left"/>
      <w:pPr>
        <w:tabs>
          <w:tab w:val="num" w:pos="6480"/>
        </w:tabs>
        <w:ind w:left="6480" w:hanging="360"/>
      </w:pPr>
      <w:rPr>
        <w:rFonts w:ascii="Arial" w:hAnsi="Arial" w:hint="default"/>
      </w:rPr>
    </w:lvl>
  </w:abstractNum>
  <w:abstractNum w:abstractNumId="1">
    <w:nsid w:val="1433288F"/>
    <w:multiLevelType w:val="hybridMultilevel"/>
    <w:tmpl w:val="6A64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B65CB"/>
    <w:multiLevelType w:val="hybridMultilevel"/>
    <w:tmpl w:val="B3A0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566E9"/>
    <w:multiLevelType w:val="hybridMultilevel"/>
    <w:tmpl w:val="8A4A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E05C4"/>
    <w:multiLevelType w:val="hybridMultilevel"/>
    <w:tmpl w:val="2E8E5D7C"/>
    <w:lvl w:ilvl="0" w:tplc="E9AE41F8">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0F2416"/>
    <w:multiLevelType w:val="hybridMultilevel"/>
    <w:tmpl w:val="5006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A2480"/>
    <w:multiLevelType w:val="hybridMultilevel"/>
    <w:tmpl w:val="D4FC3E10"/>
    <w:lvl w:ilvl="0" w:tplc="F412F0A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C7A22"/>
    <w:multiLevelType w:val="hybridMultilevel"/>
    <w:tmpl w:val="843E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D216F1"/>
    <w:multiLevelType w:val="hybridMultilevel"/>
    <w:tmpl w:val="453A40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D79AA"/>
    <w:multiLevelType w:val="hybridMultilevel"/>
    <w:tmpl w:val="A754BC58"/>
    <w:lvl w:ilvl="0" w:tplc="28DA84EA">
      <w:start w:val="1"/>
      <w:numFmt w:val="bullet"/>
      <w:lvlText w:val="•"/>
      <w:lvlJc w:val="left"/>
      <w:pPr>
        <w:tabs>
          <w:tab w:val="num" w:pos="720"/>
        </w:tabs>
        <w:ind w:left="720" w:hanging="360"/>
      </w:pPr>
      <w:rPr>
        <w:rFonts w:ascii="Arial" w:hAnsi="Arial" w:hint="default"/>
      </w:rPr>
    </w:lvl>
    <w:lvl w:ilvl="1" w:tplc="67E415BA" w:tentative="1">
      <w:start w:val="1"/>
      <w:numFmt w:val="bullet"/>
      <w:lvlText w:val="•"/>
      <w:lvlJc w:val="left"/>
      <w:pPr>
        <w:tabs>
          <w:tab w:val="num" w:pos="1440"/>
        </w:tabs>
        <w:ind w:left="1440" w:hanging="360"/>
      </w:pPr>
      <w:rPr>
        <w:rFonts w:ascii="Arial" w:hAnsi="Arial" w:hint="default"/>
      </w:rPr>
    </w:lvl>
    <w:lvl w:ilvl="2" w:tplc="FD706F82" w:tentative="1">
      <w:start w:val="1"/>
      <w:numFmt w:val="bullet"/>
      <w:lvlText w:val="•"/>
      <w:lvlJc w:val="left"/>
      <w:pPr>
        <w:tabs>
          <w:tab w:val="num" w:pos="2160"/>
        </w:tabs>
        <w:ind w:left="2160" w:hanging="360"/>
      </w:pPr>
      <w:rPr>
        <w:rFonts w:ascii="Arial" w:hAnsi="Arial" w:hint="default"/>
      </w:rPr>
    </w:lvl>
    <w:lvl w:ilvl="3" w:tplc="33D4BFCA" w:tentative="1">
      <w:start w:val="1"/>
      <w:numFmt w:val="bullet"/>
      <w:lvlText w:val="•"/>
      <w:lvlJc w:val="left"/>
      <w:pPr>
        <w:tabs>
          <w:tab w:val="num" w:pos="2880"/>
        </w:tabs>
        <w:ind w:left="2880" w:hanging="360"/>
      </w:pPr>
      <w:rPr>
        <w:rFonts w:ascii="Arial" w:hAnsi="Arial" w:hint="default"/>
      </w:rPr>
    </w:lvl>
    <w:lvl w:ilvl="4" w:tplc="255EDAE0" w:tentative="1">
      <w:start w:val="1"/>
      <w:numFmt w:val="bullet"/>
      <w:lvlText w:val="•"/>
      <w:lvlJc w:val="left"/>
      <w:pPr>
        <w:tabs>
          <w:tab w:val="num" w:pos="3600"/>
        </w:tabs>
        <w:ind w:left="3600" w:hanging="360"/>
      </w:pPr>
      <w:rPr>
        <w:rFonts w:ascii="Arial" w:hAnsi="Arial" w:hint="default"/>
      </w:rPr>
    </w:lvl>
    <w:lvl w:ilvl="5" w:tplc="6BD8CEEC" w:tentative="1">
      <w:start w:val="1"/>
      <w:numFmt w:val="bullet"/>
      <w:lvlText w:val="•"/>
      <w:lvlJc w:val="left"/>
      <w:pPr>
        <w:tabs>
          <w:tab w:val="num" w:pos="4320"/>
        </w:tabs>
        <w:ind w:left="4320" w:hanging="360"/>
      </w:pPr>
      <w:rPr>
        <w:rFonts w:ascii="Arial" w:hAnsi="Arial" w:hint="default"/>
      </w:rPr>
    </w:lvl>
    <w:lvl w:ilvl="6" w:tplc="B3AECE00" w:tentative="1">
      <w:start w:val="1"/>
      <w:numFmt w:val="bullet"/>
      <w:lvlText w:val="•"/>
      <w:lvlJc w:val="left"/>
      <w:pPr>
        <w:tabs>
          <w:tab w:val="num" w:pos="5040"/>
        </w:tabs>
        <w:ind w:left="5040" w:hanging="360"/>
      </w:pPr>
      <w:rPr>
        <w:rFonts w:ascii="Arial" w:hAnsi="Arial" w:hint="default"/>
      </w:rPr>
    </w:lvl>
    <w:lvl w:ilvl="7" w:tplc="5CDCBF1C" w:tentative="1">
      <w:start w:val="1"/>
      <w:numFmt w:val="bullet"/>
      <w:lvlText w:val="•"/>
      <w:lvlJc w:val="left"/>
      <w:pPr>
        <w:tabs>
          <w:tab w:val="num" w:pos="5760"/>
        </w:tabs>
        <w:ind w:left="5760" w:hanging="360"/>
      </w:pPr>
      <w:rPr>
        <w:rFonts w:ascii="Arial" w:hAnsi="Arial" w:hint="default"/>
      </w:rPr>
    </w:lvl>
    <w:lvl w:ilvl="8" w:tplc="2E3C03BE" w:tentative="1">
      <w:start w:val="1"/>
      <w:numFmt w:val="bullet"/>
      <w:lvlText w:val="•"/>
      <w:lvlJc w:val="left"/>
      <w:pPr>
        <w:tabs>
          <w:tab w:val="num" w:pos="6480"/>
        </w:tabs>
        <w:ind w:left="6480" w:hanging="360"/>
      </w:pPr>
      <w:rPr>
        <w:rFonts w:ascii="Arial" w:hAnsi="Arial" w:hint="default"/>
      </w:rPr>
    </w:lvl>
  </w:abstractNum>
  <w:abstractNum w:abstractNumId="10">
    <w:nsid w:val="499F2454"/>
    <w:multiLevelType w:val="hybridMultilevel"/>
    <w:tmpl w:val="E2D83AC0"/>
    <w:lvl w:ilvl="0" w:tplc="23D871AA">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B6CEF"/>
    <w:multiLevelType w:val="hybridMultilevel"/>
    <w:tmpl w:val="A9349CC6"/>
    <w:lvl w:ilvl="0" w:tplc="F412F0A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E2EC1"/>
    <w:multiLevelType w:val="hybridMultilevel"/>
    <w:tmpl w:val="DD4426CC"/>
    <w:lvl w:ilvl="0" w:tplc="721C30E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93AB7"/>
    <w:multiLevelType w:val="hybridMultilevel"/>
    <w:tmpl w:val="734A5652"/>
    <w:lvl w:ilvl="0" w:tplc="FE2CACC8">
      <w:start w:val="1"/>
      <w:numFmt w:val="bullet"/>
      <w:lvlText w:val="•"/>
      <w:lvlJc w:val="left"/>
      <w:pPr>
        <w:tabs>
          <w:tab w:val="num" w:pos="720"/>
        </w:tabs>
        <w:ind w:left="720" w:hanging="360"/>
      </w:pPr>
      <w:rPr>
        <w:rFonts w:ascii="Arial" w:hAnsi="Arial" w:hint="default"/>
      </w:rPr>
    </w:lvl>
    <w:lvl w:ilvl="1" w:tplc="22B25696" w:tentative="1">
      <w:start w:val="1"/>
      <w:numFmt w:val="bullet"/>
      <w:lvlText w:val="•"/>
      <w:lvlJc w:val="left"/>
      <w:pPr>
        <w:tabs>
          <w:tab w:val="num" w:pos="1440"/>
        </w:tabs>
        <w:ind w:left="1440" w:hanging="360"/>
      </w:pPr>
      <w:rPr>
        <w:rFonts w:ascii="Arial" w:hAnsi="Arial" w:hint="default"/>
      </w:rPr>
    </w:lvl>
    <w:lvl w:ilvl="2" w:tplc="3F4A56F4" w:tentative="1">
      <w:start w:val="1"/>
      <w:numFmt w:val="bullet"/>
      <w:lvlText w:val="•"/>
      <w:lvlJc w:val="left"/>
      <w:pPr>
        <w:tabs>
          <w:tab w:val="num" w:pos="2160"/>
        </w:tabs>
        <w:ind w:left="2160" w:hanging="360"/>
      </w:pPr>
      <w:rPr>
        <w:rFonts w:ascii="Arial" w:hAnsi="Arial" w:hint="default"/>
      </w:rPr>
    </w:lvl>
    <w:lvl w:ilvl="3" w:tplc="5F4EC46A" w:tentative="1">
      <w:start w:val="1"/>
      <w:numFmt w:val="bullet"/>
      <w:lvlText w:val="•"/>
      <w:lvlJc w:val="left"/>
      <w:pPr>
        <w:tabs>
          <w:tab w:val="num" w:pos="2880"/>
        </w:tabs>
        <w:ind w:left="2880" w:hanging="360"/>
      </w:pPr>
      <w:rPr>
        <w:rFonts w:ascii="Arial" w:hAnsi="Arial" w:hint="default"/>
      </w:rPr>
    </w:lvl>
    <w:lvl w:ilvl="4" w:tplc="8C2CD788" w:tentative="1">
      <w:start w:val="1"/>
      <w:numFmt w:val="bullet"/>
      <w:lvlText w:val="•"/>
      <w:lvlJc w:val="left"/>
      <w:pPr>
        <w:tabs>
          <w:tab w:val="num" w:pos="3600"/>
        </w:tabs>
        <w:ind w:left="3600" w:hanging="360"/>
      </w:pPr>
      <w:rPr>
        <w:rFonts w:ascii="Arial" w:hAnsi="Arial" w:hint="default"/>
      </w:rPr>
    </w:lvl>
    <w:lvl w:ilvl="5" w:tplc="3084BDB8" w:tentative="1">
      <w:start w:val="1"/>
      <w:numFmt w:val="bullet"/>
      <w:lvlText w:val="•"/>
      <w:lvlJc w:val="left"/>
      <w:pPr>
        <w:tabs>
          <w:tab w:val="num" w:pos="4320"/>
        </w:tabs>
        <w:ind w:left="4320" w:hanging="360"/>
      </w:pPr>
      <w:rPr>
        <w:rFonts w:ascii="Arial" w:hAnsi="Arial" w:hint="default"/>
      </w:rPr>
    </w:lvl>
    <w:lvl w:ilvl="6" w:tplc="AAE82480" w:tentative="1">
      <w:start w:val="1"/>
      <w:numFmt w:val="bullet"/>
      <w:lvlText w:val="•"/>
      <w:lvlJc w:val="left"/>
      <w:pPr>
        <w:tabs>
          <w:tab w:val="num" w:pos="5040"/>
        </w:tabs>
        <w:ind w:left="5040" w:hanging="360"/>
      </w:pPr>
      <w:rPr>
        <w:rFonts w:ascii="Arial" w:hAnsi="Arial" w:hint="default"/>
      </w:rPr>
    </w:lvl>
    <w:lvl w:ilvl="7" w:tplc="AB86AD1C" w:tentative="1">
      <w:start w:val="1"/>
      <w:numFmt w:val="bullet"/>
      <w:lvlText w:val="•"/>
      <w:lvlJc w:val="left"/>
      <w:pPr>
        <w:tabs>
          <w:tab w:val="num" w:pos="5760"/>
        </w:tabs>
        <w:ind w:left="5760" w:hanging="360"/>
      </w:pPr>
      <w:rPr>
        <w:rFonts w:ascii="Arial" w:hAnsi="Arial" w:hint="default"/>
      </w:rPr>
    </w:lvl>
    <w:lvl w:ilvl="8" w:tplc="AF6AF8E4" w:tentative="1">
      <w:start w:val="1"/>
      <w:numFmt w:val="bullet"/>
      <w:lvlText w:val="•"/>
      <w:lvlJc w:val="left"/>
      <w:pPr>
        <w:tabs>
          <w:tab w:val="num" w:pos="6480"/>
        </w:tabs>
        <w:ind w:left="6480" w:hanging="360"/>
      </w:pPr>
      <w:rPr>
        <w:rFonts w:ascii="Arial" w:hAnsi="Arial" w:hint="default"/>
      </w:rPr>
    </w:lvl>
  </w:abstractNum>
  <w:abstractNum w:abstractNumId="14">
    <w:nsid w:val="5A4C5300"/>
    <w:multiLevelType w:val="hybridMultilevel"/>
    <w:tmpl w:val="C6CAAC8E"/>
    <w:lvl w:ilvl="0" w:tplc="373AF72A">
      <w:start w:val="2018"/>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27753C"/>
    <w:multiLevelType w:val="hybridMultilevel"/>
    <w:tmpl w:val="DC9E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8E6219"/>
    <w:multiLevelType w:val="hybridMultilevel"/>
    <w:tmpl w:val="3738D926"/>
    <w:lvl w:ilvl="0" w:tplc="F412F0A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5A32BB"/>
    <w:multiLevelType w:val="hybridMultilevel"/>
    <w:tmpl w:val="B78C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66D38"/>
    <w:multiLevelType w:val="hybridMultilevel"/>
    <w:tmpl w:val="43C09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11"/>
  </w:num>
  <w:num w:numId="4">
    <w:abstractNumId w:val="0"/>
  </w:num>
  <w:num w:numId="5">
    <w:abstractNumId w:val="9"/>
  </w:num>
  <w:num w:numId="6">
    <w:abstractNumId w:val="13"/>
  </w:num>
  <w:num w:numId="7">
    <w:abstractNumId w:val="10"/>
  </w:num>
  <w:num w:numId="8">
    <w:abstractNumId w:val="4"/>
  </w:num>
  <w:num w:numId="9">
    <w:abstractNumId w:val="14"/>
  </w:num>
  <w:num w:numId="10">
    <w:abstractNumId w:val="1"/>
  </w:num>
  <w:num w:numId="11">
    <w:abstractNumId w:val="6"/>
  </w:num>
  <w:num w:numId="12">
    <w:abstractNumId w:val="12"/>
  </w:num>
  <w:num w:numId="13">
    <w:abstractNumId w:val="8"/>
  </w:num>
  <w:num w:numId="14">
    <w:abstractNumId w:val="15"/>
  </w:num>
  <w:num w:numId="15">
    <w:abstractNumId w:val="2"/>
  </w:num>
  <w:num w:numId="16">
    <w:abstractNumId w:val="3"/>
  </w:num>
  <w:num w:numId="17">
    <w:abstractNumId w:val="17"/>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87"/>
    <w:rsid w:val="00071433"/>
    <w:rsid w:val="000736D4"/>
    <w:rsid w:val="00091B7E"/>
    <w:rsid w:val="000966F8"/>
    <w:rsid w:val="00096D06"/>
    <w:rsid w:val="000D279E"/>
    <w:rsid w:val="000F0C58"/>
    <w:rsid w:val="00105992"/>
    <w:rsid w:val="001220A5"/>
    <w:rsid w:val="00124E9D"/>
    <w:rsid w:val="001316BC"/>
    <w:rsid w:val="00132F0A"/>
    <w:rsid w:val="001440E6"/>
    <w:rsid w:val="00191F87"/>
    <w:rsid w:val="001B65BF"/>
    <w:rsid w:val="00207370"/>
    <w:rsid w:val="002132F8"/>
    <w:rsid w:val="002545EC"/>
    <w:rsid w:val="002B19AC"/>
    <w:rsid w:val="002E10EE"/>
    <w:rsid w:val="002E17D6"/>
    <w:rsid w:val="002F28C3"/>
    <w:rsid w:val="00312BBA"/>
    <w:rsid w:val="00317648"/>
    <w:rsid w:val="00336F39"/>
    <w:rsid w:val="003371EE"/>
    <w:rsid w:val="003444FC"/>
    <w:rsid w:val="003552C8"/>
    <w:rsid w:val="003922CA"/>
    <w:rsid w:val="003A3DDD"/>
    <w:rsid w:val="003E009E"/>
    <w:rsid w:val="003E3B33"/>
    <w:rsid w:val="0043435C"/>
    <w:rsid w:val="00446D38"/>
    <w:rsid w:val="00502552"/>
    <w:rsid w:val="00537CD5"/>
    <w:rsid w:val="005432A3"/>
    <w:rsid w:val="00571D39"/>
    <w:rsid w:val="00586016"/>
    <w:rsid w:val="0058769B"/>
    <w:rsid w:val="005957BC"/>
    <w:rsid w:val="005A38CB"/>
    <w:rsid w:val="005D47CD"/>
    <w:rsid w:val="005E6547"/>
    <w:rsid w:val="0063754B"/>
    <w:rsid w:val="00697C1E"/>
    <w:rsid w:val="006A41FF"/>
    <w:rsid w:val="006D0E29"/>
    <w:rsid w:val="006F333F"/>
    <w:rsid w:val="006F5187"/>
    <w:rsid w:val="00703F87"/>
    <w:rsid w:val="007315BB"/>
    <w:rsid w:val="00743A29"/>
    <w:rsid w:val="00764049"/>
    <w:rsid w:val="00764612"/>
    <w:rsid w:val="007B53BF"/>
    <w:rsid w:val="007E1026"/>
    <w:rsid w:val="007E2BC4"/>
    <w:rsid w:val="00814229"/>
    <w:rsid w:val="00820C82"/>
    <w:rsid w:val="008337AC"/>
    <w:rsid w:val="0083427D"/>
    <w:rsid w:val="00850072"/>
    <w:rsid w:val="008A5DEA"/>
    <w:rsid w:val="008D294A"/>
    <w:rsid w:val="008F714E"/>
    <w:rsid w:val="00900AF2"/>
    <w:rsid w:val="0090232B"/>
    <w:rsid w:val="0091462E"/>
    <w:rsid w:val="00923698"/>
    <w:rsid w:val="00940723"/>
    <w:rsid w:val="00944B08"/>
    <w:rsid w:val="00993E68"/>
    <w:rsid w:val="009B0987"/>
    <w:rsid w:val="009C0236"/>
    <w:rsid w:val="009D3374"/>
    <w:rsid w:val="009F2BE8"/>
    <w:rsid w:val="00AA7F15"/>
    <w:rsid w:val="00B06312"/>
    <w:rsid w:val="00B34BFA"/>
    <w:rsid w:val="00B40C59"/>
    <w:rsid w:val="00BA77A6"/>
    <w:rsid w:val="00BE2C40"/>
    <w:rsid w:val="00BF168E"/>
    <w:rsid w:val="00BF32A9"/>
    <w:rsid w:val="00C16A14"/>
    <w:rsid w:val="00C20EFB"/>
    <w:rsid w:val="00C26158"/>
    <w:rsid w:val="00C2780A"/>
    <w:rsid w:val="00C406FD"/>
    <w:rsid w:val="00C844DF"/>
    <w:rsid w:val="00C8757B"/>
    <w:rsid w:val="00CB7459"/>
    <w:rsid w:val="00CC025C"/>
    <w:rsid w:val="00CC5889"/>
    <w:rsid w:val="00D03B50"/>
    <w:rsid w:val="00D1700B"/>
    <w:rsid w:val="00D175E0"/>
    <w:rsid w:val="00D570A2"/>
    <w:rsid w:val="00D83175"/>
    <w:rsid w:val="00D901F7"/>
    <w:rsid w:val="00DA21B8"/>
    <w:rsid w:val="00DC35E3"/>
    <w:rsid w:val="00E023D5"/>
    <w:rsid w:val="00E211E6"/>
    <w:rsid w:val="00E7462C"/>
    <w:rsid w:val="00E818D5"/>
    <w:rsid w:val="00EA26F8"/>
    <w:rsid w:val="00EE5DC2"/>
    <w:rsid w:val="00F0651D"/>
    <w:rsid w:val="00F13443"/>
    <w:rsid w:val="00F36279"/>
    <w:rsid w:val="00F3765A"/>
    <w:rsid w:val="00F60CD9"/>
    <w:rsid w:val="00F77712"/>
    <w:rsid w:val="00FB1863"/>
    <w:rsid w:val="00FD240B"/>
    <w:rsid w:val="00FF0D6A"/>
    <w:rsid w:val="00FF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471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87"/>
    <w:pPr>
      <w:ind w:left="720"/>
      <w:contextualSpacing/>
    </w:pPr>
  </w:style>
  <w:style w:type="character" w:styleId="Hyperlink">
    <w:name w:val="Hyperlink"/>
    <w:basedOn w:val="DefaultParagraphFont"/>
    <w:uiPriority w:val="99"/>
    <w:unhideWhenUsed/>
    <w:rsid w:val="00944B08"/>
    <w:rPr>
      <w:color w:val="0563C1" w:themeColor="hyperlink"/>
      <w:u w:val="single"/>
    </w:rPr>
  </w:style>
  <w:style w:type="paragraph" w:customStyle="1" w:styleId="Default">
    <w:name w:val="Default"/>
    <w:rsid w:val="00993E68"/>
    <w:pPr>
      <w:widowControl w:val="0"/>
      <w:autoSpaceDE w:val="0"/>
      <w:autoSpaceDN w:val="0"/>
      <w:adjustRightInd w:val="0"/>
    </w:pPr>
    <w:rPr>
      <w:rFonts w:ascii="Calibri" w:hAnsi="Calibri" w:cs="Calibri"/>
      <w:color w:val="000000"/>
    </w:rPr>
  </w:style>
  <w:style w:type="paragraph" w:customStyle="1" w:styleId="m2091085199815276428gmail-msolistparagraph">
    <w:name w:val="m_2091085199815276428gmail-msolistparagraph"/>
    <w:basedOn w:val="Normal"/>
    <w:rsid w:val="00207370"/>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5A38CB"/>
    <w:pPr>
      <w:spacing w:before="100" w:beforeAutospacing="1" w:after="100" w:afterAutospacing="1"/>
    </w:pPr>
    <w:rPr>
      <w:rFonts w:ascii="Times New Roman" w:hAnsi="Times New Roman" w:cs="Times New Roman"/>
    </w:rPr>
  </w:style>
  <w:style w:type="paragraph" w:customStyle="1" w:styleId="m7862062261274901083gmail-m5035540697717241830gmail-msonormal">
    <w:name w:val="m_7862062261274901083gmail-m_5035540697717241830gmail-msonormal"/>
    <w:basedOn w:val="Normal"/>
    <w:rsid w:val="001220A5"/>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6D0E29"/>
    <w:rPr>
      <w:color w:val="954F72" w:themeColor="followedHyperlink"/>
      <w:u w:val="single"/>
    </w:rPr>
  </w:style>
  <w:style w:type="character" w:styleId="Strong">
    <w:name w:val="Strong"/>
    <w:basedOn w:val="DefaultParagraphFont"/>
    <w:uiPriority w:val="22"/>
    <w:qFormat/>
    <w:rsid w:val="00C406FD"/>
    <w:rPr>
      <w:b/>
      <w:bCs/>
    </w:rPr>
  </w:style>
  <w:style w:type="character" w:styleId="Emphasis">
    <w:name w:val="Emphasis"/>
    <w:basedOn w:val="DefaultParagraphFont"/>
    <w:uiPriority w:val="20"/>
    <w:qFormat/>
    <w:rsid w:val="007315BB"/>
    <w:rPr>
      <w:i/>
      <w:iCs/>
    </w:rPr>
  </w:style>
  <w:style w:type="paragraph" w:customStyle="1" w:styleId="p3">
    <w:name w:val="p3"/>
    <w:basedOn w:val="Normal"/>
    <w:rsid w:val="00697C1E"/>
    <w:pPr>
      <w:spacing w:before="100" w:beforeAutospacing="1" w:after="100" w:afterAutospacing="1"/>
    </w:pPr>
    <w:rPr>
      <w:rFonts w:ascii="Times New Roman" w:hAnsi="Times New Roman" w:cs="Times New Roman"/>
    </w:rPr>
  </w:style>
  <w:style w:type="character" w:customStyle="1" w:styleId="s1">
    <w:name w:val="s1"/>
    <w:basedOn w:val="DefaultParagraphFont"/>
    <w:rsid w:val="00697C1E"/>
  </w:style>
  <w:style w:type="character" w:customStyle="1" w:styleId="apple-converted-space">
    <w:name w:val="apple-converted-space"/>
    <w:basedOn w:val="DefaultParagraphFont"/>
    <w:rsid w:val="00697C1E"/>
  </w:style>
  <w:style w:type="character" w:customStyle="1" w:styleId="s2">
    <w:name w:val="s2"/>
    <w:basedOn w:val="DefaultParagraphFont"/>
    <w:rsid w:val="00697C1E"/>
  </w:style>
  <w:style w:type="character" w:styleId="CommentReference">
    <w:name w:val="annotation reference"/>
    <w:basedOn w:val="DefaultParagraphFont"/>
    <w:uiPriority w:val="99"/>
    <w:semiHidden/>
    <w:unhideWhenUsed/>
    <w:rsid w:val="00743A29"/>
    <w:rPr>
      <w:sz w:val="16"/>
      <w:szCs w:val="16"/>
    </w:rPr>
  </w:style>
  <w:style w:type="paragraph" w:styleId="CommentText">
    <w:name w:val="annotation text"/>
    <w:basedOn w:val="Normal"/>
    <w:link w:val="CommentTextChar"/>
    <w:uiPriority w:val="99"/>
    <w:semiHidden/>
    <w:unhideWhenUsed/>
    <w:rsid w:val="00743A29"/>
    <w:rPr>
      <w:sz w:val="20"/>
      <w:szCs w:val="20"/>
    </w:rPr>
  </w:style>
  <w:style w:type="character" w:customStyle="1" w:styleId="CommentTextChar">
    <w:name w:val="Comment Text Char"/>
    <w:basedOn w:val="DefaultParagraphFont"/>
    <w:link w:val="CommentText"/>
    <w:uiPriority w:val="99"/>
    <w:semiHidden/>
    <w:rsid w:val="00743A29"/>
    <w:rPr>
      <w:sz w:val="20"/>
      <w:szCs w:val="20"/>
    </w:rPr>
  </w:style>
  <w:style w:type="paragraph" w:styleId="BalloonText">
    <w:name w:val="Balloon Text"/>
    <w:basedOn w:val="Normal"/>
    <w:link w:val="BalloonTextChar"/>
    <w:uiPriority w:val="99"/>
    <w:semiHidden/>
    <w:unhideWhenUsed/>
    <w:rsid w:val="00743A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3A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5035">
      <w:bodyDiv w:val="1"/>
      <w:marLeft w:val="0"/>
      <w:marRight w:val="0"/>
      <w:marTop w:val="0"/>
      <w:marBottom w:val="0"/>
      <w:divBdr>
        <w:top w:val="none" w:sz="0" w:space="0" w:color="auto"/>
        <w:left w:val="none" w:sz="0" w:space="0" w:color="auto"/>
        <w:bottom w:val="none" w:sz="0" w:space="0" w:color="auto"/>
        <w:right w:val="none" w:sz="0" w:space="0" w:color="auto"/>
      </w:divBdr>
    </w:div>
    <w:div w:id="369107455">
      <w:bodyDiv w:val="1"/>
      <w:marLeft w:val="0"/>
      <w:marRight w:val="0"/>
      <w:marTop w:val="0"/>
      <w:marBottom w:val="0"/>
      <w:divBdr>
        <w:top w:val="none" w:sz="0" w:space="0" w:color="auto"/>
        <w:left w:val="none" w:sz="0" w:space="0" w:color="auto"/>
        <w:bottom w:val="none" w:sz="0" w:space="0" w:color="auto"/>
        <w:right w:val="none" w:sz="0" w:space="0" w:color="auto"/>
      </w:divBdr>
    </w:div>
    <w:div w:id="397899195">
      <w:bodyDiv w:val="1"/>
      <w:marLeft w:val="0"/>
      <w:marRight w:val="0"/>
      <w:marTop w:val="0"/>
      <w:marBottom w:val="0"/>
      <w:divBdr>
        <w:top w:val="none" w:sz="0" w:space="0" w:color="auto"/>
        <w:left w:val="none" w:sz="0" w:space="0" w:color="auto"/>
        <w:bottom w:val="none" w:sz="0" w:space="0" w:color="auto"/>
        <w:right w:val="none" w:sz="0" w:space="0" w:color="auto"/>
      </w:divBdr>
    </w:div>
    <w:div w:id="736131886">
      <w:bodyDiv w:val="1"/>
      <w:marLeft w:val="0"/>
      <w:marRight w:val="0"/>
      <w:marTop w:val="0"/>
      <w:marBottom w:val="0"/>
      <w:divBdr>
        <w:top w:val="none" w:sz="0" w:space="0" w:color="auto"/>
        <w:left w:val="none" w:sz="0" w:space="0" w:color="auto"/>
        <w:bottom w:val="none" w:sz="0" w:space="0" w:color="auto"/>
        <w:right w:val="none" w:sz="0" w:space="0" w:color="auto"/>
      </w:divBdr>
    </w:div>
    <w:div w:id="822962690">
      <w:bodyDiv w:val="1"/>
      <w:marLeft w:val="0"/>
      <w:marRight w:val="0"/>
      <w:marTop w:val="0"/>
      <w:marBottom w:val="0"/>
      <w:divBdr>
        <w:top w:val="none" w:sz="0" w:space="0" w:color="auto"/>
        <w:left w:val="none" w:sz="0" w:space="0" w:color="auto"/>
        <w:bottom w:val="none" w:sz="0" w:space="0" w:color="auto"/>
        <w:right w:val="none" w:sz="0" w:space="0" w:color="auto"/>
      </w:divBdr>
    </w:div>
    <w:div w:id="869220406">
      <w:bodyDiv w:val="1"/>
      <w:marLeft w:val="0"/>
      <w:marRight w:val="0"/>
      <w:marTop w:val="0"/>
      <w:marBottom w:val="0"/>
      <w:divBdr>
        <w:top w:val="none" w:sz="0" w:space="0" w:color="auto"/>
        <w:left w:val="none" w:sz="0" w:space="0" w:color="auto"/>
        <w:bottom w:val="none" w:sz="0" w:space="0" w:color="auto"/>
        <w:right w:val="none" w:sz="0" w:space="0" w:color="auto"/>
      </w:divBdr>
    </w:div>
    <w:div w:id="1048651489">
      <w:bodyDiv w:val="1"/>
      <w:marLeft w:val="0"/>
      <w:marRight w:val="0"/>
      <w:marTop w:val="0"/>
      <w:marBottom w:val="0"/>
      <w:divBdr>
        <w:top w:val="none" w:sz="0" w:space="0" w:color="auto"/>
        <w:left w:val="none" w:sz="0" w:space="0" w:color="auto"/>
        <w:bottom w:val="none" w:sz="0" w:space="0" w:color="auto"/>
        <w:right w:val="none" w:sz="0" w:space="0" w:color="auto"/>
      </w:divBdr>
      <w:divsChild>
        <w:div w:id="83846253">
          <w:marLeft w:val="0"/>
          <w:marRight w:val="0"/>
          <w:marTop w:val="0"/>
          <w:marBottom w:val="0"/>
          <w:divBdr>
            <w:top w:val="none" w:sz="0" w:space="0" w:color="auto"/>
            <w:left w:val="none" w:sz="0" w:space="0" w:color="auto"/>
            <w:bottom w:val="none" w:sz="0" w:space="0" w:color="auto"/>
            <w:right w:val="none" w:sz="0" w:space="0" w:color="auto"/>
          </w:divBdr>
        </w:div>
        <w:div w:id="1453555135">
          <w:marLeft w:val="0"/>
          <w:marRight w:val="0"/>
          <w:marTop w:val="0"/>
          <w:marBottom w:val="0"/>
          <w:divBdr>
            <w:top w:val="none" w:sz="0" w:space="0" w:color="auto"/>
            <w:left w:val="none" w:sz="0" w:space="0" w:color="auto"/>
            <w:bottom w:val="none" w:sz="0" w:space="0" w:color="auto"/>
            <w:right w:val="none" w:sz="0" w:space="0" w:color="auto"/>
          </w:divBdr>
        </w:div>
        <w:div w:id="615984762">
          <w:marLeft w:val="0"/>
          <w:marRight w:val="0"/>
          <w:marTop w:val="0"/>
          <w:marBottom w:val="0"/>
          <w:divBdr>
            <w:top w:val="none" w:sz="0" w:space="0" w:color="auto"/>
            <w:left w:val="none" w:sz="0" w:space="0" w:color="auto"/>
            <w:bottom w:val="none" w:sz="0" w:space="0" w:color="auto"/>
            <w:right w:val="none" w:sz="0" w:space="0" w:color="auto"/>
          </w:divBdr>
        </w:div>
        <w:div w:id="576868352">
          <w:marLeft w:val="0"/>
          <w:marRight w:val="0"/>
          <w:marTop w:val="0"/>
          <w:marBottom w:val="0"/>
          <w:divBdr>
            <w:top w:val="none" w:sz="0" w:space="0" w:color="auto"/>
            <w:left w:val="none" w:sz="0" w:space="0" w:color="auto"/>
            <w:bottom w:val="none" w:sz="0" w:space="0" w:color="auto"/>
            <w:right w:val="none" w:sz="0" w:space="0" w:color="auto"/>
          </w:divBdr>
        </w:div>
        <w:div w:id="990214847">
          <w:marLeft w:val="0"/>
          <w:marRight w:val="0"/>
          <w:marTop w:val="0"/>
          <w:marBottom w:val="0"/>
          <w:divBdr>
            <w:top w:val="none" w:sz="0" w:space="0" w:color="auto"/>
            <w:left w:val="none" w:sz="0" w:space="0" w:color="auto"/>
            <w:bottom w:val="none" w:sz="0" w:space="0" w:color="auto"/>
            <w:right w:val="none" w:sz="0" w:space="0" w:color="auto"/>
          </w:divBdr>
        </w:div>
        <w:div w:id="800615643">
          <w:marLeft w:val="0"/>
          <w:marRight w:val="0"/>
          <w:marTop w:val="0"/>
          <w:marBottom w:val="0"/>
          <w:divBdr>
            <w:top w:val="none" w:sz="0" w:space="0" w:color="auto"/>
            <w:left w:val="none" w:sz="0" w:space="0" w:color="auto"/>
            <w:bottom w:val="none" w:sz="0" w:space="0" w:color="auto"/>
            <w:right w:val="none" w:sz="0" w:space="0" w:color="auto"/>
          </w:divBdr>
        </w:div>
      </w:divsChild>
    </w:div>
    <w:div w:id="1125395086">
      <w:bodyDiv w:val="1"/>
      <w:marLeft w:val="0"/>
      <w:marRight w:val="0"/>
      <w:marTop w:val="0"/>
      <w:marBottom w:val="0"/>
      <w:divBdr>
        <w:top w:val="none" w:sz="0" w:space="0" w:color="auto"/>
        <w:left w:val="none" w:sz="0" w:space="0" w:color="auto"/>
        <w:bottom w:val="none" w:sz="0" w:space="0" w:color="auto"/>
        <w:right w:val="none" w:sz="0" w:space="0" w:color="auto"/>
      </w:divBdr>
    </w:div>
    <w:div w:id="1206990063">
      <w:bodyDiv w:val="1"/>
      <w:marLeft w:val="0"/>
      <w:marRight w:val="0"/>
      <w:marTop w:val="0"/>
      <w:marBottom w:val="0"/>
      <w:divBdr>
        <w:top w:val="none" w:sz="0" w:space="0" w:color="auto"/>
        <w:left w:val="none" w:sz="0" w:space="0" w:color="auto"/>
        <w:bottom w:val="none" w:sz="0" w:space="0" w:color="auto"/>
        <w:right w:val="none" w:sz="0" w:space="0" w:color="auto"/>
      </w:divBdr>
    </w:div>
    <w:div w:id="1469056135">
      <w:bodyDiv w:val="1"/>
      <w:marLeft w:val="0"/>
      <w:marRight w:val="0"/>
      <w:marTop w:val="0"/>
      <w:marBottom w:val="0"/>
      <w:divBdr>
        <w:top w:val="none" w:sz="0" w:space="0" w:color="auto"/>
        <w:left w:val="none" w:sz="0" w:space="0" w:color="auto"/>
        <w:bottom w:val="none" w:sz="0" w:space="0" w:color="auto"/>
        <w:right w:val="none" w:sz="0" w:space="0" w:color="auto"/>
      </w:divBdr>
      <w:divsChild>
        <w:div w:id="1786580562">
          <w:marLeft w:val="0"/>
          <w:marRight w:val="0"/>
          <w:marTop w:val="0"/>
          <w:marBottom w:val="0"/>
          <w:divBdr>
            <w:top w:val="none" w:sz="0" w:space="0" w:color="auto"/>
            <w:left w:val="none" w:sz="0" w:space="0" w:color="auto"/>
            <w:bottom w:val="none" w:sz="0" w:space="0" w:color="auto"/>
            <w:right w:val="none" w:sz="0" w:space="0" w:color="auto"/>
          </w:divBdr>
          <w:divsChild>
            <w:div w:id="1006593701">
              <w:marLeft w:val="0"/>
              <w:marRight w:val="0"/>
              <w:marTop w:val="0"/>
              <w:marBottom w:val="0"/>
              <w:divBdr>
                <w:top w:val="none" w:sz="0" w:space="0" w:color="auto"/>
                <w:left w:val="none" w:sz="0" w:space="0" w:color="auto"/>
                <w:bottom w:val="none" w:sz="0" w:space="0" w:color="auto"/>
                <w:right w:val="none" w:sz="0" w:space="0" w:color="auto"/>
              </w:divBdr>
            </w:div>
          </w:divsChild>
        </w:div>
        <w:div w:id="1902981859">
          <w:marLeft w:val="0"/>
          <w:marRight w:val="0"/>
          <w:marTop w:val="0"/>
          <w:marBottom w:val="0"/>
          <w:divBdr>
            <w:top w:val="none" w:sz="0" w:space="0" w:color="auto"/>
            <w:left w:val="none" w:sz="0" w:space="0" w:color="auto"/>
            <w:bottom w:val="none" w:sz="0" w:space="0" w:color="auto"/>
            <w:right w:val="none" w:sz="0" w:space="0" w:color="auto"/>
          </w:divBdr>
        </w:div>
      </w:divsChild>
    </w:div>
    <w:div w:id="1539511986">
      <w:bodyDiv w:val="1"/>
      <w:marLeft w:val="0"/>
      <w:marRight w:val="0"/>
      <w:marTop w:val="0"/>
      <w:marBottom w:val="0"/>
      <w:divBdr>
        <w:top w:val="none" w:sz="0" w:space="0" w:color="auto"/>
        <w:left w:val="none" w:sz="0" w:space="0" w:color="auto"/>
        <w:bottom w:val="none" w:sz="0" w:space="0" w:color="auto"/>
        <w:right w:val="none" w:sz="0" w:space="0" w:color="auto"/>
      </w:divBdr>
      <w:divsChild>
        <w:div w:id="286162366">
          <w:marLeft w:val="0"/>
          <w:marRight w:val="0"/>
          <w:marTop w:val="0"/>
          <w:marBottom w:val="0"/>
          <w:divBdr>
            <w:top w:val="none" w:sz="0" w:space="0" w:color="auto"/>
            <w:left w:val="none" w:sz="0" w:space="0" w:color="auto"/>
            <w:bottom w:val="none" w:sz="0" w:space="0" w:color="auto"/>
            <w:right w:val="none" w:sz="0" w:space="0" w:color="auto"/>
          </w:divBdr>
        </w:div>
        <w:div w:id="186605961">
          <w:marLeft w:val="0"/>
          <w:marRight w:val="0"/>
          <w:marTop w:val="0"/>
          <w:marBottom w:val="0"/>
          <w:divBdr>
            <w:top w:val="none" w:sz="0" w:space="0" w:color="auto"/>
            <w:left w:val="none" w:sz="0" w:space="0" w:color="auto"/>
            <w:bottom w:val="none" w:sz="0" w:space="0" w:color="auto"/>
            <w:right w:val="none" w:sz="0" w:space="0" w:color="auto"/>
          </w:divBdr>
        </w:div>
      </w:divsChild>
    </w:div>
    <w:div w:id="1542204925">
      <w:bodyDiv w:val="1"/>
      <w:marLeft w:val="0"/>
      <w:marRight w:val="0"/>
      <w:marTop w:val="0"/>
      <w:marBottom w:val="0"/>
      <w:divBdr>
        <w:top w:val="none" w:sz="0" w:space="0" w:color="auto"/>
        <w:left w:val="none" w:sz="0" w:space="0" w:color="auto"/>
        <w:bottom w:val="none" w:sz="0" w:space="0" w:color="auto"/>
        <w:right w:val="none" w:sz="0" w:space="0" w:color="auto"/>
      </w:divBdr>
      <w:divsChild>
        <w:div w:id="1029641170">
          <w:marLeft w:val="0"/>
          <w:marRight w:val="0"/>
          <w:marTop w:val="0"/>
          <w:marBottom w:val="0"/>
          <w:divBdr>
            <w:top w:val="none" w:sz="0" w:space="0" w:color="auto"/>
            <w:left w:val="none" w:sz="0" w:space="0" w:color="auto"/>
            <w:bottom w:val="none" w:sz="0" w:space="0" w:color="auto"/>
            <w:right w:val="none" w:sz="0" w:space="0" w:color="auto"/>
          </w:divBdr>
        </w:div>
        <w:div w:id="2095008342">
          <w:marLeft w:val="0"/>
          <w:marRight w:val="0"/>
          <w:marTop w:val="0"/>
          <w:marBottom w:val="0"/>
          <w:divBdr>
            <w:top w:val="none" w:sz="0" w:space="0" w:color="auto"/>
            <w:left w:val="none" w:sz="0" w:space="0" w:color="auto"/>
            <w:bottom w:val="none" w:sz="0" w:space="0" w:color="auto"/>
            <w:right w:val="none" w:sz="0" w:space="0" w:color="auto"/>
          </w:divBdr>
        </w:div>
      </w:divsChild>
    </w:div>
    <w:div w:id="1576427758">
      <w:bodyDiv w:val="1"/>
      <w:marLeft w:val="0"/>
      <w:marRight w:val="0"/>
      <w:marTop w:val="0"/>
      <w:marBottom w:val="0"/>
      <w:divBdr>
        <w:top w:val="none" w:sz="0" w:space="0" w:color="auto"/>
        <w:left w:val="none" w:sz="0" w:space="0" w:color="auto"/>
        <w:bottom w:val="none" w:sz="0" w:space="0" w:color="auto"/>
        <w:right w:val="none" w:sz="0" w:space="0" w:color="auto"/>
      </w:divBdr>
    </w:div>
    <w:div w:id="1620841426">
      <w:bodyDiv w:val="1"/>
      <w:marLeft w:val="0"/>
      <w:marRight w:val="0"/>
      <w:marTop w:val="0"/>
      <w:marBottom w:val="0"/>
      <w:divBdr>
        <w:top w:val="none" w:sz="0" w:space="0" w:color="auto"/>
        <w:left w:val="none" w:sz="0" w:space="0" w:color="auto"/>
        <w:bottom w:val="none" w:sz="0" w:space="0" w:color="auto"/>
        <w:right w:val="none" w:sz="0" w:space="0" w:color="auto"/>
      </w:divBdr>
    </w:div>
    <w:div w:id="1696493442">
      <w:bodyDiv w:val="1"/>
      <w:marLeft w:val="0"/>
      <w:marRight w:val="0"/>
      <w:marTop w:val="0"/>
      <w:marBottom w:val="0"/>
      <w:divBdr>
        <w:top w:val="none" w:sz="0" w:space="0" w:color="auto"/>
        <w:left w:val="none" w:sz="0" w:space="0" w:color="auto"/>
        <w:bottom w:val="none" w:sz="0" w:space="0" w:color="auto"/>
        <w:right w:val="none" w:sz="0" w:space="0" w:color="auto"/>
      </w:divBdr>
    </w:div>
    <w:div w:id="1776250741">
      <w:bodyDiv w:val="1"/>
      <w:marLeft w:val="0"/>
      <w:marRight w:val="0"/>
      <w:marTop w:val="0"/>
      <w:marBottom w:val="0"/>
      <w:divBdr>
        <w:top w:val="none" w:sz="0" w:space="0" w:color="auto"/>
        <w:left w:val="none" w:sz="0" w:space="0" w:color="auto"/>
        <w:bottom w:val="none" w:sz="0" w:space="0" w:color="auto"/>
        <w:right w:val="none" w:sz="0" w:space="0" w:color="auto"/>
      </w:divBdr>
    </w:div>
    <w:div w:id="1795824726">
      <w:bodyDiv w:val="1"/>
      <w:marLeft w:val="0"/>
      <w:marRight w:val="0"/>
      <w:marTop w:val="0"/>
      <w:marBottom w:val="0"/>
      <w:divBdr>
        <w:top w:val="none" w:sz="0" w:space="0" w:color="auto"/>
        <w:left w:val="none" w:sz="0" w:space="0" w:color="auto"/>
        <w:bottom w:val="none" w:sz="0" w:space="0" w:color="auto"/>
        <w:right w:val="none" w:sz="0" w:space="0" w:color="auto"/>
      </w:divBdr>
    </w:div>
    <w:div w:id="1843080947">
      <w:bodyDiv w:val="1"/>
      <w:marLeft w:val="0"/>
      <w:marRight w:val="0"/>
      <w:marTop w:val="0"/>
      <w:marBottom w:val="0"/>
      <w:divBdr>
        <w:top w:val="none" w:sz="0" w:space="0" w:color="auto"/>
        <w:left w:val="none" w:sz="0" w:space="0" w:color="auto"/>
        <w:bottom w:val="none" w:sz="0" w:space="0" w:color="auto"/>
        <w:right w:val="none" w:sz="0" w:space="0" w:color="auto"/>
      </w:divBdr>
    </w:div>
    <w:div w:id="1885480623">
      <w:bodyDiv w:val="1"/>
      <w:marLeft w:val="0"/>
      <w:marRight w:val="0"/>
      <w:marTop w:val="0"/>
      <w:marBottom w:val="0"/>
      <w:divBdr>
        <w:top w:val="none" w:sz="0" w:space="0" w:color="auto"/>
        <w:left w:val="none" w:sz="0" w:space="0" w:color="auto"/>
        <w:bottom w:val="none" w:sz="0" w:space="0" w:color="auto"/>
        <w:right w:val="none" w:sz="0" w:space="0" w:color="auto"/>
      </w:divBdr>
    </w:div>
    <w:div w:id="1991010444">
      <w:bodyDiv w:val="1"/>
      <w:marLeft w:val="0"/>
      <w:marRight w:val="0"/>
      <w:marTop w:val="0"/>
      <w:marBottom w:val="0"/>
      <w:divBdr>
        <w:top w:val="none" w:sz="0" w:space="0" w:color="auto"/>
        <w:left w:val="none" w:sz="0" w:space="0" w:color="auto"/>
        <w:bottom w:val="none" w:sz="0" w:space="0" w:color="auto"/>
        <w:right w:val="none" w:sz="0" w:space="0" w:color="auto"/>
      </w:divBdr>
    </w:div>
    <w:div w:id="2089576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ternationaldisabilityalliance.org/sites/default/files/cs_ffd_group_submission_on_iatf_report_-_18_december_20171.docx" TargetMode="External"/><Relationship Id="rId6" Type="http://schemas.openxmlformats.org/officeDocument/2006/relationships/hyperlink" Target="http://www.internationaldisabilityalliance.org/sites/default/files/ida_and_iddc_position_paper_2018_report_of_iatf.docx" TargetMode="External"/><Relationship Id="rId7" Type="http://schemas.openxmlformats.org/officeDocument/2006/relationships/hyperlink" Target="http://www.un.org/esa/ffd/ffdforum/wp-content/uploads/sites/3/2017/10/2018-FfD-Forum-programme.pdf" TargetMode="External"/><Relationship Id="rId8" Type="http://schemas.openxmlformats.org/officeDocument/2006/relationships/hyperlink" Target="https://sustainabledevelopment.un.org/TFM/STIForum2018" TargetMode="External"/><Relationship Id="rId9" Type="http://schemas.openxmlformats.org/officeDocument/2006/relationships/hyperlink" Target="https://www.un.org/development/desa/disabilities/conference-of-states-parties-to-the-convention-on-the-rights-of-persons-with-disabilities-2/cosp11.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2455</Words>
  <Characters>13994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Bartha</dc:creator>
  <cp:keywords/>
  <dc:description/>
  <cp:lastModifiedBy>Orsolya Bartha</cp:lastModifiedBy>
  <cp:revision>2</cp:revision>
  <dcterms:created xsi:type="dcterms:W3CDTF">2017-12-21T06:42:00Z</dcterms:created>
  <dcterms:modified xsi:type="dcterms:W3CDTF">2017-12-21T06:42:00Z</dcterms:modified>
</cp:coreProperties>
</file>