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25D1" w14:textId="5DD8C3BA" w:rsidR="00353654" w:rsidRPr="001D2C12" w:rsidRDefault="00353654" w:rsidP="001D2C12">
      <w:pPr>
        <w:tabs>
          <w:tab w:val="left" w:pos="180"/>
        </w:tabs>
        <w:spacing w:after="80" w:line="240" w:lineRule="auto"/>
        <w:ind w:right="-284"/>
        <w:jc w:val="both"/>
        <w:rPr>
          <w:rFonts w:asciiTheme="majorHAnsi" w:hAnsiTheme="majorHAnsi" w:cstheme="minorHAnsi"/>
          <w:color w:val="000000" w:themeColor="text1"/>
          <w:lang w:val="fr-FR"/>
        </w:rPr>
      </w:pPr>
    </w:p>
    <w:p w14:paraId="4E1C73F9" w14:textId="02B53541" w:rsidR="00E60E42" w:rsidRPr="001D2C12" w:rsidRDefault="00E60E42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2376E29B" wp14:editId="4B09C16E">
            <wp:simplePos x="0" y="0"/>
            <wp:positionH relativeFrom="margin">
              <wp:posOffset>2424430</wp:posOffset>
            </wp:positionH>
            <wp:positionV relativeFrom="paragraph">
              <wp:posOffset>15240</wp:posOffset>
            </wp:positionV>
            <wp:extent cx="1048385" cy="1024255"/>
            <wp:effectExtent l="0" t="0" r="0" b="4445"/>
            <wp:wrapNone/>
            <wp:docPr id="1" name="Picture 1" descr="logga ljus v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ga ljus ve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129EA" w14:textId="723C5A8D" w:rsidR="00E60E42" w:rsidRPr="001D2C12" w:rsidRDefault="00E60E42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color w:val="000000" w:themeColor="text1"/>
          <w:lang w:val="fr-FR"/>
        </w:rPr>
      </w:pPr>
    </w:p>
    <w:p w14:paraId="50BFD61F" w14:textId="2F196A05" w:rsidR="00E60E42" w:rsidRPr="001D2C12" w:rsidRDefault="00E60E42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color w:val="000000" w:themeColor="text1"/>
          <w:lang w:val="fr-FR"/>
        </w:rPr>
      </w:pPr>
    </w:p>
    <w:p w14:paraId="3B2ABCE2" w14:textId="66747E9E" w:rsidR="00E60E42" w:rsidRPr="001D2C12" w:rsidRDefault="00E60E42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color w:val="000000" w:themeColor="text1"/>
          <w:lang w:val="fr-FR"/>
        </w:rPr>
      </w:pPr>
    </w:p>
    <w:p w14:paraId="6C7E63CB" w14:textId="77777777" w:rsidR="00636DCD" w:rsidRPr="001D2C12" w:rsidRDefault="00636DCD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color w:val="000000" w:themeColor="text1"/>
          <w:lang w:val="fr-FR"/>
        </w:rPr>
      </w:pPr>
    </w:p>
    <w:p w14:paraId="30EB12FF" w14:textId="5A960B96" w:rsidR="00A968AE" w:rsidRPr="00860862" w:rsidRDefault="00A50D0C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</w:pPr>
      <w:r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A r</w:t>
      </w:r>
      <w:r w:rsidR="00030903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isque</w:t>
      </w:r>
      <w:r w:rsidR="00363B0A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 </w:t>
      </w:r>
      <w:r w:rsidR="00E21CA6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d’exclusion de la mise en </w:t>
      </w:r>
      <w:r w:rsidR="00995141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œuvre de la CDPH et des </w:t>
      </w:r>
      <w:proofErr w:type="gramStart"/>
      <w:r w:rsidR="00995141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ODD</w:t>
      </w:r>
      <w:r w:rsidR="009223C3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:</w:t>
      </w:r>
      <w:proofErr w:type="gramEnd"/>
      <w:r w:rsidR="00E21CA6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 </w:t>
      </w:r>
    </w:p>
    <w:p w14:paraId="23C4D293" w14:textId="4C6A0BF7" w:rsidR="005A4F15" w:rsidRPr="00860862" w:rsidRDefault="00C14E06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</w:pPr>
      <w:r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Inégalité et </w:t>
      </w:r>
      <w:r w:rsidR="00A47EDA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Personnes ayant une surdicécité</w:t>
      </w:r>
      <w:r w:rsidR="005A4F15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 </w:t>
      </w:r>
    </w:p>
    <w:p w14:paraId="50CF1D01" w14:textId="61DCD9CB" w:rsidR="005A4F15" w:rsidRPr="00860862" w:rsidRDefault="0019050C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b/>
          <w:bCs/>
          <w:color w:val="000000" w:themeColor="text1"/>
          <w:lang w:val="fr-FR"/>
        </w:rPr>
      </w:pPr>
      <w:r w:rsidRPr="0086086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Rapport initial </w:t>
      </w:r>
      <w:r w:rsidR="00363B0A" w:rsidRPr="0086086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mondial </w:t>
      </w:r>
      <w:r w:rsidRPr="0086086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sur la </w:t>
      </w:r>
      <w:r w:rsidR="005A4F15" w:rsidRPr="0086086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situation </w:t>
      </w:r>
      <w:r w:rsidRPr="0086086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et les droits des </w:t>
      </w:r>
      <w:r w:rsidR="00A47EDA" w:rsidRPr="00860862">
        <w:rPr>
          <w:rFonts w:asciiTheme="majorHAnsi" w:hAnsiTheme="majorHAnsi" w:cstheme="minorHAnsi"/>
          <w:b/>
          <w:bCs/>
          <w:color w:val="000000" w:themeColor="text1"/>
          <w:lang w:val="fr-FR"/>
        </w:rPr>
        <w:t>personnes ayant une surdicécité</w:t>
      </w:r>
    </w:p>
    <w:p w14:paraId="026CB8D5" w14:textId="4947580D" w:rsidR="005A4F15" w:rsidRPr="00860862" w:rsidRDefault="000C787B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</w:pPr>
      <w:r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Résumé </w:t>
      </w:r>
    </w:p>
    <w:p w14:paraId="349893C5" w14:textId="0E38F16A" w:rsidR="005A4F15" w:rsidRPr="00860862" w:rsidRDefault="005A4F15" w:rsidP="001D2C12">
      <w:pPr>
        <w:tabs>
          <w:tab w:val="left" w:pos="180"/>
        </w:tabs>
        <w:spacing w:after="80" w:line="240" w:lineRule="auto"/>
        <w:ind w:right="-284"/>
        <w:jc w:val="center"/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</w:pPr>
      <w:r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Septemb</w:t>
      </w:r>
      <w:r w:rsidR="000C787B"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>re</w:t>
      </w:r>
      <w:r w:rsidRPr="00860862">
        <w:rPr>
          <w:rFonts w:asciiTheme="majorHAnsi" w:hAnsiTheme="majorHAnsi" w:cstheme="minorHAnsi"/>
          <w:b/>
          <w:bCs/>
          <w:color w:val="000000" w:themeColor="text1"/>
          <w:sz w:val="32"/>
          <w:szCs w:val="32"/>
          <w:lang w:val="fr-FR"/>
        </w:rPr>
        <w:t xml:space="preserve"> 2018</w:t>
      </w:r>
    </w:p>
    <w:p w14:paraId="26EB602E" w14:textId="77777777" w:rsidR="005A4F15" w:rsidRPr="001D2C12" w:rsidRDefault="005A4F15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sz w:val="24"/>
          <w:szCs w:val="24"/>
          <w:lang w:val="fr-FR"/>
        </w:rPr>
      </w:pPr>
    </w:p>
    <w:p w14:paraId="6461A0DD" w14:textId="4FB2E4F5" w:rsidR="001F5D7D" w:rsidRPr="001D2C12" w:rsidRDefault="001F5D7D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b/>
          <w:sz w:val="24"/>
          <w:szCs w:val="24"/>
          <w:lang w:val="fr-FR"/>
        </w:rPr>
      </w:pP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Introduction </w:t>
      </w:r>
    </w:p>
    <w:p w14:paraId="6C9CDF88" w14:textId="23901811" w:rsidR="007E4890" w:rsidRDefault="009F59A3" w:rsidP="00B32BF3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 xml:space="preserve">Faisant écho aux changements déclenchés par la Convention des Nations Unies </w:t>
      </w:r>
      <w:r w:rsidR="001446E1" w:rsidRPr="001D2C12">
        <w:rPr>
          <w:rFonts w:asciiTheme="majorHAnsi" w:hAnsiTheme="majorHAnsi" w:cstheme="minorHAnsi"/>
          <w:color w:val="000000" w:themeColor="text1"/>
          <w:lang w:val="fr-FR"/>
        </w:rPr>
        <w:t>relative aux droits des personnes handicapées</w:t>
      </w:r>
      <w:r w:rsidR="0050306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9223C3" w:rsidRPr="001D2C12">
        <w:rPr>
          <w:rFonts w:asciiTheme="majorHAnsi" w:hAnsiTheme="majorHAnsi" w:cstheme="minorHAnsi"/>
          <w:color w:val="000000" w:themeColor="text1"/>
          <w:lang w:val="fr-FR"/>
        </w:rPr>
        <w:t>(CDPH)</w:t>
      </w:r>
      <w:r w:rsidR="001446E1" w:rsidRPr="001D2C12">
        <w:rPr>
          <w:rFonts w:asciiTheme="majorHAnsi" w:hAnsiTheme="majorHAnsi" w:cstheme="minorHAnsi"/>
          <w:lang w:val="fr-FR"/>
        </w:rPr>
        <w:t xml:space="preserve">, l’adoption du </w:t>
      </w:r>
      <w:r w:rsidR="001446E1" w:rsidRPr="001D2C12">
        <w:rPr>
          <w:rFonts w:asciiTheme="majorHAnsi" w:hAnsiTheme="majorHAnsi" w:cstheme="minorHAnsi"/>
          <w:b/>
          <w:bCs/>
          <w:lang w:val="fr-FR"/>
        </w:rPr>
        <w:t xml:space="preserve">Programme </w:t>
      </w:r>
      <w:r w:rsidR="00A87A67" w:rsidRPr="001D2C12">
        <w:rPr>
          <w:rFonts w:asciiTheme="majorHAnsi" w:hAnsiTheme="majorHAnsi" w:cstheme="minorHAnsi"/>
          <w:b/>
          <w:bCs/>
          <w:lang w:val="fr-FR"/>
        </w:rPr>
        <w:t xml:space="preserve">de développement durable à l’horizon </w:t>
      </w:r>
      <w:r w:rsidR="001446E1" w:rsidRPr="001D2C12">
        <w:rPr>
          <w:rFonts w:asciiTheme="majorHAnsi" w:hAnsiTheme="majorHAnsi" w:cstheme="minorHAnsi"/>
          <w:b/>
          <w:bCs/>
          <w:lang w:val="fr-FR"/>
        </w:rPr>
        <w:t xml:space="preserve">2030 et </w:t>
      </w:r>
      <w:r w:rsidR="00A43113" w:rsidRPr="001D2C12">
        <w:rPr>
          <w:rFonts w:asciiTheme="majorHAnsi" w:hAnsiTheme="majorHAnsi" w:cstheme="minorHAnsi"/>
          <w:b/>
          <w:bCs/>
          <w:lang w:val="fr-FR"/>
        </w:rPr>
        <w:t>s</w:t>
      </w:r>
      <w:r w:rsidR="001446E1" w:rsidRPr="001D2C12">
        <w:rPr>
          <w:rFonts w:asciiTheme="majorHAnsi" w:hAnsiTheme="majorHAnsi" w:cstheme="minorHAnsi"/>
          <w:b/>
          <w:bCs/>
          <w:lang w:val="fr-FR"/>
        </w:rPr>
        <w:t xml:space="preserve">es Objectifs de </w:t>
      </w:r>
      <w:r w:rsidR="00A43113" w:rsidRPr="001D2C12">
        <w:rPr>
          <w:rFonts w:asciiTheme="majorHAnsi" w:hAnsiTheme="majorHAnsi" w:cstheme="minorHAnsi"/>
          <w:b/>
          <w:bCs/>
          <w:lang w:val="fr-FR"/>
        </w:rPr>
        <w:t>D</w:t>
      </w:r>
      <w:r w:rsidR="001446E1" w:rsidRPr="001D2C12">
        <w:rPr>
          <w:rFonts w:asciiTheme="majorHAnsi" w:hAnsiTheme="majorHAnsi" w:cstheme="minorHAnsi"/>
          <w:b/>
          <w:bCs/>
          <w:lang w:val="fr-FR"/>
        </w:rPr>
        <w:t xml:space="preserve">éveloppement </w:t>
      </w:r>
      <w:r w:rsidR="00503063" w:rsidRPr="001D2C12">
        <w:rPr>
          <w:rFonts w:asciiTheme="majorHAnsi" w:hAnsiTheme="majorHAnsi" w:cstheme="minorHAnsi"/>
          <w:b/>
          <w:bCs/>
          <w:lang w:val="fr-FR"/>
        </w:rPr>
        <w:t xml:space="preserve">Durables </w:t>
      </w:r>
      <w:r w:rsidR="001446E1" w:rsidRPr="001D2C12">
        <w:rPr>
          <w:rFonts w:asciiTheme="majorHAnsi" w:hAnsiTheme="majorHAnsi" w:cstheme="minorHAnsi"/>
          <w:b/>
          <w:bCs/>
          <w:lang w:val="fr-FR"/>
        </w:rPr>
        <w:t>(ODD)</w:t>
      </w:r>
      <w:r w:rsidR="007E4890" w:rsidRPr="001D2C12">
        <w:rPr>
          <w:rFonts w:asciiTheme="majorHAnsi" w:hAnsiTheme="majorHAnsi" w:cstheme="minorHAnsi"/>
          <w:lang w:val="fr-FR"/>
        </w:rPr>
        <w:t xml:space="preserve"> </w:t>
      </w:r>
      <w:r w:rsidR="007E4890" w:rsidRPr="001D2C12">
        <w:rPr>
          <w:rFonts w:asciiTheme="majorHAnsi" w:hAnsiTheme="majorHAnsi" w:cstheme="minorHAnsi"/>
          <w:b/>
          <w:bCs/>
          <w:lang w:val="fr-FR"/>
        </w:rPr>
        <w:t xml:space="preserve">a mis l’accent sur l’importance du développement </w:t>
      </w:r>
      <w:r w:rsidR="00854900" w:rsidRPr="001D2C12">
        <w:rPr>
          <w:rFonts w:asciiTheme="majorHAnsi" w:hAnsiTheme="majorHAnsi" w:cstheme="minorHAnsi"/>
          <w:b/>
          <w:bCs/>
          <w:lang w:val="fr-FR"/>
        </w:rPr>
        <w:t xml:space="preserve">inclusif et de ne laisser personne </w:t>
      </w:r>
      <w:r w:rsidR="00503063" w:rsidRPr="001D2C12">
        <w:rPr>
          <w:rFonts w:asciiTheme="majorHAnsi" w:hAnsiTheme="majorHAnsi" w:cstheme="minorHAnsi"/>
          <w:b/>
          <w:bCs/>
          <w:lang w:val="fr-FR"/>
        </w:rPr>
        <w:t>de côté</w:t>
      </w:r>
      <w:r w:rsidR="00854900" w:rsidRPr="001D2C12">
        <w:rPr>
          <w:rFonts w:asciiTheme="majorHAnsi" w:hAnsiTheme="majorHAnsi" w:cstheme="minorHAnsi"/>
          <w:lang w:val="fr-FR"/>
        </w:rPr>
        <w:t xml:space="preserve">. </w:t>
      </w:r>
      <w:r w:rsidR="00E21881" w:rsidRPr="001D2C12">
        <w:rPr>
          <w:rFonts w:asciiTheme="majorHAnsi" w:hAnsiTheme="majorHAnsi" w:cstheme="minorHAnsi"/>
          <w:lang w:val="fr-FR"/>
        </w:rPr>
        <w:t xml:space="preserve">Au niveau mondial, </w:t>
      </w:r>
      <w:r w:rsidR="00B55982" w:rsidRPr="001D2C12">
        <w:rPr>
          <w:rFonts w:asciiTheme="majorHAnsi" w:hAnsiTheme="majorHAnsi" w:cstheme="minorHAnsi"/>
          <w:lang w:val="fr-FR"/>
        </w:rPr>
        <w:t xml:space="preserve">on assiste à un élan croissant pour générer un </w:t>
      </w:r>
      <w:r w:rsidR="00B32BF3">
        <w:rPr>
          <w:rFonts w:asciiTheme="majorHAnsi" w:hAnsiTheme="majorHAnsi" w:cstheme="minorHAnsi"/>
          <w:lang w:val="fr-FR"/>
        </w:rPr>
        <w:t xml:space="preserve">développement </w:t>
      </w:r>
      <w:r w:rsidR="000F6FBE" w:rsidRPr="001D2C12">
        <w:rPr>
          <w:rFonts w:asciiTheme="majorHAnsi" w:hAnsiTheme="majorHAnsi" w:cstheme="minorHAnsi"/>
          <w:lang w:val="fr-FR"/>
        </w:rPr>
        <w:t xml:space="preserve">basé sur l’inclusion, ce qui </w:t>
      </w:r>
      <w:r w:rsidR="00ED3542" w:rsidRPr="001D2C12">
        <w:rPr>
          <w:rFonts w:asciiTheme="majorHAnsi" w:hAnsiTheme="majorHAnsi" w:cstheme="minorHAnsi"/>
          <w:lang w:val="fr-FR"/>
        </w:rPr>
        <w:t>constitue</w:t>
      </w:r>
      <w:r w:rsidR="000F6FBE" w:rsidRPr="001D2C12">
        <w:rPr>
          <w:rFonts w:asciiTheme="majorHAnsi" w:hAnsiTheme="majorHAnsi" w:cstheme="minorHAnsi"/>
          <w:lang w:val="fr-FR"/>
        </w:rPr>
        <w:t xml:space="preserve"> u</w:t>
      </w:r>
      <w:r w:rsidR="00F121F2" w:rsidRPr="001D2C12">
        <w:rPr>
          <w:rFonts w:asciiTheme="majorHAnsi" w:hAnsiTheme="majorHAnsi" w:cstheme="minorHAnsi"/>
          <w:lang w:val="fr-FR"/>
        </w:rPr>
        <w:t>n changement radical par rapport à l’invisibil</w:t>
      </w:r>
      <w:r w:rsidR="00AA19FD" w:rsidRPr="001D2C12">
        <w:rPr>
          <w:rFonts w:asciiTheme="majorHAnsi" w:hAnsiTheme="majorHAnsi" w:cstheme="minorHAnsi"/>
          <w:lang w:val="fr-FR"/>
        </w:rPr>
        <w:t>i</w:t>
      </w:r>
      <w:r w:rsidR="00F121F2" w:rsidRPr="001D2C12">
        <w:rPr>
          <w:rFonts w:asciiTheme="majorHAnsi" w:hAnsiTheme="majorHAnsi" w:cstheme="minorHAnsi"/>
          <w:lang w:val="fr-FR"/>
        </w:rPr>
        <w:t xml:space="preserve">té et l’exclusion </w:t>
      </w:r>
      <w:r w:rsidR="00ED3542" w:rsidRPr="001D2C12">
        <w:rPr>
          <w:rFonts w:asciiTheme="majorHAnsi" w:hAnsiTheme="majorHAnsi" w:cstheme="minorHAnsi"/>
          <w:lang w:val="fr-FR"/>
        </w:rPr>
        <w:t>des personnes handicapées d</w:t>
      </w:r>
      <w:r w:rsidR="00503063" w:rsidRPr="001D2C12">
        <w:rPr>
          <w:rFonts w:asciiTheme="majorHAnsi" w:hAnsiTheme="majorHAnsi" w:cstheme="minorHAnsi"/>
          <w:lang w:val="fr-FR"/>
        </w:rPr>
        <w:t>ans l</w:t>
      </w:r>
      <w:r w:rsidR="00ED3542" w:rsidRPr="001D2C12">
        <w:rPr>
          <w:rFonts w:asciiTheme="majorHAnsi" w:hAnsiTheme="majorHAnsi" w:cstheme="minorHAnsi"/>
          <w:lang w:val="fr-FR"/>
        </w:rPr>
        <w:t xml:space="preserve">es </w:t>
      </w:r>
      <w:r w:rsidR="00503063" w:rsidRPr="001D2C12">
        <w:rPr>
          <w:rFonts w:asciiTheme="majorHAnsi" w:hAnsiTheme="majorHAnsi" w:cstheme="minorHAnsi"/>
          <w:lang w:val="fr-FR"/>
        </w:rPr>
        <w:t xml:space="preserve">Objectifs </w:t>
      </w:r>
      <w:r w:rsidR="00ED3542" w:rsidRPr="001D2C12">
        <w:rPr>
          <w:rFonts w:asciiTheme="majorHAnsi" w:hAnsiTheme="majorHAnsi" w:cstheme="minorHAnsi"/>
          <w:lang w:val="fr-FR"/>
        </w:rPr>
        <w:t xml:space="preserve">du Millénaire pour le développement (OMD). </w:t>
      </w:r>
      <w:r w:rsidR="000F6FBE" w:rsidRPr="001D2C12">
        <w:rPr>
          <w:rFonts w:asciiTheme="majorHAnsi" w:hAnsiTheme="majorHAnsi" w:cstheme="minorHAnsi"/>
          <w:lang w:val="fr-FR"/>
        </w:rPr>
        <w:t xml:space="preserve"> </w:t>
      </w:r>
      <w:r w:rsidR="008974E7" w:rsidRPr="001D2C12">
        <w:rPr>
          <w:rFonts w:asciiTheme="majorHAnsi" w:hAnsiTheme="majorHAnsi" w:cstheme="minorHAnsi"/>
          <w:lang w:val="fr-FR"/>
        </w:rPr>
        <w:t>Cependant, il reste essentiel de reconna</w:t>
      </w:r>
      <w:r w:rsidR="004D765F" w:rsidRPr="001D2C12">
        <w:rPr>
          <w:rFonts w:asciiTheme="majorHAnsi" w:hAnsiTheme="majorHAnsi" w:cstheme="minorHAnsi"/>
          <w:lang w:val="fr-FR"/>
        </w:rPr>
        <w:t>î</w:t>
      </w:r>
      <w:r w:rsidR="008974E7" w:rsidRPr="001D2C12">
        <w:rPr>
          <w:rFonts w:asciiTheme="majorHAnsi" w:hAnsiTheme="majorHAnsi" w:cstheme="minorHAnsi"/>
          <w:lang w:val="fr-FR"/>
        </w:rPr>
        <w:t xml:space="preserve">tre que </w:t>
      </w:r>
      <w:r w:rsidR="008974E7" w:rsidRPr="001D2C12">
        <w:rPr>
          <w:rFonts w:asciiTheme="majorHAnsi" w:hAnsiTheme="majorHAnsi" w:cstheme="minorHAnsi"/>
          <w:b/>
          <w:bCs/>
          <w:lang w:val="fr-FR"/>
        </w:rPr>
        <w:t xml:space="preserve">les personnes handicapées ne constituent pas </w:t>
      </w:r>
      <w:r w:rsidR="002F18C4" w:rsidRPr="001D2C12">
        <w:rPr>
          <w:rFonts w:asciiTheme="majorHAnsi" w:hAnsiTheme="majorHAnsi" w:cstheme="minorHAnsi"/>
          <w:b/>
          <w:bCs/>
          <w:lang w:val="fr-FR"/>
        </w:rPr>
        <w:t xml:space="preserve">un groupe homogène et </w:t>
      </w:r>
      <w:r w:rsidR="00503063" w:rsidRPr="001D2C12">
        <w:rPr>
          <w:rFonts w:asciiTheme="majorHAnsi" w:hAnsiTheme="majorHAnsi" w:cstheme="minorHAnsi"/>
          <w:b/>
          <w:bCs/>
          <w:lang w:val="fr-FR"/>
        </w:rPr>
        <w:t xml:space="preserve">que </w:t>
      </w:r>
      <w:r w:rsidR="002F18C4" w:rsidRPr="001D2C12">
        <w:rPr>
          <w:rFonts w:asciiTheme="majorHAnsi" w:hAnsiTheme="majorHAnsi" w:cstheme="minorHAnsi"/>
          <w:b/>
          <w:bCs/>
          <w:lang w:val="fr-FR"/>
        </w:rPr>
        <w:t>certains groupe</w:t>
      </w:r>
      <w:r w:rsidR="00503063" w:rsidRPr="001D2C12">
        <w:rPr>
          <w:rFonts w:asciiTheme="majorHAnsi" w:hAnsiTheme="majorHAnsi" w:cstheme="minorHAnsi"/>
          <w:b/>
          <w:bCs/>
          <w:lang w:val="fr-FR"/>
        </w:rPr>
        <w:t>s</w:t>
      </w:r>
      <w:r w:rsidR="002F18C4" w:rsidRPr="001D2C12">
        <w:rPr>
          <w:rFonts w:asciiTheme="majorHAnsi" w:hAnsiTheme="majorHAnsi" w:cstheme="minorHAnsi"/>
          <w:b/>
          <w:bCs/>
          <w:lang w:val="fr-FR"/>
        </w:rPr>
        <w:t xml:space="preserve">, </w:t>
      </w:r>
      <w:r w:rsidR="00503063" w:rsidRPr="001D2C12">
        <w:rPr>
          <w:rFonts w:asciiTheme="majorHAnsi" w:hAnsiTheme="majorHAnsi" w:cstheme="minorHAnsi"/>
          <w:b/>
          <w:bCs/>
          <w:lang w:val="fr-FR"/>
        </w:rPr>
        <w:t xml:space="preserve">comme </w:t>
      </w:r>
      <w:r w:rsidR="002F18C4" w:rsidRPr="001D2C12">
        <w:rPr>
          <w:rFonts w:asciiTheme="majorHAnsi" w:hAnsiTheme="majorHAnsi" w:cstheme="minorHAnsi"/>
          <w:b/>
          <w:bCs/>
          <w:lang w:val="fr-FR"/>
        </w:rPr>
        <w:t xml:space="preserve">les </w:t>
      </w:r>
      <w:r w:rsidR="00A47EDA">
        <w:rPr>
          <w:rFonts w:asciiTheme="majorHAnsi" w:hAnsiTheme="majorHAnsi" w:cstheme="minorHAnsi"/>
          <w:b/>
          <w:bCs/>
          <w:lang w:val="fr-FR"/>
        </w:rPr>
        <w:t>personnes ayant une surdicécité</w:t>
      </w:r>
      <w:r w:rsidR="002F18C4" w:rsidRPr="001D2C12">
        <w:rPr>
          <w:rFonts w:asciiTheme="majorHAnsi" w:hAnsiTheme="majorHAnsi" w:cstheme="minorHAnsi"/>
          <w:b/>
          <w:bCs/>
          <w:lang w:val="fr-FR"/>
        </w:rPr>
        <w:t xml:space="preserve">, </w:t>
      </w:r>
      <w:r w:rsidR="002D47D3" w:rsidRPr="001D2C12">
        <w:rPr>
          <w:rFonts w:asciiTheme="majorHAnsi" w:hAnsiTheme="majorHAnsi" w:cstheme="minorHAnsi"/>
          <w:b/>
          <w:bCs/>
          <w:lang w:val="fr-FR"/>
        </w:rPr>
        <w:t>reste</w:t>
      </w:r>
      <w:r w:rsidR="001045F7" w:rsidRPr="001D2C12">
        <w:rPr>
          <w:rFonts w:asciiTheme="majorHAnsi" w:hAnsiTheme="majorHAnsi" w:cstheme="minorHAnsi"/>
          <w:b/>
          <w:bCs/>
          <w:lang w:val="fr-FR"/>
        </w:rPr>
        <w:t>nt</w:t>
      </w:r>
      <w:r w:rsidR="002D47D3" w:rsidRPr="001D2C12">
        <w:rPr>
          <w:rFonts w:asciiTheme="majorHAnsi" w:hAnsiTheme="majorHAnsi" w:cstheme="minorHAnsi"/>
          <w:b/>
          <w:bCs/>
          <w:lang w:val="fr-FR"/>
        </w:rPr>
        <w:t xml:space="preserve"> encore marginalisés et invisibles à </w:t>
      </w:r>
      <w:r w:rsidR="00A50D0C" w:rsidRPr="001D2C12">
        <w:rPr>
          <w:rFonts w:asciiTheme="majorHAnsi" w:hAnsiTheme="majorHAnsi" w:cstheme="minorHAnsi"/>
          <w:b/>
          <w:bCs/>
          <w:lang w:val="fr-FR"/>
        </w:rPr>
        <w:t xml:space="preserve">bien des </w:t>
      </w:r>
      <w:r w:rsidR="002D47D3" w:rsidRPr="001D2C12">
        <w:rPr>
          <w:rFonts w:asciiTheme="majorHAnsi" w:hAnsiTheme="majorHAnsi" w:cstheme="minorHAnsi"/>
          <w:b/>
          <w:bCs/>
          <w:lang w:val="fr-FR"/>
        </w:rPr>
        <w:t>égards</w:t>
      </w:r>
      <w:r w:rsidR="002D47D3" w:rsidRPr="001D2C12">
        <w:rPr>
          <w:rFonts w:asciiTheme="majorHAnsi" w:hAnsiTheme="majorHAnsi" w:cstheme="minorHAnsi"/>
          <w:lang w:val="fr-FR"/>
        </w:rPr>
        <w:t xml:space="preserve">. </w:t>
      </w:r>
    </w:p>
    <w:p w14:paraId="73C87C6B" w14:textId="77777777" w:rsidR="00B32BF3" w:rsidRPr="001D2C12" w:rsidRDefault="00B32BF3" w:rsidP="00B32BF3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</w:p>
    <w:p w14:paraId="72A2059E" w14:textId="4C84E2D7" w:rsidR="0075195C" w:rsidRDefault="00B32BF3" w:rsidP="0075195C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>
        <w:rPr>
          <w:rFonts w:asciiTheme="majorHAnsi" w:hAnsiTheme="majorHAnsi" w:cstheme="minorHAnsi"/>
          <w:b/>
          <w:bCs/>
          <w:lang w:val="fr-FR"/>
        </w:rPr>
        <w:t>L</w:t>
      </w:r>
      <w:r w:rsidR="00AF404B" w:rsidRPr="001D2C12">
        <w:rPr>
          <w:rFonts w:asciiTheme="majorHAnsi" w:hAnsiTheme="majorHAnsi" w:cstheme="minorHAnsi"/>
          <w:b/>
          <w:bCs/>
          <w:lang w:val="fr-FR"/>
        </w:rPr>
        <w:t xml:space="preserve">es </w:t>
      </w:r>
      <w:r w:rsidR="00A47EDA">
        <w:rPr>
          <w:rFonts w:asciiTheme="majorHAnsi" w:hAnsiTheme="majorHAnsi" w:cstheme="minorHAnsi"/>
          <w:b/>
          <w:bCs/>
          <w:lang w:val="fr-FR"/>
        </w:rPr>
        <w:t>personnes ayant une surdicécité</w:t>
      </w:r>
      <w:r w:rsidR="00F032BC">
        <w:rPr>
          <w:rFonts w:asciiTheme="majorHAnsi" w:hAnsiTheme="majorHAnsi" w:cstheme="minorHAnsi"/>
          <w:b/>
          <w:bCs/>
          <w:lang w:val="fr-FR"/>
        </w:rPr>
        <w:t xml:space="preserve"> </w:t>
      </w:r>
      <w:r w:rsidR="00AF404B" w:rsidRPr="001D2C12">
        <w:rPr>
          <w:rFonts w:asciiTheme="majorHAnsi" w:hAnsiTheme="majorHAnsi" w:cstheme="minorHAnsi"/>
          <w:b/>
          <w:bCs/>
          <w:lang w:val="fr-FR"/>
        </w:rPr>
        <w:t>représentent entre 0,2</w:t>
      </w:r>
      <w:r w:rsidR="00FF5994" w:rsidRPr="001D2C12">
        <w:rPr>
          <w:rFonts w:asciiTheme="majorHAnsi" w:hAnsiTheme="majorHAnsi" w:cstheme="minorHAnsi"/>
          <w:b/>
          <w:bCs/>
          <w:lang w:val="fr-FR"/>
        </w:rPr>
        <w:t>%</w:t>
      </w:r>
      <w:r w:rsidR="00AF404B" w:rsidRPr="001D2C12">
        <w:rPr>
          <w:rFonts w:asciiTheme="majorHAnsi" w:hAnsiTheme="majorHAnsi" w:cstheme="minorHAnsi"/>
          <w:b/>
          <w:bCs/>
          <w:lang w:val="fr-FR"/>
        </w:rPr>
        <w:t xml:space="preserve"> et 2</w:t>
      </w:r>
      <w:r w:rsidR="00FF5994" w:rsidRPr="001D2C12">
        <w:rPr>
          <w:rFonts w:asciiTheme="majorHAnsi" w:hAnsiTheme="majorHAnsi" w:cstheme="minorHAnsi"/>
          <w:b/>
          <w:bCs/>
          <w:lang w:val="fr-FR"/>
        </w:rPr>
        <w:t>% de la population mondiale</w:t>
      </w:r>
      <w:r w:rsidR="00A50D0C" w:rsidRPr="001D2C12">
        <w:rPr>
          <w:rFonts w:asciiTheme="majorHAnsi" w:hAnsiTheme="majorHAnsi" w:cstheme="minorHAnsi"/>
          <w:b/>
          <w:bCs/>
          <w:lang w:val="fr-FR"/>
        </w:rPr>
        <w:t xml:space="preserve"> et </w:t>
      </w:r>
      <w:r w:rsidR="0024204A">
        <w:rPr>
          <w:rFonts w:asciiTheme="majorHAnsi" w:hAnsiTheme="majorHAnsi" w:cstheme="minorHAnsi"/>
          <w:b/>
          <w:bCs/>
          <w:lang w:val="fr-FR"/>
        </w:rPr>
        <w:t>e</w:t>
      </w:r>
      <w:r w:rsidR="00862A57" w:rsidRPr="001D2C12">
        <w:rPr>
          <w:rFonts w:asciiTheme="majorHAnsi" w:hAnsiTheme="majorHAnsi" w:cstheme="minorHAnsi"/>
          <w:b/>
          <w:bCs/>
          <w:lang w:val="fr-FR"/>
        </w:rPr>
        <w:t>lles</w:t>
      </w:r>
      <w:r w:rsidR="002276AE" w:rsidRPr="001D2C12">
        <w:rPr>
          <w:rFonts w:asciiTheme="majorHAnsi" w:hAnsiTheme="majorHAnsi" w:cstheme="minorHAnsi"/>
          <w:b/>
          <w:bCs/>
          <w:lang w:val="fr-FR"/>
        </w:rPr>
        <w:t xml:space="preserve"> </w:t>
      </w:r>
      <w:r w:rsidR="00FF5994" w:rsidRPr="001D2C12">
        <w:rPr>
          <w:rFonts w:asciiTheme="majorHAnsi" w:hAnsiTheme="majorHAnsi" w:cstheme="minorHAnsi"/>
          <w:b/>
          <w:bCs/>
          <w:lang w:val="fr-FR"/>
        </w:rPr>
        <w:t>sont plus susceptibles de vivre dans la pauvreté</w:t>
      </w:r>
      <w:r w:rsidR="00A50D0C" w:rsidRPr="001D2C12">
        <w:rPr>
          <w:rFonts w:asciiTheme="majorHAnsi" w:hAnsiTheme="majorHAnsi" w:cstheme="minorHAnsi"/>
          <w:b/>
          <w:bCs/>
          <w:lang w:val="fr-FR"/>
        </w:rPr>
        <w:t>, d’être au chômage</w:t>
      </w:r>
      <w:r w:rsidR="00FF5994" w:rsidRPr="001D2C12">
        <w:rPr>
          <w:rFonts w:asciiTheme="majorHAnsi" w:hAnsiTheme="majorHAnsi" w:cstheme="minorHAnsi"/>
          <w:b/>
          <w:bCs/>
          <w:lang w:val="fr-FR"/>
        </w:rPr>
        <w:t xml:space="preserve"> </w:t>
      </w:r>
      <w:r w:rsidR="0032509C" w:rsidRPr="001D2C12">
        <w:rPr>
          <w:rFonts w:asciiTheme="majorHAnsi" w:hAnsiTheme="majorHAnsi" w:cstheme="minorHAnsi"/>
          <w:b/>
          <w:bCs/>
          <w:lang w:val="fr-FR"/>
        </w:rPr>
        <w:t xml:space="preserve">et </w:t>
      </w:r>
      <w:r w:rsidR="0024204A">
        <w:rPr>
          <w:rFonts w:asciiTheme="majorHAnsi" w:hAnsiTheme="majorHAnsi" w:cstheme="minorHAnsi"/>
          <w:b/>
          <w:bCs/>
          <w:lang w:val="fr-FR"/>
        </w:rPr>
        <w:t>d’avoir un accès plus restreint à l’</w:t>
      </w:r>
      <w:r w:rsidR="0033500E" w:rsidRPr="001D2C12">
        <w:rPr>
          <w:rFonts w:asciiTheme="majorHAnsi" w:hAnsiTheme="majorHAnsi" w:cstheme="minorHAnsi"/>
          <w:b/>
          <w:bCs/>
          <w:lang w:val="fr-FR"/>
        </w:rPr>
        <w:t>éducati</w:t>
      </w:r>
      <w:r w:rsidR="0024204A">
        <w:rPr>
          <w:rFonts w:asciiTheme="majorHAnsi" w:hAnsiTheme="majorHAnsi" w:cstheme="minorHAnsi"/>
          <w:b/>
          <w:bCs/>
          <w:lang w:val="fr-FR"/>
        </w:rPr>
        <w:t>on</w:t>
      </w:r>
      <w:r w:rsidR="0033500E" w:rsidRPr="001D2C12">
        <w:rPr>
          <w:rFonts w:asciiTheme="majorHAnsi" w:hAnsiTheme="majorHAnsi" w:cstheme="minorHAnsi"/>
          <w:b/>
          <w:bCs/>
          <w:lang w:val="fr-FR"/>
        </w:rPr>
        <w:t xml:space="preserve"> que </w:t>
      </w:r>
      <w:r w:rsidR="0024204A">
        <w:rPr>
          <w:rFonts w:asciiTheme="majorHAnsi" w:hAnsiTheme="majorHAnsi" w:cstheme="minorHAnsi"/>
          <w:b/>
          <w:bCs/>
          <w:lang w:val="fr-FR"/>
        </w:rPr>
        <w:t xml:space="preserve">les </w:t>
      </w:r>
      <w:r w:rsidR="0033500E" w:rsidRPr="001D2C12">
        <w:rPr>
          <w:rFonts w:asciiTheme="majorHAnsi" w:hAnsiTheme="majorHAnsi" w:cstheme="minorHAnsi"/>
          <w:b/>
          <w:bCs/>
          <w:lang w:val="fr-FR"/>
        </w:rPr>
        <w:t>autres personnes handicapées</w:t>
      </w:r>
      <w:r w:rsidR="0033500E" w:rsidRPr="001D2C12">
        <w:rPr>
          <w:rFonts w:asciiTheme="majorHAnsi" w:hAnsiTheme="majorHAnsi" w:cstheme="minorHAnsi"/>
          <w:lang w:val="fr-FR"/>
        </w:rPr>
        <w:t xml:space="preserve">. </w:t>
      </w:r>
      <w:r w:rsidR="00C0154C" w:rsidRPr="001D2C12">
        <w:rPr>
          <w:rFonts w:asciiTheme="majorHAnsi" w:hAnsiTheme="majorHAnsi" w:cstheme="minorHAnsi"/>
          <w:lang w:val="fr-FR"/>
        </w:rPr>
        <w:t xml:space="preserve">En effet, ces personnes sont confrontées à plusieurs </w:t>
      </w:r>
      <w:r w:rsidR="00A34B1F" w:rsidRPr="001D2C12">
        <w:rPr>
          <w:rFonts w:asciiTheme="majorHAnsi" w:hAnsiTheme="majorHAnsi" w:cstheme="minorHAnsi"/>
          <w:lang w:val="fr-FR"/>
        </w:rPr>
        <w:t>obstacles</w:t>
      </w:r>
      <w:r w:rsidR="00C0154C" w:rsidRPr="001D2C12">
        <w:rPr>
          <w:rFonts w:asciiTheme="majorHAnsi" w:hAnsiTheme="majorHAnsi" w:cstheme="minorHAnsi"/>
          <w:lang w:val="fr-FR"/>
        </w:rPr>
        <w:t>, tel</w:t>
      </w:r>
      <w:r w:rsidR="002276AE" w:rsidRPr="001D2C12">
        <w:rPr>
          <w:rFonts w:asciiTheme="majorHAnsi" w:hAnsiTheme="majorHAnsi" w:cstheme="minorHAnsi"/>
          <w:lang w:val="fr-FR"/>
        </w:rPr>
        <w:t>s</w:t>
      </w:r>
      <w:r w:rsidR="00C0154C" w:rsidRPr="001D2C12">
        <w:rPr>
          <w:rFonts w:asciiTheme="majorHAnsi" w:hAnsiTheme="majorHAnsi" w:cstheme="minorHAnsi"/>
          <w:lang w:val="fr-FR"/>
        </w:rPr>
        <w:t xml:space="preserve"> que le manque d’accès </w:t>
      </w:r>
      <w:r w:rsidR="00C3066F" w:rsidRPr="001D2C12">
        <w:rPr>
          <w:rFonts w:asciiTheme="majorHAnsi" w:hAnsiTheme="majorHAnsi" w:cstheme="minorHAnsi"/>
          <w:lang w:val="fr-FR"/>
        </w:rPr>
        <w:t xml:space="preserve">aux services </w:t>
      </w:r>
      <w:r w:rsidR="0007637E">
        <w:rPr>
          <w:rFonts w:asciiTheme="majorHAnsi" w:hAnsiTheme="majorHAnsi" w:cstheme="minorHAnsi"/>
          <w:lang w:val="fr-FR"/>
        </w:rPr>
        <w:t>de soutien</w:t>
      </w:r>
      <w:r w:rsidR="00C3066F" w:rsidRPr="001D2C12">
        <w:rPr>
          <w:rFonts w:asciiTheme="majorHAnsi" w:hAnsiTheme="majorHAnsi" w:cstheme="minorHAnsi"/>
          <w:lang w:val="fr-FR"/>
        </w:rPr>
        <w:t xml:space="preserve"> et aux informations </w:t>
      </w:r>
      <w:r w:rsidR="00F4642C" w:rsidRPr="001D2C12">
        <w:rPr>
          <w:rFonts w:asciiTheme="majorHAnsi" w:hAnsiTheme="majorHAnsi" w:cstheme="minorHAnsi"/>
          <w:lang w:val="fr-FR"/>
        </w:rPr>
        <w:t>accessibles ;</w:t>
      </w:r>
      <w:r w:rsidR="00C3066F" w:rsidRPr="001D2C12">
        <w:rPr>
          <w:rFonts w:asciiTheme="majorHAnsi" w:hAnsiTheme="majorHAnsi" w:cstheme="minorHAnsi"/>
          <w:lang w:val="fr-FR"/>
        </w:rPr>
        <w:t xml:space="preserve"> ce</w:t>
      </w:r>
      <w:r w:rsidR="0024204A">
        <w:rPr>
          <w:rFonts w:asciiTheme="majorHAnsi" w:hAnsiTheme="majorHAnsi" w:cstheme="minorHAnsi"/>
          <w:lang w:val="fr-FR"/>
        </w:rPr>
        <w:t xml:space="preserve">la </w:t>
      </w:r>
      <w:r w:rsidR="0075195C">
        <w:rPr>
          <w:rFonts w:asciiTheme="majorHAnsi" w:hAnsiTheme="majorHAnsi" w:cstheme="minorHAnsi"/>
          <w:lang w:val="fr-FR"/>
        </w:rPr>
        <w:t>limite considérablement leurs opportunités de se faire entendre.</w:t>
      </w:r>
    </w:p>
    <w:p w14:paraId="00BBB6DE" w14:textId="61B87388" w:rsidR="00AF404B" w:rsidRPr="001D2C12" w:rsidRDefault="0075195C" w:rsidP="0075195C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>
        <w:rPr>
          <w:rFonts w:asciiTheme="majorHAnsi" w:hAnsiTheme="majorHAnsi" w:cstheme="minorHAnsi"/>
          <w:lang w:val="fr-FR"/>
        </w:rPr>
        <w:t xml:space="preserve"> </w:t>
      </w:r>
    </w:p>
    <w:p w14:paraId="30E695EB" w14:textId="2446634C" w:rsidR="00E6138A" w:rsidRDefault="00A878FF" w:rsidP="00E6138A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>Au niveau mondial, un cercle vicieux existe</w:t>
      </w:r>
      <w:r w:rsidR="00504F8E" w:rsidRPr="001D2C12">
        <w:rPr>
          <w:rFonts w:asciiTheme="majorHAnsi" w:hAnsiTheme="majorHAnsi" w:cstheme="minorHAnsi"/>
          <w:lang w:val="fr-FR"/>
        </w:rPr>
        <w:t xml:space="preserve"> </w:t>
      </w:r>
      <w:r w:rsidR="00503063" w:rsidRPr="001D2C12">
        <w:rPr>
          <w:rFonts w:asciiTheme="majorHAnsi" w:hAnsiTheme="majorHAnsi" w:cstheme="minorHAnsi"/>
          <w:lang w:val="fr-FR"/>
        </w:rPr>
        <w:t>selon lequel</w:t>
      </w:r>
      <w:r w:rsidR="00504F8E" w:rsidRPr="001D2C12">
        <w:rPr>
          <w:rFonts w:asciiTheme="majorHAnsi" w:hAnsiTheme="majorHAnsi" w:cstheme="minorHAnsi"/>
          <w:lang w:val="fr-FR"/>
        </w:rPr>
        <w:t xml:space="preserve"> </w:t>
      </w:r>
      <w:r w:rsidR="00D457D3" w:rsidRPr="001D2C12">
        <w:rPr>
          <w:rFonts w:asciiTheme="majorHAnsi" w:hAnsiTheme="majorHAnsi" w:cstheme="minorHAnsi"/>
          <w:lang w:val="fr-FR"/>
        </w:rPr>
        <w:t>le manque de sensibilisation</w:t>
      </w:r>
      <w:r w:rsidR="002E7CBA">
        <w:rPr>
          <w:rFonts w:asciiTheme="majorHAnsi" w:hAnsiTheme="majorHAnsi" w:cstheme="minorHAnsi"/>
          <w:lang w:val="fr-FR"/>
        </w:rPr>
        <w:t xml:space="preserve"> sur la </w:t>
      </w:r>
      <w:r w:rsidR="00340523">
        <w:rPr>
          <w:rFonts w:asciiTheme="majorHAnsi" w:hAnsiTheme="majorHAnsi" w:cstheme="minorHAnsi"/>
          <w:lang w:val="fr-FR"/>
        </w:rPr>
        <w:t>spécificité</w:t>
      </w:r>
      <w:r w:rsidR="002E7CBA">
        <w:rPr>
          <w:rFonts w:asciiTheme="majorHAnsi" w:hAnsiTheme="majorHAnsi" w:cstheme="minorHAnsi"/>
          <w:lang w:val="fr-FR"/>
        </w:rPr>
        <w:t xml:space="preserve"> de la situation des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2E7CBA">
        <w:rPr>
          <w:rFonts w:asciiTheme="majorHAnsi" w:hAnsiTheme="majorHAnsi" w:cstheme="minorHAnsi"/>
          <w:lang w:val="fr-FR"/>
        </w:rPr>
        <w:t xml:space="preserve"> contribue </w:t>
      </w:r>
      <w:r w:rsidR="00B572F3" w:rsidRPr="001D2C12">
        <w:rPr>
          <w:rFonts w:asciiTheme="majorHAnsi" w:hAnsiTheme="majorHAnsi" w:cstheme="minorHAnsi"/>
          <w:lang w:val="fr-FR"/>
        </w:rPr>
        <w:t>à</w:t>
      </w:r>
      <w:r w:rsidR="00D457D3" w:rsidRPr="001D2C12">
        <w:rPr>
          <w:rFonts w:asciiTheme="majorHAnsi" w:hAnsiTheme="majorHAnsi" w:cstheme="minorHAnsi"/>
          <w:lang w:val="fr-FR"/>
        </w:rPr>
        <w:t xml:space="preserve"> </w:t>
      </w:r>
      <w:r w:rsidR="00632BC5" w:rsidRPr="001D2C12">
        <w:rPr>
          <w:rFonts w:asciiTheme="majorHAnsi" w:hAnsiTheme="majorHAnsi" w:cstheme="minorHAnsi"/>
          <w:lang w:val="fr-FR"/>
        </w:rPr>
        <w:t>l</w:t>
      </w:r>
      <w:r w:rsidR="002E7CBA">
        <w:rPr>
          <w:rFonts w:asciiTheme="majorHAnsi" w:hAnsiTheme="majorHAnsi" w:cstheme="minorHAnsi"/>
          <w:lang w:val="fr-FR"/>
        </w:rPr>
        <w:t>eur</w:t>
      </w:r>
      <w:r w:rsidR="00D457D3" w:rsidRPr="001D2C12">
        <w:rPr>
          <w:rFonts w:asciiTheme="majorHAnsi" w:hAnsiTheme="majorHAnsi" w:cstheme="minorHAnsi"/>
          <w:lang w:val="fr-FR"/>
        </w:rPr>
        <w:t xml:space="preserve"> </w:t>
      </w:r>
      <w:r w:rsidR="00632BC5" w:rsidRPr="001D2C12">
        <w:rPr>
          <w:rFonts w:asciiTheme="majorHAnsi" w:hAnsiTheme="majorHAnsi" w:cstheme="minorHAnsi"/>
          <w:lang w:val="fr-FR"/>
        </w:rPr>
        <w:t>non</w:t>
      </w:r>
      <w:r w:rsidR="00503063" w:rsidRPr="001D2C12">
        <w:rPr>
          <w:rFonts w:asciiTheme="majorHAnsi" w:hAnsiTheme="majorHAnsi" w:cstheme="minorHAnsi"/>
          <w:lang w:val="fr-FR"/>
        </w:rPr>
        <w:t>-</w:t>
      </w:r>
      <w:r w:rsidR="00D457D3" w:rsidRPr="001D2C12">
        <w:rPr>
          <w:rFonts w:asciiTheme="majorHAnsi" w:hAnsiTheme="majorHAnsi" w:cstheme="minorHAnsi"/>
          <w:lang w:val="fr-FR"/>
        </w:rPr>
        <w:t>reco</w:t>
      </w:r>
      <w:r w:rsidR="00E80A14" w:rsidRPr="001D2C12">
        <w:rPr>
          <w:rFonts w:asciiTheme="majorHAnsi" w:hAnsiTheme="majorHAnsi" w:cstheme="minorHAnsi"/>
          <w:lang w:val="fr-FR"/>
        </w:rPr>
        <w:t>n</w:t>
      </w:r>
      <w:r w:rsidR="00F032BC">
        <w:rPr>
          <w:rFonts w:asciiTheme="majorHAnsi" w:hAnsiTheme="majorHAnsi" w:cstheme="minorHAnsi"/>
          <w:lang w:val="fr-FR"/>
        </w:rPr>
        <w:t>naissance</w:t>
      </w:r>
      <w:r w:rsidR="00655CC7" w:rsidRPr="001D2C12">
        <w:rPr>
          <w:rFonts w:asciiTheme="majorHAnsi" w:hAnsiTheme="majorHAnsi" w:cstheme="minorHAnsi"/>
          <w:lang w:val="fr-FR"/>
        </w:rPr>
        <w:t xml:space="preserve"> en </w:t>
      </w:r>
      <w:r w:rsidR="00E80A14" w:rsidRPr="001D2C12">
        <w:rPr>
          <w:rFonts w:asciiTheme="majorHAnsi" w:hAnsiTheme="majorHAnsi" w:cstheme="minorHAnsi"/>
          <w:lang w:val="fr-FR"/>
        </w:rPr>
        <w:t xml:space="preserve">tant </w:t>
      </w:r>
      <w:r w:rsidR="00655CC7" w:rsidRPr="001D2C12">
        <w:rPr>
          <w:rFonts w:asciiTheme="majorHAnsi" w:hAnsiTheme="majorHAnsi" w:cstheme="minorHAnsi"/>
          <w:lang w:val="fr-FR"/>
        </w:rPr>
        <w:t xml:space="preserve">que groupe distinct </w:t>
      </w:r>
      <w:r w:rsidR="001B02A1" w:rsidRPr="001D2C12">
        <w:rPr>
          <w:rFonts w:asciiTheme="majorHAnsi" w:hAnsiTheme="majorHAnsi" w:cstheme="minorHAnsi"/>
          <w:lang w:val="fr-FR"/>
        </w:rPr>
        <w:t>de</w:t>
      </w:r>
      <w:r w:rsidR="00655CC7" w:rsidRPr="001D2C12">
        <w:rPr>
          <w:rFonts w:asciiTheme="majorHAnsi" w:hAnsiTheme="majorHAnsi" w:cstheme="minorHAnsi"/>
          <w:lang w:val="fr-FR"/>
        </w:rPr>
        <w:t xml:space="preserve"> personnes handicapées</w:t>
      </w:r>
      <w:r w:rsidR="002E7CBA">
        <w:rPr>
          <w:rFonts w:asciiTheme="majorHAnsi" w:hAnsiTheme="majorHAnsi" w:cstheme="minorHAnsi"/>
          <w:lang w:val="fr-FR"/>
        </w:rPr>
        <w:t>. Cela</w:t>
      </w:r>
      <w:r w:rsidR="00655CC7" w:rsidRPr="001D2C12">
        <w:rPr>
          <w:rFonts w:asciiTheme="majorHAnsi" w:hAnsiTheme="majorHAnsi" w:cstheme="minorHAnsi"/>
          <w:lang w:val="fr-FR"/>
        </w:rPr>
        <w:t xml:space="preserve"> </w:t>
      </w:r>
      <w:r w:rsidR="00503063" w:rsidRPr="001D2C12">
        <w:rPr>
          <w:rFonts w:asciiTheme="majorHAnsi" w:hAnsiTheme="majorHAnsi" w:cstheme="minorHAnsi"/>
          <w:lang w:val="fr-FR"/>
        </w:rPr>
        <w:t xml:space="preserve">aboutit à </w:t>
      </w:r>
      <w:r w:rsidR="00316EE3" w:rsidRPr="001D2C12">
        <w:rPr>
          <w:rFonts w:asciiTheme="majorHAnsi" w:hAnsiTheme="majorHAnsi" w:cstheme="minorHAnsi"/>
          <w:lang w:val="fr-FR"/>
        </w:rPr>
        <w:t xml:space="preserve">l’invisibilité </w:t>
      </w:r>
      <w:r w:rsidR="00E66413" w:rsidRPr="001D2C12">
        <w:rPr>
          <w:rFonts w:asciiTheme="majorHAnsi" w:hAnsiTheme="majorHAnsi" w:cstheme="minorHAnsi"/>
          <w:lang w:val="fr-FR"/>
        </w:rPr>
        <w:t xml:space="preserve">de ces personnes </w:t>
      </w:r>
      <w:r w:rsidR="002E7CBA">
        <w:rPr>
          <w:rFonts w:asciiTheme="majorHAnsi" w:hAnsiTheme="majorHAnsi" w:cstheme="minorHAnsi"/>
          <w:lang w:val="fr-FR"/>
        </w:rPr>
        <w:t xml:space="preserve">aux yeux des </w:t>
      </w:r>
      <w:r w:rsidR="00E6138A">
        <w:rPr>
          <w:rFonts w:asciiTheme="majorHAnsi" w:hAnsiTheme="majorHAnsi" w:cstheme="minorHAnsi"/>
          <w:lang w:val="fr-FR"/>
        </w:rPr>
        <w:t>décideurs</w:t>
      </w:r>
      <w:r w:rsidR="002E7CBA">
        <w:rPr>
          <w:rFonts w:asciiTheme="majorHAnsi" w:hAnsiTheme="majorHAnsi" w:cstheme="minorHAnsi"/>
          <w:lang w:val="fr-FR"/>
        </w:rPr>
        <w:t xml:space="preserve"> politiques qui les </w:t>
      </w:r>
      <w:r w:rsidR="00E6138A">
        <w:rPr>
          <w:rFonts w:asciiTheme="majorHAnsi" w:hAnsiTheme="majorHAnsi" w:cstheme="minorHAnsi"/>
          <w:lang w:val="fr-FR"/>
        </w:rPr>
        <w:t>excluent</w:t>
      </w:r>
      <w:r w:rsidR="002E7CBA">
        <w:rPr>
          <w:rFonts w:asciiTheme="majorHAnsi" w:hAnsiTheme="majorHAnsi" w:cstheme="minorHAnsi"/>
          <w:lang w:val="fr-FR"/>
        </w:rPr>
        <w:t xml:space="preserve"> par inadvertance des</w:t>
      </w:r>
      <w:r w:rsidR="00E6138A">
        <w:rPr>
          <w:rFonts w:asciiTheme="majorHAnsi" w:hAnsiTheme="majorHAnsi" w:cstheme="minorHAnsi"/>
          <w:lang w:val="fr-FR"/>
        </w:rPr>
        <w:t xml:space="preserve"> services, </w:t>
      </w:r>
      <w:r w:rsidR="002E7CBA">
        <w:rPr>
          <w:rFonts w:asciiTheme="majorHAnsi" w:hAnsiTheme="majorHAnsi" w:cstheme="minorHAnsi"/>
          <w:lang w:val="fr-FR"/>
        </w:rPr>
        <w:t>programmes, lois et collection de données.</w:t>
      </w:r>
      <w:r w:rsidR="00E6138A">
        <w:rPr>
          <w:rFonts w:asciiTheme="majorHAnsi" w:hAnsiTheme="majorHAnsi" w:cstheme="minorHAnsi"/>
          <w:lang w:val="fr-FR"/>
        </w:rPr>
        <w:t xml:space="preserve"> </w:t>
      </w:r>
      <w:r w:rsidR="002E7CBA">
        <w:rPr>
          <w:rFonts w:asciiTheme="majorHAnsi" w:hAnsiTheme="majorHAnsi" w:cstheme="minorHAnsi"/>
          <w:lang w:val="fr-FR"/>
        </w:rPr>
        <w:t xml:space="preserve"> </w:t>
      </w:r>
      <w:r w:rsidR="00316EE3" w:rsidRPr="001D2C12">
        <w:rPr>
          <w:rFonts w:asciiTheme="majorHAnsi" w:hAnsiTheme="majorHAnsi" w:cstheme="minorHAnsi"/>
          <w:lang w:val="fr-FR"/>
        </w:rPr>
        <w:t xml:space="preserve"> </w:t>
      </w:r>
    </w:p>
    <w:p w14:paraId="67E9ACA3" w14:textId="77777777" w:rsidR="00E6138A" w:rsidRDefault="00E6138A" w:rsidP="00E6138A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</w:p>
    <w:p w14:paraId="55D06057" w14:textId="4D2949C7" w:rsidR="00A878FF" w:rsidRDefault="00E6138A" w:rsidP="00E6138A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>
        <w:rPr>
          <w:rFonts w:asciiTheme="majorHAnsi" w:hAnsiTheme="majorHAnsi" w:cstheme="minorHAnsi"/>
          <w:lang w:val="fr-FR"/>
        </w:rPr>
        <w:t>L</w:t>
      </w:r>
      <w:r w:rsidR="00975E55" w:rsidRPr="001D2C12">
        <w:rPr>
          <w:rFonts w:asciiTheme="majorHAnsi" w:hAnsiTheme="majorHAnsi" w:cstheme="minorHAnsi"/>
          <w:lang w:val="fr-FR"/>
        </w:rPr>
        <w:t xml:space="preserve">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340523">
        <w:rPr>
          <w:rFonts w:asciiTheme="majorHAnsi" w:hAnsiTheme="majorHAnsi" w:cstheme="minorHAnsi"/>
          <w:lang w:val="fr-FR"/>
        </w:rPr>
        <w:t xml:space="preserve"> </w:t>
      </w:r>
      <w:r w:rsidR="00975E55" w:rsidRPr="001D2C12">
        <w:rPr>
          <w:rFonts w:asciiTheme="majorHAnsi" w:hAnsiTheme="majorHAnsi" w:cstheme="minorHAnsi"/>
          <w:lang w:val="fr-FR"/>
        </w:rPr>
        <w:t xml:space="preserve">se heurtent à des </w:t>
      </w:r>
      <w:r w:rsidR="00A6639F" w:rsidRPr="001D2C12">
        <w:rPr>
          <w:rFonts w:asciiTheme="majorHAnsi" w:hAnsiTheme="majorHAnsi" w:cstheme="minorHAnsi"/>
          <w:lang w:val="fr-FR"/>
        </w:rPr>
        <w:t xml:space="preserve">obstacles supplémentaires et requièrent un appui spécifique, </w:t>
      </w:r>
      <w:r w:rsidR="007D7C8E" w:rsidRPr="001D2C12">
        <w:rPr>
          <w:rFonts w:asciiTheme="majorHAnsi" w:hAnsiTheme="majorHAnsi" w:cstheme="minorHAnsi"/>
          <w:lang w:val="fr-FR"/>
        </w:rPr>
        <w:t>notamment</w:t>
      </w:r>
      <w:r w:rsidR="00AC4194" w:rsidRPr="001D2C12">
        <w:rPr>
          <w:rFonts w:asciiTheme="majorHAnsi" w:hAnsiTheme="majorHAnsi" w:cstheme="minorHAnsi"/>
          <w:lang w:val="fr-FR"/>
        </w:rPr>
        <w:t>,</w:t>
      </w:r>
      <w:r w:rsidR="00A6639F" w:rsidRPr="001D2C12">
        <w:rPr>
          <w:rFonts w:asciiTheme="majorHAnsi" w:hAnsiTheme="majorHAnsi" w:cstheme="minorHAnsi"/>
          <w:lang w:val="fr-FR"/>
        </w:rPr>
        <w:t xml:space="preserve"> </w:t>
      </w:r>
      <w:r w:rsidR="00005180" w:rsidRPr="001D2C12">
        <w:rPr>
          <w:rFonts w:asciiTheme="majorHAnsi" w:hAnsiTheme="majorHAnsi" w:cstheme="minorHAnsi"/>
          <w:lang w:val="fr-FR"/>
        </w:rPr>
        <w:t>et entre autres</w:t>
      </w:r>
      <w:r w:rsidR="00AC4194" w:rsidRPr="001D2C12">
        <w:rPr>
          <w:rFonts w:asciiTheme="majorHAnsi" w:hAnsiTheme="majorHAnsi" w:cstheme="minorHAnsi"/>
          <w:lang w:val="fr-FR"/>
        </w:rPr>
        <w:t>,</w:t>
      </w:r>
      <w:r w:rsidR="00005180" w:rsidRPr="001D2C12">
        <w:rPr>
          <w:rFonts w:asciiTheme="majorHAnsi" w:hAnsiTheme="majorHAnsi" w:cstheme="minorHAnsi"/>
          <w:lang w:val="fr-FR"/>
        </w:rPr>
        <w:t xml:space="preserve"> </w:t>
      </w:r>
      <w:r w:rsidR="00AE1DC5" w:rsidRPr="001D2C12">
        <w:rPr>
          <w:rFonts w:asciiTheme="majorHAnsi" w:hAnsiTheme="majorHAnsi" w:cstheme="minorHAnsi"/>
          <w:lang w:val="fr-FR"/>
        </w:rPr>
        <w:t>l</w:t>
      </w:r>
      <w:r w:rsidR="00500E5C" w:rsidRPr="001D2C12">
        <w:rPr>
          <w:rFonts w:asciiTheme="majorHAnsi" w:hAnsiTheme="majorHAnsi" w:cstheme="minorHAnsi"/>
          <w:lang w:val="fr-FR"/>
        </w:rPr>
        <w:t>es services d’un guide-interprète</w:t>
      </w:r>
      <w:r w:rsidR="00AE1DC5" w:rsidRPr="001D2C12">
        <w:rPr>
          <w:rFonts w:asciiTheme="majorHAnsi" w:hAnsiTheme="majorHAnsi" w:cstheme="minorHAnsi"/>
          <w:lang w:val="fr-FR"/>
        </w:rPr>
        <w:t xml:space="preserve"> et des services de réadaptation</w:t>
      </w:r>
      <w:r w:rsidR="00005180" w:rsidRPr="001D2C12">
        <w:rPr>
          <w:rFonts w:asciiTheme="majorHAnsi" w:hAnsiTheme="majorHAnsi" w:cstheme="minorHAnsi"/>
          <w:lang w:val="fr-FR"/>
        </w:rPr>
        <w:t xml:space="preserve">. Etant donné que ces services en question sont seulement disponibles dans un nombre </w:t>
      </w:r>
      <w:r w:rsidR="00503063" w:rsidRPr="001D2C12">
        <w:rPr>
          <w:rFonts w:asciiTheme="majorHAnsi" w:hAnsiTheme="majorHAnsi" w:cstheme="minorHAnsi"/>
          <w:lang w:val="fr-FR"/>
        </w:rPr>
        <w:t xml:space="preserve">limité </w:t>
      </w:r>
      <w:r w:rsidR="00005180" w:rsidRPr="001D2C12">
        <w:rPr>
          <w:rFonts w:asciiTheme="majorHAnsi" w:hAnsiTheme="majorHAnsi" w:cstheme="minorHAnsi"/>
          <w:lang w:val="fr-FR"/>
        </w:rPr>
        <w:t>de pays</w:t>
      </w:r>
      <w:r w:rsidR="008D2CB4" w:rsidRPr="001D2C12">
        <w:rPr>
          <w:rFonts w:asciiTheme="majorHAnsi" w:hAnsiTheme="majorHAnsi" w:cstheme="minorHAnsi"/>
          <w:lang w:val="fr-FR"/>
        </w:rPr>
        <w:t xml:space="preserve">,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8D2CB4" w:rsidRPr="001D2C12">
        <w:rPr>
          <w:rFonts w:asciiTheme="majorHAnsi" w:hAnsiTheme="majorHAnsi" w:cstheme="minorHAnsi"/>
          <w:lang w:val="fr-FR"/>
        </w:rPr>
        <w:t xml:space="preserve"> ont </w:t>
      </w:r>
      <w:r w:rsidR="00C133A6" w:rsidRPr="001D2C12">
        <w:rPr>
          <w:rFonts w:asciiTheme="majorHAnsi" w:hAnsiTheme="majorHAnsi" w:cstheme="minorHAnsi"/>
          <w:lang w:val="fr-FR"/>
        </w:rPr>
        <w:t xml:space="preserve">bien </w:t>
      </w:r>
      <w:r w:rsidR="008D2CB4" w:rsidRPr="001D2C12">
        <w:rPr>
          <w:rFonts w:asciiTheme="majorHAnsi" w:hAnsiTheme="majorHAnsi" w:cstheme="minorHAnsi"/>
          <w:lang w:val="fr-FR"/>
        </w:rPr>
        <w:t xml:space="preserve">peu bénéficié des efforts de </w:t>
      </w:r>
      <w:r w:rsidR="008D2CB4" w:rsidRPr="001D2C12">
        <w:rPr>
          <w:rFonts w:asciiTheme="majorHAnsi" w:hAnsiTheme="majorHAnsi" w:cstheme="minorHAnsi"/>
          <w:lang w:val="fr-FR"/>
        </w:rPr>
        <w:lastRenderedPageBreak/>
        <w:t>développement</w:t>
      </w:r>
      <w:r w:rsidR="00503063" w:rsidRPr="001D2C12">
        <w:rPr>
          <w:rFonts w:asciiTheme="majorHAnsi" w:hAnsiTheme="majorHAnsi" w:cstheme="minorHAnsi"/>
          <w:lang w:val="fr-FR"/>
        </w:rPr>
        <w:t xml:space="preserve"> jusqu’à présent</w:t>
      </w:r>
      <w:r w:rsidR="008D2CB4" w:rsidRPr="001D2C12">
        <w:rPr>
          <w:rFonts w:asciiTheme="majorHAnsi" w:hAnsiTheme="majorHAnsi" w:cstheme="minorHAnsi"/>
          <w:lang w:val="fr-FR"/>
        </w:rPr>
        <w:t xml:space="preserve">, y compris ceux qui sont déployés dans le but de mettre en œuvre la CDPH. </w:t>
      </w:r>
    </w:p>
    <w:p w14:paraId="4DFF366C" w14:textId="77777777" w:rsidR="0002091A" w:rsidRPr="001D2C12" w:rsidRDefault="0002091A" w:rsidP="00E6138A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</w:p>
    <w:p w14:paraId="3E265AFE" w14:textId="3A1D8D4A" w:rsidR="007D7C8E" w:rsidRPr="001D2C12" w:rsidRDefault="007D7C8E" w:rsidP="001D2C12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 xml:space="preserve">C’est pourquoi, ce rapport initial a été conçu </w:t>
      </w:r>
      <w:r w:rsidR="00503063" w:rsidRPr="001D2C12">
        <w:rPr>
          <w:rFonts w:asciiTheme="majorHAnsi" w:hAnsiTheme="majorHAnsi" w:cstheme="minorHAnsi"/>
          <w:lang w:val="fr-FR"/>
        </w:rPr>
        <w:t xml:space="preserve">comme un </w:t>
      </w:r>
      <w:r w:rsidRPr="001D2C12">
        <w:rPr>
          <w:rFonts w:asciiTheme="majorHAnsi" w:hAnsiTheme="majorHAnsi" w:cstheme="minorHAnsi"/>
          <w:lang w:val="fr-FR"/>
        </w:rPr>
        <w:t xml:space="preserve">outil de sensibilisation </w:t>
      </w:r>
      <w:r w:rsidR="004C1437" w:rsidRPr="001D2C12">
        <w:rPr>
          <w:rFonts w:asciiTheme="majorHAnsi" w:hAnsiTheme="majorHAnsi" w:cstheme="minorHAnsi"/>
          <w:lang w:val="fr-FR"/>
        </w:rPr>
        <w:t xml:space="preserve">fondé sur des </w:t>
      </w:r>
      <w:r w:rsidR="00503063" w:rsidRPr="001D2C12">
        <w:rPr>
          <w:rFonts w:asciiTheme="majorHAnsi" w:hAnsiTheme="majorHAnsi" w:cstheme="minorHAnsi"/>
          <w:lang w:val="fr-FR"/>
        </w:rPr>
        <w:t>données probantes</w:t>
      </w:r>
      <w:r w:rsidR="00676D89" w:rsidRPr="001D2C12">
        <w:rPr>
          <w:rFonts w:asciiTheme="majorHAnsi" w:hAnsiTheme="majorHAnsi" w:cstheme="minorHAnsi"/>
          <w:lang w:val="fr-FR"/>
        </w:rPr>
        <w:t>, dans le but de contribuer au suivi mondial de la mise en œuvre de la CDPH et des O</w:t>
      </w:r>
      <w:r w:rsidR="006E69D3">
        <w:rPr>
          <w:rFonts w:asciiTheme="majorHAnsi" w:hAnsiTheme="majorHAnsi" w:cstheme="minorHAnsi"/>
          <w:lang w:val="fr-FR"/>
        </w:rPr>
        <w:t xml:space="preserve">bjectifs de </w:t>
      </w:r>
      <w:r w:rsidR="00676D89" w:rsidRPr="001D2C12">
        <w:rPr>
          <w:rFonts w:asciiTheme="majorHAnsi" w:hAnsiTheme="majorHAnsi" w:cstheme="minorHAnsi"/>
          <w:lang w:val="fr-FR"/>
        </w:rPr>
        <w:t>D</w:t>
      </w:r>
      <w:r w:rsidR="006E69D3">
        <w:rPr>
          <w:rFonts w:asciiTheme="majorHAnsi" w:hAnsiTheme="majorHAnsi" w:cstheme="minorHAnsi"/>
          <w:lang w:val="fr-FR"/>
        </w:rPr>
        <w:t xml:space="preserve">éveloppement </w:t>
      </w:r>
      <w:r w:rsidR="00676D89" w:rsidRPr="001D2C12">
        <w:rPr>
          <w:rFonts w:asciiTheme="majorHAnsi" w:hAnsiTheme="majorHAnsi" w:cstheme="minorHAnsi"/>
          <w:lang w:val="fr-FR"/>
        </w:rPr>
        <w:t>D</w:t>
      </w:r>
      <w:r w:rsidR="006E69D3">
        <w:rPr>
          <w:rFonts w:asciiTheme="majorHAnsi" w:hAnsiTheme="majorHAnsi" w:cstheme="minorHAnsi"/>
          <w:lang w:val="fr-FR"/>
        </w:rPr>
        <w:t>urable (ODD)</w:t>
      </w:r>
      <w:r w:rsidR="00676D89" w:rsidRPr="001D2C12">
        <w:rPr>
          <w:rFonts w:asciiTheme="majorHAnsi" w:hAnsiTheme="majorHAnsi" w:cstheme="minorHAnsi"/>
          <w:lang w:val="fr-FR"/>
        </w:rPr>
        <w:t xml:space="preserve">. </w:t>
      </w:r>
      <w:r w:rsidR="00A93449" w:rsidRPr="001D2C12">
        <w:rPr>
          <w:rFonts w:asciiTheme="majorHAnsi" w:hAnsiTheme="majorHAnsi" w:cstheme="minorHAnsi"/>
          <w:lang w:val="fr-FR"/>
        </w:rPr>
        <w:t xml:space="preserve">Ce rapport viendra ainsi alimenter </w:t>
      </w:r>
      <w:r w:rsidR="00247D4D" w:rsidRPr="001D2C12">
        <w:rPr>
          <w:rFonts w:asciiTheme="majorHAnsi" w:hAnsiTheme="majorHAnsi" w:cstheme="minorHAnsi"/>
          <w:lang w:val="fr-FR"/>
        </w:rPr>
        <w:t>le rapport</w:t>
      </w:r>
      <w:r w:rsidR="00A93449" w:rsidRPr="001D2C12">
        <w:rPr>
          <w:rFonts w:asciiTheme="majorHAnsi" w:hAnsiTheme="majorHAnsi" w:cstheme="minorHAnsi"/>
          <w:lang w:val="fr-FR"/>
        </w:rPr>
        <w:t xml:space="preserve"> de référence </w:t>
      </w:r>
      <w:r w:rsidR="00F47A89" w:rsidRPr="001D2C12">
        <w:rPr>
          <w:rFonts w:asciiTheme="majorHAnsi" w:hAnsiTheme="majorHAnsi" w:cstheme="minorHAnsi"/>
          <w:lang w:val="fr-FR"/>
        </w:rPr>
        <w:t xml:space="preserve">de 2020 </w:t>
      </w:r>
      <w:r w:rsidR="00247D4D" w:rsidRPr="001D2C12">
        <w:rPr>
          <w:rFonts w:asciiTheme="majorHAnsi" w:hAnsiTheme="majorHAnsi" w:cstheme="minorHAnsi"/>
          <w:lang w:val="fr-FR"/>
        </w:rPr>
        <w:t>sur</w:t>
      </w:r>
      <w:r w:rsidR="00F47A89" w:rsidRPr="001D2C12">
        <w:rPr>
          <w:rFonts w:asciiTheme="majorHAnsi" w:hAnsiTheme="majorHAnsi" w:cstheme="minorHAnsi"/>
          <w:lang w:val="fr-FR"/>
        </w:rPr>
        <w:t xml:space="preserve"> l’application des ODD et </w:t>
      </w:r>
      <w:r w:rsidR="00D73A16" w:rsidRPr="001D2C12">
        <w:rPr>
          <w:rFonts w:asciiTheme="majorHAnsi" w:hAnsiTheme="majorHAnsi" w:cstheme="minorHAnsi"/>
          <w:lang w:val="fr-FR"/>
        </w:rPr>
        <w:t xml:space="preserve">sera </w:t>
      </w:r>
      <w:r w:rsidR="00503063" w:rsidRPr="001D2C12">
        <w:rPr>
          <w:rFonts w:asciiTheme="majorHAnsi" w:hAnsiTheme="majorHAnsi" w:cstheme="minorHAnsi"/>
          <w:lang w:val="fr-FR"/>
        </w:rPr>
        <w:t xml:space="preserve">complété </w:t>
      </w:r>
      <w:r w:rsidR="00D73A16" w:rsidRPr="001D2C12">
        <w:rPr>
          <w:rFonts w:asciiTheme="majorHAnsi" w:hAnsiTheme="majorHAnsi" w:cstheme="minorHAnsi"/>
          <w:lang w:val="fr-FR"/>
        </w:rPr>
        <w:t>par</w:t>
      </w:r>
      <w:r w:rsidR="00F47A89" w:rsidRPr="001D2C12">
        <w:rPr>
          <w:rFonts w:asciiTheme="majorHAnsi" w:hAnsiTheme="majorHAnsi" w:cstheme="minorHAnsi"/>
          <w:lang w:val="fr-FR"/>
        </w:rPr>
        <w:t xml:space="preserve"> des rapports</w:t>
      </w:r>
      <w:r w:rsidR="00FA49A7" w:rsidRPr="001D2C12">
        <w:rPr>
          <w:rFonts w:asciiTheme="majorHAnsi" w:hAnsiTheme="majorHAnsi" w:cstheme="minorHAnsi"/>
          <w:lang w:val="fr-FR"/>
        </w:rPr>
        <w:t xml:space="preserve"> de suivi en 2020, 2026 et 2030. </w:t>
      </w:r>
      <w:r w:rsidR="00F47A89" w:rsidRPr="001D2C12">
        <w:rPr>
          <w:rFonts w:asciiTheme="majorHAnsi" w:hAnsiTheme="majorHAnsi" w:cstheme="minorHAnsi"/>
          <w:lang w:val="fr-FR"/>
        </w:rPr>
        <w:t xml:space="preserve"> </w:t>
      </w:r>
    </w:p>
    <w:p w14:paraId="25A0D1A3" w14:textId="77777777" w:rsidR="00503063" w:rsidRPr="001D2C12" w:rsidRDefault="00503063" w:rsidP="001D2C12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</w:p>
    <w:p w14:paraId="16FB4AFF" w14:textId="2448A675" w:rsidR="0002091A" w:rsidRDefault="0066494D" w:rsidP="0002091A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 xml:space="preserve">En </w:t>
      </w:r>
      <w:r w:rsidR="00350AA9" w:rsidRPr="001D2C12">
        <w:rPr>
          <w:rFonts w:asciiTheme="majorHAnsi" w:hAnsiTheme="majorHAnsi" w:cstheme="minorHAnsi"/>
          <w:lang w:val="fr-FR"/>
        </w:rPr>
        <w:t>dépit</w:t>
      </w:r>
      <w:r w:rsidRPr="001D2C12">
        <w:rPr>
          <w:rFonts w:asciiTheme="majorHAnsi" w:hAnsiTheme="majorHAnsi" w:cstheme="minorHAnsi"/>
          <w:lang w:val="fr-FR"/>
        </w:rPr>
        <w:t xml:space="preserve"> du nombre impressionnant de</w:t>
      </w:r>
      <w:r w:rsidR="00F91232" w:rsidRPr="001D2C12">
        <w:rPr>
          <w:rFonts w:asciiTheme="majorHAnsi" w:hAnsiTheme="majorHAnsi" w:cstheme="minorHAnsi"/>
          <w:lang w:val="fr-FR"/>
        </w:rPr>
        <w:t>s</w:t>
      </w:r>
      <w:r w:rsidRPr="001D2C12">
        <w:rPr>
          <w:rFonts w:asciiTheme="majorHAnsi" w:hAnsiTheme="majorHAnsi" w:cstheme="minorHAnsi"/>
          <w:lang w:val="fr-FR"/>
        </w:rPr>
        <w:t xml:space="preserve"> réalisations, et d</w:t>
      </w:r>
      <w:r w:rsidR="00762C28" w:rsidRPr="001D2C12">
        <w:rPr>
          <w:rFonts w:asciiTheme="majorHAnsi" w:hAnsiTheme="majorHAnsi" w:cstheme="minorHAnsi"/>
          <w:lang w:val="fr-FR"/>
        </w:rPr>
        <w:t>u</w:t>
      </w:r>
      <w:r w:rsidRPr="001D2C12">
        <w:rPr>
          <w:rFonts w:asciiTheme="majorHAnsi" w:hAnsiTheme="majorHAnsi" w:cstheme="minorHAnsi"/>
          <w:lang w:val="fr-FR"/>
        </w:rPr>
        <w:t xml:space="preserve"> travail </w:t>
      </w:r>
      <w:r w:rsidR="00762C28" w:rsidRPr="001D2C12">
        <w:rPr>
          <w:rFonts w:asciiTheme="majorHAnsi" w:hAnsiTheme="majorHAnsi" w:cstheme="minorHAnsi"/>
          <w:lang w:val="fr-FR"/>
        </w:rPr>
        <w:t xml:space="preserve">acharné </w:t>
      </w:r>
      <w:r w:rsidRPr="001D2C12">
        <w:rPr>
          <w:rFonts w:asciiTheme="majorHAnsi" w:hAnsiTheme="majorHAnsi" w:cstheme="minorHAnsi"/>
          <w:lang w:val="fr-FR"/>
        </w:rPr>
        <w:t xml:space="preserve">de plaidoyer </w:t>
      </w:r>
      <w:r w:rsidR="00762C28" w:rsidRPr="001D2C12">
        <w:rPr>
          <w:rFonts w:asciiTheme="majorHAnsi" w:hAnsiTheme="majorHAnsi" w:cstheme="minorHAnsi"/>
          <w:lang w:val="fr-FR"/>
        </w:rPr>
        <w:t xml:space="preserve">mené par les Organisations de Personnes handicapées (OPH) </w:t>
      </w:r>
      <w:r w:rsidR="00ED76C0" w:rsidRPr="001D2C12">
        <w:rPr>
          <w:rFonts w:asciiTheme="majorHAnsi" w:hAnsiTheme="majorHAnsi" w:cstheme="minorHAnsi"/>
          <w:lang w:val="fr-FR"/>
        </w:rPr>
        <w:t>et leurs alliés, le rapport abouti</w:t>
      </w:r>
      <w:r w:rsidR="00C869C2" w:rsidRPr="001D2C12">
        <w:rPr>
          <w:rFonts w:asciiTheme="majorHAnsi" w:hAnsiTheme="majorHAnsi" w:cstheme="minorHAnsi"/>
          <w:lang w:val="fr-FR"/>
        </w:rPr>
        <w:t>t</w:t>
      </w:r>
      <w:r w:rsidR="00ED76C0" w:rsidRPr="001D2C12">
        <w:rPr>
          <w:rFonts w:asciiTheme="majorHAnsi" w:hAnsiTheme="majorHAnsi" w:cstheme="minorHAnsi"/>
          <w:lang w:val="fr-FR"/>
        </w:rPr>
        <w:t xml:space="preserve"> à la conclusion selon laquelle </w:t>
      </w:r>
      <w:r w:rsidR="00ED0A11" w:rsidRPr="001D2C12">
        <w:rPr>
          <w:rFonts w:asciiTheme="majorHAnsi" w:hAnsiTheme="majorHAnsi" w:cstheme="minorHAnsi"/>
          <w:lang w:val="fr-FR"/>
        </w:rPr>
        <w:t xml:space="preserve">les problèmes auxquelles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ED0A11" w:rsidRPr="001D2C12">
        <w:rPr>
          <w:rFonts w:asciiTheme="majorHAnsi" w:hAnsiTheme="majorHAnsi" w:cstheme="minorHAnsi"/>
          <w:lang w:val="fr-FR"/>
        </w:rPr>
        <w:t xml:space="preserve"> font face ont dans une large mesure été ignorés. </w:t>
      </w:r>
      <w:r w:rsidR="007D34CE" w:rsidRPr="001D2C12">
        <w:rPr>
          <w:rFonts w:asciiTheme="majorHAnsi" w:hAnsiTheme="majorHAnsi" w:cstheme="minorHAnsi"/>
          <w:lang w:val="fr-FR"/>
        </w:rPr>
        <w:t xml:space="preserve">Par conséquent,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02091A">
        <w:rPr>
          <w:rFonts w:asciiTheme="majorHAnsi" w:hAnsiTheme="majorHAnsi" w:cstheme="minorHAnsi"/>
          <w:lang w:val="fr-FR"/>
        </w:rPr>
        <w:t xml:space="preserve"> </w:t>
      </w:r>
      <w:r w:rsidR="007D34CE" w:rsidRPr="001D2C12">
        <w:rPr>
          <w:rFonts w:asciiTheme="majorHAnsi" w:hAnsiTheme="majorHAnsi" w:cstheme="minorHAnsi"/>
          <w:lang w:val="fr-FR"/>
        </w:rPr>
        <w:t xml:space="preserve">se trouvent "laissées </w:t>
      </w:r>
      <w:r w:rsidR="00503063" w:rsidRPr="001D2C12">
        <w:rPr>
          <w:rFonts w:asciiTheme="majorHAnsi" w:hAnsiTheme="majorHAnsi" w:cstheme="minorHAnsi"/>
          <w:lang w:val="fr-FR"/>
        </w:rPr>
        <w:t>de côté</w:t>
      </w:r>
      <w:r w:rsidR="007D34CE" w:rsidRPr="001D2C12">
        <w:rPr>
          <w:rFonts w:asciiTheme="majorHAnsi" w:hAnsiTheme="majorHAnsi" w:cstheme="minorHAnsi"/>
          <w:lang w:val="fr-FR"/>
        </w:rPr>
        <w:t>"</w:t>
      </w:r>
      <w:r w:rsidR="0002091A">
        <w:rPr>
          <w:rFonts w:asciiTheme="majorHAnsi" w:hAnsiTheme="majorHAnsi" w:cstheme="minorHAnsi"/>
          <w:lang w:val="fr-FR"/>
        </w:rPr>
        <w:t>.</w:t>
      </w:r>
    </w:p>
    <w:p w14:paraId="34F2C53D" w14:textId="354BA88E" w:rsidR="007D7C8E" w:rsidRPr="001D2C12" w:rsidRDefault="007D7C8E" w:rsidP="0002091A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</w:p>
    <w:p w14:paraId="4692646F" w14:textId="105BA4B6" w:rsidR="0050566A" w:rsidRPr="001D2C12" w:rsidRDefault="006E46B0" w:rsidP="00CB540B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  <w:r>
        <w:rPr>
          <w:rFonts w:asciiTheme="majorHAnsi" w:hAnsiTheme="majorHAnsi" w:cstheme="minorHAnsi"/>
          <w:lang w:val="fr-FR"/>
        </w:rPr>
        <w:t>C</w:t>
      </w:r>
      <w:r w:rsidR="005F065D" w:rsidRPr="001D2C12">
        <w:rPr>
          <w:rFonts w:asciiTheme="majorHAnsi" w:hAnsiTheme="majorHAnsi" w:cstheme="minorHAnsi"/>
          <w:lang w:val="fr-FR"/>
        </w:rPr>
        <w:t xml:space="preserve">ombinant </w:t>
      </w:r>
      <w:r w:rsidR="0002091A" w:rsidRPr="001D2C12">
        <w:rPr>
          <w:rFonts w:asciiTheme="majorHAnsi" w:hAnsiTheme="majorHAnsi" w:cstheme="minorHAnsi"/>
          <w:lang w:val="fr-FR"/>
        </w:rPr>
        <w:t xml:space="preserve">la plus large </w:t>
      </w:r>
      <w:r w:rsidR="005F065D" w:rsidRPr="001D2C12">
        <w:rPr>
          <w:rFonts w:asciiTheme="majorHAnsi" w:hAnsiTheme="majorHAnsi" w:cstheme="minorHAnsi"/>
          <w:lang w:val="fr-FR"/>
        </w:rPr>
        <w:t>analyse</w:t>
      </w:r>
      <w:r w:rsidR="00580DC1" w:rsidRPr="001D2C12">
        <w:rPr>
          <w:rFonts w:asciiTheme="majorHAnsi" w:hAnsiTheme="majorHAnsi" w:cstheme="minorHAnsi"/>
          <w:lang w:val="fr-FR"/>
        </w:rPr>
        <w:t xml:space="preserve"> </w:t>
      </w:r>
      <w:r w:rsidR="00D56F7F" w:rsidRPr="001D2C12">
        <w:rPr>
          <w:rFonts w:asciiTheme="majorHAnsi" w:hAnsiTheme="majorHAnsi" w:cstheme="minorHAnsi"/>
          <w:lang w:val="fr-FR"/>
        </w:rPr>
        <w:t>de</w:t>
      </w:r>
      <w:r w:rsidR="0002091A">
        <w:rPr>
          <w:rFonts w:asciiTheme="majorHAnsi" w:hAnsiTheme="majorHAnsi" w:cstheme="minorHAnsi"/>
          <w:lang w:val="fr-FR"/>
        </w:rPr>
        <w:t xml:space="preserve"> données sur les </w:t>
      </w:r>
      <w:r w:rsidR="00D56F7F" w:rsidRPr="001D2C12">
        <w:rPr>
          <w:rFonts w:asciiTheme="majorHAnsi" w:hAnsiTheme="majorHAnsi" w:cstheme="minorHAnsi"/>
          <w:lang w:val="fr-FR"/>
        </w:rPr>
        <w:t xml:space="preserve">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D56F7F" w:rsidRPr="001D2C12">
        <w:rPr>
          <w:rFonts w:asciiTheme="majorHAnsi" w:hAnsiTheme="majorHAnsi" w:cstheme="minorHAnsi"/>
          <w:lang w:val="fr-FR"/>
        </w:rPr>
        <w:t xml:space="preserve"> </w:t>
      </w:r>
      <w:r w:rsidR="004B2D15" w:rsidRPr="001D2C12">
        <w:rPr>
          <w:rFonts w:asciiTheme="majorHAnsi" w:hAnsiTheme="majorHAnsi" w:cstheme="minorHAnsi"/>
          <w:lang w:val="fr-FR"/>
        </w:rPr>
        <w:t xml:space="preserve">jamais réalisée </w:t>
      </w:r>
      <w:r w:rsidR="002A0182" w:rsidRPr="001D2C12">
        <w:rPr>
          <w:rFonts w:asciiTheme="majorHAnsi" w:hAnsiTheme="majorHAnsi" w:cstheme="minorHAnsi"/>
          <w:lang w:val="fr-FR"/>
        </w:rPr>
        <w:t>(</w:t>
      </w:r>
      <w:r w:rsidR="005E7817" w:rsidRPr="001D2C12">
        <w:rPr>
          <w:rFonts w:asciiTheme="majorHAnsi" w:hAnsiTheme="majorHAnsi" w:cstheme="minorHAnsi"/>
          <w:lang w:val="fr-FR"/>
        </w:rPr>
        <w:t>désagrégation de 22 enquête</w:t>
      </w:r>
      <w:r w:rsidR="003E2826" w:rsidRPr="001D2C12">
        <w:rPr>
          <w:rFonts w:asciiTheme="majorHAnsi" w:hAnsiTheme="majorHAnsi" w:cstheme="minorHAnsi"/>
          <w:lang w:val="fr-FR"/>
        </w:rPr>
        <w:t>s</w:t>
      </w:r>
      <w:r w:rsidR="005E7817" w:rsidRPr="001D2C12">
        <w:rPr>
          <w:rFonts w:asciiTheme="majorHAnsi" w:hAnsiTheme="majorHAnsi" w:cstheme="minorHAnsi"/>
          <w:lang w:val="fr-FR"/>
        </w:rPr>
        <w:t xml:space="preserve"> de population </w:t>
      </w:r>
      <w:r w:rsidR="001C293C" w:rsidRPr="001D2C12">
        <w:rPr>
          <w:rFonts w:asciiTheme="majorHAnsi" w:hAnsiTheme="majorHAnsi" w:cstheme="minorHAnsi"/>
          <w:lang w:val="fr-FR"/>
        </w:rPr>
        <w:t xml:space="preserve">provenant de pays à faible revenu, à revenu </w:t>
      </w:r>
      <w:r w:rsidR="003E2826" w:rsidRPr="001D2C12">
        <w:rPr>
          <w:rFonts w:asciiTheme="majorHAnsi" w:hAnsiTheme="majorHAnsi" w:cstheme="minorHAnsi"/>
          <w:lang w:val="fr-FR"/>
        </w:rPr>
        <w:t>intermédiaire</w:t>
      </w:r>
      <w:r w:rsidR="001C293C" w:rsidRPr="001D2C12">
        <w:rPr>
          <w:rFonts w:asciiTheme="majorHAnsi" w:hAnsiTheme="majorHAnsi" w:cstheme="minorHAnsi"/>
          <w:lang w:val="fr-FR"/>
        </w:rPr>
        <w:t xml:space="preserve"> et </w:t>
      </w:r>
      <w:r w:rsidR="003E2826" w:rsidRPr="001D2C12">
        <w:rPr>
          <w:rFonts w:asciiTheme="majorHAnsi" w:hAnsiTheme="majorHAnsi" w:cstheme="minorHAnsi"/>
          <w:lang w:val="fr-FR"/>
        </w:rPr>
        <w:t>à revenu élevé)</w:t>
      </w:r>
      <w:r w:rsidR="00B41AB3" w:rsidRPr="001D2C12">
        <w:rPr>
          <w:rFonts w:asciiTheme="majorHAnsi" w:hAnsiTheme="majorHAnsi" w:cstheme="minorHAnsi"/>
          <w:lang w:val="fr-FR"/>
        </w:rPr>
        <w:t>,</w:t>
      </w:r>
      <w:r>
        <w:rPr>
          <w:rFonts w:asciiTheme="majorHAnsi" w:hAnsiTheme="majorHAnsi" w:cstheme="minorHAnsi"/>
          <w:lang w:val="fr-FR"/>
        </w:rPr>
        <w:t xml:space="preserve"> </w:t>
      </w:r>
      <w:r w:rsidR="00B41AB3" w:rsidRPr="001D2C12">
        <w:rPr>
          <w:rFonts w:asciiTheme="majorHAnsi" w:hAnsiTheme="majorHAnsi" w:cstheme="minorHAnsi"/>
          <w:lang w:val="fr-FR"/>
        </w:rPr>
        <w:t>un</w:t>
      </w:r>
      <w:r w:rsidR="0002091A">
        <w:rPr>
          <w:rFonts w:asciiTheme="majorHAnsi" w:hAnsiTheme="majorHAnsi" w:cstheme="minorHAnsi"/>
          <w:lang w:val="fr-FR"/>
        </w:rPr>
        <w:t xml:space="preserve">e revue </w:t>
      </w:r>
      <w:r w:rsidR="00B41AB3" w:rsidRPr="001D2C12">
        <w:rPr>
          <w:rFonts w:asciiTheme="majorHAnsi" w:hAnsiTheme="majorHAnsi" w:cstheme="minorHAnsi"/>
          <w:lang w:val="fr-FR"/>
        </w:rPr>
        <w:t>de la littérature</w:t>
      </w:r>
      <w:r w:rsidR="0002091A">
        <w:rPr>
          <w:rFonts w:asciiTheme="majorHAnsi" w:hAnsiTheme="majorHAnsi" w:cstheme="minorHAnsi"/>
          <w:lang w:val="fr-FR"/>
        </w:rPr>
        <w:t xml:space="preserve"> académique</w:t>
      </w:r>
      <w:r>
        <w:rPr>
          <w:rFonts w:asciiTheme="majorHAnsi" w:hAnsiTheme="majorHAnsi" w:cstheme="minorHAnsi"/>
          <w:lang w:val="fr-FR"/>
        </w:rPr>
        <w:t>, de</w:t>
      </w:r>
      <w:r w:rsidR="00FA5508" w:rsidRPr="001D2C12">
        <w:rPr>
          <w:rFonts w:asciiTheme="majorHAnsi" w:hAnsiTheme="majorHAnsi" w:cstheme="minorHAnsi"/>
          <w:lang w:val="fr-FR"/>
        </w:rPr>
        <w:t xml:space="preserve">ux enquêtes </w:t>
      </w:r>
      <w:r w:rsidR="00391B86" w:rsidRPr="001D2C12">
        <w:rPr>
          <w:rFonts w:asciiTheme="majorHAnsi" w:hAnsiTheme="majorHAnsi" w:cstheme="minorHAnsi"/>
          <w:lang w:val="fr-FR"/>
        </w:rPr>
        <w:t>réalisées</w:t>
      </w:r>
      <w:r w:rsidR="00FA5508" w:rsidRPr="001D2C12">
        <w:rPr>
          <w:rFonts w:asciiTheme="majorHAnsi" w:hAnsiTheme="majorHAnsi" w:cstheme="minorHAnsi"/>
          <w:lang w:val="fr-FR"/>
        </w:rPr>
        <w:t xml:space="preserve"> </w:t>
      </w:r>
      <w:r w:rsidR="00720649" w:rsidRPr="001D2C12">
        <w:rPr>
          <w:rFonts w:asciiTheme="majorHAnsi" w:hAnsiTheme="majorHAnsi" w:cstheme="minorHAnsi"/>
          <w:lang w:val="fr-FR"/>
        </w:rPr>
        <w:t xml:space="preserve">parmi les membres et partenaires de </w:t>
      </w:r>
      <w:r w:rsidR="00CB540B">
        <w:rPr>
          <w:rFonts w:asciiTheme="majorHAnsi" w:hAnsiTheme="majorHAnsi" w:cstheme="minorHAnsi"/>
          <w:lang w:val="fr-FR"/>
        </w:rPr>
        <w:t xml:space="preserve">WFDB </w:t>
      </w:r>
      <w:r w:rsidR="00720649" w:rsidRPr="001D2C12">
        <w:rPr>
          <w:rFonts w:asciiTheme="majorHAnsi" w:hAnsiTheme="majorHAnsi" w:cstheme="minorHAnsi"/>
          <w:lang w:val="fr-FR"/>
        </w:rPr>
        <w:t xml:space="preserve">et de l’organisation </w:t>
      </w:r>
      <w:proofErr w:type="spellStart"/>
      <w:r w:rsidR="00720649" w:rsidRPr="001D2C12">
        <w:rPr>
          <w:rFonts w:asciiTheme="majorHAnsi" w:hAnsiTheme="majorHAnsi" w:cstheme="minorHAnsi"/>
          <w:lang w:val="fr-FR"/>
        </w:rPr>
        <w:t>Sense</w:t>
      </w:r>
      <w:proofErr w:type="spellEnd"/>
      <w:r w:rsidR="00720649" w:rsidRPr="001D2C12">
        <w:rPr>
          <w:rFonts w:asciiTheme="majorHAnsi" w:hAnsiTheme="majorHAnsi" w:cstheme="minorHAnsi"/>
          <w:lang w:val="fr-FR"/>
        </w:rPr>
        <w:t xml:space="preserve"> International, </w:t>
      </w:r>
      <w:r w:rsidR="00391B86" w:rsidRPr="001D2C12">
        <w:rPr>
          <w:rFonts w:asciiTheme="majorHAnsi" w:hAnsiTheme="majorHAnsi" w:cstheme="minorHAnsi"/>
          <w:lang w:val="fr-FR"/>
        </w:rPr>
        <w:t xml:space="preserve">et </w:t>
      </w:r>
      <w:r>
        <w:rPr>
          <w:rFonts w:asciiTheme="majorHAnsi" w:hAnsiTheme="majorHAnsi" w:cstheme="minorHAnsi"/>
          <w:lang w:val="fr-FR"/>
        </w:rPr>
        <w:t>des</w:t>
      </w:r>
      <w:r w:rsidR="00391B86" w:rsidRPr="001D2C12">
        <w:rPr>
          <w:rFonts w:asciiTheme="majorHAnsi" w:hAnsiTheme="majorHAnsi" w:cstheme="minorHAnsi"/>
          <w:lang w:val="fr-FR"/>
        </w:rPr>
        <w:t xml:space="preserve"> consultations menées </w:t>
      </w:r>
      <w:r w:rsidR="00B41AB3" w:rsidRPr="001D2C12">
        <w:rPr>
          <w:rFonts w:asciiTheme="majorHAnsi" w:hAnsiTheme="majorHAnsi" w:cstheme="minorHAnsi"/>
          <w:lang w:val="fr-FR"/>
        </w:rPr>
        <w:t xml:space="preserve">auprès de </w:t>
      </w:r>
      <w:r w:rsidR="00FA5508" w:rsidRPr="001D2C12">
        <w:rPr>
          <w:rFonts w:asciiTheme="majorHAnsi" w:hAnsiTheme="majorHAnsi" w:cstheme="minorHAnsi"/>
          <w:lang w:val="fr-FR"/>
        </w:rPr>
        <w:t xml:space="preserve">plus de 75 femmes et hommes sourdaveugles </w:t>
      </w:r>
      <w:r>
        <w:rPr>
          <w:rFonts w:asciiTheme="majorHAnsi" w:hAnsiTheme="majorHAnsi" w:cstheme="minorHAnsi"/>
          <w:lang w:val="fr-FR"/>
        </w:rPr>
        <w:t xml:space="preserve">du monde entier </w:t>
      </w:r>
      <w:r w:rsidR="00391B86" w:rsidRPr="001D2C12">
        <w:rPr>
          <w:rFonts w:asciiTheme="majorHAnsi" w:hAnsiTheme="majorHAnsi" w:cstheme="minorHAnsi"/>
          <w:lang w:val="fr-FR"/>
        </w:rPr>
        <w:t xml:space="preserve">ayant pris part </w:t>
      </w:r>
      <w:r w:rsidR="00C747F3" w:rsidRPr="001D2C12">
        <w:rPr>
          <w:rFonts w:asciiTheme="majorHAnsi" w:hAnsiTheme="majorHAnsi" w:cstheme="minorHAnsi"/>
          <w:lang w:val="fr-FR"/>
        </w:rPr>
        <w:t xml:space="preserve">à la Conférence </w:t>
      </w:r>
      <w:r w:rsidR="003C29E6" w:rsidRPr="001D2C12">
        <w:rPr>
          <w:rFonts w:asciiTheme="majorHAnsi" w:hAnsiTheme="majorHAnsi" w:cstheme="minorHAnsi"/>
          <w:lang w:val="fr-FR"/>
        </w:rPr>
        <w:t xml:space="preserve">Mondiale Helen Keller en Juin 2018, ce rapport initial mondial cherche à examiner si les </w:t>
      </w:r>
      <w:r w:rsidR="00C56732" w:rsidRPr="001D2C12">
        <w:rPr>
          <w:rFonts w:asciiTheme="majorHAnsi" w:hAnsiTheme="majorHAnsi" w:cstheme="minorHAnsi"/>
          <w:lang w:val="fr-FR"/>
        </w:rPr>
        <w:t>gouvernements à travers le monde répondent aux besoins</w:t>
      </w:r>
      <w:r w:rsidR="003C29E6" w:rsidRPr="001D2C12">
        <w:rPr>
          <w:rFonts w:asciiTheme="majorHAnsi" w:hAnsiTheme="majorHAnsi" w:cstheme="minorHAnsi"/>
          <w:lang w:val="fr-FR"/>
        </w:rPr>
        <w:t xml:space="preserve"> des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3C29E6" w:rsidRPr="001D2C12">
        <w:rPr>
          <w:rFonts w:asciiTheme="majorHAnsi" w:hAnsiTheme="majorHAnsi" w:cstheme="minorHAnsi"/>
          <w:lang w:val="fr-FR"/>
        </w:rPr>
        <w:t xml:space="preserve">, tels que reconnus par la </w:t>
      </w:r>
      <w:r w:rsidR="00172BD5" w:rsidRPr="001D2C12">
        <w:rPr>
          <w:rFonts w:asciiTheme="majorHAnsi" w:hAnsiTheme="majorHAnsi" w:cstheme="minorHAnsi"/>
          <w:lang w:val="fr-FR"/>
        </w:rPr>
        <w:t>CDPH</w:t>
      </w:r>
      <w:r w:rsidR="00C56732" w:rsidRPr="001D2C12">
        <w:rPr>
          <w:rFonts w:asciiTheme="majorHAnsi" w:hAnsiTheme="majorHAnsi" w:cstheme="minorHAnsi"/>
          <w:lang w:val="fr-FR"/>
        </w:rPr>
        <w:t>.</w:t>
      </w:r>
    </w:p>
    <w:p w14:paraId="7B97EBD4" w14:textId="77777777" w:rsidR="00A20D43" w:rsidRPr="001D2C12" w:rsidRDefault="00A20D43" w:rsidP="001D2C12">
      <w:pPr>
        <w:tabs>
          <w:tab w:val="left" w:pos="180"/>
        </w:tabs>
        <w:spacing w:line="240" w:lineRule="auto"/>
        <w:jc w:val="both"/>
        <w:rPr>
          <w:rFonts w:asciiTheme="majorHAnsi" w:hAnsiTheme="majorHAnsi" w:cstheme="minorHAnsi"/>
          <w:lang w:val="fr-FR"/>
        </w:rPr>
      </w:pPr>
    </w:p>
    <w:p w14:paraId="3F3D4284" w14:textId="770395E9" w:rsidR="001F5D7D" w:rsidRPr="001D2C12" w:rsidRDefault="004E7060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b/>
          <w:sz w:val="24"/>
          <w:szCs w:val="24"/>
          <w:lang w:val="fr-FR"/>
        </w:rPr>
      </w:pPr>
      <w:bookmarkStart w:id="0" w:name="_Toc524071175"/>
      <w:bookmarkStart w:id="1" w:name="_Toc510784466"/>
      <w:bookmarkStart w:id="2" w:name="_Toc510470732"/>
      <w:bookmarkStart w:id="3" w:name="_Toc510470658"/>
      <w:bookmarkStart w:id="4" w:name="_Toc510470441"/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>La</w:t>
      </w:r>
      <w:r w:rsidR="001F5D7D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diversit</w:t>
      </w: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>é</w:t>
      </w:r>
      <w:r w:rsidR="001F5D7D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</w:t>
      </w: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>des</w:t>
      </w:r>
      <w:r w:rsidR="001F5D7D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</w:t>
      </w:r>
      <w:bookmarkEnd w:id="0"/>
      <w:bookmarkEnd w:id="1"/>
      <w:bookmarkEnd w:id="2"/>
      <w:bookmarkEnd w:id="3"/>
      <w:bookmarkEnd w:id="4"/>
      <w:r w:rsidR="00A47EDA">
        <w:rPr>
          <w:rFonts w:asciiTheme="majorHAnsi" w:hAnsiTheme="majorHAnsi" w:cstheme="minorHAnsi"/>
          <w:b/>
          <w:sz w:val="24"/>
          <w:szCs w:val="24"/>
          <w:lang w:val="fr-FR"/>
        </w:rPr>
        <w:t>personnes ayant une surdicécité</w:t>
      </w:r>
      <w:r w:rsidR="001F5D7D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</w:t>
      </w:r>
    </w:p>
    <w:p w14:paraId="4654C924" w14:textId="61AFCEA7" w:rsidR="004E7060" w:rsidRPr="001D2C12" w:rsidRDefault="004E7060" w:rsidP="00AF4588">
      <w:pPr>
        <w:pStyle w:val="CommentText"/>
        <w:tabs>
          <w:tab w:val="left" w:pos="180"/>
        </w:tabs>
        <w:spacing w:after="8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La surdicécité est souvent sous-estimé</w:t>
      </w:r>
      <w:r w:rsidR="00B4364B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mal comprise</w:t>
      </w:r>
      <w:r w:rsidR="00D56F3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 ; ce qui contribue de </w:t>
      </w:r>
      <w:r w:rsidR="001017BF" w:rsidRPr="001D2C12">
        <w:rPr>
          <w:rFonts w:asciiTheme="majorHAnsi" w:hAnsiTheme="majorHAnsi" w:cstheme="minorHAnsi"/>
          <w:color w:val="000000" w:themeColor="text1"/>
          <w:lang w:val="fr-FR"/>
        </w:rPr>
        <w:t>façon</w:t>
      </w:r>
      <w:r w:rsidR="00D56F3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significative </w:t>
      </w:r>
      <w:r w:rsidR="00B4364B" w:rsidRPr="001D2C12">
        <w:rPr>
          <w:rFonts w:asciiTheme="majorHAnsi" w:hAnsiTheme="majorHAnsi" w:cstheme="minorHAnsi"/>
          <w:color w:val="000000" w:themeColor="text1"/>
          <w:lang w:val="fr-FR"/>
        </w:rPr>
        <w:t>à la création de</w:t>
      </w:r>
      <w:r w:rsidR="0062452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 nombreuses </w:t>
      </w:r>
      <w:r w:rsidR="00B4364B" w:rsidRPr="001D2C12">
        <w:rPr>
          <w:rFonts w:asciiTheme="majorHAnsi" w:hAnsiTheme="majorHAnsi" w:cstheme="minorHAnsi"/>
          <w:color w:val="000000" w:themeColor="text1"/>
          <w:lang w:val="fr-FR"/>
        </w:rPr>
        <w:t>barrière</w:t>
      </w:r>
      <w:r w:rsidR="002E6D76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B4364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62452F" w:rsidRPr="001D2C12">
        <w:rPr>
          <w:rFonts w:asciiTheme="majorHAnsi" w:hAnsiTheme="majorHAnsi" w:cstheme="minorHAnsi"/>
          <w:color w:val="000000" w:themeColor="text1"/>
          <w:lang w:val="fr-FR"/>
        </w:rPr>
        <w:t>que rencont</w:t>
      </w:r>
      <w:r w:rsidR="00F87E72" w:rsidRPr="001D2C12">
        <w:rPr>
          <w:rFonts w:asciiTheme="majorHAnsi" w:hAnsiTheme="majorHAnsi" w:cstheme="minorHAnsi"/>
          <w:color w:val="000000" w:themeColor="text1"/>
          <w:lang w:val="fr-FR"/>
        </w:rPr>
        <w:t>r</w:t>
      </w:r>
      <w:r w:rsidR="0062452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ent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62452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6E46B0">
        <w:rPr>
          <w:rFonts w:asciiTheme="majorHAnsi" w:hAnsiTheme="majorHAnsi" w:cstheme="minorHAnsi"/>
          <w:color w:val="000000" w:themeColor="text1"/>
          <w:lang w:val="fr-FR"/>
        </w:rPr>
        <w:t xml:space="preserve">Si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62452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sont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totalement sourdes </w:t>
      </w:r>
      <w:r w:rsidR="006E46B0">
        <w:rPr>
          <w:rFonts w:asciiTheme="majorHAnsi" w:hAnsiTheme="majorHAnsi" w:cstheme="minorHAnsi"/>
          <w:color w:val="000000" w:themeColor="text1"/>
          <w:lang w:val="fr-FR"/>
        </w:rPr>
        <w:t>et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totalement aveugles</w:t>
      </w:r>
      <w:r w:rsidR="0062452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8C44E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d’autres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>peuvent s’appuyer sur</w:t>
      </w:r>
      <w:r w:rsidR="00AF4588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>une vision et/ou une audition limitée</w:t>
      </w:r>
      <w:r w:rsidR="00B366A3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67B0B9E6" w14:textId="400A7CC2" w:rsidR="00B366A3" w:rsidRPr="001D2C12" w:rsidRDefault="00B366A3" w:rsidP="007642C2">
      <w:pPr>
        <w:pStyle w:val="CommentText"/>
        <w:tabs>
          <w:tab w:val="left" w:pos="180"/>
        </w:tabs>
        <w:spacing w:after="8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se basant sur la définition nordique </w:t>
      </w:r>
      <w:r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&lt;EndNote&gt;&lt;Cite&gt;&lt;Author&gt;The Deafblind Nordic Cooperation Committee&lt;/Author&gt;&lt;Year&gt;n.d.&lt;/Year&gt;&lt;RecNum&gt;155&lt;/RecNum&gt;&lt;DisplayText&gt;[3]&lt;/DisplayText&gt;&lt;record&gt;&lt;rec-number&gt;155&lt;/rec-number&gt;&lt;foreign-keys&gt;&lt;key app="EN" db-id="wz5eaf5a0st2s6e2pec55fs0z9dvftws5pre" timestamp="1528131171"&gt;155&lt;/key&gt;&lt;/foreign-keys&gt;&lt;ref-type name="Web Page"&gt;12&lt;/ref-type&gt;&lt;contributors&gt;&lt;authors&gt;&lt;author&gt;The Deafblind Nordic Cooperation Committee,&lt;/author&gt;&lt;/authors&gt;&lt;/contributors&gt;&lt;titles&gt;&lt;title&gt;The Nordic definition of deafblindness&lt;/title&gt;&lt;/titles&gt;&lt;volume&gt;2018&lt;/volume&gt;&lt;number&gt;June 2&lt;/number&gt;&lt;dates&gt;&lt;year&gt;n.d.&lt;/year&gt;&lt;/dates&gt;&lt;urls&gt;&lt;related-urls&gt;&lt;url&gt;http://www.fsdb.org/Filer/DBNSK%20English.pdf&lt;/url&gt;&lt;/related-urls&gt;&lt;/urls&gt;&lt;/record&gt;&lt;/Cite&gt;&lt;/EndNote&gt;</w:instrText>
      </w:r>
      <w:r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[3]</w:t>
      </w:r>
      <w:r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1B648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Fédération mondiale des sourdaveugles définit la surdicécité </w:t>
      </w:r>
      <w:r w:rsidR="00087B4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comme étant </w:t>
      </w:r>
      <w:r w:rsidR="00087B4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un handicap distinct </w:t>
      </w:r>
      <w:r w:rsidR="00EF588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découlant d’une </w:t>
      </w:r>
      <w:r w:rsidR="00C461F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double </w:t>
      </w:r>
      <w:r w:rsidR="00EF588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déficience </w:t>
      </w:r>
      <w:r w:rsidR="00C461F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sensorielle dont </w:t>
      </w:r>
      <w:r w:rsidR="007642C2">
        <w:rPr>
          <w:rFonts w:asciiTheme="majorHAnsi" w:hAnsiTheme="majorHAnsi" w:cstheme="minorHAnsi"/>
          <w:b/>
          <w:bCs/>
          <w:color w:val="000000" w:themeColor="text1"/>
          <w:lang w:val="fr-FR"/>
        </w:rPr>
        <w:t>la sévérité</w:t>
      </w:r>
      <w:r w:rsidR="00524CF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rend difficile </w:t>
      </w:r>
      <w:r w:rsidR="009C297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la possibilité de compensation mutuelle </w:t>
      </w:r>
      <w:r w:rsidR="00C72254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des pertes sensorielles</w:t>
      </w:r>
      <w:r w:rsidR="008D79A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. </w:t>
      </w:r>
      <w:r w:rsidR="00EB19F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7642C2">
        <w:rPr>
          <w:rFonts w:asciiTheme="majorHAnsi" w:hAnsiTheme="majorHAnsi" w:cstheme="minorHAnsi"/>
          <w:b/>
          <w:bCs/>
          <w:color w:val="000000" w:themeColor="text1"/>
          <w:lang w:val="fr-FR"/>
        </w:rPr>
        <w:t>E</w:t>
      </w:r>
      <w:r w:rsidR="00EB19F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n </w:t>
      </w:r>
      <w:r w:rsidR="00792591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interaction </w:t>
      </w:r>
      <w:r w:rsidR="00916BA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avec</w:t>
      </w:r>
      <w:r w:rsidR="00792591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BC101F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les barrières environnementales</w:t>
      </w:r>
      <w:r w:rsidR="00EB19F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,</w:t>
      </w:r>
      <w:r w:rsidR="00BC101F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EB19F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cette déficience </w:t>
      </w:r>
      <w:r w:rsidR="00BC101F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affecte la vie sociale</w:t>
      </w:r>
      <w:r w:rsidR="009C297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, la communication, l’accès </w:t>
      </w:r>
      <w:r w:rsidR="002E6D7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à l’information, l’orientation et la mobilité</w:t>
      </w:r>
      <w:r w:rsidR="00916BA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. </w:t>
      </w:r>
      <w:r w:rsidR="007642C2">
        <w:rPr>
          <w:rFonts w:asciiTheme="majorHAnsi" w:hAnsiTheme="majorHAnsi" w:cstheme="minorHAnsi"/>
          <w:b/>
          <w:bCs/>
          <w:color w:val="000000" w:themeColor="text1"/>
          <w:lang w:val="fr-FR"/>
        </w:rPr>
        <w:t>L</w:t>
      </w:r>
      <w:r w:rsidR="00E36F8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a réalisation de l</w:t>
      </w:r>
      <w:r w:rsidR="00D04E0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’intégration </w:t>
      </w:r>
      <w:r w:rsidR="00E36F8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et de la participation nécessite </w:t>
      </w:r>
      <w:r w:rsidR="007642C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donc </w:t>
      </w:r>
      <w:r w:rsidR="00E36F8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l’adoption de</w:t>
      </w:r>
      <w:r w:rsidR="00D04E0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mesur</w:t>
      </w:r>
      <w:r w:rsidR="00E36F8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es d’accessibilité et l’accès aux services </w:t>
      </w:r>
      <w:r w:rsidR="0007637E">
        <w:rPr>
          <w:rFonts w:asciiTheme="majorHAnsi" w:hAnsiTheme="majorHAnsi" w:cstheme="minorHAnsi"/>
          <w:b/>
          <w:bCs/>
          <w:color w:val="000000" w:themeColor="text1"/>
          <w:lang w:val="fr-FR"/>
        </w:rPr>
        <w:t>de soutien</w:t>
      </w:r>
      <w:r w:rsidR="00E36F8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spécifiques, tels que, entre autres, </w:t>
      </w:r>
      <w:r w:rsidR="00EB19F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des guides-interprètes.</w:t>
      </w:r>
    </w:p>
    <w:p w14:paraId="08511DBC" w14:textId="2C424965" w:rsidR="004E7060" w:rsidRPr="001D2C12" w:rsidRDefault="00DF279F" w:rsidP="007642C2">
      <w:pPr>
        <w:pStyle w:val="CommentText"/>
        <w:tabs>
          <w:tab w:val="left" w:pos="180"/>
        </w:tabs>
        <w:spacing w:after="8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est à noter que </w:t>
      </w:r>
      <w:r w:rsidR="00D527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 moment d’acquisition 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>d</w:t>
      </w:r>
      <w:r w:rsidR="007642C2">
        <w:rPr>
          <w:rFonts w:asciiTheme="majorHAnsi" w:hAnsiTheme="majorHAnsi" w:cstheme="minorHAnsi"/>
          <w:color w:val="000000" w:themeColor="text1"/>
          <w:lang w:val="fr-FR"/>
        </w:rPr>
        <w:t>es</w:t>
      </w:r>
      <w:r w:rsidR="00D527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déficience visuelle</w:t>
      </w:r>
      <w:r w:rsidR="007642C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D527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auditive </w:t>
      </w:r>
      <w:r w:rsidR="00ED228F" w:rsidRPr="001D2C12">
        <w:rPr>
          <w:rFonts w:asciiTheme="majorHAnsi" w:hAnsiTheme="majorHAnsi" w:cstheme="minorHAnsi"/>
          <w:color w:val="000000" w:themeColor="text1"/>
          <w:lang w:val="fr-FR"/>
        </w:rPr>
        <w:t>influence</w:t>
      </w:r>
      <w:r w:rsidR="00D527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fortement </w:t>
      </w:r>
      <w:r w:rsidR="006B2E9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6037F0" w:rsidRPr="001D2C12">
        <w:rPr>
          <w:rFonts w:asciiTheme="majorHAnsi" w:hAnsiTheme="majorHAnsi" w:cstheme="minorHAnsi"/>
          <w:color w:val="000000" w:themeColor="text1"/>
          <w:lang w:val="fr-FR"/>
        </w:rPr>
        <w:t>conséquences de la surdicécité sur la personne concernée, notamment pour ce qui a trait au</w:t>
      </w:r>
      <w:r w:rsidR="006B2E9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développement de la communication et l’acquisition du langage. C’est pourquoi, il est </w:t>
      </w:r>
      <w:r w:rsidR="00201AA1" w:rsidRPr="001D2C12">
        <w:rPr>
          <w:rFonts w:asciiTheme="majorHAnsi" w:hAnsiTheme="majorHAnsi" w:cstheme="minorHAnsi"/>
          <w:color w:val="000000" w:themeColor="text1"/>
          <w:lang w:val="fr-FR"/>
        </w:rPr>
        <w:t>import</w:t>
      </w:r>
      <w:r w:rsidR="006F7F7F" w:rsidRPr="001D2C12">
        <w:rPr>
          <w:rFonts w:asciiTheme="majorHAnsi" w:hAnsiTheme="majorHAnsi" w:cstheme="minorHAnsi"/>
          <w:color w:val="000000" w:themeColor="text1"/>
          <w:lang w:val="fr-FR"/>
        </w:rPr>
        <w:t>ant</w:t>
      </w:r>
      <w:r w:rsidR="00201A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d’établir une </w:t>
      </w:r>
      <w:r w:rsidR="00340523" w:rsidRPr="001D2C12">
        <w:rPr>
          <w:rFonts w:asciiTheme="majorHAnsi" w:hAnsiTheme="majorHAnsi" w:cstheme="minorHAnsi"/>
          <w:color w:val="000000" w:themeColor="text1"/>
          <w:lang w:val="fr-FR"/>
        </w:rPr>
        <w:t>différenciation</w:t>
      </w:r>
      <w:r w:rsidR="00201A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860862" w:rsidRPr="001D2C12">
        <w:rPr>
          <w:rFonts w:asciiTheme="majorHAnsi" w:hAnsiTheme="majorHAnsi" w:cstheme="minorHAnsi"/>
          <w:color w:val="000000" w:themeColor="text1"/>
          <w:lang w:val="fr-FR"/>
        </w:rPr>
        <w:t>entre :</w:t>
      </w:r>
    </w:p>
    <w:p w14:paraId="2499B788" w14:textId="1194A511" w:rsidR="007474A6" w:rsidRPr="001D2C12" w:rsidRDefault="00DE6E85" w:rsidP="001D2C12">
      <w:pPr>
        <w:pStyle w:val="ListParagraph"/>
        <w:numPr>
          <w:ilvl w:val="0"/>
          <w:numId w:val="12"/>
        </w:numPr>
        <w:tabs>
          <w:tab w:val="left" w:pos="180"/>
        </w:tabs>
        <w:spacing w:after="80"/>
        <w:ind w:left="426"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La </w:t>
      </w:r>
      <w:bookmarkStart w:id="5" w:name="_Hlk7346036"/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surdicécité </w:t>
      </w:r>
      <w:proofErr w:type="spellStart"/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pré</w:t>
      </w:r>
      <w:r w:rsidR="007474A6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linguale</w:t>
      </w:r>
      <w:bookmarkEnd w:id="5"/>
      <w:proofErr w:type="spellEnd"/>
      <w:r w:rsidR="00133B3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  <w:r w:rsidR="007474A6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: </w:t>
      </w:r>
      <w:r w:rsidR="007474A6" w:rsidRPr="001D2C12">
        <w:rPr>
          <w:rFonts w:asciiTheme="majorHAnsi" w:hAnsiTheme="majorHAnsi" w:cstheme="minorHAnsi"/>
          <w:color w:val="000000" w:themeColor="text1"/>
          <w:lang w:val="fr-FR"/>
        </w:rPr>
        <w:t>qui décrit une dé</w:t>
      </w:r>
      <w:r w:rsidR="0086365B" w:rsidRPr="001D2C12">
        <w:rPr>
          <w:rFonts w:asciiTheme="majorHAnsi" w:hAnsiTheme="majorHAnsi" w:cstheme="minorHAnsi"/>
          <w:color w:val="000000" w:themeColor="text1"/>
          <w:lang w:val="fr-FR"/>
        </w:rPr>
        <w:t>fi</w:t>
      </w:r>
      <w:r w:rsidR="007474A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cience visuelle et auditive acquise à la naissance ou </w:t>
      </w:r>
      <w:r w:rsidR="002D0EE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les premiers mois de la vie avant le développement </w:t>
      </w:r>
      <w:r w:rsidR="0086365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du langage. </w:t>
      </w:r>
      <w:r w:rsidR="00922405" w:rsidRPr="001D2C12">
        <w:rPr>
          <w:rFonts w:asciiTheme="majorHAnsi" w:hAnsiTheme="majorHAnsi" w:cstheme="minorHAnsi"/>
          <w:color w:val="000000" w:themeColor="text1"/>
          <w:lang w:val="fr-FR"/>
        </w:rPr>
        <w:t>Ce cas de surdicécité peut</w:t>
      </w:r>
      <w:r w:rsidR="00EC1A3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ê</w:t>
      </w:r>
      <w:r w:rsidR="0092240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tre </w:t>
      </w:r>
      <w:r w:rsidR="00EC1A3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dû aux infections durant la grossesse, </w:t>
      </w:r>
      <w:r w:rsidR="00ED228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la </w:t>
      </w:r>
      <w:r w:rsidR="00EC1A3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naissance prématurée, </w:t>
      </w:r>
      <w:r w:rsidR="00ED228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un traumatisme </w:t>
      </w:r>
      <w:r w:rsidR="00ED228F"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 xml:space="preserve">survenu à la naissance ou à des </w:t>
      </w:r>
      <w:r w:rsidR="00C45D34" w:rsidRPr="001D2C12">
        <w:rPr>
          <w:rFonts w:asciiTheme="majorHAnsi" w:hAnsiTheme="majorHAnsi" w:cstheme="minorHAnsi"/>
          <w:color w:val="000000" w:themeColor="text1"/>
          <w:lang w:val="fr-FR"/>
        </w:rPr>
        <w:t>maladies</w:t>
      </w:r>
      <w:r w:rsidR="00ED228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génétiques (</w:t>
      </w:r>
      <w:r w:rsidR="00A91AF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 exemple le syndrome de Down, le syndrome d’Usher et </w:t>
      </w:r>
      <w:r w:rsidR="00C617A2" w:rsidRPr="001D2C12">
        <w:rPr>
          <w:rFonts w:asciiTheme="majorHAnsi" w:hAnsiTheme="majorHAnsi" w:cstheme="minorHAnsi"/>
          <w:color w:val="000000" w:themeColor="text1"/>
          <w:lang w:val="fr-FR"/>
        </w:rPr>
        <w:t>le syndrome CHARGE).</w:t>
      </w:r>
    </w:p>
    <w:p w14:paraId="07F0C5D7" w14:textId="43B10A9E" w:rsidR="00C617A2" w:rsidRPr="001D2C12" w:rsidRDefault="00C617A2" w:rsidP="005F2E5A">
      <w:pPr>
        <w:pStyle w:val="ListParagraph"/>
        <w:numPr>
          <w:ilvl w:val="0"/>
          <w:numId w:val="12"/>
        </w:numPr>
        <w:tabs>
          <w:tab w:val="left" w:pos="180"/>
        </w:tabs>
        <w:spacing w:after="80"/>
        <w:ind w:left="426"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La surdicécité </w:t>
      </w:r>
      <w:proofErr w:type="spellStart"/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postlinguale</w:t>
      </w:r>
      <w:proofErr w:type="spellEnd"/>
      <w:r w:rsidR="00133B3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: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qui décrit une </w:t>
      </w:r>
      <w:r w:rsidR="007C0222" w:rsidRPr="001D2C12">
        <w:rPr>
          <w:rFonts w:asciiTheme="majorHAnsi" w:hAnsiTheme="majorHAnsi" w:cstheme="minorHAnsi"/>
          <w:color w:val="000000" w:themeColor="text1"/>
          <w:lang w:val="fr-FR"/>
        </w:rPr>
        <w:t>perte visuelle et auditive acquise suite au développement du langage (</w:t>
      </w:r>
      <w:r w:rsidR="005F2E5A" w:rsidRPr="001D2C12">
        <w:rPr>
          <w:rFonts w:asciiTheme="majorHAnsi" w:hAnsiTheme="majorHAnsi" w:cstheme="minorHAnsi"/>
          <w:color w:val="000000" w:themeColor="text1"/>
          <w:lang w:val="fr-FR"/>
        </w:rPr>
        <w:t>lang</w:t>
      </w:r>
      <w:r w:rsidR="005F2E5A">
        <w:rPr>
          <w:rFonts w:asciiTheme="majorHAnsi" w:hAnsiTheme="majorHAnsi" w:cstheme="minorHAnsi"/>
          <w:color w:val="000000" w:themeColor="text1"/>
          <w:lang w:val="fr-FR"/>
        </w:rPr>
        <w:t>a</w:t>
      </w:r>
      <w:r w:rsidR="005F2E5A" w:rsidRPr="001D2C12">
        <w:rPr>
          <w:rFonts w:asciiTheme="majorHAnsi" w:hAnsiTheme="majorHAnsi" w:cstheme="minorHAnsi"/>
          <w:color w:val="000000" w:themeColor="text1"/>
          <w:lang w:val="fr-FR"/>
        </w:rPr>
        <w:t>ge</w:t>
      </w:r>
      <w:r w:rsidR="007C02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parlé ou </w:t>
      </w:r>
      <w:r w:rsidR="00BB7CD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langue des signes). </w:t>
      </w:r>
      <w:r w:rsidR="003364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 cas de surdicécité peut survenir des suites </w:t>
      </w:r>
      <w:r w:rsidR="00E75735" w:rsidRPr="001D2C12">
        <w:rPr>
          <w:rFonts w:asciiTheme="majorHAnsi" w:hAnsiTheme="majorHAnsi" w:cstheme="minorHAnsi"/>
          <w:color w:val="000000" w:themeColor="text1"/>
          <w:lang w:val="fr-FR"/>
        </w:rPr>
        <w:t>d’une</w:t>
      </w:r>
      <w:r w:rsidR="003364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maladie</w:t>
      </w:r>
      <w:r w:rsidR="00E7573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d’un accident ou </w:t>
      </w:r>
      <w:r w:rsidR="00226973" w:rsidRPr="001D2C12">
        <w:rPr>
          <w:rFonts w:asciiTheme="majorHAnsi" w:hAnsiTheme="majorHAnsi" w:cstheme="minorHAnsi"/>
          <w:color w:val="000000" w:themeColor="text1"/>
          <w:lang w:val="fr-FR"/>
        </w:rPr>
        <w:t>peut résulter de</w:t>
      </w:r>
      <w:r w:rsidR="006A27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 </w:t>
      </w:r>
      <w:r w:rsidR="0043219D" w:rsidRPr="001D2C12">
        <w:rPr>
          <w:rFonts w:asciiTheme="majorHAnsi" w:hAnsiTheme="majorHAnsi" w:cstheme="minorHAnsi"/>
          <w:color w:val="000000" w:themeColor="text1"/>
          <w:lang w:val="fr-FR"/>
        </w:rPr>
        <w:t>maladies</w:t>
      </w:r>
      <w:r w:rsidR="006A27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liées à l’avancée en âge associées </w:t>
      </w:r>
      <w:r w:rsidR="00D33E0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</w:t>
      </w:r>
      <w:r w:rsidR="006A27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perte de </w:t>
      </w:r>
      <w:r w:rsidR="0041691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</w:t>
      </w:r>
      <w:r w:rsidR="006A27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vue et </w:t>
      </w:r>
      <w:r w:rsidR="008B128C" w:rsidRPr="001D2C12">
        <w:rPr>
          <w:rFonts w:asciiTheme="majorHAnsi" w:hAnsiTheme="majorHAnsi" w:cstheme="minorHAnsi"/>
          <w:color w:val="000000" w:themeColor="text1"/>
          <w:lang w:val="fr-FR"/>
        </w:rPr>
        <w:t>d</w:t>
      </w:r>
      <w:r w:rsidR="00416912" w:rsidRPr="001D2C12">
        <w:rPr>
          <w:rFonts w:asciiTheme="majorHAnsi" w:hAnsiTheme="majorHAnsi" w:cstheme="minorHAnsi"/>
          <w:color w:val="000000" w:themeColor="text1"/>
          <w:lang w:val="fr-FR"/>
        </w:rPr>
        <w:t>e l’</w:t>
      </w:r>
      <w:r w:rsidR="008B128C" w:rsidRPr="001D2C12">
        <w:rPr>
          <w:rFonts w:asciiTheme="majorHAnsi" w:hAnsiTheme="majorHAnsi" w:cstheme="minorHAnsi"/>
          <w:color w:val="000000" w:themeColor="text1"/>
          <w:lang w:val="fr-FR"/>
        </w:rPr>
        <w:t>audition</w:t>
      </w:r>
      <w:r w:rsidR="006A27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C6753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(par exemple cataracte, </w:t>
      </w:r>
      <w:r w:rsidR="00DB67D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glaucome et </w:t>
      </w:r>
      <w:r w:rsidR="00C6753A" w:rsidRPr="001D2C12">
        <w:rPr>
          <w:rFonts w:asciiTheme="majorHAnsi" w:hAnsiTheme="majorHAnsi" w:cstheme="minorHAnsi"/>
          <w:color w:val="000000" w:themeColor="text1"/>
          <w:lang w:val="fr-FR"/>
        </w:rPr>
        <w:t>dégénérescence maculaire</w:t>
      </w:r>
      <w:r w:rsidR="00DB67D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pour la perte de vue</w:t>
      </w:r>
      <w:r w:rsidR="008D0BD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</w:t>
      </w:r>
      <w:r w:rsidR="008D0BD2" w:rsidRPr="00F032BC">
        <w:rPr>
          <w:rFonts w:asciiTheme="majorHAnsi" w:hAnsiTheme="majorHAnsi" w:cstheme="minorHAnsi"/>
          <w:shd w:val="clear" w:color="auto" w:fill="FFFFFF"/>
          <w:lang w:val="fr-CH"/>
        </w:rPr>
        <w:t>presbyacousie</w:t>
      </w:r>
      <w:r w:rsidR="006F0DAA" w:rsidRPr="00F032BC">
        <w:rPr>
          <w:rFonts w:asciiTheme="majorHAnsi" w:hAnsiTheme="majorHAnsi" w:cstheme="minorHAnsi"/>
          <w:shd w:val="clear" w:color="auto" w:fill="FFFFFF"/>
          <w:lang w:val="fr-CH"/>
        </w:rPr>
        <w:t xml:space="preserve"> pour la perte </w:t>
      </w:r>
      <w:r w:rsidR="008B128C" w:rsidRPr="00F032BC">
        <w:rPr>
          <w:rFonts w:asciiTheme="majorHAnsi" w:hAnsiTheme="majorHAnsi" w:cstheme="minorHAnsi"/>
          <w:shd w:val="clear" w:color="auto" w:fill="FFFFFF"/>
          <w:lang w:val="fr-CH"/>
        </w:rPr>
        <w:t>d’audition</w:t>
      </w:r>
      <w:r w:rsidR="006E26F9" w:rsidRPr="00F032BC">
        <w:rPr>
          <w:rFonts w:asciiTheme="majorHAnsi" w:hAnsiTheme="majorHAnsi" w:cstheme="minorHAnsi"/>
          <w:shd w:val="clear" w:color="auto" w:fill="FFFFFF"/>
          <w:lang w:val="fr-CH"/>
        </w:rPr>
        <w:t>)</w:t>
      </w:r>
      <w:r w:rsidR="006E26F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6E26F9"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="006E26F9"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&lt;EndNote&gt;&lt;Cite&gt;&lt;Author&gt;Dammeyer&lt;/Author&gt;&lt;Year&gt;2013&lt;/Year&gt;&lt;RecNum&gt;62&lt;/RecNum&gt;&lt;DisplayText&gt;[4, 5]&lt;/DisplayText&gt;&lt;record&gt;&lt;rec-number&gt;62&lt;/rec-number&gt;&lt;foreign-keys&gt;&lt;key app="EN" db-id="52wvpr59hpwzwfestwr5ewtvpawz0pssr5t9" timestamp="1512405585"&gt;62&lt;/key&gt;&lt;/foreign-keys&gt;&lt;ref-type name="Journal Article"&gt;17&lt;/ref-type&gt;&lt;contributors&gt;&lt;authors&gt;&lt;author&gt;Dammeyer, Jesper&lt;/author&gt;&lt;/authors&gt;&lt;/contributors&gt;&lt;titles&gt;&lt;title&gt;Characteristics of a Danish population of adults with acquired deafblindness receiving rehabilitation services&lt;/title&gt;&lt;secondary-title&gt;British Journal of Visual Impairment&lt;/secondary-title&gt;&lt;/titles&gt;&lt;periodical&gt;&lt;full-title&gt;British Journal of Visual Impairment&lt;/full-title&gt;&lt;/periodical&gt;&lt;pages&gt;189-197&lt;/pages&gt;&lt;volume&gt;31&lt;/volume&gt;&lt;number&gt;3&lt;/number&gt;&lt;dates&gt;&lt;year&gt;2013&lt;/year&gt;&lt;/dates&gt;&lt;isbn&gt;0264-6196&lt;/isbn&gt;&lt;urls&gt;&lt;/urls&gt;&lt;/record&gt;&lt;/Cite&gt;&lt;Cite&gt;&lt;Author&gt;Klaver&lt;/Author&gt;&lt;Year&gt;1998&lt;/Year&gt;&lt;RecNum&gt;63&lt;/RecNum&gt;&lt;record&gt;&lt;rec-number&gt;63&lt;/rec-number&gt;&lt;foreign-keys&gt;&lt;key app="EN" db-id="52wvpr59hpwzwfestwr5ewtvpawz0pssr5t9" timestamp="1512406051"&gt;63&lt;/key&gt;&lt;/foreign-keys&gt;&lt;ref-type name="Journal Article"&gt;17&lt;/ref-type&gt;&lt;contributors&gt;&lt;authors&gt;&lt;author&gt;Klaver, Caroline CW&lt;/author&gt;&lt;author&gt;Wolfs, Roger CW&lt;/author&gt;&lt;author&gt;Vingerling, Johannes R&lt;/author&gt;&lt;author&gt;Hofman, Albert&lt;/author&gt;&lt;author&gt;de Jong, Paulus TVM&lt;/author&gt;&lt;/authors&gt;&lt;/contributors&gt;&lt;titles&gt;&lt;title&gt;Age-specific prevalence and causes of blindness and visual impairment in an older population: the Rotterdam Study&lt;/title&gt;&lt;secondary-title&gt;Archives of ophthalmology&lt;/secondary-title&gt;&lt;/titles&gt;&lt;periodical&gt;&lt;full-title&gt;Archives of Ophthalmology&lt;/full-title&gt;&lt;/periodical&gt;&lt;pages&gt;653-658&lt;/pages&gt;&lt;volume&gt;116&lt;/volume&gt;&lt;number&gt;5&lt;/number&gt;&lt;dates&gt;&lt;year&gt;1998&lt;/year&gt;&lt;/dates&gt;&lt;isbn&gt;0003-9950&lt;/isbn&gt;&lt;urls&gt;&lt;/urls&gt;&lt;/record&gt;&lt;/Cite&gt;&lt;/EndNote&gt;</w:instrText>
      </w:r>
      <w:r w:rsidR="006E26F9"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="006E26F9"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[4, 5]</w:t>
      </w:r>
      <w:r w:rsidR="006E26F9"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="00A7417F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  <w:r w:rsidR="006E26F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416912" w:rsidRPr="001D2C12">
        <w:rPr>
          <w:rFonts w:asciiTheme="majorHAnsi" w:hAnsiTheme="majorHAnsi" w:cstheme="minorHAnsi"/>
          <w:color w:val="000000" w:themeColor="text1"/>
          <w:lang w:val="fr-FR"/>
        </w:rPr>
        <w:t>Mais, en contr</w:t>
      </w:r>
      <w:r w:rsidR="00A7158F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41691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partie, </w:t>
      </w:r>
      <w:r w:rsidR="000C254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 syndrome d’Usher est </w:t>
      </w:r>
      <w:r w:rsidR="00FD73C1" w:rsidRPr="001D2C12">
        <w:rPr>
          <w:rFonts w:asciiTheme="majorHAnsi" w:hAnsiTheme="majorHAnsi" w:cstheme="minorHAnsi"/>
          <w:color w:val="000000" w:themeColor="text1"/>
          <w:lang w:val="fr-FR"/>
        </w:rPr>
        <w:t>une maladie génétique héréditaire</w:t>
      </w:r>
      <w:r w:rsidR="00600DE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qui se manifeste généralement (par une perte de la vue et/ou </w:t>
      </w:r>
      <w:r w:rsidR="004A430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l’audition) plus tard dans l’enfance </w:t>
      </w:r>
      <w:r w:rsidR="0043219D" w:rsidRPr="001D2C12">
        <w:rPr>
          <w:rFonts w:asciiTheme="majorHAnsi" w:hAnsiTheme="majorHAnsi" w:cstheme="minorHAnsi"/>
          <w:color w:val="000000" w:themeColor="text1"/>
          <w:lang w:val="fr-FR"/>
        </w:rPr>
        <w:t>ou au cours de l’adolescence, suite au développement du langage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7158F"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="00A7158F"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&lt;EndNote&gt;&lt;Cite&gt;&lt;Author&gt;Wolsey&lt;/Author&gt;&lt;Year&gt;2017&lt;/Year&gt;&lt;RecNum&gt;57&lt;/RecNum&gt;&lt;DisplayText&gt;[6]&lt;/DisplayText&gt;&lt;record&gt;&lt;rec-number&gt;57&lt;/rec-number&gt;&lt;foreign-keys&gt;&lt;key app="EN" db-id="52wvpr59hpwzwfestwr5ewtvpawz0pssr5t9" timestamp="1512400387"&gt;57&lt;/key&gt;&lt;/foreign-keys&gt;&lt;ref-type name="Journal Article"&gt;17&lt;/ref-type&gt;&lt;contributors&gt;&lt;authors&gt;&lt;author&gt;Wolsey, Ju-Lee A&lt;/author&gt;&lt;/authors&gt;&lt;/contributors&gt;&lt;titles&gt;&lt;title&gt;Perspectives and Experiences of DeafBlind College Students&lt;/title&gt;&lt;secondary-title&gt;The Qualitative Report&lt;/secondary-title&gt;&lt;/titles&gt;&lt;periodical&gt;&lt;full-title&gt;The Qualitative Report&lt;/full-title&gt;&lt;/periodical&gt;&lt;pages&gt;2066&lt;/pages&gt;&lt;volume&gt;22&lt;/volume&gt;&lt;number&gt;8&lt;/number&gt;&lt;dates&gt;&lt;year&gt;2017&lt;/year&gt;&lt;/dates&gt;&lt;isbn&gt;1052-0147&lt;/isbn&gt;&lt;urls&gt;&lt;/urls&gt;&lt;/record&gt;&lt;/Cite&gt;&lt;/EndNote&gt;</w:instrText>
      </w:r>
      <w:r w:rsidR="00A7158F"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="00A7158F"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[6]</w:t>
      </w:r>
      <w:r w:rsidR="00A7158F"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="0043219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55D8CBB4" w14:textId="6ACF8C28" w:rsidR="00A7158F" w:rsidRPr="001D2C12" w:rsidRDefault="00A7158F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surdicécité est 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>davantage</w:t>
      </w:r>
      <w:r w:rsidR="00200B0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proofErr w:type="spellStart"/>
      <w:r w:rsidR="00200B03" w:rsidRPr="001D2C12">
        <w:rPr>
          <w:rFonts w:asciiTheme="majorHAnsi" w:hAnsiTheme="majorHAnsi" w:cstheme="minorHAnsi"/>
          <w:color w:val="000000" w:themeColor="text1"/>
          <w:lang w:val="fr-FR"/>
        </w:rPr>
        <w:t>prévalente</w:t>
      </w:r>
      <w:proofErr w:type="spellEnd"/>
      <w:r w:rsidR="00200B0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>chez les personnes</w:t>
      </w:r>
      <w:r w:rsidR="008B19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d’âge plus avancé. </w:t>
      </w:r>
      <w:r w:rsidR="005C61B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Mais il n’en demeure pas moins que la surdicécité touchant les </w:t>
      </w:r>
      <w:r w:rsidR="000A51B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enfants et les jeunes adultes </w:t>
      </w:r>
      <w:r w:rsidR="008555C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présente des implications plus 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importantes </w:t>
      </w:r>
      <w:r w:rsidR="008555C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puisqu’ayant un impact sur l’apprentissage et </w:t>
      </w:r>
      <w:r w:rsidR="00B63457" w:rsidRPr="001D2C12">
        <w:rPr>
          <w:rFonts w:asciiTheme="majorHAnsi" w:hAnsiTheme="majorHAnsi" w:cstheme="minorHAnsi"/>
          <w:color w:val="000000" w:themeColor="text1"/>
          <w:lang w:val="fr-FR"/>
        </w:rPr>
        <w:t>l’accès à l’emploi.</w:t>
      </w:r>
    </w:p>
    <w:p w14:paraId="2ACA0F90" w14:textId="39C6B113" w:rsidR="001F5D7D" w:rsidRPr="001D2C12" w:rsidRDefault="00B63457" w:rsidP="007971E9">
      <w:pPr>
        <w:tabs>
          <w:tab w:val="left" w:pos="180"/>
        </w:tabs>
        <w:spacing w:line="240" w:lineRule="auto"/>
        <w:ind w:right="-90"/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Une</w:t>
      </w:r>
      <w:r w:rsidR="001F5D7D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diversit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é de </w:t>
      </w:r>
      <w:r w:rsidR="00E46397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barrières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et une diversité </w:t>
      </w:r>
      <w:r w:rsidR="00E46397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d</w:t>
      </w:r>
      <w:r w:rsidR="00140316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’</w:t>
      </w:r>
      <w:r w:rsidR="005F7C1F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exigences</w:t>
      </w:r>
      <w:r w:rsidR="00E46397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  <w:proofErr w:type="gramStart"/>
      <w:r w:rsidR="005F7C1F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en </w:t>
      </w:r>
      <w:r w:rsidR="007971E9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terme </w:t>
      </w:r>
      <w:r w:rsidR="005F7C1F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d</w:t>
      </w:r>
      <w:r w:rsidR="005F2E5A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e</w:t>
      </w:r>
      <w:proofErr w:type="gramEnd"/>
      <w:r w:rsidR="005F2E5A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soutien</w:t>
      </w:r>
    </w:p>
    <w:p w14:paraId="592A0043" w14:textId="60E38832" w:rsidR="00F7335D" w:rsidRPr="001D2C12" w:rsidRDefault="007971E9" w:rsidP="001D2C12">
      <w:pPr>
        <w:tabs>
          <w:tab w:val="left" w:pos="180"/>
        </w:tabs>
        <w:spacing w:after="80" w:line="240" w:lineRule="auto"/>
        <w:ind w:left="720" w:right="-90"/>
        <w:jc w:val="both"/>
        <w:rPr>
          <w:rFonts w:asciiTheme="majorHAnsi" w:hAnsiTheme="majorHAnsi" w:cstheme="minorHAnsi"/>
          <w:color w:val="000000" w:themeColor="text1"/>
          <w:shd w:val="clear" w:color="auto" w:fill="FFFFFF"/>
          <w:lang w:val="fr-FR"/>
        </w:rPr>
      </w:pPr>
      <w:r>
        <w:rPr>
          <w:rFonts w:asciiTheme="majorHAnsi" w:hAnsiTheme="majorHAnsi" w:cstheme="minorHAnsi"/>
          <w:color w:val="000000" w:themeColor="text1"/>
          <w:shd w:val="clear" w:color="auto" w:fill="FFFFFF"/>
          <w:lang w:val="fr-FR"/>
        </w:rPr>
        <w:t>« </w:t>
      </w:r>
      <w:r w:rsidR="00F7335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Pour moi </w:t>
      </w:r>
      <w:r w:rsidR="00173FF2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personnellement</w:t>
      </w:r>
      <w:r w:rsidR="00F7335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, </w:t>
      </w:r>
      <w:r w:rsidR="003102A5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dans certaines situations optimales</w:t>
      </w:r>
      <w:r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,</w:t>
      </w:r>
      <w:r w:rsidR="003102A5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 lorsque la lumière est parfaite et le niveau de bruit </w:t>
      </w:r>
      <w:r w:rsidR="00173FF2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est faible, </w:t>
      </w:r>
      <w:r w:rsidR="000D1259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je peux assez bien</w:t>
      </w:r>
      <w:r w:rsidR="00E24736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 </w:t>
      </w:r>
      <w:r w:rsidR="000D1259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gérer la situation. Mais quand, par exemple, je </w:t>
      </w:r>
      <w:r w:rsidR="00CE173B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me rends</w:t>
      </w:r>
      <w:r w:rsidR="000D1259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 au centre </w:t>
      </w:r>
      <w:r w:rsidR="00CE173B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de notre ville et que le soleil brille si fort que je n’arrive à rien voir</w:t>
      </w:r>
      <w:r w:rsidR="00E24736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, et que c’est souvent </w:t>
      </w:r>
      <w:r w:rsidR="00053486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très bruyant tout autour de moi, je ne peux alors pas entendre </w:t>
      </w:r>
      <w:r w:rsidR="00360155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ce que l’on me</w:t>
      </w:r>
      <w:r w:rsidR="00053486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 dit </w:t>
      </w:r>
      <w:r w:rsidR="00360155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et il devient très difficile pour moi </w:t>
      </w:r>
      <w:r w:rsidR="00D65FE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alors </w:t>
      </w:r>
      <w:r w:rsidR="00360155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de gérer la situation</w:t>
      </w:r>
      <w:r w:rsidR="00D65FE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. Mais je ne suis pas </w:t>
      </w:r>
      <w:proofErr w:type="spellStart"/>
      <w:r w:rsidR="00D65FE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sourdaveugle</w:t>
      </w:r>
      <w:proofErr w:type="spellEnd"/>
      <w:r w:rsidR="00D65FE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 parce que </w:t>
      </w:r>
      <w:r w:rsidR="002A7653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lorsque je me retrouve </w:t>
      </w:r>
      <w:r w:rsidR="00D65FED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dans d’autre situations</w:t>
      </w:r>
      <w:r w:rsidR="000D0BB5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 </w:t>
      </w:r>
      <w:r w:rsidR="002A7653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 xml:space="preserve">je peux mieux voir et mieux entendre. C’est pourquoi, il est beaucoup plus facile pour moi de m’identifier </w:t>
      </w:r>
      <w:r w:rsidR="00142B31" w:rsidRPr="00F032BC">
        <w:rPr>
          <w:rFonts w:asciiTheme="majorHAnsi" w:hAnsiTheme="majorHAnsi" w:cstheme="minorHAnsi"/>
          <w:i/>
          <w:iCs/>
          <w:color w:val="000000" w:themeColor="text1"/>
          <w:shd w:val="clear" w:color="auto" w:fill="FFFFFF"/>
          <w:lang w:val="fr-FR"/>
        </w:rPr>
        <w:t>par le terme "personne atteinte de surdicécité."</w:t>
      </w:r>
      <w:r w:rsidR="00142B31" w:rsidRPr="001D2C12">
        <w:rPr>
          <w:rFonts w:asciiTheme="majorHAnsi" w:hAnsiTheme="majorHAnsi" w:cstheme="minorHAnsi"/>
          <w:color w:val="000000" w:themeColor="text1"/>
          <w:shd w:val="clear" w:color="auto" w:fill="FFFFFF"/>
          <w:lang w:val="fr-FR"/>
        </w:rPr>
        <w:t xml:space="preserve"> C. Nilsson, </w:t>
      </w:r>
      <w:proofErr w:type="spellStart"/>
      <w:r w:rsidR="00142B31" w:rsidRPr="001D2C12">
        <w:rPr>
          <w:rFonts w:asciiTheme="majorHAnsi" w:hAnsiTheme="majorHAnsi" w:cstheme="minorHAnsi"/>
          <w:color w:val="000000" w:themeColor="text1"/>
          <w:shd w:val="clear" w:color="auto" w:fill="FFFFFF"/>
          <w:lang w:val="fr-FR"/>
        </w:rPr>
        <w:t>Sweden</w:t>
      </w:r>
      <w:proofErr w:type="spellEnd"/>
    </w:p>
    <w:p w14:paraId="76C51251" w14:textId="79FEE015" w:rsidR="006676B9" w:rsidRPr="001D2C12" w:rsidRDefault="006676B9" w:rsidP="00340523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b/>
          <w:b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Chaque </w:t>
      </w:r>
      <w:r w:rsidR="00CB540B">
        <w:rPr>
          <w:rFonts w:asciiTheme="majorHAnsi" w:hAnsiTheme="majorHAnsi" w:cstheme="minorHAnsi"/>
          <w:b/>
          <w:bCs/>
          <w:color w:val="000000" w:themeColor="text1"/>
          <w:lang w:val="fr-FR"/>
        </w:rPr>
        <w:t>personne ayant une surdicécité</w:t>
      </w:r>
      <w:r w:rsidR="007971E9">
        <w:rPr>
          <w:rFonts w:asciiTheme="majorHAnsi" w:hAnsiTheme="majorHAnsi" w:cstheme="minorHAnsi"/>
          <w:lang w:val="fr-FR"/>
        </w:rPr>
        <w:t xml:space="preserve"> </w:t>
      </w:r>
      <w:r w:rsidR="00CC3EE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connecte, communique et </w:t>
      </w:r>
      <w:r w:rsidR="007A6AE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perçoi</w:t>
      </w:r>
      <w:r w:rsidR="00732FD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t</w:t>
      </w:r>
      <w:r w:rsidR="007A6AE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le monde</w:t>
      </w:r>
      <w:r w:rsidR="006F070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8E5B6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de manières différentes</w:t>
      </w:r>
      <w:r w:rsidR="007A6AE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. </w:t>
      </w:r>
      <w:r w:rsidR="007A6AEE" w:rsidRPr="001D2C12">
        <w:rPr>
          <w:rFonts w:asciiTheme="majorHAnsi" w:hAnsiTheme="majorHAnsi" w:cstheme="minorHAnsi"/>
          <w:color w:val="000000" w:themeColor="text1"/>
          <w:lang w:val="fr-FR"/>
        </w:rPr>
        <w:t>Chaque individu</w:t>
      </w:r>
      <w:r w:rsidR="00340523">
        <w:rPr>
          <w:rFonts w:asciiTheme="majorHAnsi" w:hAnsiTheme="majorHAnsi" w:cstheme="minorHAnsi"/>
          <w:color w:val="000000" w:themeColor="text1"/>
          <w:lang w:val="fr-FR"/>
        </w:rPr>
        <w:t xml:space="preserve"> ayant une </w:t>
      </w:r>
      <w:proofErr w:type="spellStart"/>
      <w:r w:rsidR="00340523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="00732FD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peut également </w:t>
      </w:r>
      <w:r w:rsidR="00DA08DD" w:rsidRPr="001D2C12">
        <w:rPr>
          <w:rFonts w:asciiTheme="majorHAnsi" w:hAnsiTheme="majorHAnsi" w:cstheme="minorHAnsi"/>
          <w:color w:val="000000" w:themeColor="text1"/>
          <w:lang w:val="fr-FR"/>
        </w:rPr>
        <w:t>être confronté à</w:t>
      </w:r>
      <w:r w:rsidR="00DA08D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des restrictions à sa participation</w:t>
      </w:r>
      <w:r w:rsidR="00732FD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4475D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qui </w:t>
      </w:r>
      <w:r w:rsidR="00937D2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dépendent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, entre autres, </w:t>
      </w:r>
      <w:r w:rsidR="00937D2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du </w:t>
      </w:r>
      <w:r w:rsidR="004475D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niveau </w:t>
      </w:r>
      <w:r w:rsidR="0007637E">
        <w:rPr>
          <w:rFonts w:asciiTheme="majorHAnsi" w:hAnsiTheme="majorHAnsi" w:cstheme="minorHAnsi"/>
          <w:b/>
          <w:bCs/>
          <w:color w:val="000000" w:themeColor="text1"/>
          <w:lang w:val="fr-FR"/>
        </w:rPr>
        <w:t>de soutien</w:t>
      </w:r>
      <w:r w:rsidR="004475D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937D2A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auquel cette même personne a accès, 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d</w:t>
      </w:r>
      <w:r w:rsidR="00693DF2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es barrières environnementales faisant obstacle à sa participation, 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de </w:t>
      </w:r>
      <w:r w:rsidR="00693DF2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la sévérité de sa déficience </w:t>
      </w:r>
      <w:r w:rsidR="000D42E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visuelle et auditive, et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de</w:t>
      </w:r>
      <w:r w:rsidR="000D42E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l’âge</w:t>
      </w:r>
      <w:r w:rsidR="000D42E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de son </w:t>
      </w:r>
      <w:r w:rsidR="000D42E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acquisition de cette déficience</w:t>
      </w:r>
      <w:r w:rsidR="0094002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. </w:t>
      </w:r>
      <w:r w:rsidR="0094002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est à noter que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94002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996CA7" w:rsidRPr="001D2C12">
        <w:rPr>
          <w:rFonts w:asciiTheme="majorHAnsi" w:hAnsiTheme="majorHAnsi" w:cstheme="minorHAnsi"/>
          <w:color w:val="000000" w:themeColor="text1"/>
          <w:lang w:val="fr-FR"/>
        </w:rPr>
        <w:t>con</w:t>
      </w:r>
      <w:r w:rsidR="00343292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996CA7" w:rsidRPr="001D2C12">
        <w:rPr>
          <w:rFonts w:asciiTheme="majorHAnsi" w:hAnsiTheme="majorHAnsi" w:cstheme="minorHAnsi"/>
          <w:color w:val="000000" w:themeColor="text1"/>
          <w:lang w:val="fr-FR"/>
        </w:rPr>
        <w:t>titue</w:t>
      </w:r>
      <w:r w:rsidR="00343292" w:rsidRPr="001D2C12">
        <w:rPr>
          <w:rFonts w:asciiTheme="majorHAnsi" w:hAnsiTheme="majorHAnsi" w:cstheme="minorHAnsi"/>
          <w:color w:val="000000" w:themeColor="text1"/>
          <w:lang w:val="fr-FR"/>
        </w:rPr>
        <w:t>nt</w:t>
      </w:r>
      <w:r w:rsidR="00996CA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un groupe diversifié</w:t>
      </w:r>
      <w:r w:rsidR="00996CA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632619" w:rsidRPr="001D2C12">
        <w:rPr>
          <w:rFonts w:asciiTheme="majorHAnsi" w:hAnsiTheme="majorHAnsi" w:cstheme="minorHAnsi"/>
          <w:color w:val="000000" w:themeColor="text1"/>
          <w:lang w:val="fr-FR"/>
        </w:rPr>
        <w:t>vivant leur</w:t>
      </w:r>
      <w:r w:rsidR="00E90D5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situation de</w:t>
      </w:r>
      <w:r w:rsidR="0063261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handicap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manière différente</w:t>
      </w:r>
      <w:r w:rsidR="00A371D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et </w:t>
      </w:r>
      <w:r w:rsidR="008E2E38" w:rsidRPr="001D2C12">
        <w:rPr>
          <w:rFonts w:asciiTheme="majorHAnsi" w:hAnsiTheme="majorHAnsi" w:cstheme="minorHAnsi"/>
          <w:color w:val="000000" w:themeColor="text1"/>
          <w:lang w:val="fr-FR"/>
        </w:rPr>
        <w:t>présentant</w:t>
      </w:r>
      <w:r w:rsidR="00A371D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besoins différent</w:t>
      </w:r>
      <w:r w:rsidR="003A48DF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A371D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matière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>de soutien</w:t>
      </w:r>
      <w:r w:rsidR="00A371D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d’intégration</w:t>
      </w:r>
      <w:r w:rsidR="00A371D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. </w:t>
      </w:r>
    </w:p>
    <w:p w14:paraId="5928A64C" w14:textId="7CB20467" w:rsidR="00F65089" w:rsidRPr="001D2C12" w:rsidRDefault="00F65089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C’est pourquoi, il </w:t>
      </w:r>
      <w:r w:rsidR="00133B3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est 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essentiel que les </w:t>
      </w:r>
      <w:r w:rsidR="00A47EDA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personnes ayant une surdicécité</w:t>
      </w:r>
      <w:r w:rsidR="00D34E95" w:rsidRPr="001D2C12">
        <w:rPr>
          <w:rFonts w:asciiTheme="majorHAnsi" w:hAnsiTheme="majorHAnsi" w:cstheme="minorHAnsi"/>
          <w:lang w:val="fr-FR"/>
        </w:rPr>
        <w:t xml:space="preserve"> </w:t>
      </w:r>
      <w:r w:rsidR="00CC76E9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aient accès aux services qui répondent à leurs besoins individuels </w:t>
      </w:r>
      <w:r w:rsidR="00786342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et non pas à une combinaison de services </w:t>
      </w:r>
      <w:r w:rsidR="009E2B9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conçus</w:t>
      </w:r>
      <w:r w:rsidR="00786342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pour les personnes aveugles ou </w:t>
      </w:r>
      <w:r w:rsidR="00133B3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les personnes </w:t>
      </w:r>
      <w:r w:rsidR="00786342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sourdes</w:t>
      </w:r>
      <w:r w:rsidR="009E2B9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.</w:t>
      </w:r>
    </w:p>
    <w:p w14:paraId="1576C44B" w14:textId="4730CEEA" w:rsidR="009E2B90" w:rsidRPr="001D2C12" w:rsidRDefault="009E2B90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Alors que </w:t>
      </w:r>
      <w:r w:rsidR="00CB540B">
        <w:rPr>
          <w:rFonts w:asciiTheme="majorHAnsi" w:hAnsiTheme="majorHAnsi" w:cstheme="minorHAnsi"/>
          <w:color w:val="000000" w:themeColor="text1"/>
          <w:lang w:val="fr-FR"/>
        </w:rPr>
        <w:t>toutes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D34E9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peuvent </w:t>
      </w:r>
      <w:r w:rsidR="007E0EA7" w:rsidRPr="001D2C12">
        <w:rPr>
          <w:rFonts w:asciiTheme="majorHAnsi" w:hAnsiTheme="majorHAnsi" w:cstheme="minorHAnsi"/>
          <w:color w:val="000000" w:themeColor="text1"/>
          <w:lang w:val="fr-FR"/>
        </w:rPr>
        <w:t>avoir besoin d</w:t>
      </w:r>
      <w:r w:rsidR="008540D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 soutien </w:t>
      </w:r>
      <w:r w:rsidR="00863E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pour </w:t>
      </w:r>
      <w:r w:rsidR="008540DE" w:rsidRPr="001D2C12">
        <w:rPr>
          <w:rFonts w:asciiTheme="majorHAnsi" w:hAnsiTheme="majorHAnsi" w:cstheme="minorHAnsi"/>
          <w:color w:val="000000" w:themeColor="text1"/>
          <w:lang w:val="fr-FR"/>
        </w:rPr>
        <w:t>faciliter leur</w:t>
      </w:r>
      <w:r w:rsidR="00863E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accès à l’information</w:t>
      </w:r>
      <w:r w:rsidR="00DA132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communiquer, interagir et se déplacer librement </w:t>
      </w:r>
      <w:r w:rsidR="00B62C85" w:rsidRPr="001D2C12">
        <w:rPr>
          <w:rFonts w:asciiTheme="majorHAnsi" w:hAnsiTheme="majorHAnsi" w:cstheme="minorHAnsi"/>
          <w:color w:val="000000" w:themeColor="text1"/>
          <w:lang w:val="fr-FR"/>
        </w:rPr>
        <w:t>sur la base de l’égalité avec les autres</w:t>
      </w:r>
      <w:r w:rsidR="00963E9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le type et niveau </w:t>
      </w:r>
      <w:r w:rsidR="008540DE" w:rsidRPr="001D2C12">
        <w:rPr>
          <w:rFonts w:asciiTheme="majorHAnsi" w:hAnsiTheme="majorHAnsi" w:cstheme="minorHAnsi"/>
          <w:color w:val="000000" w:themeColor="text1"/>
          <w:lang w:val="fr-FR"/>
        </w:rPr>
        <w:t>de soutien</w:t>
      </w:r>
      <w:r w:rsidR="00963E9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requis varient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 xml:space="preserve">selon les circonstances et </w:t>
      </w:r>
      <w:r w:rsidR="00963E9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d’un individu à l’autre. </w:t>
      </w:r>
    </w:p>
    <w:p w14:paraId="336AF3EC" w14:textId="355BB48B" w:rsidR="00D53F23" w:rsidRPr="001D2C12" w:rsidRDefault="00D53F23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Certaines </w:t>
      </w:r>
      <w:r w:rsidR="00A47EDA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  <w:r w:rsidR="00133B30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peuvent rencontrer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d’autres difficultés fonctionnelles </w:t>
      </w:r>
      <w:r w:rsidR="0078230C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et par conséquent</w:t>
      </w:r>
      <w:r w:rsidR="00CD29F8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  <w:r w:rsidR="00A97433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avoir</w:t>
      </w:r>
      <w:r w:rsidR="0078230C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des besoins supplémentaires en matière d</w:t>
      </w:r>
      <w:r w:rsidR="0007637E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e soutien</w:t>
      </w:r>
      <w:r w:rsidR="0078230C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. </w:t>
      </w:r>
    </w:p>
    <w:p w14:paraId="38845BFE" w14:textId="3B151481" w:rsidR="001F5D7D" w:rsidRPr="001D2C12" w:rsidRDefault="002B612A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bCs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 xml:space="preserve">Les </w:t>
      </w:r>
      <w:r w:rsidR="00A47EDA">
        <w:rPr>
          <w:rFonts w:asciiTheme="majorHAnsi" w:hAnsiTheme="majorHAnsi" w:cstheme="minorHAnsi"/>
          <w:bCs/>
          <w:iCs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 xml:space="preserve"> ont </w:t>
      </w:r>
      <w:r w:rsidR="00BB6B1C"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 xml:space="preserve">le plus souvent </w:t>
      </w:r>
      <w:r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 xml:space="preserve">besoin </w:t>
      </w:r>
      <w:r w:rsidR="0007637E">
        <w:rPr>
          <w:rFonts w:asciiTheme="majorHAnsi" w:hAnsiTheme="majorHAnsi" w:cstheme="minorHAnsi"/>
          <w:bCs/>
          <w:iCs/>
          <w:color w:val="000000" w:themeColor="text1"/>
          <w:lang w:val="fr-FR"/>
        </w:rPr>
        <w:t>de soutien</w:t>
      </w:r>
      <w:r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 xml:space="preserve"> aux fins </w:t>
      </w:r>
      <w:r w:rsidR="00BD4DD7"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>de la </w:t>
      </w:r>
      <w:r w:rsidR="001F5D7D" w:rsidRPr="001D2C12">
        <w:rPr>
          <w:rFonts w:asciiTheme="majorHAnsi" w:hAnsiTheme="majorHAnsi" w:cstheme="minorHAnsi"/>
          <w:bCs/>
          <w:iCs/>
          <w:color w:val="000000" w:themeColor="text1"/>
          <w:lang w:val="fr-FR"/>
        </w:rPr>
        <w:t xml:space="preserve">: </w:t>
      </w:r>
    </w:p>
    <w:p w14:paraId="48C9E0FC" w14:textId="77777777" w:rsidR="001F5D7D" w:rsidRPr="001D2C12" w:rsidRDefault="001F5D7D" w:rsidP="001D2C12">
      <w:pPr>
        <w:pStyle w:val="ListParagraph"/>
        <w:numPr>
          <w:ilvl w:val="0"/>
          <w:numId w:val="13"/>
        </w:numPr>
        <w:tabs>
          <w:tab w:val="left" w:pos="180"/>
        </w:tabs>
        <w:spacing w:after="80"/>
        <w:ind w:right="-90"/>
        <w:jc w:val="both"/>
        <w:rPr>
          <w:rFonts w:asciiTheme="majorHAnsi" w:hAnsiTheme="majorHAnsi" w:cstheme="minorHAnsi"/>
          <w:b/>
          <w:iCs/>
          <w:color w:val="000000" w:themeColor="text1"/>
          <w:lang w:val="en-GB"/>
        </w:rPr>
      </w:pPr>
      <w:bookmarkStart w:id="6" w:name="_Toc510784469"/>
      <w:r w:rsidRPr="001D2C12">
        <w:rPr>
          <w:rFonts w:asciiTheme="majorHAnsi" w:hAnsiTheme="majorHAnsi" w:cstheme="minorHAnsi"/>
          <w:b/>
          <w:iCs/>
          <w:color w:val="000000" w:themeColor="text1"/>
          <w:lang w:val="en-GB"/>
        </w:rPr>
        <w:t>Communication</w:t>
      </w:r>
      <w:bookmarkEnd w:id="6"/>
    </w:p>
    <w:p w14:paraId="6152BDE9" w14:textId="32C05D20" w:rsidR="009722B3" w:rsidRPr="001D2C12" w:rsidRDefault="00133B30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Il existe u</w:t>
      </w:r>
      <w:r w:rsidR="009722B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ne panoplie de techniques et méthodes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>de soutien</w:t>
      </w:r>
      <w:r w:rsidR="009722B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matière de communication </w:t>
      </w:r>
      <w:r w:rsidR="00D6737A" w:rsidRPr="001D2C12">
        <w:rPr>
          <w:rFonts w:asciiTheme="majorHAnsi" w:hAnsiTheme="majorHAnsi" w:cstheme="minorHAnsi"/>
          <w:color w:val="000000" w:themeColor="text1"/>
          <w:lang w:val="fr-FR"/>
        </w:rPr>
        <w:t>sans qu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’il n’existe </w:t>
      </w:r>
      <w:r w:rsidR="00D6737A" w:rsidRPr="001D2C12">
        <w:rPr>
          <w:rFonts w:asciiTheme="majorHAnsi" w:hAnsiTheme="majorHAnsi" w:cstheme="minorHAnsi"/>
          <w:color w:val="000000" w:themeColor="text1"/>
          <w:lang w:val="fr-FR"/>
        </w:rPr>
        <w:t>pour autant un</w:t>
      </w:r>
      <w:r w:rsidR="005471A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moyen standard pour assurer une communication</w:t>
      </w:r>
      <w:r w:rsidR="00D6737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FD67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approches adoptées en matière de communication sont susceptibles de varier </w:t>
      </w:r>
      <w:r w:rsidR="00D15F4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selon que la personne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>ait une</w:t>
      </w:r>
      <w:r w:rsidR="00D15F4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surdicécité </w:t>
      </w:r>
      <w:proofErr w:type="spellStart"/>
      <w:r w:rsidR="00D15F44"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>prélinguale</w:t>
      </w:r>
      <w:proofErr w:type="spellEnd"/>
      <w:r w:rsidR="00D15F4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ou une surdicécité </w:t>
      </w:r>
      <w:proofErr w:type="spellStart"/>
      <w:r w:rsidR="00D15F44" w:rsidRPr="001D2C12">
        <w:rPr>
          <w:rFonts w:asciiTheme="majorHAnsi" w:hAnsiTheme="majorHAnsi" w:cstheme="minorHAnsi"/>
          <w:color w:val="000000" w:themeColor="text1"/>
          <w:lang w:val="fr-FR"/>
        </w:rPr>
        <w:t>postlinguale</w:t>
      </w:r>
      <w:proofErr w:type="spellEnd"/>
      <w:r w:rsidR="007825C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73370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selon </w:t>
      </w:r>
      <w:r w:rsidR="007825C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première des deux déficiences qui s’est développée, et le niveau des </w:t>
      </w:r>
      <w:r w:rsidR="00CA11B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restes visuels ou auditifs </w:t>
      </w:r>
      <w:r w:rsidR="00CA11BE"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="00CA11BE"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&lt;EndNote&gt;&lt;Cite&gt;&lt;Author&gt;Simcock&lt;/Author&gt;&lt;Year&gt;2017&lt;/Year&gt;&lt;RecNum&gt;6&lt;/RecNum&gt;&lt;DisplayText&gt;[7]&lt;/DisplayText&gt;&lt;record&gt;&lt;rec-number&gt;6&lt;/rec-number&gt;&lt;foreign-keys&gt;&lt;key app="EN" db-id="r9s0stzxi0wt9pepwey55fzeat5ve5v95srs" timestamp="1528129166"&gt;6&lt;/key&gt;&lt;/foreign-keys&gt;&lt;ref-type name="Journal Article"&gt;17&lt;/ref-type&gt;&lt;contributors&gt;&lt;authors&gt;&lt;author&gt;Simcock, Peter&lt;/author&gt;&lt;/authors&gt;&lt;/contributors&gt;&lt;titles&gt;&lt;title&gt;One of society&amp;apos;s most vulnerable groups? A systematically conducted literature review exploring the vulnerability of deafblind people&lt;/title&gt;&lt;secondary-title&gt;Health &amp;amp; social care in the community&lt;/secondary-title&gt;&lt;/titles&gt;&lt;pages&gt;813-839&lt;/pages&gt;&lt;volume&gt;25&lt;/volume&gt;&lt;number&gt;3&lt;/number&gt;&lt;dates&gt;&lt;year&gt;2017&lt;/year&gt;&lt;/dates&gt;&lt;isbn&gt;1365-2524&lt;/isbn&gt;&lt;urls&gt;&lt;/urls&gt;&lt;/record&gt;&lt;/Cite&gt;&lt;/EndNote&gt;</w:instrText>
      </w:r>
      <w:r w:rsidR="00CA11BE"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="00CA11BE"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[7]</w:t>
      </w:r>
      <w:r w:rsidR="00CA11BE"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="00CA11BE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  <w:r w:rsidR="0073370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Par exemple, les personnes </w:t>
      </w:r>
      <w:r w:rsidR="00E334E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présentant </w:t>
      </w:r>
      <w:r w:rsidR="0073370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une déficience auditive profonde qui </w:t>
      </w:r>
      <w:r w:rsidR="00E334E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ont développé ultérieurement un déficit visuel, peuvent être encore capables de communiquer </w:t>
      </w:r>
      <w:r w:rsidR="005C21A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ayant recours à la langue des signes tout en y apportant quelques adaptations. De même, </w:t>
      </w:r>
      <w:r w:rsidR="005D555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personnes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ayant une </w:t>
      </w:r>
      <w:r w:rsidR="005D5552" w:rsidRPr="001D2C12">
        <w:rPr>
          <w:rFonts w:asciiTheme="majorHAnsi" w:hAnsiTheme="majorHAnsi" w:cstheme="minorHAnsi"/>
          <w:color w:val="000000" w:themeColor="text1"/>
          <w:lang w:val="fr-FR"/>
        </w:rPr>
        <w:t>déficience visuelle profonde ayant développé une déficience auditive</w:t>
      </w:r>
      <w:r w:rsidR="002E573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pourraient avoir actuellement besoin </w:t>
      </w:r>
      <w:r w:rsidR="008B692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d’une interprétation claire du discours et ce, </w:t>
      </w:r>
      <w:r w:rsidR="00011D82" w:rsidRPr="001D2C12">
        <w:rPr>
          <w:rFonts w:asciiTheme="majorHAnsi" w:hAnsiTheme="majorHAnsi" w:cstheme="minorHAnsi"/>
          <w:color w:val="000000" w:themeColor="text1"/>
          <w:lang w:val="fr-FR"/>
        </w:rPr>
        <w:t>bien qu’ayant</w:t>
      </w:r>
      <w:r w:rsidR="005D555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8B6923" w:rsidRPr="001D2C12">
        <w:rPr>
          <w:rFonts w:asciiTheme="majorHAnsi" w:hAnsiTheme="majorHAnsi" w:cstheme="minorHAnsi"/>
          <w:color w:val="000000" w:themeColor="text1"/>
          <w:lang w:val="fr-FR"/>
        </w:rPr>
        <w:t>peut-être bénéficié</w:t>
      </w:r>
      <w:r w:rsidR="00011D8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d’un enseignement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</w:t>
      </w:r>
      <w:r w:rsidR="00011D8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braille</w:t>
      </w:r>
      <w:r w:rsidR="0072049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Quant aux personnes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ayant une </w:t>
      </w:r>
      <w:r w:rsidR="0072049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surdicécité </w:t>
      </w:r>
      <w:proofErr w:type="spellStart"/>
      <w:r w:rsidR="00720490" w:rsidRPr="001D2C12">
        <w:rPr>
          <w:rFonts w:asciiTheme="majorHAnsi" w:hAnsiTheme="majorHAnsi" w:cstheme="minorHAnsi"/>
          <w:color w:val="000000" w:themeColor="text1"/>
          <w:lang w:val="fr-FR"/>
        </w:rPr>
        <w:t>prélinguale</w:t>
      </w:r>
      <w:proofErr w:type="spellEnd"/>
      <w:r w:rsidR="0072049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elles ont recours à des approches différentes </w:t>
      </w:r>
      <w:r w:rsidR="00E247C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pour assurer </w:t>
      </w:r>
      <w:r w:rsidR="002E0EBE" w:rsidRPr="001D2C12">
        <w:rPr>
          <w:rFonts w:asciiTheme="majorHAnsi" w:hAnsiTheme="majorHAnsi" w:cstheme="minorHAnsi"/>
          <w:color w:val="000000" w:themeColor="text1"/>
          <w:lang w:val="fr-FR"/>
        </w:rPr>
        <w:t>l’acquisition du</w:t>
      </w:r>
      <w:r w:rsidR="0072049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langage.</w:t>
      </w:r>
    </w:p>
    <w:p w14:paraId="7C49C9B5" w14:textId="0288F311" w:rsidR="0078493A" w:rsidRPr="001D2C12" w:rsidRDefault="002E0EBE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Il existe à cet égard un large éventail de</w:t>
      </w:r>
      <w:r w:rsidR="001E28D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méthode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1E28D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communication</w:t>
      </w:r>
      <w:r w:rsidR="008463B6"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="008463B6"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&lt;EndNote&gt;&lt;Cite&gt;&lt;Author&gt;Simcock&lt;/Author&gt;&lt;Year&gt;2017&lt;/Year&gt;&lt;RecNum&gt;6&lt;/RecNum&gt;&lt;DisplayText&gt;[7]&lt;/DisplayText&gt;&lt;record&gt;&lt;rec-number&gt;6&lt;/rec-number&gt;&lt;foreign-keys&gt;&lt;key app="EN" db-id="r9s0stzxi0wt9pepwey55fzeat5ve5v95srs" timestamp="1528129166"&gt;6&lt;/key&gt;&lt;/foreign-keys&gt;&lt;ref-type name="Journal Article"&gt;17&lt;/ref-type&gt;&lt;contributors&gt;&lt;authors&gt;&lt;author&gt;Simcock, Peter&lt;/author&gt;&lt;/authors&gt;&lt;/contributors&gt;&lt;titles&gt;&lt;title&gt;One of society&amp;apos;s most vulnerable groups? A systematically conducted literature review exploring the vulnerability of deafblind people&lt;/title&gt;&lt;secondary-title&gt;Health &amp;amp; social care in the community&lt;/secondary-title&gt;&lt;/titles&gt;&lt;pages&gt;813-839&lt;/pages&gt;&lt;volume&gt;25&lt;/volume&gt;&lt;number&gt;3&lt;/number&gt;&lt;dates&gt;&lt;year&gt;2017&lt;/year&gt;&lt;/dates&gt;&lt;isbn&gt;1365-2524&lt;/isbn&gt;&lt;urls&gt;&lt;/urls&gt;&lt;/record&gt;&lt;/Cite&gt;&lt;/EndNote&gt;</w:instrText>
      </w:r>
      <w:r w:rsidR="008463B6"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="008463B6"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[8]</w:t>
      </w:r>
      <w:r w:rsidR="008463B6"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="001E28D3" w:rsidRPr="001D2C12">
        <w:rPr>
          <w:rFonts w:asciiTheme="majorHAnsi" w:hAnsiTheme="majorHAnsi" w:cstheme="minorHAnsi"/>
          <w:color w:val="000000" w:themeColor="text1"/>
          <w:lang w:val="fr-FR"/>
        </w:rPr>
        <w:t>, y compris:</w:t>
      </w:r>
    </w:p>
    <w:p w14:paraId="6BF1D3B0" w14:textId="18C15A50" w:rsidR="001E28D3" w:rsidRPr="001D2C12" w:rsidRDefault="001E28D3" w:rsidP="001D2C12">
      <w:pPr>
        <w:numPr>
          <w:ilvl w:val="0"/>
          <w:numId w:val="14"/>
        </w:numPr>
        <w:tabs>
          <w:tab w:val="left" w:pos="180"/>
          <w:tab w:val="num" w:pos="360"/>
        </w:tabs>
        <w:spacing w:after="80" w:line="240" w:lineRule="auto"/>
        <w:ind w:left="360" w:right="-90"/>
        <w:jc w:val="both"/>
        <w:rPr>
          <w:rFonts w:asciiTheme="majorHAnsi" w:hAnsiTheme="majorHAnsi" w:cstheme="minorHAnsi"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Interprétation tactile </w:t>
      </w:r>
      <w:r w:rsidR="00E855E2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(par exemple la langue des signes tactile </w:t>
      </w:r>
      <w:r w:rsidR="00E56810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avec une </w:t>
      </w:r>
      <w:r w:rsidR="00CB540B">
        <w:rPr>
          <w:rFonts w:asciiTheme="majorHAnsi" w:hAnsiTheme="majorHAnsi" w:cstheme="minorHAnsi"/>
          <w:iCs/>
          <w:color w:val="000000" w:themeColor="text1"/>
          <w:lang w:val="fr-FR"/>
        </w:rPr>
        <w:t>personne ayant une surdicécité</w:t>
      </w:r>
      <w:r w:rsidR="00E56810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) ou </w:t>
      </w:r>
      <w:r w:rsidR="0034545E" w:rsidRPr="001D2C12">
        <w:rPr>
          <w:rFonts w:asciiTheme="majorHAnsi" w:hAnsiTheme="majorHAnsi" w:cstheme="minorHAnsi"/>
          <w:iCs/>
          <w:color w:val="000000" w:themeColor="text1"/>
          <w:lang w:val="fr-FR"/>
        </w:rPr>
        <w:t>l’épellation digitale de l’alphabet manuel.</w:t>
      </w:r>
    </w:p>
    <w:p w14:paraId="24A04F71" w14:textId="19261562" w:rsidR="0034545E" w:rsidRPr="001D2C12" w:rsidRDefault="0034545E" w:rsidP="001D2C12">
      <w:pPr>
        <w:numPr>
          <w:ilvl w:val="0"/>
          <w:numId w:val="14"/>
        </w:numPr>
        <w:tabs>
          <w:tab w:val="left" w:pos="180"/>
          <w:tab w:val="num" w:pos="360"/>
        </w:tabs>
        <w:spacing w:after="80" w:line="240" w:lineRule="auto"/>
        <w:ind w:left="360" w:right="-90"/>
        <w:jc w:val="both"/>
        <w:rPr>
          <w:rFonts w:asciiTheme="majorHAnsi" w:hAnsiTheme="majorHAnsi" w:cstheme="minorHAnsi"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Interprétation visuelle </w:t>
      </w:r>
      <w:r w:rsidR="00201237" w:rsidRPr="001D2C12">
        <w:rPr>
          <w:rFonts w:asciiTheme="majorHAnsi" w:hAnsiTheme="majorHAnsi" w:cstheme="minorHAnsi"/>
          <w:iCs/>
          <w:color w:val="000000" w:themeColor="text1"/>
          <w:lang w:val="fr-FR"/>
        </w:rPr>
        <w:t>proche (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>à savoir,</w:t>
      </w:r>
      <w:r w:rsidR="00534E47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 la langue des signes visuelle</w:t>
      </w:r>
      <w:r w:rsidR="00E01B7B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 </w:t>
      </w:r>
      <w:r w:rsidR="00165F53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à proximité de la </w:t>
      </w:r>
      <w:r w:rsidR="00CB540B">
        <w:rPr>
          <w:rFonts w:asciiTheme="majorHAnsi" w:hAnsiTheme="majorHAnsi" w:cstheme="minorHAnsi"/>
          <w:iCs/>
          <w:color w:val="000000" w:themeColor="text1"/>
          <w:lang w:val="fr-FR"/>
        </w:rPr>
        <w:t>personne ayant une surdicécité</w:t>
      </w:r>
      <w:r w:rsidR="00165F53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) ou interprétation </w:t>
      </w:r>
      <w:r w:rsidR="005B2D56" w:rsidRPr="001D2C12">
        <w:rPr>
          <w:rFonts w:asciiTheme="majorHAnsi" w:hAnsiTheme="majorHAnsi" w:cstheme="minorHAnsi"/>
          <w:iCs/>
          <w:color w:val="000000" w:themeColor="text1"/>
          <w:lang w:val="fr-FR"/>
        </w:rPr>
        <w:t>du cadre visuel (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>à savoir</w:t>
      </w:r>
      <w:r w:rsidR="005B2D56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, la langue des signes visuelle </w:t>
      </w:r>
      <w:r w:rsidR="00A50D0C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pour plus d’une </w:t>
      </w:r>
      <w:r w:rsidR="00CB540B">
        <w:rPr>
          <w:rFonts w:asciiTheme="majorHAnsi" w:hAnsiTheme="majorHAnsi" w:cstheme="minorHAnsi"/>
          <w:iCs/>
          <w:color w:val="000000" w:themeColor="text1"/>
          <w:lang w:val="fr-FR"/>
        </w:rPr>
        <w:t>personne ayant une surdicécité</w:t>
      </w:r>
      <w:r w:rsidR="00E01B7B" w:rsidRPr="001D2C12">
        <w:rPr>
          <w:rFonts w:asciiTheme="majorHAnsi" w:hAnsiTheme="majorHAnsi" w:cstheme="minorHAnsi"/>
          <w:iCs/>
          <w:color w:val="000000" w:themeColor="text1"/>
          <w:lang w:val="fr-FR"/>
        </w:rPr>
        <w:t>).</w:t>
      </w:r>
    </w:p>
    <w:p w14:paraId="7C14E9B8" w14:textId="513A334A" w:rsidR="00E01B7B" w:rsidRPr="001D2C12" w:rsidRDefault="00E01B7B" w:rsidP="001D2C12">
      <w:pPr>
        <w:numPr>
          <w:ilvl w:val="0"/>
          <w:numId w:val="14"/>
        </w:numPr>
        <w:tabs>
          <w:tab w:val="left" w:pos="180"/>
          <w:tab w:val="num" w:pos="360"/>
        </w:tabs>
        <w:spacing w:after="80" w:line="240" w:lineRule="auto"/>
        <w:ind w:left="360" w:right="-90"/>
        <w:jc w:val="both"/>
        <w:rPr>
          <w:rFonts w:asciiTheme="majorHAnsi" w:hAnsiTheme="majorHAnsi" w:cstheme="minorHAnsi"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iCs/>
          <w:color w:val="000000" w:themeColor="text1"/>
          <w:lang w:val="fr-FR"/>
        </w:rPr>
        <w:t>Interprétation claire du discours (avec ou sans appareil</w:t>
      </w:r>
      <w:r w:rsidR="00797D30" w:rsidRPr="001D2C12">
        <w:rPr>
          <w:rFonts w:asciiTheme="majorHAnsi" w:hAnsiTheme="majorHAnsi" w:cstheme="minorHAnsi"/>
          <w:iCs/>
          <w:color w:val="000000" w:themeColor="text1"/>
          <w:lang w:val="fr-FR"/>
        </w:rPr>
        <w:t>s</w:t>
      </w:r>
      <w:r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 auditif</w:t>
      </w:r>
      <w:r w:rsidR="00797D30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s) 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ou </w:t>
      </w:r>
      <w:r w:rsidR="001E75DE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interprétation de la voix en texte 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>(avec certaines adaptations et avec ou sans équipement</w:t>
      </w:r>
      <w:r w:rsidR="00B90074" w:rsidRPr="001D2C12">
        <w:rPr>
          <w:rFonts w:asciiTheme="majorHAnsi" w:hAnsiTheme="majorHAnsi" w:cstheme="minorHAnsi"/>
          <w:iCs/>
          <w:color w:val="000000" w:themeColor="text1"/>
          <w:lang w:val="fr-FR"/>
        </w:rPr>
        <w:t>s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 technique</w:t>
      </w:r>
      <w:r w:rsidR="00B90074" w:rsidRPr="001D2C12">
        <w:rPr>
          <w:rFonts w:asciiTheme="majorHAnsi" w:hAnsiTheme="majorHAnsi" w:cstheme="minorHAnsi"/>
          <w:iCs/>
          <w:color w:val="000000" w:themeColor="text1"/>
          <w:lang w:val="fr-FR"/>
        </w:rPr>
        <w:t>s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>, tel</w:t>
      </w:r>
      <w:r w:rsidR="00B90074" w:rsidRPr="001D2C12">
        <w:rPr>
          <w:rFonts w:asciiTheme="majorHAnsi" w:hAnsiTheme="majorHAnsi" w:cstheme="minorHAnsi"/>
          <w:iCs/>
          <w:color w:val="000000" w:themeColor="text1"/>
          <w:lang w:val="fr-FR"/>
        </w:rPr>
        <w:t>s</w:t>
      </w:r>
      <w:r w:rsidR="00645826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 que ordinateurs, </w:t>
      </w:r>
      <w:r w:rsidR="00BA2287" w:rsidRPr="001D2C12">
        <w:rPr>
          <w:rFonts w:asciiTheme="majorHAnsi" w:hAnsiTheme="majorHAnsi" w:cstheme="minorHAnsi"/>
          <w:iCs/>
          <w:color w:val="000000" w:themeColor="text1"/>
          <w:lang w:val="fr-FR"/>
        </w:rPr>
        <w:t>grands écrans et afficheurs braille).</w:t>
      </w:r>
    </w:p>
    <w:p w14:paraId="5BE71046" w14:textId="34428A50" w:rsidR="00D24C11" w:rsidRPr="001D2C12" w:rsidRDefault="00D24C11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Selon la personne ou la situation</w:t>
      </w:r>
      <w:r w:rsidR="00F53CE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C63781" w:rsidRPr="001D2C12">
        <w:rPr>
          <w:rFonts w:asciiTheme="majorHAnsi" w:hAnsiTheme="majorHAnsi" w:cstheme="minorHAnsi"/>
          <w:color w:val="000000" w:themeColor="text1"/>
          <w:lang w:val="fr-FR"/>
        </w:rPr>
        <w:t>toute</w:t>
      </w:r>
      <w:r w:rsidR="00F53CE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méthode et/ou combinaison de méthodes </w:t>
      </w:r>
      <w:r w:rsidR="00133B3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peut </w:t>
      </w:r>
      <w:r w:rsidR="00F53CE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s’avérer nécessaire. </w:t>
      </w:r>
      <w:r w:rsidR="00C6378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plus, les stratégies de communication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peuvent </w:t>
      </w:r>
      <w:r w:rsidR="00C6378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changer avec le temps, </w:t>
      </w:r>
      <w:r w:rsidR="00120141" w:rsidRPr="001D2C12">
        <w:rPr>
          <w:rFonts w:asciiTheme="majorHAnsi" w:hAnsiTheme="majorHAnsi" w:cstheme="minorHAnsi"/>
          <w:color w:val="000000" w:themeColor="text1"/>
          <w:lang w:val="fr-FR"/>
        </w:rPr>
        <w:t>notamment</w:t>
      </w:r>
      <w:r w:rsidR="00C6378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si les personnes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font l’expérience </w:t>
      </w:r>
      <w:r w:rsidR="00F65C6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changements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ou évolutions </w:t>
      </w:r>
      <w:r w:rsidR="00E01CC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au niveau de la gravité de leurs déficiences auditives et/ou visuelles </w:t>
      </w:r>
      <w:r w:rsidR="00E01CC0"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="00E01CC0"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&lt;EndNote&gt;&lt;Cite&gt;&lt;Author&gt;Simcock&lt;/Author&gt;&lt;Year&gt;2017&lt;/Year&gt;&lt;RecNum&gt;56&lt;/RecNum&gt;&lt;DisplayText&gt;[9]&lt;/DisplayText&gt;&lt;record&gt;&lt;rec-number&gt;56&lt;/rec-number&gt;&lt;foreign-keys&gt;&lt;key app="EN" db-id="52wvpr59hpwzwfestwr5ewtvpawz0pssr5t9" timestamp="1512398400"&gt;56&lt;/key&gt;&lt;/foreign-keys&gt;&lt;ref-type name="Journal Article"&gt;17&lt;/ref-type&gt;&lt;contributors&gt;&lt;authors&gt;&lt;author&gt;Simcock, Peter&lt;/author&gt;&lt;/authors&gt;&lt;/contributors&gt;&lt;titles&gt;&lt;title&gt;Ageing with a unique impairment: a systematically conducted review of older deafblind people&amp;apos;s experiences&lt;/title&gt;&lt;secondary-title&gt;Ageing &amp;amp; Society&lt;/secondary-title&gt;&lt;/titles&gt;&lt;periodical&gt;&lt;full-title&gt;Ageing &amp;amp; Society&lt;/full-title&gt;&lt;/periodical&gt;&lt;pages&gt;1703-1742&lt;/pages&gt;&lt;volume&gt;37&lt;/volume&gt;&lt;number&gt;8&lt;/number&gt;&lt;dates&gt;&lt;year&gt;2017&lt;/year&gt;&lt;/dates&gt;&lt;isbn&gt;0144-686X&lt;/isbn&gt;&lt;urls&gt;&lt;/urls&gt;&lt;/record&gt;&lt;/Cite&gt;&lt;/EndNote&gt;</w:instrText>
      </w:r>
      <w:r w:rsidR="00E01CC0"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="00E01CC0"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[9]</w:t>
      </w:r>
      <w:r w:rsidR="00E01CC0"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="00E01CC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7FEE920F" w14:textId="650F10AA" w:rsidR="00F33FAD" w:rsidRPr="001D2C12" w:rsidRDefault="00F33FAD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peuvent aussi </w:t>
      </w:r>
      <w:r w:rsidR="00B0086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avoir recours à </w:t>
      </w:r>
      <w:r w:rsidR="00B0489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</w:t>
      </w:r>
      <w:bookmarkStart w:id="7" w:name="_Hlk7439943"/>
      <w:r w:rsidR="00B0489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technologies d’assistance </w:t>
      </w:r>
      <w:bookmarkEnd w:id="7"/>
      <w:r w:rsidR="00B0489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</w:t>
      </w:r>
      <w:r w:rsidR="008A47A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vue </w:t>
      </w:r>
      <w:r w:rsidR="00B9007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d’apporter un support </w:t>
      </w:r>
      <w:r w:rsidR="00337EE2" w:rsidRPr="001D2C12">
        <w:rPr>
          <w:rFonts w:asciiTheme="majorHAnsi" w:hAnsiTheme="majorHAnsi" w:cstheme="minorHAnsi"/>
          <w:color w:val="000000" w:themeColor="text1"/>
          <w:lang w:val="fr-FR"/>
        </w:rPr>
        <w:t>à</w:t>
      </w:r>
      <w:r w:rsidR="00B0489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communication. </w:t>
      </w:r>
      <w:r w:rsidR="00F355A1" w:rsidRPr="001D2C12">
        <w:rPr>
          <w:rFonts w:asciiTheme="majorHAnsi" w:hAnsiTheme="majorHAnsi" w:cstheme="minorHAnsi"/>
          <w:color w:val="000000" w:themeColor="text1"/>
          <w:lang w:val="fr-FR"/>
        </w:rPr>
        <w:t>Les exe</w:t>
      </w:r>
      <w:r w:rsidR="00A059DC" w:rsidRPr="001D2C12">
        <w:rPr>
          <w:rFonts w:asciiTheme="majorHAnsi" w:hAnsiTheme="majorHAnsi" w:cstheme="minorHAnsi"/>
          <w:color w:val="000000" w:themeColor="text1"/>
          <w:lang w:val="fr-FR"/>
        </w:rPr>
        <w:t>m</w:t>
      </w:r>
      <w:r w:rsidR="00F355A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ples </w:t>
      </w:r>
      <w:r w:rsidR="00A059DC" w:rsidRPr="001D2C12">
        <w:rPr>
          <w:rFonts w:asciiTheme="majorHAnsi" w:hAnsiTheme="majorHAnsi" w:cstheme="minorHAnsi"/>
          <w:color w:val="000000" w:themeColor="text1"/>
          <w:lang w:val="fr-FR"/>
        </w:rPr>
        <w:t>d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’aides techniques </w:t>
      </w:r>
      <w:r w:rsidR="00A059D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englobent les </w:t>
      </w:r>
      <w:r w:rsidR="008A47A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afficheurs </w:t>
      </w:r>
      <w:r w:rsidR="00F6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braille </w:t>
      </w:r>
      <w:r w:rsidR="008A47A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</w:t>
      </w:r>
      <w:r w:rsidR="00582358" w:rsidRPr="001D2C12">
        <w:rPr>
          <w:rFonts w:asciiTheme="majorHAnsi" w:hAnsiTheme="majorHAnsi" w:cstheme="minorHAnsi"/>
          <w:color w:val="000000" w:themeColor="text1"/>
          <w:lang w:val="fr-FR"/>
        </w:rPr>
        <w:t>machines à écrire en</w:t>
      </w:r>
      <w:r w:rsidR="00F6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8A47AE" w:rsidRPr="001D2C12">
        <w:rPr>
          <w:rFonts w:asciiTheme="majorHAnsi" w:hAnsiTheme="majorHAnsi" w:cstheme="minorHAnsi"/>
          <w:color w:val="000000" w:themeColor="text1"/>
          <w:lang w:val="fr-FR"/>
        </w:rPr>
        <w:t>braille</w:t>
      </w:r>
      <w:r w:rsidR="0058235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721234" w:rsidRPr="001D2C12">
        <w:rPr>
          <w:rFonts w:asciiTheme="majorHAnsi" w:hAnsiTheme="majorHAnsi" w:cstheme="minorHAnsi"/>
          <w:color w:val="000000" w:themeColor="text1"/>
          <w:lang w:val="fr-FR"/>
        </w:rPr>
        <w:t>appareils auditifs et loupes, et lunette</w:t>
      </w:r>
      <w:r w:rsidR="003155E6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72123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et/ou </w:t>
      </w:r>
      <w:r w:rsidR="00E17326" w:rsidRPr="001D2C12">
        <w:rPr>
          <w:rFonts w:asciiTheme="majorHAnsi" w:hAnsiTheme="majorHAnsi" w:cstheme="minorHAnsi"/>
          <w:color w:val="000000" w:themeColor="text1"/>
          <w:lang w:val="fr-FR"/>
        </w:rPr>
        <w:t>agrandissement d’écran. Cependant, il est important de garder à l’esprit que de tel</w:t>
      </w:r>
      <w:r w:rsidR="00941D50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E1732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produits d’aide </w:t>
      </w:r>
      <w:r w:rsidR="00941D5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ne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peuvent </w:t>
      </w:r>
      <w:r w:rsidR="00941D5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pas répondre aux besoins individuels de tout un chacun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>et dans tout type de</w:t>
      </w:r>
      <w:r w:rsidR="00941D5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circonstances, </w:t>
      </w:r>
      <w:r w:rsidR="00F6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qu’un soutien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peut </w:t>
      </w:r>
      <w:r w:rsidR="00F6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être requis dans d’autres domaines, tout comme le soutien fourni par un guide-interprète. </w:t>
      </w:r>
    </w:p>
    <w:p w14:paraId="187CDCC4" w14:textId="4C856736" w:rsidR="001F5D7D" w:rsidRPr="001D2C12" w:rsidRDefault="001F5D7D" w:rsidP="001D2C12">
      <w:pPr>
        <w:pStyle w:val="ListParagraph"/>
        <w:numPr>
          <w:ilvl w:val="0"/>
          <w:numId w:val="13"/>
        </w:numPr>
        <w:tabs>
          <w:tab w:val="left" w:pos="180"/>
        </w:tabs>
        <w:spacing w:after="80"/>
        <w:ind w:right="-90"/>
        <w:jc w:val="both"/>
        <w:rPr>
          <w:rFonts w:asciiTheme="majorHAnsi" w:hAnsiTheme="majorHAnsi" w:cstheme="minorHAnsi"/>
          <w:b/>
          <w:iCs/>
          <w:color w:val="000000" w:themeColor="text1"/>
          <w:lang w:val="en-GB"/>
        </w:rPr>
      </w:pPr>
      <w:proofErr w:type="spellStart"/>
      <w:r w:rsidRPr="001D2C12">
        <w:rPr>
          <w:rFonts w:asciiTheme="majorHAnsi" w:hAnsiTheme="majorHAnsi" w:cstheme="minorHAnsi"/>
          <w:b/>
          <w:iCs/>
          <w:color w:val="000000" w:themeColor="text1"/>
          <w:lang w:val="en-GB"/>
        </w:rPr>
        <w:t>Mobilit</w:t>
      </w:r>
      <w:r w:rsidR="004A0C7D" w:rsidRPr="001D2C12">
        <w:rPr>
          <w:rFonts w:asciiTheme="majorHAnsi" w:hAnsiTheme="majorHAnsi" w:cstheme="minorHAnsi"/>
          <w:b/>
          <w:iCs/>
          <w:color w:val="000000" w:themeColor="text1"/>
          <w:lang w:val="en-GB"/>
        </w:rPr>
        <w:t>é</w:t>
      </w:r>
      <w:proofErr w:type="spellEnd"/>
      <w:r w:rsidRPr="001D2C12">
        <w:rPr>
          <w:rFonts w:asciiTheme="majorHAnsi" w:hAnsiTheme="majorHAnsi" w:cstheme="minorHAnsi"/>
          <w:b/>
          <w:iCs/>
          <w:color w:val="000000" w:themeColor="text1"/>
          <w:lang w:val="en-GB"/>
        </w:rPr>
        <w:t xml:space="preserve"> </w:t>
      </w:r>
    </w:p>
    <w:p w14:paraId="4495EAA0" w14:textId="11C30236" w:rsidR="001F5D7D" w:rsidRPr="00F032BC" w:rsidRDefault="004A0C7D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b/>
          <w:iCs/>
          <w:color w:val="000000" w:themeColor="text1"/>
          <w:lang w:val="fr-CH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capacité à </w:t>
      </w:r>
      <w:r w:rsidR="008422F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se déplacer </w:t>
      </w:r>
      <w:r w:rsidR="00776009" w:rsidRPr="001D2C12">
        <w:rPr>
          <w:rFonts w:asciiTheme="majorHAnsi" w:hAnsiTheme="majorHAnsi" w:cstheme="minorHAnsi"/>
          <w:color w:val="000000" w:themeColor="text1"/>
          <w:lang w:val="fr-FR"/>
        </w:rPr>
        <w:t>entièrement et librement est essentiel</w:t>
      </w:r>
      <w:r w:rsidR="00572BFD" w:rsidRPr="001D2C12">
        <w:rPr>
          <w:rFonts w:asciiTheme="majorHAnsi" w:hAnsiTheme="majorHAnsi" w:cstheme="minorHAnsi"/>
          <w:color w:val="000000" w:themeColor="text1"/>
          <w:lang w:val="fr-FR"/>
        </w:rPr>
        <w:t>le</w:t>
      </w:r>
      <w:r w:rsidR="007760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pour garantir </w:t>
      </w:r>
      <w:r w:rsidR="00EC7827" w:rsidRPr="001D2C12">
        <w:rPr>
          <w:rFonts w:asciiTheme="majorHAnsi" w:hAnsiTheme="majorHAnsi" w:cstheme="minorHAnsi"/>
          <w:color w:val="000000" w:themeColor="text1"/>
          <w:lang w:val="fr-FR"/>
        </w:rPr>
        <w:t>une pleine et eff</w:t>
      </w:r>
      <w:r w:rsidR="009865E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ective </w:t>
      </w:r>
      <w:r w:rsidR="00EC7827" w:rsidRPr="001D2C12">
        <w:rPr>
          <w:rFonts w:asciiTheme="majorHAnsi" w:hAnsiTheme="majorHAnsi" w:cstheme="minorHAnsi"/>
          <w:color w:val="000000" w:themeColor="text1"/>
          <w:lang w:val="fr-FR"/>
        </w:rPr>
        <w:t>intégration et</w:t>
      </w:r>
      <w:r w:rsidR="007760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B331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une </w:t>
      </w:r>
      <w:r w:rsidR="00572BFD" w:rsidRPr="001D2C12">
        <w:rPr>
          <w:rFonts w:asciiTheme="majorHAnsi" w:hAnsiTheme="majorHAnsi" w:cstheme="minorHAnsi"/>
          <w:color w:val="000000" w:themeColor="text1"/>
          <w:lang w:val="fr-FR"/>
        </w:rPr>
        <w:t>participation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égale</w:t>
      </w:r>
      <w:r w:rsidR="00572BF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Pour certaines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572BF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346909" w:rsidRPr="001D2C12">
        <w:rPr>
          <w:rFonts w:asciiTheme="majorHAnsi" w:hAnsiTheme="majorHAnsi" w:cstheme="minorHAnsi"/>
          <w:color w:val="000000" w:themeColor="text1"/>
          <w:lang w:val="fr-FR"/>
        </w:rPr>
        <w:t>le recours à des services d</w:t>
      </w:r>
      <w:r w:rsidR="005D6F9B" w:rsidRPr="001D2C12">
        <w:rPr>
          <w:rFonts w:asciiTheme="majorHAnsi" w:hAnsiTheme="majorHAnsi" w:cstheme="minorHAnsi"/>
          <w:color w:val="000000" w:themeColor="text1"/>
          <w:lang w:val="fr-FR"/>
        </w:rPr>
        <w:t>e guide</w:t>
      </w:r>
      <w:r w:rsidR="00D47F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3469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qualifié </w:t>
      </w:r>
      <w:r w:rsidR="00A50D0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pour un appui </w:t>
      </w:r>
      <w:r w:rsidR="003469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la mobilité et l’orientation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peut </w:t>
      </w:r>
      <w:r w:rsidR="00717767" w:rsidRPr="001D2C12">
        <w:rPr>
          <w:rFonts w:asciiTheme="majorHAnsi" w:hAnsiTheme="majorHAnsi" w:cstheme="minorHAnsi"/>
          <w:color w:val="000000" w:themeColor="text1"/>
          <w:lang w:val="fr-FR"/>
        </w:rPr>
        <w:t>s’avérer nécessaire.</w:t>
      </w:r>
      <w:r w:rsidR="005D6F9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50D0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 guidage est aussi considéré comme une partie intégrante des services d’un guide-interprète, puisqu’il n’est pas possible de guider et décrire pour une </w:t>
      </w:r>
      <w:r w:rsidR="00CB540B">
        <w:rPr>
          <w:rFonts w:asciiTheme="majorHAnsi" w:hAnsiTheme="majorHAnsi" w:cstheme="minorHAnsi"/>
          <w:color w:val="000000" w:themeColor="text1"/>
          <w:lang w:val="fr-FR"/>
        </w:rPr>
        <w:t>personne ayant une surdicécité</w:t>
      </w:r>
      <w:r w:rsidR="00A50D0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sans avoir la possibilité de communiquer. </w:t>
      </w:r>
      <w:bookmarkStart w:id="8" w:name="_Toc510784471"/>
      <w:bookmarkStart w:id="9" w:name="_Toc510470736"/>
      <w:bookmarkStart w:id="10" w:name="_Toc510470662"/>
      <w:bookmarkStart w:id="11" w:name="_Toc510470445"/>
      <w:r w:rsidR="001F5D7D" w:rsidRPr="00F032BC">
        <w:rPr>
          <w:rFonts w:asciiTheme="majorHAnsi" w:hAnsiTheme="majorHAnsi" w:cstheme="minorHAnsi"/>
          <w:b/>
          <w:iCs/>
          <w:color w:val="000000" w:themeColor="text1"/>
          <w:lang w:val="fr-CH"/>
        </w:rPr>
        <w:t>Description</w:t>
      </w:r>
      <w:bookmarkEnd w:id="8"/>
      <w:bookmarkEnd w:id="9"/>
      <w:bookmarkEnd w:id="10"/>
      <w:bookmarkEnd w:id="11"/>
    </w:p>
    <w:p w14:paraId="6D81B650" w14:textId="4871D636" w:rsidR="005F1CD8" w:rsidRPr="001D2C12" w:rsidRDefault="005F1CD8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le but de comprendre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pleinement et de créer des liens avec </w:t>
      </w:r>
      <w:r w:rsidR="00FB7EA9" w:rsidRPr="001D2C12">
        <w:rPr>
          <w:rFonts w:asciiTheme="majorHAnsi" w:hAnsiTheme="majorHAnsi" w:cstheme="minorHAnsi"/>
          <w:color w:val="000000" w:themeColor="text1"/>
          <w:lang w:val="fr-FR"/>
        </w:rPr>
        <w:t>l’en</w:t>
      </w:r>
      <w:r w:rsidR="0055328A" w:rsidRPr="001D2C12">
        <w:rPr>
          <w:rFonts w:asciiTheme="majorHAnsi" w:hAnsiTheme="majorHAnsi" w:cstheme="minorHAnsi"/>
          <w:color w:val="000000" w:themeColor="text1"/>
          <w:lang w:val="fr-FR"/>
        </w:rPr>
        <w:t>vironnement</w:t>
      </w:r>
      <w:r w:rsidR="00FB7EA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certaines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FB7EA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1B414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optent pour l’utilisation de la description. </w:t>
      </w:r>
      <w:r w:rsidR="008148BE" w:rsidRPr="001D2C12">
        <w:rPr>
          <w:rFonts w:asciiTheme="majorHAnsi" w:hAnsiTheme="majorHAnsi" w:cstheme="minorHAnsi"/>
          <w:color w:val="000000" w:themeColor="text1"/>
          <w:lang w:val="fr-FR"/>
        </w:rPr>
        <w:t>Cette dernière n’englobe pas seulement l’</w:t>
      </w:r>
      <w:r w:rsidR="00D00892" w:rsidRPr="001D2C12">
        <w:rPr>
          <w:rFonts w:asciiTheme="majorHAnsi" w:hAnsiTheme="majorHAnsi" w:cstheme="minorHAnsi"/>
          <w:color w:val="000000" w:themeColor="text1"/>
          <w:lang w:val="fr-FR"/>
        </w:rPr>
        <w:t>environnement</w:t>
      </w:r>
      <w:r w:rsidR="008148B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physique, tel que les mur</w:t>
      </w:r>
      <w:r w:rsidR="0053694B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8148B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les fenêtres, mais aussi </w:t>
      </w:r>
      <w:r w:rsidR="00B325B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>faits et circonstances</w:t>
      </w:r>
      <w:r w:rsidR="00B325B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FB7AEA" w:rsidRPr="001D2C12">
        <w:rPr>
          <w:rFonts w:asciiTheme="majorHAnsi" w:hAnsiTheme="majorHAnsi" w:cstheme="minorHAnsi"/>
          <w:color w:val="000000" w:themeColor="text1"/>
          <w:lang w:val="fr-FR"/>
        </w:rPr>
        <w:t>les gens et les objets physiques</w:t>
      </w:r>
      <w:r w:rsidR="00B325B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y compris les livres, </w:t>
      </w:r>
      <w:r w:rsidR="00B9696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B325BA" w:rsidRPr="001D2C12">
        <w:rPr>
          <w:rFonts w:asciiTheme="majorHAnsi" w:hAnsiTheme="majorHAnsi" w:cstheme="minorHAnsi"/>
          <w:color w:val="000000" w:themeColor="text1"/>
          <w:lang w:val="fr-FR"/>
        </w:rPr>
        <w:t>affiches</w:t>
      </w:r>
      <w:r w:rsidR="001819AE" w:rsidRPr="001D2C12">
        <w:rPr>
          <w:rFonts w:asciiTheme="majorHAnsi" w:hAnsiTheme="majorHAnsi" w:cstheme="minorHAnsi"/>
          <w:color w:val="000000" w:themeColor="text1"/>
          <w:lang w:val="fr-FR"/>
        </w:rPr>
        <w:t>, et les brochures digitales et imprimées.</w:t>
      </w:r>
    </w:p>
    <w:p w14:paraId="17D010A5" w14:textId="5233B633" w:rsidR="001819AE" w:rsidRPr="001D2C12" w:rsidRDefault="001819AE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 xml:space="preserve">La Fédération mondiale des sourdaveugles (World </w:t>
      </w:r>
      <w:proofErr w:type="spellStart"/>
      <w:r w:rsidRPr="001D2C12">
        <w:rPr>
          <w:rFonts w:asciiTheme="majorHAnsi" w:hAnsiTheme="majorHAnsi" w:cstheme="minorHAnsi"/>
          <w:color w:val="000000" w:themeColor="text1"/>
          <w:lang w:val="fr-FR"/>
        </w:rPr>
        <w:t>Federation</w:t>
      </w:r>
      <w:proofErr w:type="spellEnd"/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of the </w:t>
      </w:r>
      <w:proofErr w:type="spellStart"/>
      <w:r w:rsidRPr="001D2C12">
        <w:rPr>
          <w:rFonts w:asciiTheme="majorHAnsi" w:hAnsiTheme="majorHAnsi" w:cstheme="minorHAnsi"/>
          <w:color w:val="000000" w:themeColor="text1"/>
          <w:lang w:val="fr-FR"/>
        </w:rPr>
        <w:t>Deafblind</w:t>
      </w:r>
      <w:proofErr w:type="spellEnd"/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-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WFDB)</w:t>
      </w:r>
      <w:r w:rsidR="00E501D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FE673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considère </w:t>
      </w:r>
      <w:r w:rsidR="00E501D4" w:rsidRPr="001D2C12">
        <w:rPr>
          <w:rFonts w:asciiTheme="majorHAnsi" w:hAnsiTheme="majorHAnsi" w:cstheme="minorHAnsi"/>
          <w:color w:val="000000" w:themeColor="text1"/>
          <w:lang w:val="fr-FR"/>
        </w:rPr>
        <w:t>la description comme faisant partie intégrante des services du guide-interprète</w:t>
      </w:r>
      <w:r w:rsidR="0082148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FE673A" w:rsidRPr="001D2C12">
        <w:rPr>
          <w:rFonts w:asciiTheme="majorHAnsi" w:hAnsiTheme="majorHAnsi" w:cstheme="minorHAnsi"/>
          <w:color w:val="000000" w:themeColor="text1"/>
          <w:lang w:val="fr-FR"/>
        </w:rPr>
        <w:t>Elle</w:t>
      </w:r>
      <w:r w:rsidR="0082148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doit être ainsi fourni</w:t>
      </w:r>
      <w:r w:rsidR="00153652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82148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même temps qu</w:t>
      </w:r>
      <w:r w:rsidR="00A34889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82148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les services visant à guider</w:t>
      </w:r>
      <w:r w:rsidR="00BA6CB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</w:t>
      </w:r>
      <w:r w:rsidR="00CB540B">
        <w:rPr>
          <w:rFonts w:asciiTheme="majorHAnsi" w:hAnsiTheme="majorHAnsi" w:cstheme="minorHAnsi"/>
          <w:color w:val="000000" w:themeColor="text1"/>
          <w:lang w:val="fr-FR"/>
        </w:rPr>
        <w:t>personne ayant une surdicécité</w:t>
      </w:r>
      <w:r w:rsidR="00BA6CB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à assurer pour elle l’interprétation des discours</w:t>
      </w:r>
      <w:r w:rsidR="00FE673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selon les différentes situations </w:t>
      </w:r>
      <w:r w:rsidR="00FE673A" w:rsidRPr="001D2C12">
        <w:rPr>
          <w:rFonts w:asciiTheme="majorHAnsi" w:hAnsiTheme="majorHAnsi" w:cstheme="minorHAnsi"/>
          <w:color w:val="000000" w:themeColor="text1"/>
          <w:lang w:val="en-GB"/>
        </w:rPr>
        <w:fldChar w:fldCharType="begin"/>
      </w:r>
      <w:r w:rsidR="00FE673A" w:rsidRPr="001D2C12">
        <w:rPr>
          <w:rFonts w:asciiTheme="majorHAnsi" w:hAnsiTheme="majorHAnsi" w:cstheme="minorHAnsi"/>
          <w:color w:val="000000" w:themeColor="text1"/>
          <w:lang w:val="fr-FR"/>
        </w:rPr>
        <w:instrText xml:space="preserve"> ADDIN EN.CITE &lt;EndNote&gt;&lt;Cite&gt;&lt;Author&gt;World Federation of the Deafblind&lt;/Author&gt;&lt;Year&gt;2018&lt;/Year&gt;&lt;RecNum&gt;156&lt;/RecNum&gt;&lt;DisplayText&gt;[8]&lt;/DisplayText&gt;&lt;record&gt;&lt;rec-number&gt;156&lt;/rec-number&gt;&lt;foreign-keys&gt;&lt;key app="EN" db-id="wz5eaf5a0st2s6e2pec55fs0z9dvftws5pre" timestamp="1528137877"&gt;156&lt;/key&gt;&lt;/foreign-keys&gt;&lt;ref-type name="Web Page"&gt;12&lt;/ref-type&gt;&lt;contributors&gt;&lt;authors&gt;&lt;author&gt;World Federation of the Deafblind,&lt;/author&gt;&lt;/authors&gt;&lt;/contributors&gt;&lt;titles&gt;&lt;title&gt;Deafblind Interpretation&lt;/title&gt;&lt;/titles&gt;&lt;volume&gt;2018&lt;/volume&gt;&lt;number&gt;June 2&lt;/number&gt;&lt;dates&gt;&lt;year&gt;2018&lt;/year&gt;&lt;/dates&gt;&lt;urls&gt;&lt;related-urls&gt;&lt;url&gt;http://www.wfdb.eu/interpretation/&lt;/url&gt;&lt;/related-urls&gt;&lt;/urls&gt;&lt;/record&gt;&lt;/Cite&gt;&lt;/EndNote&gt;</w:instrText>
      </w:r>
      <w:r w:rsidR="00FE673A" w:rsidRPr="001D2C12">
        <w:rPr>
          <w:rFonts w:asciiTheme="majorHAnsi" w:hAnsiTheme="majorHAnsi" w:cstheme="minorHAnsi"/>
          <w:color w:val="000000" w:themeColor="text1"/>
          <w:lang w:val="en-GB"/>
        </w:rPr>
        <w:fldChar w:fldCharType="separate"/>
      </w:r>
      <w:r w:rsidR="00FE673A" w:rsidRPr="001D2C12">
        <w:rPr>
          <w:rFonts w:asciiTheme="majorHAnsi" w:hAnsiTheme="majorHAnsi" w:cstheme="minorHAnsi"/>
          <w:noProof/>
          <w:color w:val="000000" w:themeColor="text1"/>
          <w:lang w:val="fr-FR"/>
        </w:rPr>
        <w:t>[8]</w:t>
      </w:r>
      <w:r w:rsidR="00FE673A" w:rsidRPr="001D2C12">
        <w:rPr>
          <w:rFonts w:asciiTheme="majorHAnsi" w:hAnsiTheme="majorHAnsi" w:cstheme="minorHAnsi"/>
          <w:color w:val="000000" w:themeColor="text1"/>
          <w:lang w:val="en-GB"/>
        </w:rPr>
        <w:fldChar w:fldCharType="end"/>
      </w:r>
      <w:r w:rsidR="00FE673A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2A5AEB7E" w14:textId="4BF261DB" w:rsidR="001F5D7D" w:rsidRPr="001D2C12" w:rsidRDefault="00043447" w:rsidP="001D2C12">
      <w:pPr>
        <w:tabs>
          <w:tab w:val="left" w:pos="180"/>
        </w:tabs>
        <w:spacing w:line="240" w:lineRule="auto"/>
        <w:ind w:right="-90"/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L’importance cruciale</w:t>
      </w:r>
      <w:r w:rsidR="001F5D7D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du guide-</w:t>
      </w:r>
      <w:r w:rsidR="001F5D7D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interpr</w:t>
      </w:r>
      <w:r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>ète</w:t>
      </w:r>
      <w:r w:rsidR="001F5D7D" w:rsidRPr="001D2C12">
        <w:rPr>
          <w:rFonts w:asciiTheme="majorHAnsi" w:hAnsiTheme="majorHAnsi" w:cstheme="minorHAnsi"/>
          <w:b/>
          <w:bCs/>
          <w:iCs/>
          <w:color w:val="000000" w:themeColor="text1"/>
          <w:lang w:val="fr-FR"/>
        </w:rPr>
        <w:t xml:space="preserve"> </w:t>
      </w:r>
    </w:p>
    <w:p w14:paraId="4499FDCE" w14:textId="24E1A18A" w:rsidR="00A91693" w:rsidRPr="001D2C12" w:rsidRDefault="00EE79E2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Alors que certaines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</w:t>
      </w:r>
      <w:r w:rsidR="00F339B7" w:rsidRPr="001D2C12">
        <w:rPr>
          <w:rFonts w:asciiTheme="majorHAnsi" w:hAnsiTheme="majorHAnsi" w:cstheme="minorHAnsi"/>
          <w:color w:val="000000" w:themeColor="text1"/>
          <w:lang w:val="fr-FR"/>
        </w:rPr>
        <w:t>euvent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243F1E" w:rsidRPr="001D2C12">
        <w:rPr>
          <w:rFonts w:asciiTheme="majorHAnsi" w:hAnsiTheme="majorHAnsi" w:cstheme="minorHAnsi"/>
          <w:color w:val="000000" w:themeColor="text1"/>
          <w:lang w:val="fr-FR"/>
        </w:rPr>
        <w:t>avoir recours</w:t>
      </w:r>
      <w:r w:rsidR="004620F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243F1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des </w:t>
      </w:r>
      <w:r w:rsidR="004620FD" w:rsidRPr="001D2C12">
        <w:rPr>
          <w:rFonts w:asciiTheme="majorHAnsi" w:hAnsiTheme="majorHAnsi" w:cstheme="minorHAnsi"/>
          <w:color w:val="000000" w:themeColor="text1"/>
          <w:lang w:val="fr-FR"/>
        </w:rPr>
        <w:t>aide</w:t>
      </w:r>
      <w:r w:rsidR="00243F1E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4620F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à la communication </w:t>
      </w:r>
      <w:r w:rsidR="00243F1E" w:rsidRPr="001D2C12">
        <w:rPr>
          <w:rFonts w:asciiTheme="majorHAnsi" w:hAnsiTheme="majorHAnsi" w:cstheme="minorHAnsi"/>
          <w:color w:val="000000" w:themeColor="text1"/>
          <w:lang w:val="fr-FR"/>
        </w:rPr>
        <w:t>tout comme à</w:t>
      </w:r>
      <w:r w:rsidR="009071B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aides de base à la mobilité </w:t>
      </w:r>
      <w:r w:rsidR="00243F1E" w:rsidRPr="001D2C12">
        <w:rPr>
          <w:rFonts w:asciiTheme="majorHAnsi" w:hAnsiTheme="majorHAnsi" w:cstheme="minorHAnsi"/>
          <w:color w:val="000000" w:themeColor="text1"/>
          <w:lang w:val="fr-FR"/>
        </w:rPr>
        <w:t>au sein d’un environnement familier</w:t>
      </w:r>
      <w:r w:rsidR="00A916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d’autres situations </w:t>
      </w:r>
      <w:r w:rsidR="00A916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plupart d’entre </w:t>
      </w:r>
      <w:r w:rsidR="007270B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elles </w:t>
      </w:r>
      <w:r w:rsidR="00A91693" w:rsidRPr="001D2C12">
        <w:rPr>
          <w:rFonts w:asciiTheme="majorHAnsi" w:hAnsiTheme="majorHAnsi" w:cstheme="minorHAnsi"/>
          <w:color w:val="000000" w:themeColor="text1"/>
          <w:lang w:val="fr-FR"/>
        </w:rPr>
        <w:t>ont besoin du soutien fourni par un guide-interprète, selon les circonstances.</w:t>
      </w:r>
    </w:p>
    <w:p w14:paraId="74677814" w14:textId="2CD6A373" w:rsidR="001F5D7D" w:rsidRDefault="00A91693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services </w:t>
      </w:r>
      <w:r w:rsidR="007270B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d’un guide-interprète </w:t>
      </w:r>
      <w:r w:rsidR="005B215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répondent véritablement </w:t>
      </w:r>
      <w:r w:rsidR="00340523" w:rsidRPr="001D2C12">
        <w:rPr>
          <w:rFonts w:asciiTheme="majorHAnsi" w:hAnsiTheme="majorHAnsi" w:cstheme="minorHAnsi"/>
          <w:color w:val="000000" w:themeColor="text1"/>
          <w:lang w:val="fr-FR"/>
        </w:rPr>
        <w:t>aux doubles besoins</w:t>
      </w:r>
      <w:r w:rsidR="005B215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E5108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782E4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termes de communication et de mobilité. </w:t>
      </w:r>
      <w:r w:rsidR="007917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effet, ces services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apportent un appui </w:t>
      </w:r>
      <w:r w:rsidR="000251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conformément avec l’article 19 de la CDPH, permettant </w:t>
      </w:r>
      <w:r w:rsidR="00D1272D" w:rsidRPr="001D2C12">
        <w:rPr>
          <w:rFonts w:asciiTheme="majorHAnsi" w:hAnsiTheme="majorHAnsi" w:cstheme="minorHAnsi"/>
          <w:color w:val="000000" w:themeColor="text1"/>
          <w:lang w:val="fr-FR"/>
        </w:rPr>
        <w:t>ainsi</w:t>
      </w:r>
      <w:r w:rsidR="000251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aux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0251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vivre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>de</w:t>
      </w:r>
      <w:r w:rsidR="00D1272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manière autonome</w:t>
      </w:r>
      <w:r w:rsidR="002211D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d’</w:t>
      </w:r>
      <w:r w:rsidR="001579D9" w:rsidRPr="001D2C12">
        <w:rPr>
          <w:rFonts w:asciiTheme="majorHAnsi" w:hAnsiTheme="majorHAnsi" w:cstheme="minorHAnsi"/>
          <w:color w:val="000000" w:themeColor="text1"/>
          <w:lang w:val="fr-FR"/>
        </w:rPr>
        <w:t>être</w:t>
      </w:r>
      <w:r w:rsidR="002211D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incluses </w:t>
      </w:r>
      <w:r w:rsidR="002211D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la société. Le service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fourni </w:t>
      </w:r>
      <w:r w:rsidR="002211D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 un guide-interprète professionnel peut constituer un facteur clé pour </w:t>
      </w:r>
      <w:r w:rsidR="00B96969" w:rsidRPr="001D2C12">
        <w:rPr>
          <w:rFonts w:asciiTheme="majorHAnsi" w:hAnsiTheme="majorHAnsi" w:cstheme="minorHAnsi"/>
          <w:color w:val="000000" w:themeColor="text1"/>
          <w:lang w:val="fr-FR"/>
        </w:rPr>
        <w:t>assurer l’</w:t>
      </w:r>
      <w:r w:rsidR="00111B7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accès à d’autres services et droits fondamentaux, tels que l’éducation, l’emploi, les soins de santé, </w:t>
      </w:r>
      <w:r w:rsidR="00A42C31" w:rsidRPr="001D2C12">
        <w:rPr>
          <w:rFonts w:asciiTheme="majorHAnsi" w:hAnsiTheme="majorHAnsi" w:cstheme="minorHAnsi"/>
          <w:color w:val="000000" w:themeColor="text1"/>
          <w:lang w:val="fr-FR"/>
        </w:rPr>
        <w:t>activités</w:t>
      </w:r>
      <w:r w:rsidR="00111B7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récréative</w:t>
      </w:r>
      <w:r w:rsidR="00A42C31" w:rsidRPr="001D2C12">
        <w:rPr>
          <w:rFonts w:asciiTheme="majorHAnsi" w:hAnsiTheme="majorHAnsi" w:cstheme="minorHAnsi"/>
          <w:color w:val="000000" w:themeColor="text1"/>
          <w:lang w:val="fr-FR"/>
        </w:rPr>
        <w:t>s.</w:t>
      </w:r>
      <w:r w:rsidR="00D87D5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</w:p>
    <w:p w14:paraId="4E8E32E9" w14:textId="77777777" w:rsidR="001D2C12" w:rsidRPr="001D2C12" w:rsidRDefault="001D2C12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</w:p>
    <w:p w14:paraId="56BD7D8A" w14:textId="3E7179A4" w:rsidR="001F5D7D" w:rsidRPr="001D2C12" w:rsidRDefault="00D90887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b/>
          <w:sz w:val="24"/>
          <w:szCs w:val="24"/>
          <w:lang w:val="fr-FR"/>
        </w:rPr>
      </w:pPr>
      <w:bookmarkStart w:id="12" w:name="_Toc510784472"/>
      <w:bookmarkStart w:id="13" w:name="_Toc510470737"/>
      <w:bookmarkStart w:id="14" w:name="_Toc510470663"/>
      <w:bookmarkStart w:id="15" w:name="_Toc510470446"/>
      <w:bookmarkStart w:id="16" w:name="_Toc509567297"/>
      <w:bookmarkStart w:id="17" w:name="_Toc524071176"/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>Aperçu</w:t>
      </w:r>
      <w:r w:rsidR="00F04EF5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des obligations internationale</w:t>
      </w: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>s</w:t>
      </w:r>
      <w:r w:rsidR="00F04EF5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en vertu </w:t>
      </w:r>
      <w:bookmarkEnd w:id="12"/>
      <w:bookmarkEnd w:id="13"/>
      <w:bookmarkEnd w:id="14"/>
      <w:bookmarkEnd w:id="15"/>
      <w:bookmarkEnd w:id="16"/>
      <w:bookmarkEnd w:id="17"/>
      <w:r w:rsidR="00F04EF5" w:rsidRPr="001D2C12">
        <w:rPr>
          <w:rFonts w:asciiTheme="majorHAnsi" w:hAnsiTheme="majorHAnsi" w:cstheme="minorHAnsi"/>
          <w:b/>
          <w:sz w:val="24"/>
          <w:szCs w:val="24"/>
          <w:lang w:val="fr-FR"/>
        </w:rPr>
        <w:t>de la CDPH</w:t>
      </w:r>
      <w:r w:rsidR="001F5D7D"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 </w:t>
      </w:r>
    </w:p>
    <w:p w14:paraId="3B9106DE" w14:textId="31F952FF" w:rsidR="00250F76" w:rsidRPr="001D2C12" w:rsidRDefault="00D90887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CDPH s’applique à toutes les personnes en situation de handicap sans aucune distinction </w:t>
      </w:r>
      <w:r w:rsidR="00780AB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</w:t>
      </w:r>
      <w:r w:rsidR="0055759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en est de même aussi pour </w:t>
      </w:r>
      <w:r w:rsidR="00780AB1" w:rsidRPr="001D2C12">
        <w:rPr>
          <w:rFonts w:asciiTheme="majorHAnsi" w:hAnsiTheme="majorHAnsi" w:cstheme="minorHAnsi"/>
          <w:color w:val="000000" w:themeColor="text1"/>
          <w:lang w:val="fr-FR"/>
        </w:rPr>
        <w:t>tou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>tes les normes relatives aux</w:t>
      </w:r>
      <w:r w:rsidR="00780AB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droits 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l’homme </w:t>
      </w:r>
      <w:r w:rsidR="0055759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qui 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s’appliquent à toutes les personnes handicapées. La </w:t>
      </w:r>
      <w:r w:rsidR="00C94289" w:rsidRPr="001D2C12">
        <w:rPr>
          <w:rFonts w:asciiTheme="majorHAnsi" w:hAnsiTheme="majorHAnsi" w:cstheme="minorHAnsi"/>
          <w:color w:val="000000" w:themeColor="text1"/>
          <w:lang w:val="fr-FR"/>
        </w:rPr>
        <w:t>diversité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personnes handicapées (et leurs besoins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différents 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matière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>d’inclusion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) </w:t>
      </w:r>
      <w:r w:rsidR="00340523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st aussi 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>reconnu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54050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BA7FB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cet instrument </w:t>
      </w:r>
      <w:r w:rsidR="00895AD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est </w:t>
      </w:r>
      <w:r w:rsidR="00C9428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 principe fondamental. </w:t>
      </w:r>
      <w:r w:rsidR="00C9428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De plus, la CDPH </w:t>
      </w:r>
      <w:r w:rsidR="00250F7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reconna</w:t>
      </w:r>
      <w:r w:rsidR="00D2170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î</w:t>
      </w:r>
      <w:r w:rsidR="00250F7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t</w:t>
      </w:r>
      <w:r w:rsidR="00C9428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DF6D6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la nécessité de </w:t>
      </w:r>
      <w:r w:rsidR="002A2ADF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promouvoir et protéger les droits de l’homme de toutes les personnes handicapées, y compris de celles qui nécessitent un accompagnement plus poussé</w:t>
      </w:r>
      <w:r w:rsidR="00D7442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, ce qui est </w:t>
      </w:r>
      <w:r w:rsidR="0055759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susceptible</w:t>
      </w:r>
      <w:r w:rsidR="00D7442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de s’appliquer </w:t>
      </w:r>
      <w:r w:rsidR="00DC7D76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aux </w:t>
      </w:r>
      <w:r w:rsidR="00A47EDA">
        <w:rPr>
          <w:rFonts w:asciiTheme="majorHAnsi" w:hAnsiTheme="majorHAnsi" w:cstheme="minorHAnsi"/>
          <w:b/>
          <w:bCs/>
          <w:color w:val="000000" w:themeColor="text1"/>
          <w:lang w:val="fr-FR"/>
        </w:rPr>
        <w:t>personnes ayant une surdicécité</w:t>
      </w:r>
      <w:r w:rsidR="00DC7D76" w:rsidRPr="001D2C12">
        <w:rPr>
          <w:rFonts w:asciiTheme="majorHAnsi" w:hAnsiTheme="majorHAnsi" w:cstheme="minorHAnsi"/>
          <w:color w:val="000000" w:themeColor="text1"/>
          <w:lang w:val="fr-FR"/>
        </w:rPr>
        <w:t>. En effet, les personnes handicapées ne doivent pas faire l’objet d</w:t>
      </w:r>
      <w:r w:rsidR="00BA7FB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’exclusion et de </w:t>
      </w:r>
      <w:r w:rsidR="00DC7D76" w:rsidRPr="001D2C12">
        <w:rPr>
          <w:rFonts w:asciiTheme="majorHAnsi" w:hAnsiTheme="majorHAnsi" w:cstheme="minorHAnsi"/>
          <w:color w:val="000000" w:themeColor="text1"/>
          <w:lang w:val="fr-FR"/>
        </w:rPr>
        <w:t>discrimination</w:t>
      </w:r>
      <w:r w:rsidR="001F1DE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d’aucune sorte </w:t>
      </w:r>
      <w:r w:rsidR="00DC7D76" w:rsidRPr="001D2C12">
        <w:rPr>
          <w:rFonts w:asciiTheme="majorHAnsi" w:hAnsiTheme="majorHAnsi" w:cstheme="minorHAnsi"/>
          <w:color w:val="000000" w:themeColor="text1"/>
          <w:lang w:val="fr-FR"/>
        </w:rPr>
        <w:t>en raison de la nature de leur handicap</w:t>
      </w:r>
      <w:r w:rsidR="00250F76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17D53120" w14:textId="61BB2154" w:rsidR="00D90887" w:rsidRPr="001D2C12" w:rsidRDefault="00250F76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Il est à noter que la surdicécité est plus spécifiquement mentionné</w:t>
      </w:r>
      <w:r w:rsidR="00D21706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dans l</w:t>
      </w:r>
      <w:r w:rsidR="00D21706" w:rsidRPr="001D2C12">
        <w:rPr>
          <w:rFonts w:asciiTheme="majorHAnsi" w:hAnsiTheme="majorHAnsi" w:cstheme="minorHAnsi"/>
          <w:color w:val="000000" w:themeColor="text1"/>
          <w:lang w:val="fr-FR"/>
        </w:rPr>
        <w:t>a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CDPH sous l’article 24 (Education) </w:t>
      </w:r>
      <w:r w:rsidR="008A35ED" w:rsidRPr="001D2C12">
        <w:rPr>
          <w:rFonts w:asciiTheme="majorHAnsi" w:hAnsiTheme="majorHAnsi" w:cstheme="minorHAnsi"/>
          <w:color w:val="000000" w:themeColor="text1"/>
          <w:lang w:val="fr-FR"/>
        </w:rPr>
        <w:t>et a été reconnu</w:t>
      </w:r>
      <w:r w:rsidR="00D21706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8A35E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par le </w:t>
      </w:r>
      <w:r w:rsidR="00E851F6" w:rsidRPr="001D2C12">
        <w:rPr>
          <w:rFonts w:asciiTheme="majorHAnsi" w:hAnsiTheme="majorHAnsi" w:cstheme="minorHAnsi"/>
          <w:color w:val="000000" w:themeColor="text1"/>
          <w:lang w:val="fr-FR"/>
        </w:rPr>
        <w:t>C</w:t>
      </w:r>
      <w:r w:rsidR="008A35E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omité </w:t>
      </w:r>
      <w:r w:rsidR="00E851F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droits des personnes handicapées </w:t>
      </w:r>
      <w:r w:rsidR="008A35E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plusieurs commentaires générales et </w:t>
      </w:r>
      <w:r w:rsidR="00C550E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observations finales. </w:t>
      </w:r>
      <w:r w:rsidR="007A6D4B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840DF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uite à cette reconnaissance dans le droit international, </w:t>
      </w:r>
      <w:r w:rsidR="00535CB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tout comme à la reconnaissance de la surdicécité en tant que handicap distinct dans les </w:t>
      </w:r>
      <w:r w:rsidR="00EF6BE5" w:rsidRPr="001D2C12">
        <w:rPr>
          <w:rFonts w:asciiTheme="majorHAnsi" w:hAnsiTheme="majorHAnsi" w:cstheme="minorHAnsi"/>
          <w:color w:val="000000" w:themeColor="text1"/>
          <w:lang w:val="fr-FR"/>
        </w:rPr>
        <w:t>législations</w:t>
      </w:r>
      <w:r w:rsidR="00535CB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bon nombre de pays, il incombe </w:t>
      </w:r>
      <w:r w:rsidR="005E046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désormais </w:t>
      </w:r>
      <w:r w:rsidR="00535CB6" w:rsidRPr="001D2C12">
        <w:rPr>
          <w:rFonts w:asciiTheme="majorHAnsi" w:hAnsiTheme="majorHAnsi" w:cstheme="minorHAnsi"/>
          <w:color w:val="000000" w:themeColor="text1"/>
          <w:lang w:val="fr-FR"/>
        </w:rPr>
        <w:t>aux Etats de reconna</w:t>
      </w:r>
      <w:r w:rsidR="00187F24" w:rsidRPr="001D2C12">
        <w:rPr>
          <w:rFonts w:asciiTheme="majorHAnsi" w:hAnsiTheme="majorHAnsi" w:cstheme="minorHAnsi"/>
          <w:color w:val="000000" w:themeColor="text1"/>
          <w:lang w:val="fr-FR"/>
        </w:rPr>
        <w:t>î</w:t>
      </w:r>
      <w:r w:rsidR="00535CB6" w:rsidRPr="001D2C12">
        <w:rPr>
          <w:rFonts w:asciiTheme="majorHAnsi" w:hAnsiTheme="majorHAnsi" w:cstheme="minorHAnsi"/>
          <w:color w:val="000000" w:themeColor="text1"/>
          <w:lang w:val="fr-FR"/>
        </w:rPr>
        <w:t>tre</w:t>
      </w:r>
      <w:r w:rsidR="0094151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les </w:t>
      </w:r>
      <w:r w:rsidR="005E0467" w:rsidRPr="001D2C12">
        <w:rPr>
          <w:rFonts w:asciiTheme="majorHAnsi" w:hAnsiTheme="majorHAnsi" w:cstheme="minorHAnsi"/>
          <w:color w:val="000000" w:themeColor="text1"/>
          <w:lang w:val="fr-FR"/>
        </w:rPr>
        <w:t>besoins</w:t>
      </w:r>
      <w:r w:rsidR="0094151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94151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d’y répondre dans l</w:t>
      </w:r>
      <w:r w:rsidR="00EF6BE5" w:rsidRPr="001D2C12">
        <w:rPr>
          <w:rFonts w:asciiTheme="majorHAnsi" w:hAnsiTheme="majorHAnsi" w:cstheme="minorHAnsi"/>
          <w:color w:val="000000" w:themeColor="text1"/>
          <w:lang w:val="fr-FR"/>
        </w:rPr>
        <w:t>eurs</w:t>
      </w:r>
      <w:r w:rsidR="0094151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5E0467" w:rsidRPr="001D2C12">
        <w:rPr>
          <w:rFonts w:asciiTheme="majorHAnsi" w:hAnsiTheme="majorHAnsi" w:cstheme="minorHAnsi"/>
          <w:color w:val="000000" w:themeColor="text1"/>
          <w:lang w:val="fr-FR"/>
        </w:rPr>
        <w:t>législations</w:t>
      </w:r>
      <w:r w:rsidR="0094151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EF6BE5" w:rsidRPr="001D2C12">
        <w:rPr>
          <w:rFonts w:asciiTheme="majorHAnsi" w:hAnsiTheme="majorHAnsi" w:cstheme="minorHAnsi"/>
          <w:color w:val="000000" w:themeColor="text1"/>
          <w:lang w:val="fr-FR"/>
        </w:rPr>
        <w:t>politiques, programmes et budgets.</w:t>
      </w:r>
    </w:p>
    <w:p w14:paraId="56F33738" w14:textId="62FA81E2" w:rsidR="00EF6BE5" w:rsidRPr="001D2C12" w:rsidRDefault="00EF6BE5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 ailleurs, la CDPH </w:t>
      </w:r>
      <w:r w:rsidR="00D65187" w:rsidRPr="001D2C12">
        <w:rPr>
          <w:rFonts w:asciiTheme="majorHAnsi" w:hAnsiTheme="majorHAnsi" w:cstheme="minorHAnsi"/>
          <w:color w:val="000000" w:themeColor="text1"/>
          <w:lang w:val="fr-FR"/>
        </w:rPr>
        <w:t>reconna</w:t>
      </w:r>
      <w:r w:rsidR="00187F24" w:rsidRPr="001D2C12">
        <w:rPr>
          <w:rFonts w:asciiTheme="majorHAnsi" w:hAnsiTheme="majorHAnsi" w:cstheme="minorHAnsi"/>
          <w:color w:val="000000" w:themeColor="text1"/>
          <w:lang w:val="fr-FR"/>
        </w:rPr>
        <w:t>î</w:t>
      </w:r>
      <w:r w:rsidR="00D65187" w:rsidRPr="001D2C12">
        <w:rPr>
          <w:rFonts w:asciiTheme="majorHAnsi" w:hAnsiTheme="majorHAnsi" w:cstheme="minorHAnsi"/>
          <w:color w:val="000000" w:themeColor="text1"/>
          <w:lang w:val="fr-FR"/>
        </w:rPr>
        <w:t>t l’existence d’une grande variété de méthodes de communication</w:t>
      </w:r>
      <w:r w:rsidR="00E128B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qui peuvent être utilisées par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E128B2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D6518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telles que</w:t>
      </w:r>
      <w:r w:rsidR="00E65ED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communication tactile et le b</w:t>
      </w:r>
      <w:r w:rsidR="003E694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raille, les langues, y compris les </w:t>
      </w:r>
      <w:r w:rsidR="003C434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langues des signes et les langues non parlées. </w:t>
      </w:r>
    </w:p>
    <w:p w14:paraId="7000CDA1" w14:textId="3F55AA4C" w:rsidR="00E128B2" w:rsidRPr="001D2C12" w:rsidRDefault="00E128B2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Le Commentaire Générale N</w:t>
      </w:r>
      <w:r w:rsidR="00074AF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o.2 de l’Article 9 : Accessibilité du </w:t>
      </w:r>
      <w:r w:rsidR="0077506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Comité des droits des personnes handicapées (CRPD/C/GC/2) fournit davantage de clarifications sur </w:t>
      </w:r>
      <w:r w:rsidR="0077506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les </w:t>
      </w:r>
      <w:r w:rsidR="00F267A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o</w:t>
      </w:r>
      <w:r w:rsidR="0077506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bligations </w:t>
      </w:r>
      <w:r w:rsidR="00E52284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auxquelles l</w:t>
      </w:r>
      <w:r w:rsidR="0077506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es Etats </w:t>
      </w:r>
      <w:r w:rsidR="00E52284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sont tenus afin de permettre</w:t>
      </w:r>
      <w:r w:rsidR="0077506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E52284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aux </w:t>
      </w:r>
      <w:r w:rsidR="00A47EDA">
        <w:rPr>
          <w:rFonts w:asciiTheme="majorHAnsi" w:hAnsiTheme="majorHAnsi" w:cstheme="minorHAnsi"/>
          <w:b/>
          <w:bCs/>
          <w:color w:val="000000" w:themeColor="text1"/>
          <w:lang w:val="fr-FR"/>
        </w:rPr>
        <w:t>personnes ayant une surdicécité</w:t>
      </w:r>
      <w:r w:rsidR="00E52284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d’avoir accès à l’information</w:t>
      </w:r>
      <w:r w:rsidR="006869D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,</w:t>
      </w:r>
      <w:r w:rsidR="00962E95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à la communication, et à d’autres services</w:t>
      </w:r>
      <w:r w:rsidR="006869D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dans le but de vivre de </w:t>
      </w:r>
      <w:r w:rsidR="00CB56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façon</w:t>
      </w:r>
      <w:r w:rsidR="006869D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indépendante</w:t>
      </w:r>
      <w:r w:rsidR="0099440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de participer effectivement </w:t>
      </w:r>
      <w:r w:rsidR="00CB567D" w:rsidRPr="001D2C12">
        <w:rPr>
          <w:rFonts w:asciiTheme="majorHAnsi" w:hAnsiTheme="majorHAnsi" w:cstheme="minorHAnsi"/>
          <w:color w:val="000000" w:themeColor="text1"/>
          <w:lang w:val="fr-FR"/>
        </w:rPr>
        <w:t>à</w:t>
      </w:r>
      <w:r w:rsidR="0099440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société</w:t>
      </w:r>
      <w:r w:rsidR="00962E9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7267C7" w:rsidRPr="001D2C12">
        <w:rPr>
          <w:rFonts w:asciiTheme="majorHAnsi" w:hAnsiTheme="majorHAnsi" w:cstheme="minorHAnsi"/>
          <w:color w:val="000000" w:themeColor="text1"/>
          <w:lang w:val="fr-FR"/>
        </w:rPr>
        <w:t>C’est pourquoi l</w:t>
      </w:r>
      <w:r w:rsidR="00962E9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 Etats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>doivent absolument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répondre</w:t>
      </w:r>
      <w:r w:rsidR="00C761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ces </w:t>
      </w:r>
      <w:r w:rsidR="00C761C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questions essentielles telles que le manque de formation adéquate en communication </w:t>
      </w:r>
      <w:r w:rsidR="00DE521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parmi les prestataires </w:t>
      </w:r>
      <w:r w:rsidR="00DE521C"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 xml:space="preserve">de service. De plus, les Etats doivent </w:t>
      </w:r>
      <w:r w:rsidR="00806A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mettre à disposition des formes d’aides humaines ou animalière et </w:t>
      </w:r>
      <w:r w:rsidR="00F267A5" w:rsidRPr="001D2C12">
        <w:rPr>
          <w:rFonts w:asciiTheme="majorHAnsi" w:hAnsiTheme="majorHAnsi" w:cstheme="minorHAnsi"/>
          <w:color w:val="000000" w:themeColor="text1"/>
          <w:lang w:val="fr-FR"/>
        </w:rPr>
        <w:t>d</w:t>
      </w:r>
      <w:r w:rsidR="00806A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 services de médiateurs, </w:t>
      </w:r>
      <w:r w:rsidR="001476DA" w:rsidRPr="001D2C12">
        <w:rPr>
          <w:rFonts w:asciiTheme="majorHAnsi" w:hAnsiTheme="majorHAnsi" w:cstheme="minorHAnsi"/>
          <w:color w:val="000000" w:themeColor="text1"/>
          <w:lang w:val="fr-FR"/>
        </w:rPr>
        <w:t>tels que guides</w:t>
      </w:r>
      <w:r w:rsidR="009647CD" w:rsidRPr="001D2C12">
        <w:rPr>
          <w:rFonts w:asciiTheme="majorHAnsi" w:hAnsiTheme="majorHAnsi" w:cstheme="minorHAnsi"/>
          <w:color w:val="000000" w:themeColor="text1"/>
          <w:lang w:val="fr-FR"/>
        </w:rPr>
        <w:t>-</w:t>
      </w:r>
      <w:r w:rsidR="001476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interprètes, </w:t>
      </w:r>
      <w:r w:rsidR="00D9182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afin d’éliminer les obstacles entravant l’accès à la communication, à l’information et à d’autre services. </w:t>
      </w:r>
      <w:r w:rsidR="000817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Etats doivent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>aussi</w:t>
      </w:r>
      <w:r w:rsidR="000817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garantir un</w:t>
      </w:r>
      <w:r w:rsidR="0073329D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0817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qualité </w:t>
      </w:r>
      <w:r w:rsidR="0073329D" w:rsidRPr="001D2C12">
        <w:rPr>
          <w:rFonts w:asciiTheme="majorHAnsi" w:hAnsiTheme="majorHAnsi" w:cstheme="minorHAnsi"/>
          <w:color w:val="000000" w:themeColor="text1"/>
          <w:lang w:val="fr-FR"/>
        </w:rPr>
        <w:t>minimale</w:t>
      </w:r>
      <w:r w:rsidR="000817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services </w:t>
      </w:r>
      <w:r w:rsidR="00F8629C" w:rsidRPr="001D2C12">
        <w:rPr>
          <w:rFonts w:asciiTheme="majorHAnsi" w:hAnsiTheme="majorHAnsi" w:cstheme="minorHAnsi"/>
          <w:color w:val="000000" w:themeColor="text1"/>
          <w:lang w:val="fr-FR"/>
        </w:rPr>
        <w:t>liés</w:t>
      </w:r>
      <w:r w:rsidR="000817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à la communication</w:t>
      </w:r>
      <w:r w:rsidR="00F8629C" w:rsidRPr="001D2C12">
        <w:rPr>
          <w:rFonts w:asciiTheme="majorHAnsi" w:hAnsiTheme="majorHAnsi" w:cstheme="minorHAnsi"/>
          <w:color w:val="000000" w:themeColor="text1"/>
          <w:lang w:val="fr-FR"/>
        </w:rPr>
        <w:t>, telles que l’interprétation</w:t>
      </w:r>
      <w:r w:rsidR="0014287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l’aide personnelle, et œuvrer </w:t>
      </w:r>
      <w:r w:rsidR="00940B4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systématiquement </w:t>
      </w:r>
      <w:r w:rsidR="0014287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pour </w:t>
      </w:r>
      <w:r w:rsidR="00940B4D" w:rsidRPr="001D2C12">
        <w:rPr>
          <w:rFonts w:asciiTheme="majorHAnsi" w:hAnsiTheme="majorHAnsi" w:cstheme="minorHAnsi"/>
          <w:color w:val="000000" w:themeColor="text1"/>
          <w:lang w:val="fr-FR"/>
        </w:rPr>
        <w:t>l’harmonisation</w:t>
      </w:r>
      <w:r w:rsidR="009647C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services fournis</w:t>
      </w:r>
      <w:r w:rsidR="00940B4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3E9CF903" w14:textId="582F4DEF" w:rsidR="00FB093D" w:rsidRPr="001D2C12" w:rsidRDefault="00971A86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Il convient de préciser à cet égard que l</w:t>
      </w:r>
      <w:r w:rsidR="00195C4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’accessibilité </w:t>
      </w:r>
      <w:r w:rsidR="00B46D6F" w:rsidRPr="001D2C12">
        <w:rPr>
          <w:rFonts w:asciiTheme="majorHAnsi" w:hAnsiTheme="majorHAnsi" w:cstheme="minorHAnsi"/>
          <w:color w:val="000000" w:themeColor="text1"/>
          <w:lang w:val="fr-FR"/>
        </w:rPr>
        <w:t>n</w:t>
      </w:r>
      <w:r w:rsidR="003E24C4" w:rsidRPr="001D2C12">
        <w:rPr>
          <w:rFonts w:asciiTheme="majorHAnsi" w:hAnsiTheme="majorHAnsi" w:cstheme="minorHAnsi"/>
          <w:color w:val="000000" w:themeColor="text1"/>
          <w:lang w:val="fr-FR"/>
        </w:rPr>
        <w:t>e se limite pas à la communication et à l’information. En e</w:t>
      </w:r>
      <w:r w:rsidR="003B6A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ffet,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3B6A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BA4FE4" w:rsidRPr="001D2C12">
        <w:rPr>
          <w:rFonts w:asciiTheme="majorHAnsi" w:hAnsiTheme="majorHAnsi" w:cstheme="minorHAnsi"/>
          <w:color w:val="000000" w:themeColor="text1"/>
          <w:lang w:val="fr-FR"/>
        </w:rPr>
        <w:t>sont confrontées</w:t>
      </w:r>
      <w:r w:rsidR="003B6A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à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>de nombreuses</w:t>
      </w:r>
      <w:r w:rsidR="003B6A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barrières entravant </w:t>
      </w:r>
      <w:r w:rsidR="00BA4FE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leur </w:t>
      </w:r>
      <w:r w:rsidR="003B6A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orientation et mobilité dans les espaces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>publics</w:t>
      </w:r>
      <w:r w:rsidR="003B6A2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C’est pourquoi, </w:t>
      </w:r>
      <w:r w:rsidR="00F736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Etats doivent </w:t>
      </w:r>
      <w:r w:rsidR="00624CF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assurer un accès à une signalisation en braille ou à des formes </w:t>
      </w:r>
      <w:r w:rsidR="001356C3" w:rsidRPr="001D2C12">
        <w:rPr>
          <w:rFonts w:asciiTheme="majorHAnsi" w:hAnsiTheme="majorHAnsi" w:cstheme="minorHAnsi"/>
          <w:color w:val="000000" w:themeColor="text1"/>
          <w:lang w:val="fr-FR"/>
        </w:rPr>
        <w:t>d’aides humaines ou animalière</w:t>
      </w:r>
      <w:r w:rsidR="0032457D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1356C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</w:t>
      </w:r>
      <w:r w:rsidR="00FB093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aux </w:t>
      </w:r>
      <w:r w:rsidR="001356C3" w:rsidRPr="001D2C12">
        <w:rPr>
          <w:rFonts w:asciiTheme="majorHAnsi" w:hAnsiTheme="majorHAnsi" w:cstheme="minorHAnsi"/>
          <w:color w:val="000000" w:themeColor="text1"/>
          <w:lang w:val="fr-FR"/>
        </w:rPr>
        <w:t>services de médiateurs, tels que guides</w:t>
      </w:r>
      <w:r w:rsidR="00FB093D" w:rsidRPr="001D2C12">
        <w:rPr>
          <w:rFonts w:asciiTheme="majorHAnsi" w:hAnsiTheme="majorHAnsi" w:cstheme="minorHAnsi"/>
          <w:color w:val="000000" w:themeColor="text1"/>
          <w:lang w:val="fr-FR"/>
        </w:rPr>
        <w:t>-</w:t>
      </w:r>
      <w:r w:rsidR="001356C3" w:rsidRPr="001D2C12">
        <w:rPr>
          <w:rFonts w:asciiTheme="majorHAnsi" w:hAnsiTheme="majorHAnsi" w:cstheme="minorHAnsi"/>
          <w:color w:val="000000" w:themeColor="text1"/>
          <w:lang w:val="fr-FR"/>
        </w:rPr>
        <w:t>interprètes</w:t>
      </w:r>
      <w:r w:rsidR="00FB093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afin de faciliter l’accessibilité et la mobilité.</w:t>
      </w:r>
      <w:r w:rsidR="003604A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88227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même,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est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crucial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que </w:t>
      </w:r>
      <w:r w:rsidR="0088227B" w:rsidRPr="001D2C12">
        <w:rPr>
          <w:rFonts w:asciiTheme="majorHAnsi" w:hAnsiTheme="majorHAnsi" w:cstheme="minorHAnsi"/>
          <w:color w:val="000000" w:themeColor="text1"/>
          <w:lang w:val="fr-FR"/>
        </w:rPr>
        <w:t>l</w:t>
      </w:r>
      <w:r w:rsidR="003604A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 Etats </w:t>
      </w:r>
      <w:r w:rsidR="00DA7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mettent </w:t>
      </w:r>
      <w:r w:rsidR="003604A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 place des normes minimales pour ce qui a trait à l’accessibilité des services fournis </w:t>
      </w:r>
      <w:r w:rsidR="00BF7E8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 </w:t>
      </w:r>
      <w:r w:rsidR="003604A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BF7E8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organismes </w:t>
      </w:r>
      <w:r w:rsidR="003604AF" w:rsidRPr="001D2C12">
        <w:rPr>
          <w:rFonts w:asciiTheme="majorHAnsi" w:hAnsiTheme="majorHAnsi" w:cstheme="minorHAnsi"/>
          <w:color w:val="000000" w:themeColor="text1"/>
          <w:lang w:val="fr-FR"/>
        </w:rPr>
        <w:t>publi</w:t>
      </w:r>
      <w:r w:rsidR="00816215" w:rsidRPr="001D2C12">
        <w:rPr>
          <w:rFonts w:asciiTheme="majorHAnsi" w:hAnsiTheme="majorHAnsi" w:cstheme="minorHAnsi"/>
          <w:color w:val="000000" w:themeColor="text1"/>
          <w:lang w:val="fr-FR"/>
        </w:rPr>
        <w:t>cs</w:t>
      </w:r>
      <w:r w:rsidR="003604A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privés. </w:t>
      </w:r>
      <w:r w:rsidR="002C346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Cette mesure en question permettra d’améliorer l’accès général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2C346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aux différents secteurs, tels que l’emploi, l’éducation et la santé.</w:t>
      </w:r>
    </w:p>
    <w:p w14:paraId="3C225BFA" w14:textId="53CFA29D" w:rsidR="00FB093D" w:rsidRPr="001D2C12" w:rsidRDefault="005F6B5B" w:rsidP="001D2C12">
      <w:pPr>
        <w:tabs>
          <w:tab w:val="left" w:pos="180"/>
        </w:tabs>
        <w:spacing w:after="8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Les aménagements raisonnables sont aussi à même d’améliorer l’acc</w:t>
      </w:r>
      <w:r w:rsidR="007D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essibilité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7D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8A7B9F" w:rsidRPr="001D2C12">
        <w:rPr>
          <w:rFonts w:asciiTheme="majorHAnsi" w:hAnsiTheme="majorHAnsi" w:cstheme="minorHAnsi"/>
          <w:color w:val="000000" w:themeColor="text1"/>
          <w:lang w:val="fr-FR"/>
        </w:rPr>
        <w:t>notamment</w:t>
      </w:r>
      <w:r w:rsidR="007D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lorsque ces normes d’accessibilité ne sont pas mises en œuvre ou si les besoins de la personne </w:t>
      </w:r>
      <w:r w:rsidR="008A7B9F" w:rsidRPr="001D2C12">
        <w:rPr>
          <w:rFonts w:asciiTheme="majorHAnsi" w:hAnsiTheme="majorHAnsi" w:cstheme="minorHAnsi"/>
          <w:color w:val="000000" w:themeColor="text1"/>
          <w:lang w:val="fr-FR"/>
        </w:rPr>
        <w:t>concernée</w:t>
      </w:r>
      <w:r w:rsidR="007D451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ne s’inscrivent pas dans le cadre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couvert par </w:t>
      </w:r>
      <w:r w:rsidR="008A7B9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ces normes. En ce qui concerne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8A7B9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484D6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aménagements raisonnables englobent souvent des aides à la communication, à l’orientation et à la mobilité, soit par </w:t>
      </w:r>
      <w:r w:rsidR="00F7393F" w:rsidRPr="001D2C12">
        <w:rPr>
          <w:rFonts w:asciiTheme="majorHAnsi" w:hAnsiTheme="majorHAnsi" w:cstheme="minorHAnsi"/>
          <w:color w:val="000000" w:themeColor="text1"/>
          <w:lang w:val="fr-FR"/>
        </w:rPr>
        <w:t>l’utilisation</w:t>
      </w:r>
      <w:r w:rsidR="00DD07F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8D00F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</w:t>
      </w:r>
      <w:r w:rsidR="0085037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aides, </w:t>
      </w:r>
      <w:r w:rsidR="00DD07F9" w:rsidRPr="001D2C12">
        <w:rPr>
          <w:rFonts w:asciiTheme="majorHAnsi" w:hAnsiTheme="majorHAnsi" w:cstheme="minorHAnsi"/>
          <w:color w:val="000000" w:themeColor="text1"/>
          <w:lang w:val="fr-FR"/>
        </w:rPr>
        <w:t>des appareils et accessoires fonctionnels</w:t>
      </w:r>
      <w:r w:rsidR="00541628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85037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et/ou</w:t>
      </w:r>
      <w:r w:rsidR="0059219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soit </w:t>
      </w:r>
      <w:r w:rsidR="00F7393F" w:rsidRPr="001D2C12">
        <w:rPr>
          <w:rFonts w:asciiTheme="majorHAnsi" w:hAnsiTheme="majorHAnsi" w:cstheme="minorHAnsi"/>
          <w:color w:val="000000" w:themeColor="text1"/>
          <w:lang w:val="fr-FR"/>
        </w:rPr>
        <w:t>par le recours à</w:t>
      </w:r>
      <w:r w:rsidR="0085037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formes d’aides humaines ou animalière, tels que guides- interprètes</w:t>
      </w:r>
      <w:r w:rsidR="008D00F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aménagements </w:t>
      </w:r>
      <w:r w:rsidR="004F1354" w:rsidRPr="001D2C12">
        <w:rPr>
          <w:rFonts w:asciiTheme="majorHAnsi" w:hAnsiTheme="majorHAnsi" w:cstheme="minorHAnsi"/>
          <w:color w:val="000000" w:themeColor="text1"/>
          <w:lang w:val="fr-FR"/>
        </w:rPr>
        <w:t>raisonnables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peuvent aussi inclure</w:t>
      </w:r>
      <w:r w:rsidR="004F1354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4F135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titre d’exemple et entre autres changements, 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>l’</w:t>
      </w:r>
      <w:r w:rsidR="004F1354" w:rsidRPr="001D2C12">
        <w:rPr>
          <w:rFonts w:asciiTheme="majorHAnsi" w:hAnsiTheme="majorHAnsi" w:cstheme="minorHAnsi"/>
          <w:color w:val="000000" w:themeColor="text1"/>
          <w:lang w:val="fr-FR"/>
        </w:rPr>
        <w:t>adaptation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</w:t>
      </w:r>
      <w:r w:rsidR="00541628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horaire</w:t>
      </w:r>
      <w:r w:rsidR="0054162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 </w:t>
      </w:r>
      <w:r w:rsidR="00673CBB" w:rsidRPr="001D2C12">
        <w:rPr>
          <w:rFonts w:asciiTheme="majorHAnsi" w:hAnsiTheme="majorHAnsi" w:cstheme="minorHAnsi"/>
          <w:color w:val="000000" w:themeColor="text1"/>
          <w:lang w:val="fr-FR"/>
        </w:rPr>
        <w:t>ou procédures de travail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  <w:r w:rsidR="004F135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</w:p>
    <w:p w14:paraId="7B1FB9C3" w14:textId="219589C9" w:rsidR="001F5D7D" w:rsidRPr="001D2C12" w:rsidRDefault="001F5D7D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b/>
          <w:sz w:val="24"/>
          <w:szCs w:val="24"/>
          <w:lang w:val="fr-FR"/>
        </w:rPr>
      </w:pPr>
    </w:p>
    <w:p w14:paraId="3B51E935" w14:textId="3053DCD8" w:rsidR="001F5D7D" w:rsidRPr="001D2C12" w:rsidRDefault="00232B4D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b/>
          <w:sz w:val="24"/>
          <w:szCs w:val="24"/>
          <w:lang w:val="fr-FR"/>
        </w:rPr>
      </w:pP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Principales </w:t>
      </w:r>
      <w:r w:rsidR="00963ADF" w:rsidRPr="001D2C12">
        <w:rPr>
          <w:rFonts w:asciiTheme="majorHAnsi" w:hAnsiTheme="majorHAnsi" w:cstheme="minorHAnsi"/>
          <w:b/>
          <w:sz w:val="24"/>
          <w:szCs w:val="24"/>
          <w:lang w:val="fr-FR"/>
        </w:rPr>
        <w:t>c</w:t>
      </w: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 xml:space="preserve">onclusions du rapport </w:t>
      </w:r>
    </w:p>
    <w:p w14:paraId="4C3B36D5" w14:textId="01F99197" w:rsidR="00232B4D" w:rsidRPr="001D2C12" w:rsidRDefault="00232B4D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estimations antérieures </w:t>
      </w:r>
      <w:r w:rsidR="00EA6D7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indiquent qu’environ 0,2% de la population mondiale </w:t>
      </w:r>
      <w:r w:rsidR="005C66D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vit avec une </w:t>
      </w:r>
      <w:r w:rsidR="00963ADF" w:rsidRPr="001D2C12">
        <w:rPr>
          <w:rFonts w:asciiTheme="majorHAnsi" w:hAnsiTheme="majorHAnsi" w:cstheme="minorHAnsi"/>
          <w:color w:val="000000" w:themeColor="text1"/>
          <w:lang w:val="fr-FR"/>
        </w:rPr>
        <w:t>surdicécité</w:t>
      </w:r>
      <w:r w:rsidR="000B574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>L</w:t>
      </w:r>
      <w:r w:rsidR="000B574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’analyse des données 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liées à </w:t>
      </w:r>
      <w:r w:rsidR="000B574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prévalence </w:t>
      </w:r>
      <w:r w:rsidR="00CC4EF6" w:rsidRPr="001D2C12">
        <w:rPr>
          <w:rFonts w:asciiTheme="majorHAnsi" w:hAnsiTheme="majorHAnsi" w:cstheme="minorHAnsi"/>
          <w:color w:val="000000" w:themeColor="text1"/>
          <w:lang w:val="fr-FR"/>
        </w:rPr>
        <w:t>dans</w:t>
      </w:r>
      <w:r w:rsidR="0069376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ce rapport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permet de conclure </w:t>
      </w:r>
      <w:r w:rsidR="0069376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que </w:t>
      </w:r>
      <w:r w:rsidR="00CC4EF6" w:rsidRPr="001D2C12">
        <w:rPr>
          <w:rFonts w:asciiTheme="majorHAnsi" w:hAnsiTheme="majorHAnsi" w:cstheme="minorHAnsi"/>
          <w:color w:val="000000" w:themeColor="text1"/>
          <w:lang w:val="fr-FR"/>
        </w:rPr>
        <w:t>ce</w:t>
      </w:r>
      <w:r w:rsidR="006E3B4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 chiffres ignorent en fait un </w:t>
      </w:r>
      <w:r w:rsidR="0069376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grand nombre de personnes </w:t>
      </w:r>
      <w:r w:rsidR="00A73AB0" w:rsidRPr="001D2C12">
        <w:rPr>
          <w:rFonts w:asciiTheme="majorHAnsi" w:hAnsiTheme="majorHAnsi" w:cstheme="minorHAnsi"/>
          <w:color w:val="000000" w:themeColor="text1"/>
          <w:lang w:val="fr-FR"/>
        </w:rPr>
        <w:t>ayant</w:t>
      </w:r>
      <w:r w:rsidR="0069376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</w:t>
      </w:r>
      <w:r w:rsidR="005A6D90" w:rsidRPr="001D2C12">
        <w:rPr>
          <w:rFonts w:asciiTheme="majorHAnsi" w:hAnsiTheme="majorHAnsi" w:cstheme="minorHAnsi"/>
          <w:color w:val="000000" w:themeColor="text1"/>
          <w:lang w:val="fr-FR"/>
        </w:rPr>
        <w:t>formes moins graves de surdicécité</w:t>
      </w:r>
      <w:r w:rsidR="00532EA7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32028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mais </w:t>
      </w:r>
      <w:r w:rsidR="00A73AB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qui </w:t>
      </w:r>
      <w:r w:rsidR="00990447" w:rsidRPr="001D2C12">
        <w:rPr>
          <w:rFonts w:asciiTheme="majorHAnsi" w:hAnsiTheme="majorHAnsi" w:cstheme="minorHAnsi"/>
          <w:color w:val="000000" w:themeColor="text1"/>
          <w:lang w:val="fr-FR"/>
        </w:rPr>
        <w:t>sont confrontées à des obstacles à leur p</w:t>
      </w:r>
      <w:r w:rsidR="000856B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articipation </w:t>
      </w:r>
      <w:r w:rsidR="006244C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</w:t>
      </w:r>
      <w:r w:rsidR="00532EA7" w:rsidRPr="001D2C12">
        <w:rPr>
          <w:rFonts w:asciiTheme="majorHAnsi" w:hAnsiTheme="majorHAnsi" w:cstheme="minorHAnsi"/>
          <w:color w:val="000000" w:themeColor="text1"/>
          <w:lang w:val="fr-FR"/>
        </w:rPr>
        <w:t>font l’objet de</w:t>
      </w:r>
      <w:r w:rsidR="00C8340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</w:t>
      </w:r>
      <w:r w:rsidR="006244C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73AB0" w:rsidRPr="001D2C12">
        <w:rPr>
          <w:rFonts w:asciiTheme="majorHAnsi" w:hAnsiTheme="majorHAnsi" w:cstheme="minorHAnsi"/>
          <w:color w:val="000000" w:themeColor="text1"/>
          <w:lang w:val="fr-FR"/>
        </w:rPr>
        <w:t>discrimination</w:t>
      </w:r>
      <w:r w:rsidR="006244C3" w:rsidRPr="001D2C12">
        <w:rPr>
          <w:rFonts w:asciiTheme="majorHAnsi" w:hAnsiTheme="majorHAnsi" w:cstheme="minorHAnsi"/>
          <w:color w:val="000000" w:themeColor="text1"/>
          <w:lang w:val="fr-FR"/>
        </w:rPr>
        <w:t>. Et en tant que tel</w:t>
      </w:r>
      <w:r w:rsidR="00B03F09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6244C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73AB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le chiffre </w:t>
      </w:r>
      <w:r w:rsidR="00BA6A9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2% </w:t>
      </w:r>
      <w:r w:rsidR="00A73AB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est</w:t>
      </w:r>
      <w:r w:rsidR="00BA6A9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plus </w:t>
      </w:r>
      <w:r w:rsidR="006E3B41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exact,</w:t>
      </w:r>
      <w:r w:rsidR="00BA6A9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puisqu</w:t>
      </w:r>
      <w:r w:rsidR="000369B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’</w:t>
      </w:r>
      <w:r w:rsidR="00A73AB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il </w:t>
      </w:r>
      <w:r w:rsidR="00BA6A9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r</w:t>
      </w:r>
      <w:r w:rsidR="00A73AB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eflète</w:t>
      </w:r>
      <w:r w:rsidR="00BA6A9B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la diversité des </w:t>
      </w:r>
      <w:r w:rsidR="00A47EDA">
        <w:rPr>
          <w:rFonts w:asciiTheme="majorHAnsi" w:hAnsiTheme="majorHAnsi" w:cstheme="minorHAnsi"/>
          <w:b/>
          <w:bCs/>
          <w:color w:val="000000" w:themeColor="text1"/>
          <w:lang w:val="fr-FR"/>
        </w:rPr>
        <w:t>personnes ayant une surdicécité</w:t>
      </w:r>
      <w:r w:rsidR="00E44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L</w:t>
      </w:r>
      <w:r w:rsidR="00E44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’analyse des </w:t>
      </w:r>
      <w:r w:rsidR="000369B7" w:rsidRPr="001D2C12">
        <w:rPr>
          <w:rFonts w:asciiTheme="majorHAnsi" w:hAnsiTheme="majorHAnsi" w:cstheme="minorHAnsi"/>
          <w:color w:val="000000" w:themeColor="text1"/>
          <w:lang w:val="fr-FR"/>
        </w:rPr>
        <w:t>données</w:t>
      </w:r>
      <w:r w:rsidR="00E44EE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obtenues des pays situés dans différentes régions et ayant un niveau différent de revenu a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mis en évidence les faits </w:t>
      </w:r>
      <w:r w:rsidR="00340523" w:rsidRPr="001D2C12">
        <w:rPr>
          <w:rFonts w:asciiTheme="majorHAnsi" w:hAnsiTheme="majorHAnsi" w:cstheme="minorHAnsi"/>
          <w:color w:val="000000" w:themeColor="text1"/>
          <w:lang w:val="fr-FR"/>
        </w:rPr>
        <w:t>suivants :</w:t>
      </w:r>
    </w:p>
    <w:p w14:paraId="353755E5" w14:textId="4FC8C1BE" w:rsidR="000369B7" w:rsidRPr="001D2C12" w:rsidRDefault="001E7D18" w:rsidP="00037276">
      <w:pPr>
        <w:pStyle w:val="ListParagraph"/>
        <w:numPr>
          <w:ilvl w:val="0"/>
          <w:numId w:val="1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Alors que</w:t>
      </w:r>
      <w:r w:rsidR="00B602B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surdicécité est plus fréquente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chez </w:t>
      </w:r>
      <w:r w:rsidR="00B602B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personnes </w:t>
      </w:r>
      <w:r w:rsidR="00B602B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d’âge plus avancé, </w:t>
      </w:r>
      <w:r w:rsidR="00391742" w:rsidRPr="001D2C12">
        <w:rPr>
          <w:rFonts w:asciiTheme="majorHAnsi" w:hAnsiTheme="majorHAnsi" w:cstheme="minorHAnsi"/>
          <w:color w:val="000000" w:themeColor="text1"/>
          <w:lang w:val="fr-FR"/>
        </w:rPr>
        <w:t>cette dernière a</w:t>
      </w:r>
      <w:r w:rsidR="00037276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391742" w:rsidRPr="001D2C12">
        <w:rPr>
          <w:rFonts w:asciiTheme="majorHAnsi" w:hAnsiTheme="majorHAnsi" w:cstheme="minorHAnsi"/>
          <w:color w:val="000000" w:themeColor="text1"/>
          <w:lang w:val="fr-FR"/>
        </w:rPr>
        <w:t>un impact plus prononcé sur l</w:t>
      </w:r>
      <w:r w:rsidR="00037276">
        <w:rPr>
          <w:rFonts w:asciiTheme="majorHAnsi" w:hAnsiTheme="majorHAnsi" w:cstheme="minorHAnsi"/>
          <w:color w:val="000000" w:themeColor="text1"/>
          <w:lang w:val="fr-FR"/>
        </w:rPr>
        <w:t>a vie d</w:t>
      </w:r>
      <w:r w:rsidR="0003727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 </w:t>
      </w:r>
      <w:r w:rsidR="00037276">
        <w:rPr>
          <w:rFonts w:asciiTheme="majorHAnsi" w:hAnsiTheme="majorHAnsi" w:cstheme="minorHAnsi"/>
          <w:color w:val="000000" w:themeColor="text1"/>
          <w:lang w:val="fr-FR"/>
        </w:rPr>
        <w:t>enfants et d</w:t>
      </w:r>
      <w:r w:rsidR="00037276" w:rsidRPr="001D2C12">
        <w:rPr>
          <w:rFonts w:asciiTheme="majorHAnsi" w:hAnsiTheme="majorHAnsi" w:cstheme="minorHAnsi"/>
          <w:color w:val="000000" w:themeColor="text1"/>
          <w:lang w:val="fr-FR"/>
        </w:rPr>
        <w:t>es jeunes adultes</w:t>
      </w:r>
      <w:r w:rsidR="00CB51F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par exemple s’agissant des </w:t>
      </w:r>
      <w:r w:rsidR="00CA0E4F" w:rsidRPr="001D2C12">
        <w:rPr>
          <w:rFonts w:asciiTheme="majorHAnsi" w:hAnsiTheme="majorHAnsi" w:cstheme="minorHAnsi"/>
          <w:color w:val="000000" w:themeColor="text1"/>
          <w:lang w:val="fr-FR"/>
        </w:rPr>
        <w:t>o</w:t>
      </w:r>
      <w:r w:rsidR="00CB51F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bstacles à l’éducation, </w:t>
      </w:r>
      <w:r w:rsidR="00B03F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</w:t>
      </w:r>
      <w:r w:rsidR="00CB51F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l’emploi et </w:t>
      </w:r>
      <w:r w:rsidR="00B03F0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</w:t>
      </w:r>
      <w:r w:rsidR="00CB51F0" w:rsidRPr="001D2C12">
        <w:rPr>
          <w:rFonts w:asciiTheme="majorHAnsi" w:hAnsiTheme="majorHAnsi" w:cstheme="minorHAnsi"/>
          <w:color w:val="000000" w:themeColor="text1"/>
          <w:lang w:val="fr-FR"/>
        </w:rPr>
        <w:t>la participation sociale</w:t>
      </w:r>
      <w:r w:rsidR="00CA0E4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et </w:t>
      </w:r>
      <w:r w:rsidR="00EA0C5D" w:rsidRPr="001D2C12">
        <w:rPr>
          <w:rFonts w:asciiTheme="majorHAnsi" w:hAnsiTheme="majorHAnsi" w:cstheme="minorHAnsi"/>
          <w:color w:val="000000" w:themeColor="text1"/>
          <w:lang w:val="fr-FR"/>
        </w:rPr>
        <w:t>entra</w:t>
      </w:r>
      <w:r w:rsidR="00B03F09" w:rsidRPr="001D2C12">
        <w:rPr>
          <w:rFonts w:asciiTheme="majorHAnsi" w:hAnsiTheme="majorHAnsi" w:cstheme="minorHAnsi"/>
          <w:color w:val="000000" w:themeColor="text1"/>
          <w:lang w:val="fr-FR"/>
        </w:rPr>
        <w:t>î</w:t>
      </w:r>
      <w:r w:rsidR="00EA0C5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ne </w:t>
      </w:r>
      <w:r w:rsidR="001301E6" w:rsidRPr="001D2C12">
        <w:rPr>
          <w:rFonts w:asciiTheme="majorHAnsi" w:hAnsiTheme="majorHAnsi" w:cstheme="minorHAnsi"/>
          <w:color w:val="000000" w:themeColor="text1"/>
          <w:lang w:val="fr-FR"/>
        </w:rPr>
        <w:t>chez</w:t>
      </w:r>
      <w:r w:rsidR="00EA0C5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eux</w:t>
      </w:r>
      <w:r w:rsidR="00CA0E4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un risque plus élevé de pauvreté. </w:t>
      </w:r>
    </w:p>
    <w:p w14:paraId="1071E99A" w14:textId="51226BE5" w:rsidR="0004386F" w:rsidRPr="001D2C12" w:rsidRDefault="0004386F" w:rsidP="001D2C12">
      <w:pPr>
        <w:pStyle w:val="ListParagraph"/>
        <w:numPr>
          <w:ilvl w:val="0"/>
          <w:numId w:val="1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Ces derniers sont dix fois moins susceptibles d’avoir accès à l’emploi que les personnes non </w:t>
      </w:r>
      <w:r w:rsidR="00143B5B" w:rsidRPr="001D2C12">
        <w:rPr>
          <w:rFonts w:asciiTheme="majorHAnsi" w:hAnsiTheme="majorHAnsi" w:cstheme="minorHAnsi"/>
          <w:color w:val="000000" w:themeColor="text1"/>
          <w:lang w:val="fr-FR"/>
        </w:rPr>
        <w:t>handicapées,</w:t>
      </w:r>
      <w:r w:rsidR="00B3182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30% moi</w:t>
      </w:r>
      <w:r w:rsidR="004641B2" w:rsidRPr="001D2C12">
        <w:rPr>
          <w:rFonts w:asciiTheme="majorHAnsi" w:hAnsiTheme="majorHAnsi" w:cstheme="minorHAnsi"/>
          <w:color w:val="000000" w:themeColor="text1"/>
          <w:lang w:val="fr-FR"/>
        </w:rPr>
        <w:t>ns susceptibles d’être embauchés que les personnes ayant d’autres types de handicap.</w:t>
      </w:r>
    </w:p>
    <w:p w14:paraId="4E2BC5A2" w14:textId="57814FCD" w:rsidR="004641B2" w:rsidRPr="001D2C12" w:rsidRDefault="00143B5B" w:rsidP="0007637E">
      <w:pPr>
        <w:pStyle w:val="ListParagraph"/>
        <w:numPr>
          <w:ilvl w:val="0"/>
          <w:numId w:val="1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enfants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>ayant une surdicécité</w:t>
      </w:r>
      <w:r w:rsidR="0007637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E21E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sont 17 fois moins </w:t>
      </w:r>
      <w:r w:rsidR="00BE2B2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susceptibles d’être scolarisés que leurs pairs non handicapés, et deux fois moins susceptibles d’être scolarisés </w:t>
      </w:r>
      <w:r w:rsidR="00B86E18" w:rsidRPr="001D2C12">
        <w:rPr>
          <w:rFonts w:asciiTheme="majorHAnsi" w:hAnsiTheme="majorHAnsi" w:cstheme="minorHAnsi"/>
          <w:color w:val="000000" w:themeColor="text1"/>
          <w:lang w:val="fr-FR"/>
        </w:rPr>
        <w:t>comparés aux enfants présentant d’autres types de handicap.</w:t>
      </w:r>
    </w:p>
    <w:p w14:paraId="043C7BDB" w14:textId="0EBD9C60" w:rsidR="00B86E18" w:rsidRPr="001D2C12" w:rsidRDefault="00B86E18" w:rsidP="001D2C12">
      <w:pPr>
        <w:pStyle w:val="ListParagraph"/>
        <w:numPr>
          <w:ilvl w:val="0"/>
          <w:numId w:val="1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 xml:space="preserve">Les familles et les ménages qui comptent parmi leurs membres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sont plus </w:t>
      </w:r>
      <w:r w:rsidR="007D477B" w:rsidRPr="001D2C12">
        <w:rPr>
          <w:rFonts w:asciiTheme="majorHAnsi" w:hAnsiTheme="majorHAnsi" w:cstheme="minorHAnsi"/>
          <w:color w:val="000000" w:themeColor="text1"/>
          <w:lang w:val="fr-FR"/>
        </w:rPr>
        <w:t>susceptibles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1A51B8" w:rsidRPr="001D2C12">
        <w:rPr>
          <w:rFonts w:asciiTheme="majorHAnsi" w:hAnsiTheme="majorHAnsi" w:cstheme="minorHAnsi"/>
          <w:color w:val="000000" w:themeColor="text1"/>
          <w:lang w:val="fr-FR"/>
        </w:rPr>
        <w:t>de figurer</w:t>
      </w:r>
      <w:r w:rsidR="007D477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parmi les 40% </w:t>
      </w:r>
      <w:r w:rsidR="00AB4D08" w:rsidRPr="001D2C12">
        <w:rPr>
          <w:rFonts w:asciiTheme="majorHAnsi" w:hAnsiTheme="majorHAnsi" w:cstheme="minorHAnsi"/>
          <w:color w:val="000000" w:themeColor="text1"/>
          <w:lang w:val="fr-FR"/>
        </w:rPr>
        <w:t>se trouvant</w:t>
      </w:r>
      <w:r w:rsidR="00CA2C7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C824DF" w:rsidRPr="001D2C12">
        <w:rPr>
          <w:rFonts w:asciiTheme="majorHAnsi" w:hAnsiTheme="majorHAnsi" w:cstheme="minorHAnsi"/>
          <w:color w:val="000000" w:themeColor="text1"/>
          <w:lang w:val="fr-FR"/>
        </w:rPr>
        <w:t>au</w:t>
      </w:r>
      <w:r w:rsidR="00CA2C7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bas de l’échelle </w:t>
      </w:r>
      <w:r w:rsidR="00DA0F36" w:rsidRPr="001D2C12">
        <w:rPr>
          <w:rFonts w:asciiTheme="majorHAnsi" w:hAnsiTheme="majorHAnsi" w:cstheme="minorHAnsi"/>
          <w:color w:val="000000" w:themeColor="text1"/>
          <w:lang w:val="fr-FR"/>
        </w:rPr>
        <w:t>socio-économique</w:t>
      </w:r>
      <w:r w:rsidR="00C824D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et ce </w:t>
      </w:r>
      <w:r w:rsidR="00DA0F3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comparés aux ménages qui ne comptent pas de membres handicapés et les ménages </w:t>
      </w:r>
      <w:r w:rsidR="009F7097" w:rsidRPr="001D2C12">
        <w:rPr>
          <w:rFonts w:asciiTheme="majorHAnsi" w:hAnsiTheme="majorHAnsi" w:cstheme="minorHAnsi"/>
          <w:color w:val="000000" w:themeColor="text1"/>
          <w:lang w:val="fr-FR"/>
        </w:rPr>
        <w:t>comprenant</w:t>
      </w:r>
      <w:r w:rsidR="00DA0F3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personnes présentant d’autres types de handicap. </w:t>
      </w:r>
    </w:p>
    <w:p w14:paraId="24FC5F94" w14:textId="6D603B6F" w:rsidR="00A36BC9" w:rsidRPr="001D2C12" w:rsidRDefault="00A36BC9" w:rsidP="0007637E">
      <w:pPr>
        <w:pStyle w:val="ListParagraph"/>
        <w:numPr>
          <w:ilvl w:val="0"/>
          <w:numId w:val="1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femmes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 xml:space="preserve">ayant une surdicécité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sont confrontées à des restrictions accrues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leur </w:t>
      </w:r>
      <w:r w:rsidR="00DF719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participation à un large éventail d’activités. </w:t>
      </w:r>
    </w:p>
    <w:p w14:paraId="3C68FD1F" w14:textId="49432F99" w:rsidR="001F5D7D" w:rsidRPr="001D2C12" w:rsidRDefault="00DF7194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en-GB"/>
        </w:rPr>
      </w:pPr>
      <w:r w:rsidRPr="001D2C12">
        <w:rPr>
          <w:rFonts w:asciiTheme="majorHAnsi" w:hAnsiTheme="majorHAnsi" w:cstheme="minorHAnsi"/>
          <w:color w:val="000000" w:themeColor="text1"/>
          <w:lang w:val="en-GB"/>
        </w:rPr>
        <w:t>De plus</w:t>
      </w:r>
      <w:r w:rsidR="001F5D7D" w:rsidRPr="001D2C12">
        <w:rPr>
          <w:rFonts w:asciiTheme="majorHAnsi" w:hAnsiTheme="majorHAnsi" w:cstheme="minorHAnsi"/>
          <w:color w:val="000000" w:themeColor="text1"/>
          <w:lang w:val="en-GB"/>
        </w:rPr>
        <w:t>:</w:t>
      </w:r>
    </w:p>
    <w:p w14:paraId="45AC65DE" w14:textId="12A030F3" w:rsidR="00DF7194" w:rsidRPr="001D2C12" w:rsidRDefault="00DF7194" w:rsidP="001D2C12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Entre 20% et 75%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</w:t>
      </w:r>
      <w:r w:rsidR="0085681A" w:rsidRPr="001D2C12">
        <w:rPr>
          <w:rFonts w:asciiTheme="majorHAnsi" w:hAnsiTheme="majorHAnsi" w:cstheme="minorHAnsi"/>
          <w:color w:val="000000" w:themeColor="text1"/>
          <w:lang w:val="fr-FR"/>
        </w:rPr>
        <w:t>résentent aussi d’autres déficiences</w:t>
      </w:r>
      <w:r w:rsidR="00C01DEF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  <w:r w:rsidR="0085681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</w:p>
    <w:p w14:paraId="4CC66406" w14:textId="268286DD" w:rsidR="0085681A" w:rsidRPr="001D2C12" w:rsidRDefault="005F0DD3" w:rsidP="001D2C12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y a une forte prévalence de la dépression parmi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722EC9" w:rsidRPr="001D2C12">
        <w:rPr>
          <w:rFonts w:asciiTheme="majorHAnsi" w:hAnsiTheme="majorHAnsi" w:cstheme="minorHAnsi"/>
          <w:color w:val="000000" w:themeColor="text1"/>
          <w:lang w:val="fr-FR"/>
        </w:rPr>
        <w:t>mais en contrepartie un faible accès aux services de santé mentale</w:t>
      </w:r>
      <w:r w:rsidR="00A202C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leur est assuré</w:t>
      </w:r>
      <w:r w:rsidR="00722EC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153A00B5" w14:textId="2AB5E9C8" w:rsidR="009C2018" w:rsidRPr="001D2C12" w:rsidRDefault="009C2018" w:rsidP="001D2C12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C252C8">
        <w:rPr>
          <w:rFonts w:asciiTheme="majorHAnsi" w:hAnsiTheme="majorHAnsi" w:cstheme="minorHAnsi"/>
          <w:color w:val="000000" w:themeColor="text1"/>
          <w:lang w:val="fr-FR"/>
        </w:rPr>
        <w:t xml:space="preserve">enfants ayant une </w:t>
      </w:r>
      <w:proofErr w:type="spellStart"/>
      <w:r w:rsidR="00C252C8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74419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sont </w:t>
      </w:r>
      <w:r w:rsidR="00E50986" w:rsidRPr="001D2C12">
        <w:rPr>
          <w:rFonts w:asciiTheme="majorHAnsi" w:hAnsiTheme="majorHAnsi" w:cstheme="minorHAnsi"/>
          <w:color w:val="000000" w:themeColor="text1"/>
          <w:lang w:val="fr-FR"/>
        </w:rPr>
        <w:t>moins su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E5098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ceptibles de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vivre </w:t>
      </w:r>
      <w:r w:rsidR="00E50986" w:rsidRPr="001D2C12">
        <w:rPr>
          <w:rFonts w:asciiTheme="majorHAnsi" w:hAnsiTheme="majorHAnsi" w:cstheme="minorHAnsi"/>
          <w:color w:val="000000" w:themeColor="text1"/>
          <w:lang w:val="fr-FR"/>
        </w:rPr>
        <w:t>avec leurs deux parents.</w:t>
      </w:r>
    </w:p>
    <w:p w14:paraId="5B760FA1" w14:textId="787C82AE" w:rsidR="00E50986" w:rsidRPr="001D2C12" w:rsidRDefault="000409FF" w:rsidP="001D2C12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est peu probable que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se marient.</w:t>
      </w:r>
    </w:p>
    <w:p w14:paraId="090265E6" w14:textId="5BAE4877" w:rsidR="000409FF" w:rsidRPr="001D2C12" w:rsidRDefault="003061A3" w:rsidP="001D2C12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ont signalé une faible qualité </w:t>
      </w:r>
      <w:r w:rsidR="00CE5802" w:rsidRPr="001D2C12">
        <w:rPr>
          <w:rFonts w:asciiTheme="majorHAnsi" w:hAnsiTheme="majorHAnsi" w:cstheme="minorHAnsi"/>
          <w:color w:val="000000" w:themeColor="text1"/>
          <w:lang w:val="fr-FR"/>
        </w:rPr>
        <w:t>vie et des restrictions à leur participation à un large éventail d’activités.</w:t>
      </w:r>
    </w:p>
    <w:p w14:paraId="33E5F289" w14:textId="481EF5CA" w:rsidR="00CE5802" w:rsidRPr="001D2C12" w:rsidRDefault="00DA771A" w:rsidP="001D2C12">
      <w:pPr>
        <w:pStyle w:val="ListParagraph"/>
        <w:numPr>
          <w:ilvl w:val="0"/>
          <w:numId w:val="2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plus de 50 ans sont deux fois plus susceptibles d’être socialement isolées </w:t>
      </w:r>
      <w:r w:rsidR="00B85479" w:rsidRPr="001D2C12">
        <w:rPr>
          <w:rFonts w:asciiTheme="majorHAnsi" w:hAnsiTheme="majorHAnsi" w:cstheme="minorHAnsi"/>
          <w:color w:val="000000" w:themeColor="text1"/>
          <w:lang w:val="fr-FR"/>
        </w:rPr>
        <w:t>comparées à celles n’ayant pas une double déficience visuelle et auditive.</w:t>
      </w:r>
    </w:p>
    <w:p w14:paraId="48F7CFD8" w14:textId="62AEBEA4" w:rsidR="00325EEB" w:rsidRPr="001D2C12" w:rsidRDefault="00B85479" w:rsidP="00C252C8">
      <w:pPr>
        <w:tabs>
          <w:tab w:val="left" w:pos="180"/>
        </w:tabs>
        <w:spacing w:after="120" w:line="240" w:lineRule="auto"/>
        <w:ind w:right="-86"/>
        <w:jc w:val="both"/>
        <w:rPr>
          <w:rFonts w:asciiTheme="majorHAnsi" w:hAnsiTheme="majorHAnsi" w:cstheme="minorHAnsi"/>
          <w:b/>
          <w:b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Les informations </w:t>
      </w:r>
      <w:r w:rsidR="00C252C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fournies</w:t>
      </w: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AA12E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par </w:t>
      </w: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les </w:t>
      </w:r>
      <w:r w:rsidR="0012369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membres </w:t>
      </w: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de </w:t>
      </w:r>
      <w:r w:rsidR="0081008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la Fédération mondiale des sourdaveugles</w:t>
      </w:r>
      <w:r w:rsidR="0012369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, les équipes de</w:t>
      </w:r>
      <w:r w:rsidR="0081008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l’organisation </w:t>
      </w:r>
      <w:proofErr w:type="spellStart"/>
      <w:r w:rsidR="0081008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Sense</w:t>
      </w:r>
      <w:proofErr w:type="spellEnd"/>
      <w:r w:rsidR="0081008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International </w:t>
      </w:r>
      <w:r w:rsidR="0012369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et le</w:t>
      </w:r>
      <w:r w:rsidR="00AA12E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ur</w:t>
      </w:r>
      <w:r w:rsidR="0012369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s partenaires </w:t>
      </w:r>
      <w:r w:rsidR="00AA12E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suggèrent</w:t>
      </w:r>
      <w:r w:rsidR="0047349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que</w:t>
      </w:r>
      <w:r w:rsidR="0012369E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AA12E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la </w:t>
      </w:r>
      <w:r w:rsidR="00D45EC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réponse politique </w:t>
      </w:r>
      <w:r w:rsidR="00AA12E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des </w:t>
      </w:r>
      <w:r w:rsidR="00D45EC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gouvernements</w:t>
      </w:r>
      <w:r w:rsidR="0047349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est inadéquate</w:t>
      </w:r>
      <w:r w:rsidR="00D45EC0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. </w:t>
      </w:r>
    </w:p>
    <w:p w14:paraId="1A22CF08" w14:textId="28074B2E" w:rsidR="0005588D" w:rsidRPr="001D2C12" w:rsidRDefault="0005588D" w:rsidP="001D2C12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Il y a une absence globale </w:t>
      </w:r>
      <w:r w:rsidR="000254C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</w:t>
      </w:r>
      <w:r w:rsidR="00FB60E4" w:rsidRPr="001D2C12">
        <w:rPr>
          <w:rFonts w:asciiTheme="majorHAnsi" w:hAnsiTheme="majorHAnsi" w:cstheme="minorHAnsi"/>
          <w:color w:val="000000" w:themeColor="text1"/>
          <w:lang w:val="fr-FR"/>
        </w:rPr>
        <w:t>prise de conscience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de </w:t>
      </w:r>
      <w:r w:rsidR="00FB60E4" w:rsidRPr="001D2C12">
        <w:rPr>
          <w:rFonts w:asciiTheme="majorHAnsi" w:hAnsiTheme="majorHAnsi" w:cstheme="minorHAnsi"/>
          <w:color w:val="000000" w:themeColor="text1"/>
          <w:lang w:val="fr-FR"/>
        </w:rPr>
        <w:t>reconnaissance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>du fait que</w:t>
      </w:r>
      <w:r w:rsidR="00FB60E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>l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>constituent un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groupe 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distinct.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On 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>assume souvent</w:t>
      </w:r>
      <w:r w:rsidR="000254CA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de manière </w:t>
      </w:r>
      <w:r w:rsidR="000254CA" w:rsidRPr="001D2C12">
        <w:rPr>
          <w:rFonts w:asciiTheme="majorHAnsi" w:hAnsiTheme="majorHAnsi" w:cstheme="minorHAnsi"/>
          <w:color w:val="000000" w:themeColor="text1"/>
          <w:lang w:val="fr-FR"/>
        </w:rPr>
        <w:t>erronée,</w:t>
      </w:r>
      <w:r w:rsidR="0099631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que </w:t>
      </w:r>
      <w:r w:rsidR="0025626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ces personnes ont dans le meilleur des cas besoin d’une combinaison des services existant qui sont dispensés soit aux personnes aveugles soit aux personnes sourdes.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Cependant, </w:t>
      </w:r>
      <w:r w:rsidR="000254CA" w:rsidRPr="001D2C12">
        <w:rPr>
          <w:rFonts w:asciiTheme="majorHAnsi" w:hAnsiTheme="majorHAnsi" w:cstheme="minorHAnsi"/>
          <w:color w:val="000000" w:themeColor="text1"/>
          <w:lang w:val="fr-FR"/>
        </w:rPr>
        <w:t>cela</w:t>
      </w:r>
      <w:r w:rsidR="00CD2D9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ne prend pas en compte les barrières spécifiques auxquelles se heurte chaque </w:t>
      </w:r>
      <w:r w:rsidR="00CB540B">
        <w:rPr>
          <w:rFonts w:asciiTheme="majorHAnsi" w:hAnsiTheme="majorHAnsi" w:cstheme="minorHAnsi"/>
          <w:color w:val="000000" w:themeColor="text1"/>
          <w:lang w:val="fr-FR"/>
        </w:rPr>
        <w:t>personne ayant une surdicécité</w:t>
      </w:r>
      <w:r w:rsidR="00CD2D9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</w:t>
      </w:r>
      <w:r w:rsidR="00CC2449" w:rsidRPr="001D2C12">
        <w:rPr>
          <w:rFonts w:asciiTheme="majorHAnsi" w:hAnsiTheme="majorHAnsi" w:cstheme="minorHAnsi"/>
          <w:color w:val="000000" w:themeColor="text1"/>
          <w:lang w:val="fr-FR"/>
        </w:rPr>
        <w:t>l</w:t>
      </w:r>
      <w:r w:rsidR="00CD2D9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 besoins </w:t>
      </w:r>
      <w:r w:rsidR="00CC244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cette même personne </w:t>
      </w:r>
      <w:r w:rsidR="00CD2D9D" w:rsidRPr="001D2C12">
        <w:rPr>
          <w:rFonts w:asciiTheme="majorHAnsi" w:hAnsiTheme="majorHAnsi" w:cstheme="minorHAnsi"/>
          <w:color w:val="000000" w:themeColor="text1"/>
          <w:lang w:val="fr-FR"/>
        </w:rPr>
        <w:t>en matière de communication</w:t>
      </w:r>
      <w:r w:rsidR="000254CA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4C71EA7C" w14:textId="7BDD704E" w:rsidR="00AA12E7" w:rsidRPr="00F032BC" w:rsidRDefault="00CC2449" w:rsidP="001D2C12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CH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Alors que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cette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situation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est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exacerbé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dans les pays à faible revenu</w:t>
      </w:r>
      <w:r w:rsidR="00307E7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peu de pays ont développé des services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>de soutien</w:t>
      </w:r>
      <w:r w:rsidR="00307E7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efficaces </w:t>
      </w:r>
      <w:r w:rsidR="00307E7A" w:rsidRPr="001D2C12">
        <w:rPr>
          <w:rFonts w:asciiTheme="majorHAnsi" w:hAnsiTheme="majorHAnsi" w:cstheme="minorHAnsi"/>
          <w:color w:val="000000" w:themeColor="text1"/>
          <w:lang w:val="fr-FR"/>
        </w:rPr>
        <w:t>financé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307E7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C879E8" w:rsidRPr="001D2C12">
        <w:rPr>
          <w:rFonts w:asciiTheme="majorHAnsi" w:hAnsiTheme="majorHAnsi" w:cstheme="minorHAnsi"/>
          <w:color w:val="000000" w:themeColor="text1"/>
          <w:lang w:val="fr-FR"/>
        </w:rPr>
        <w:t>par les fonds publics</w:t>
      </w:r>
      <w:r w:rsidR="00307E7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B37080" w:rsidRPr="001D2C12">
        <w:rPr>
          <w:rFonts w:asciiTheme="majorHAnsi" w:hAnsiTheme="majorHAnsi" w:cstheme="minorHAnsi"/>
          <w:color w:val="000000" w:themeColor="text1"/>
          <w:lang w:val="fr-FR"/>
        </w:rPr>
        <w:t>à destination des</w:t>
      </w:r>
      <w:r w:rsidR="00307E7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B5792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F1642E" w:rsidRPr="001D2C12">
        <w:rPr>
          <w:rFonts w:asciiTheme="majorHAnsi" w:hAnsiTheme="majorHAnsi" w:cstheme="minorHAnsi"/>
          <w:color w:val="000000" w:themeColor="text1"/>
          <w:lang w:val="fr-FR"/>
        </w:rPr>
        <w:t>notamment</w:t>
      </w:r>
      <w:r w:rsidR="00B5792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services de guide-interprète.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>L</w:t>
      </w:r>
      <w:r w:rsidR="00B5792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 manque </w:t>
      </w:r>
      <w:r w:rsidR="0007637E">
        <w:rPr>
          <w:rFonts w:asciiTheme="majorHAnsi" w:hAnsiTheme="majorHAnsi" w:cstheme="minorHAnsi"/>
          <w:color w:val="000000" w:themeColor="text1"/>
          <w:lang w:val="fr-FR"/>
        </w:rPr>
        <w:t>de soutien</w:t>
      </w:r>
      <w:r w:rsidR="00B5792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B66F3A" w:rsidRPr="001D2C12">
        <w:rPr>
          <w:rFonts w:asciiTheme="majorHAnsi" w:hAnsiTheme="majorHAnsi" w:cstheme="minorHAnsi"/>
          <w:color w:val="000000" w:themeColor="text1"/>
          <w:lang w:val="fr-FR"/>
        </w:rPr>
        <w:t>a un impact négatif sur l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 </w:t>
      </w:r>
      <w:r w:rsidR="00B66F3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situation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économique et sociale d’une personne et sur sa </w:t>
      </w:r>
      <w:r w:rsidR="00C710CA" w:rsidRPr="001D2C12">
        <w:rPr>
          <w:rFonts w:asciiTheme="majorHAnsi" w:hAnsiTheme="majorHAnsi" w:cstheme="minorHAnsi"/>
          <w:color w:val="000000" w:themeColor="text1"/>
          <w:lang w:val="fr-FR"/>
        </w:rPr>
        <w:t>participation politique</w:t>
      </w:r>
      <w:r w:rsidR="008D5392" w:rsidRPr="001D2C12">
        <w:rPr>
          <w:rFonts w:asciiTheme="majorHAnsi" w:hAnsiTheme="majorHAnsi" w:cstheme="minorHAnsi"/>
          <w:color w:val="000000" w:themeColor="text1"/>
          <w:lang w:val="fr-FR"/>
        </w:rPr>
        <w:t>, et</w:t>
      </w:r>
      <w:r w:rsidR="00C710C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B66F3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contribue </w:t>
      </w:r>
      <w:r w:rsidR="00C710C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</w:t>
      </w:r>
      <w:r w:rsidR="00C6560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une </w:t>
      </w:r>
      <w:r w:rsidR="00F27C0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forte </w:t>
      </w:r>
      <w:r w:rsidR="00C710C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incidence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>en matière d</w:t>
      </w:r>
      <w:r w:rsidR="00C65604" w:rsidRPr="001D2C12">
        <w:rPr>
          <w:rFonts w:asciiTheme="majorHAnsi" w:hAnsiTheme="majorHAnsi" w:cstheme="minorHAnsi"/>
          <w:color w:val="000000" w:themeColor="text1"/>
          <w:lang w:val="fr-FR"/>
        </w:rPr>
        <w:t>’</w:t>
      </w:r>
      <w:r w:rsidR="00C710CA" w:rsidRPr="001D2C12">
        <w:rPr>
          <w:rFonts w:asciiTheme="majorHAnsi" w:hAnsiTheme="majorHAnsi" w:cstheme="minorHAnsi"/>
          <w:color w:val="000000" w:themeColor="text1"/>
          <w:lang w:val="fr-FR"/>
        </w:rPr>
        <w:t>isol</w:t>
      </w:r>
      <w:r w:rsidR="00C65604" w:rsidRPr="001D2C12">
        <w:rPr>
          <w:rFonts w:asciiTheme="majorHAnsi" w:hAnsiTheme="majorHAnsi" w:cstheme="minorHAnsi"/>
          <w:color w:val="000000" w:themeColor="text1"/>
          <w:lang w:val="fr-FR"/>
        </w:rPr>
        <w:t>ement</w:t>
      </w:r>
      <w:r w:rsidR="00C710C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507E1137" w14:textId="792A6854" w:rsidR="005D475A" w:rsidRPr="001D2C12" w:rsidRDefault="005D475A" w:rsidP="001D2C12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politiques et services de l’emploi </w:t>
      </w:r>
      <w:r w:rsidR="00D36AC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n’apportent pas un support adéquat aux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D36ACD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0F3B5EA2" w14:textId="00882243" w:rsidR="00D36ACD" w:rsidRPr="001D2C12" w:rsidRDefault="007C6423" w:rsidP="001D2C12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La mise à disposition de l’éducation est généralement inadéquate, avec une </w:t>
      </w:r>
      <w:r w:rsidR="006A440B" w:rsidRPr="001D2C12">
        <w:rPr>
          <w:rFonts w:asciiTheme="majorHAnsi" w:hAnsiTheme="majorHAnsi" w:cstheme="minorHAnsi"/>
          <w:color w:val="000000" w:themeColor="text1"/>
          <w:lang w:val="fr-FR"/>
        </w:rPr>
        <w:t>sur-</w:t>
      </w:r>
      <w:r w:rsidR="000D1B6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dépendance </w:t>
      </w:r>
      <w:r w:rsidR="006A440B" w:rsidRPr="001D2C12">
        <w:rPr>
          <w:rFonts w:asciiTheme="majorHAnsi" w:hAnsiTheme="majorHAnsi" w:cstheme="minorHAnsi"/>
          <w:color w:val="000000" w:themeColor="text1"/>
          <w:lang w:val="fr-FR"/>
        </w:rPr>
        <w:t>envers</w:t>
      </w:r>
      <w:r w:rsidR="000D1B6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>l’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é</w:t>
      </w:r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>ducation spécial</w:t>
      </w:r>
      <w:r w:rsidR="00080831" w:rsidRPr="001D2C12">
        <w:rPr>
          <w:rFonts w:asciiTheme="majorHAnsi" w:hAnsiTheme="majorHAnsi" w:cstheme="minorHAnsi"/>
          <w:color w:val="000000" w:themeColor="text1"/>
          <w:lang w:val="fr-FR"/>
        </w:rPr>
        <w:t>isée</w:t>
      </w:r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</w:t>
      </w:r>
      <w:r w:rsidR="0043713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une </w:t>
      </w:r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attention </w:t>
      </w:r>
      <w:r w:rsidR="0043713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minime </w:t>
      </w:r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>accordé</w:t>
      </w:r>
      <w:r w:rsidR="00437135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aux besoins spécifiques des </w:t>
      </w:r>
      <w:r w:rsidR="00C252C8">
        <w:rPr>
          <w:rFonts w:asciiTheme="majorHAnsi" w:hAnsiTheme="majorHAnsi" w:cstheme="minorHAnsi"/>
          <w:color w:val="000000" w:themeColor="text1"/>
          <w:lang w:val="fr-FR"/>
        </w:rPr>
        <w:t xml:space="preserve">enfants ayant une </w:t>
      </w:r>
      <w:proofErr w:type="spellStart"/>
      <w:r w:rsidR="00C252C8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="00FD768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E83E8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dans les processus et politiques </w:t>
      </w:r>
      <w:r w:rsidR="00080831" w:rsidRPr="001D2C12">
        <w:rPr>
          <w:rFonts w:asciiTheme="majorHAnsi" w:hAnsiTheme="majorHAnsi" w:cstheme="minorHAnsi"/>
          <w:color w:val="000000" w:themeColor="text1"/>
          <w:lang w:val="fr-FR"/>
        </w:rPr>
        <w:t>adoptés</w:t>
      </w:r>
      <w:r w:rsidR="00E83E8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</w:t>
      </w:r>
      <w:r w:rsidR="0008083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matière d’éducation inclusive. </w:t>
      </w:r>
    </w:p>
    <w:p w14:paraId="0713F616" w14:textId="64D49715" w:rsidR="007616D2" w:rsidRPr="001D2C12" w:rsidRDefault="007616D2" w:rsidP="000F23DA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Alors que l’accès à la santé est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meilleur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pour les adultes</w:t>
      </w:r>
      <w:r w:rsidR="000F23DA">
        <w:rPr>
          <w:rFonts w:asciiTheme="majorHAnsi" w:hAnsiTheme="majorHAnsi" w:cstheme="minorHAnsi"/>
          <w:color w:val="000000" w:themeColor="text1"/>
          <w:lang w:val="fr-FR"/>
        </w:rPr>
        <w:t xml:space="preserve"> a</w:t>
      </w:r>
      <w:r w:rsidR="000F23DA">
        <w:rPr>
          <w:rFonts w:asciiTheme="majorHAnsi" w:hAnsiTheme="majorHAnsi" w:cstheme="minorHAnsi"/>
          <w:color w:val="000000" w:themeColor="text1"/>
          <w:lang w:val="fr-FR"/>
        </w:rPr>
        <w:t>yant une surdicécité</w:t>
      </w:r>
      <w:r w:rsidR="006F1C7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exception </w:t>
      </w:r>
      <w:r w:rsidR="00EF2E67" w:rsidRPr="001D2C12">
        <w:rPr>
          <w:rFonts w:asciiTheme="majorHAnsi" w:hAnsiTheme="majorHAnsi" w:cstheme="minorHAnsi"/>
          <w:color w:val="000000" w:themeColor="text1"/>
          <w:lang w:val="fr-FR"/>
        </w:rPr>
        <w:t>faite des</w:t>
      </w:r>
      <w:r w:rsidR="006F1C7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services de santé sexuelle et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reproductive</w:t>
      </w:r>
      <w:r w:rsidR="006F1C7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on constate</w:t>
      </w:r>
      <w:r w:rsidR="006F1C7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que les </w:t>
      </w:r>
      <w:r w:rsidR="00F9604D" w:rsidRPr="001D2C12">
        <w:rPr>
          <w:rFonts w:asciiTheme="majorHAnsi" w:hAnsiTheme="majorHAnsi" w:cstheme="minorHAnsi"/>
          <w:color w:val="000000" w:themeColor="text1"/>
          <w:lang w:val="fr-FR"/>
        </w:rPr>
        <w:t>obstacles</w:t>
      </w:r>
      <w:r w:rsidR="006F1C7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à la communication et les attitudes négatives </w:t>
      </w:r>
      <w:r w:rsidR="0047684E" w:rsidRPr="001D2C12">
        <w:rPr>
          <w:rFonts w:asciiTheme="majorHAnsi" w:hAnsiTheme="majorHAnsi" w:cstheme="minorHAnsi"/>
          <w:color w:val="000000" w:themeColor="text1"/>
          <w:lang w:val="fr-FR"/>
        </w:rPr>
        <w:t>du personnel des soins de santé affecte</w:t>
      </w:r>
      <w:r w:rsidR="00F9604D" w:rsidRPr="001D2C12">
        <w:rPr>
          <w:rFonts w:asciiTheme="majorHAnsi" w:hAnsiTheme="majorHAnsi" w:cstheme="minorHAnsi"/>
          <w:color w:val="000000" w:themeColor="text1"/>
          <w:lang w:val="fr-FR"/>
        </w:rPr>
        <w:t>nt</w:t>
      </w:r>
      <w:r w:rsidR="0047684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qualité des soins dispensés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aux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 xml:space="preserve">personnes ayant une </w:t>
      </w:r>
      <w:proofErr w:type="spellStart"/>
      <w:r w:rsidR="00A47EDA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="0047684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F9604D" w:rsidRPr="001D2C12">
        <w:rPr>
          <w:rFonts w:asciiTheme="majorHAnsi" w:hAnsiTheme="majorHAnsi" w:cstheme="minorHAnsi"/>
          <w:color w:val="000000" w:themeColor="text1"/>
          <w:lang w:val="fr-FR"/>
        </w:rPr>
        <w:t>De plus, d</w:t>
      </w:r>
      <w:r w:rsidR="0047684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ans beaucoup de pays, le </w:t>
      </w:r>
      <w:r w:rsidR="0047684E"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 xml:space="preserve">personnel des soins de santé </w:t>
      </w:r>
      <w:r w:rsidR="00CE49F7" w:rsidRPr="001D2C12">
        <w:rPr>
          <w:rFonts w:asciiTheme="majorHAnsi" w:hAnsiTheme="majorHAnsi" w:cstheme="minorHAnsi"/>
          <w:color w:val="000000" w:themeColor="text1"/>
          <w:lang w:val="fr-FR"/>
        </w:rPr>
        <w:t>n</w:t>
      </w:r>
      <w:r w:rsidR="0033645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 dispose pas </w:t>
      </w:r>
      <w:r w:rsidR="00CE49F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</w:t>
      </w:r>
      <w:r w:rsidR="00F9604D" w:rsidRPr="001D2C12">
        <w:rPr>
          <w:rFonts w:asciiTheme="majorHAnsi" w:hAnsiTheme="majorHAnsi" w:cstheme="minorHAnsi"/>
          <w:color w:val="000000" w:themeColor="text1"/>
          <w:lang w:val="fr-FR"/>
        </w:rPr>
        <w:t>connaissances</w:t>
      </w:r>
      <w:r w:rsidR="00CE49F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requises ou de la formation</w:t>
      </w:r>
      <w:r w:rsidR="00F9604D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CE49F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nécessaire sur les causes de la surdicécité ou </w:t>
      </w:r>
      <w:r w:rsidR="00F220A0" w:rsidRPr="001D2C12">
        <w:rPr>
          <w:rFonts w:asciiTheme="majorHAnsi" w:hAnsiTheme="majorHAnsi" w:cstheme="minorHAnsi"/>
          <w:color w:val="000000" w:themeColor="text1"/>
          <w:lang w:val="fr-FR"/>
        </w:rPr>
        <w:t>sur l</w:t>
      </w:r>
      <w:r w:rsidR="00CE49F7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ur</w:t>
      </w:r>
      <w:r w:rsidR="00CE49F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 besoins spécifiques en matière de communication. </w:t>
      </w:r>
    </w:p>
    <w:p w14:paraId="54D35121" w14:textId="1D6533FF" w:rsidR="008C3136" w:rsidRPr="001D2C12" w:rsidRDefault="008C3136" w:rsidP="001D2C12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Peu de pays ont développé des services adéquats de dé</w:t>
      </w:r>
      <w:r w:rsidR="000351C9" w:rsidRPr="001D2C12">
        <w:rPr>
          <w:rFonts w:asciiTheme="majorHAnsi" w:hAnsiTheme="majorHAnsi" w:cstheme="minorHAnsi"/>
          <w:color w:val="000000" w:themeColor="text1"/>
          <w:lang w:val="fr-FR"/>
        </w:rPr>
        <w:t>pistage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d’intervention </w:t>
      </w:r>
      <w:r w:rsidR="000351C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précoces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pour les </w:t>
      </w:r>
      <w:r w:rsidR="00C252C8">
        <w:rPr>
          <w:rFonts w:asciiTheme="majorHAnsi" w:hAnsiTheme="majorHAnsi" w:cstheme="minorHAnsi"/>
          <w:color w:val="000000" w:themeColor="text1"/>
          <w:lang w:val="fr-FR"/>
        </w:rPr>
        <w:t xml:space="preserve">enfants ayant une </w:t>
      </w:r>
      <w:proofErr w:type="spellStart"/>
      <w:r w:rsidR="00C252C8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ce qui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impacte </w:t>
      </w:r>
      <w:r w:rsidR="00E90786" w:rsidRPr="001D2C12">
        <w:rPr>
          <w:rFonts w:asciiTheme="majorHAnsi" w:hAnsiTheme="majorHAnsi" w:cstheme="minorHAnsi"/>
          <w:color w:val="000000" w:themeColor="text1"/>
          <w:lang w:val="fr-FR"/>
        </w:rPr>
        <w:t>leur développement et leurs relations familiales.</w:t>
      </w:r>
    </w:p>
    <w:p w14:paraId="2F2096CB" w14:textId="4480BDE1" w:rsidR="00E90786" w:rsidRPr="00F032BC" w:rsidRDefault="00E90786" w:rsidP="001D2C12">
      <w:pPr>
        <w:pStyle w:val="ListParagraph"/>
        <w:numPr>
          <w:ilvl w:val="0"/>
          <w:numId w:val="4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CH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Une grande différence persiste ente les pays à revenu élevé </w:t>
      </w:r>
      <w:r w:rsidR="00AE165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les pays à faible revenu pour ce qui a trait à l’accès </w:t>
      </w:r>
      <w:r w:rsidR="00FF6DA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la protection sociale. Dans la plupart des pays, le </w:t>
      </w:r>
      <w:r w:rsidR="0047349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soutien existant </w:t>
      </w:r>
      <w:r w:rsidR="00FF6DA4" w:rsidRPr="001D2C12">
        <w:rPr>
          <w:rFonts w:asciiTheme="majorHAnsi" w:hAnsiTheme="majorHAnsi" w:cstheme="minorHAnsi"/>
          <w:color w:val="000000" w:themeColor="text1"/>
          <w:lang w:val="fr-FR"/>
        </w:rPr>
        <w:t>ne couvre pas les co</w:t>
      </w:r>
      <w:r w:rsidR="00846468" w:rsidRPr="001D2C12">
        <w:rPr>
          <w:rFonts w:asciiTheme="majorHAnsi" w:hAnsiTheme="majorHAnsi" w:cstheme="minorHAnsi"/>
          <w:color w:val="000000" w:themeColor="text1"/>
          <w:lang w:val="fr-FR"/>
        </w:rPr>
        <w:t>û</w:t>
      </w:r>
      <w:r w:rsidR="00FF6DA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ts supplémentaires </w:t>
      </w:r>
      <w:r w:rsidR="00846468" w:rsidRPr="001D2C12">
        <w:rPr>
          <w:rFonts w:asciiTheme="majorHAnsi" w:hAnsiTheme="majorHAnsi" w:cstheme="minorHAnsi"/>
          <w:color w:val="000000" w:themeColor="text1"/>
          <w:lang w:val="fr-FR"/>
        </w:rPr>
        <w:t>associés au</w:t>
      </w:r>
      <w:r w:rsidR="00B1476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FF6DA4" w:rsidRPr="001D2C12">
        <w:rPr>
          <w:rFonts w:asciiTheme="majorHAnsi" w:hAnsiTheme="majorHAnsi" w:cstheme="minorHAnsi"/>
          <w:color w:val="000000" w:themeColor="text1"/>
          <w:lang w:val="fr-FR"/>
        </w:rPr>
        <w:t>handicap (ce co</w:t>
      </w:r>
      <w:r w:rsidR="00846468" w:rsidRPr="001D2C12">
        <w:rPr>
          <w:rFonts w:asciiTheme="majorHAnsi" w:hAnsiTheme="majorHAnsi" w:cstheme="minorHAnsi"/>
          <w:color w:val="000000" w:themeColor="text1"/>
          <w:lang w:val="fr-FR"/>
        </w:rPr>
        <w:t>û</w:t>
      </w:r>
      <w:r w:rsidR="00FF6DA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 a été estimé comme étant le plus élevé parmi les personnes handicapées </w:t>
      </w:r>
      <w:r w:rsidR="00B1476B" w:rsidRPr="001D2C12">
        <w:rPr>
          <w:rFonts w:asciiTheme="majorHAnsi" w:hAnsiTheme="majorHAnsi" w:cstheme="minorHAnsi"/>
          <w:color w:val="000000" w:themeColor="text1"/>
          <w:lang w:val="fr-FR"/>
        </w:rPr>
        <w:t>en Afrique du Sud</w:t>
      </w:r>
      <w:r w:rsidR="00846468" w:rsidRPr="001D2C12">
        <w:rPr>
          <w:rFonts w:asciiTheme="majorHAnsi" w:hAnsiTheme="majorHAnsi" w:cstheme="minorHAnsi"/>
          <w:color w:val="000000" w:themeColor="text1"/>
          <w:lang w:val="fr-FR"/>
        </w:rPr>
        <w:t>)</w:t>
      </w:r>
      <w:r w:rsidR="00B1476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2469297D" w14:textId="61DA1044" w:rsidR="000254CA" w:rsidRPr="001D2C12" w:rsidRDefault="00846468" w:rsidP="001D2C12">
      <w:pPr>
        <w:tabs>
          <w:tab w:val="left" w:pos="180"/>
        </w:tabs>
        <w:spacing w:after="120" w:line="240" w:lineRule="auto"/>
        <w:ind w:right="-86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études de cas figurant dans le rapport donnent </w:t>
      </w:r>
      <w:r w:rsidR="000C051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 </w:t>
      </w:r>
      <w:r w:rsidR="00AB421F" w:rsidRPr="001D2C12">
        <w:rPr>
          <w:rFonts w:asciiTheme="majorHAnsi" w:hAnsiTheme="majorHAnsi" w:cstheme="minorHAnsi"/>
          <w:color w:val="000000" w:themeColor="text1"/>
          <w:lang w:val="fr-FR"/>
        </w:rPr>
        <w:t>aperçu</w:t>
      </w:r>
      <w:r w:rsidR="000C051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pratiques innovatrices en matière de santé, d’emploi et d’expériences personnelles et montre</w:t>
      </w:r>
      <w:r w:rsidR="009022AA" w:rsidRPr="001D2C12">
        <w:rPr>
          <w:rFonts w:asciiTheme="majorHAnsi" w:hAnsiTheme="majorHAnsi" w:cstheme="minorHAnsi"/>
          <w:color w:val="000000" w:themeColor="text1"/>
          <w:lang w:val="fr-FR"/>
        </w:rPr>
        <w:t>nt</w:t>
      </w:r>
      <w:r w:rsidR="000C051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la voie à suivre pour garantir l</w:t>
      </w:r>
      <w:r w:rsidR="00AB421F" w:rsidRPr="001D2C12">
        <w:rPr>
          <w:rFonts w:asciiTheme="majorHAnsi" w:hAnsiTheme="majorHAnsi" w:cstheme="minorHAnsi"/>
          <w:color w:val="000000" w:themeColor="text1"/>
          <w:lang w:val="fr-FR"/>
        </w:rPr>
        <w:t>a</w:t>
      </w:r>
      <w:r w:rsidR="00B75DF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participation</w:t>
      </w:r>
      <w:r w:rsidR="00AB421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pleine et effective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AB421F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3C24C535" w14:textId="0612746B" w:rsidR="001F5D7D" w:rsidRPr="001D2C12" w:rsidRDefault="009022AA" w:rsidP="001D2C12">
      <w:pPr>
        <w:pStyle w:val="Heading2"/>
        <w:tabs>
          <w:tab w:val="left" w:pos="180"/>
        </w:tabs>
        <w:ind w:right="-90"/>
        <w:rPr>
          <w:rFonts w:asciiTheme="majorHAnsi" w:hAnsiTheme="majorHAnsi" w:cstheme="minorHAnsi"/>
          <w:b/>
          <w:sz w:val="24"/>
          <w:szCs w:val="24"/>
          <w:lang w:val="fr-FR"/>
        </w:rPr>
      </w:pPr>
      <w:r w:rsidRPr="001D2C12">
        <w:rPr>
          <w:rFonts w:asciiTheme="majorHAnsi" w:hAnsiTheme="majorHAnsi" w:cstheme="minorHAnsi"/>
          <w:b/>
          <w:sz w:val="24"/>
          <w:szCs w:val="24"/>
          <w:lang w:val="fr-FR"/>
        </w:rPr>
        <w:t>Recommandations</w:t>
      </w:r>
    </w:p>
    <w:p w14:paraId="00EC28A7" w14:textId="4AB4E3FC" w:rsidR="00AB421F" w:rsidRPr="001D2C12" w:rsidRDefault="00AB421F" w:rsidP="00C252C8">
      <w:pPr>
        <w:pStyle w:val="Pa4"/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</w:t>
      </w:r>
      <w:r w:rsidR="00B75DFC" w:rsidRPr="001D2C12">
        <w:rPr>
          <w:rFonts w:asciiTheme="majorHAnsi" w:hAnsiTheme="majorHAnsi" w:cstheme="minorHAnsi"/>
          <w:color w:val="000000" w:themeColor="text1"/>
          <w:lang w:val="fr-FR"/>
        </w:rPr>
        <w:t>données probantes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>de c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e rapport </w:t>
      </w:r>
      <w:r w:rsidR="004373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viennent confirmer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>le fait que</w:t>
      </w:r>
      <w:r w:rsidR="004373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4373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sont laissées </w:t>
      </w:r>
      <w:r w:rsidR="00AA12E7" w:rsidRPr="001D2C12">
        <w:rPr>
          <w:rFonts w:asciiTheme="majorHAnsi" w:hAnsiTheme="majorHAnsi" w:cstheme="minorHAnsi"/>
          <w:color w:val="000000" w:themeColor="text1"/>
          <w:lang w:val="fr-FR"/>
        </w:rPr>
        <w:t>de côté</w:t>
      </w:r>
      <w:r w:rsidR="004373D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456906" w:rsidRPr="001D2C12">
        <w:rPr>
          <w:rFonts w:asciiTheme="majorHAnsi" w:hAnsiTheme="majorHAnsi" w:cstheme="minorHAnsi"/>
          <w:color w:val="000000" w:themeColor="text1"/>
          <w:lang w:val="fr-FR"/>
        </w:rPr>
        <w:t>s’agissant</w:t>
      </w:r>
      <w:r w:rsidR="006A3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45690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l’inclusion du handicap et des </w:t>
      </w:r>
      <w:r w:rsidR="006A3DA2" w:rsidRPr="001D2C12">
        <w:rPr>
          <w:rFonts w:asciiTheme="majorHAnsi" w:hAnsiTheme="majorHAnsi" w:cstheme="minorHAnsi"/>
          <w:color w:val="000000" w:themeColor="text1"/>
          <w:lang w:val="fr-FR"/>
        </w:rPr>
        <w:t>efforts de développement</w:t>
      </w:r>
      <w:r w:rsidR="00A17EB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  <w:r w:rsidR="00A17EB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En plus des demandes communes avancées par le mouvement </w:t>
      </w:r>
      <w:r w:rsidR="00AA12E7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des personnes handicapées</w:t>
      </w:r>
      <w:r w:rsidR="00A17EB3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concernant l’accessibilité, la non-discrimination, la participation et </w:t>
      </w:r>
      <w:r w:rsidR="00B75DFC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l’inclusion</w:t>
      </w:r>
      <w:r w:rsidR="00A17EB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les membres </w:t>
      </w:r>
      <w:r w:rsidR="0083160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</w:t>
      </w:r>
      <w:r w:rsidR="000F23DA">
        <w:rPr>
          <w:rFonts w:asciiTheme="majorHAnsi" w:hAnsiTheme="majorHAnsi" w:cstheme="minorHAnsi"/>
          <w:color w:val="000000" w:themeColor="text1"/>
          <w:lang w:val="fr-FR"/>
        </w:rPr>
        <w:t xml:space="preserve">WFDB </w:t>
      </w:r>
      <w:r w:rsidR="00CD6D64" w:rsidRPr="001D2C12">
        <w:rPr>
          <w:rFonts w:asciiTheme="majorHAnsi" w:hAnsiTheme="majorHAnsi" w:cstheme="minorHAnsi"/>
          <w:color w:val="000000" w:themeColor="text1"/>
          <w:lang w:val="fr-FR"/>
        </w:rPr>
        <w:t>ont identifié</w:t>
      </w:r>
      <w:r w:rsidR="00C344B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les recommandations suivantes </w:t>
      </w:r>
      <w:r w:rsidR="001C2619" w:rsidRPr="001D2C12">
        <w:rPr>
          <w:rFonts w:asciiTheme="majorHAnsi" w:hAnsiTheme="majorHAnsi" w:cstheme="minorHAnsi"/>
          <w:color w:val="000000" w:themeColor="text1"/>
          <w:lang w:val="fr-FR"/>
        </w:rPr>
        <w:t>afin de garantir</w:t>
      </w:r>
      <w:r w:rsidR="00C344B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que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C344B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soient </w:t>
      </w:r>
      <w:r w:rsidR="009357AF" w:rsidRPr="001D2C12">
        <w:rPr>
          <w:rFonts w:asciiTheme="majorHAnsi" w:hAnsiTheme="majorHAnsi" w:cstheme="minorHAnsi"/>
          <w:color w:val="000000" w:themeColor="text1"/>
          <w:lang w:val="fr-FR"/>
        </w:rPr>
        <w:t>en mesure</w:t>
      </w:r>
      <w:r w:rsidR="00C344B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contribuer aux </w:t>
      </w:r>
      <w:r w:rsidR="00B75DF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efforts </w:t>
      </w:r>
      <w:r w:rsidR="009357A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actuels et futurs </w:t>
      </w:r>
      <w:r w:rsidR="009C39B2" w:rsidRPr="001D2C12">
        <w:rPr>
          <w:rFonts w:asciiTheme="majorHAnsi" w:hAnsiTheme="majorHAnsi" w:cstheme="minorHAnsi"/>
          <w:color w:val="000000" w:themeColor="text1"/>
          <w:lang w:val="fr-FR"/>
        </w:rPr>
        <w:t>visant</w:t>
      </w:r>
      <w:r w:rsidR="005D7C0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5522B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à </w:t>
      </w:r>
      <w:r w:rsidR="005D7C0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réaliser les </w:t>
      </w:r>
      <w:proofErr w:type="spellStart"/>
      <w:r w:rsidR="005D7C00" w:rsidRPr="001D2C12">
        <w:rPr>
          <w:rFonts w:asciiTheme="majorHAnsi" w:hAnsiTheme="majorHAnsi" w:cstheme="minorHAnsi"/>
          <w:color w:val="000000" w:themeColor="text1"/>
          <w:lang w:val="fr-FR"/>
        </w:rPr>
        <w:t>ODDs</w:t>
      </w:r>
      <w:proofErr w:type="spellEnd"/>
      <w:r w:rsidR="005D7C0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mettre en œuvre l</w:t>
      </w:r>
      <w:r w:rsidR="00E957C6" w:rsidRPr="001D2C12">
        <w:rPr>
          <w:rFonts w:asciiTheme="majorHAnsi" w:hAnsiTheme="majorHAnsi" w:cstheme="minorHAnsi"/>
          <w:color w:val="000000" w:themeColor="text1"/>
          <w:lang w:val="fr-FR"/>
        </w:rPr>
        <w:t>a</w:t>
      </w:r>
      <w:r w:rsidR="005D7C0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CDPH</w:t>
      </w:r>
      <w:r w:rsidR="005522B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et d’en tirer profit. </w:t>
      </w:r>
      <w:r w:rsidR="005D7C00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</w:p>
    <w:p w14:paraId="5DC59C48" w14:textId="13B187CD" w:rsidR="001F5D7D" w:rsidRPr="001D2C12" w:rsidRDefault="005522B2" w:rsidP="001D2C12">
      <w:pPr>
        <w:pStyle w:val="Default"/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  <w:lang w:val="fr-FR"/>
        </w:rPr>
      </w:pPr>
      <w:r w:rsidRPr="001D2C12">
        <w:rPr>
          <w:rFonts w:asciiTheme="majorHAnsi" w:hAnsiTheme="majorHAnsi" w:cstheme="minorHAnsi"/>
          <w:iCs/>
          <w:color w:val="000000" w:themeColor="text1"/>
          <w:u w:val="single"/>
          <w:lang w:val="fr-FR"/>
        </w:rPr>
        <w:t>C</w:t>
      </w:r>
      <w:r w:rsidR="001F5D7D" w:rsidRPr="001D2C12">
        <w:rPr>
          <w:rFonts w:asciiTheme="majorHAnsi" w:hAnsiTheme="majorHAnsi" w:cstheme="minorHAnsi"/>
          <w:iCs/>
          <w:color w:val="000000" w:themeColor="text1"/>
          <w:u w:val="single"/>
          <w:lang w:val="fr-FR"/>
        </w:rPr>
        <w:t>onditions</w:t>
      </w:r>
      <w:r w:rsidR="00B04806" w:rsidRPr="001D2C12">
        <w:rPr>
          <w:rFonts w:asciiTheme="majorHAnsi" w:hAnsiTheme="majorHAnsi" w:cstheme="minorHAnsi"/>
          <w:iCs/>
          <w:color w:val="000000" w:themeColor="text1"/>
          <w:u w:val="single"/>
          <w:lang w:val="fr-FR"/>
        </w:rPr>
        <w:t xml:space="preserve"> </w:t>
      </w:r>
      <w:r w:rsidRPr="001D2C12">
        <w:rPr>
          <w:rFonts w:asciiTheme="majorHAnsi" w:hAnsiTheme="majorHAnsi" w:cstheme="minorHAnsi"/>
          <w:iCs/>
          <w:color w:val="000000" w:themeColor="text1"/>
          <w:u w:val="single"/>
          <w:lang w:val="fr-FR"/>
        </w:rPr>
        <w:t xml:space="preserve">préalables à </w:t>
      </w:r>
      <w:r w:rsidR="00965F08" w:rsidRPr="001D2C12">
        <w:rPr>
          <w:rFonts w:asciiTheme="majorHAnsi" w:hAnsiTheme="majorHAnsi" w:cstheme="minorHAnsi"/>
          <w:iCs/>
          <w:color w:val="000000" w:themeColor="text1"/>
          <w:u w:val="single"/>
          <w:lang w:val="fr-FR"/>
        </w:rPr>
        <w:t>l’inclusion</w:t>
      </w:r>
    </w:p>
    <w:p w14:paraId="3394BBCE" w14:textId="377E8F42" w:rsidR="00965F08" w:rsidRPr="001D2C12" w:rsidRDefault="00F261A6" w:rsidP="001D2C12">
      <w:pPr>
        <w:pStyle w:val="Pa4"/>
        <w:numPr>
          <w:ilvl w:val="0"/>
          <w:numId w:val="3"/>
        </w:num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Assurer une reconnaissance</w:t>
      </w:r>
      <w:r w:rsidR="00965F0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nationale et mondiale de la surdicécité en tant que handicap distinct dans les lois et en pratique</w:t>
      </w:r>
      <w:r w:rsidR="003223A0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5373BDE0" w14:textId="142CD58C" w:rsidR="003223A0" w:rsidRPr="001D2C12" w:rsidRDefault="00F261A6" w:rsidP="001D2C12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>D</w:t>
      </w:r>
      <w:r w:rsidR="003223A0" w:rsidRPr="001D2C12">
        <w:rPr>
          <w:rFonts w:asciiTheme="majorHAnsi" w:hAnsiTheme="majorHAnsi" w:cstheme="minorHAnsi"/>
          <w:lang w:val="fr-FR"/>
        </w:rPr>
        <w:t>éveloppe</w:t>
      </w:r>
      <w:r w:rsidRPr="001D2C12">
        <w:rPr>
          <w:rFonts w:asciiTheme="majorHAnsi" w:hAnsiTheme="majorHAnsi" w:cstheme="minorHAnsi"/>
          <w:lang w:val="fr-FR"/>
        </w:rPr>
        <w:t>r</w:t>
      </w:r>
      <w:r w:rsidR="003223A0" w:rsidRPr="001D2C12">
        <w:rPr>
          <w:rFonts w:asciiTheme="majorHAnsi" w:hAnsiTheme="majorHAnsi" w:cstheme="minorHAnsi"/>
          <w:lang w:val="fr-FR"/>
        </w:rPr>
        <w:t xml:space="preserve">, en consultation avec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3223A0" w:rsidRPr="001D2C12">
        <w:rPr>
          <w:rFonts w:asciiTheme="majorHAnsi" w:hAnsiTheme="majorHAnsi" w:cstheme="minorHAnsi"/>
          <w:lang w:val="fr-FR"/>
        </w:rPr>
        <w:t xml:space="preserve"> et leurs organisations</w:t>
      </w:r>
      <w:r w:rsidR="001E7438" w:rsidRPr="001D2C12">
        <w:rPr>
          <w:rFonts w:asciiTheme="majorHAnsi" w:hAnsiTheme="majorHAnsi" w:cstheme="minorHAnsi"/>
          <w:lang w:val="fr-FR"/>
        </w:rPr>
        <w:t>,</w:t>
      </w:r>
      <w:r w:rsidR="003223A0" w:rsidRPr="001D2C12">
        <w:rPr>
          <w:rFonts w:asciiTheme="majorHAnsi" w:hAnsiTheme="majorHAnsi" w:cstheme="minorHAnsi"/>
          <w:lang w:val="fr-FR"/>
        </w:rPr>
        <w:t xml:space="preserve"> </w:t>
      </w:r>
      <w:r w:rsidR="00B75DFC" w:rsidRPr="001D2C12">
        <w:rPr>
          <w:rFonts w:asciiTheme="majorHAnsi" w:hAnsiTheme="majorHAnsi" w:cstheme="minorHAnsi"/>
          <w:lang w:val="fr-FR"/>
        </w:rPr>
        <w:t>l</w:t>
      </w:r>
      <w:r w:rsidR="000055D7" w:rsidRPr="001D2C12">
        <w:rPr>
          <w:rFonts w:asciiTheme="majorHAnsi" w:hAnsiTheme="majorHAnsi" w:cstheme="minorHAnsi"/>
          <w:lang w:val="fr-FR"/>
        </w:rPr>
        <w:t xml:space="preserve">es services requis </w:t>
      </w:r>
      <w:r w:rsidR="0007637E">
        <w:rPr>
          <w:rFonts w:asciiTheme="majorHAnsi" w:hAnsiTheme="majorHAnsi" w:cstheme="minorHAnsi"/>
          <w:lang w:val="fr-FR"/>
        </w:rPr>
        <w:t>de soutien</w:t>
      </w:r>
      <w:r w:rsidR="000055D7" w:rsidRPr="001D2C12">
        <w:rPr>
          <w:rFonts w:asciiTheme="majorHAnsi" w:hAnsiTheme="majorHAnsi" w:cstheme="minorHAnsi"/>
          <w:lang w:val="fr-FR"/>
        </w:rPr>
        <w:t xml:space="preserve"> et d’interprétation, </w:t>
      </w:r>
      <w:r w:rsidR="00B55009" w:rsidRPr="001D2C12">
        <w:rPr>
          <w:rFonts w:asciiTheme="majorHAnsi" w:hAnsiTheme="majorHAnsi" w:cstheme="minorHAnsi"/>
          <w:lang w:val="fr-FR"/>
        </w:rPr>
        <w:t>notamment</w:t>
      </w:r>
      <w:r w:rsidR="000055D7" w:rsidRPr="001D2C12">
        <w:rPr>
          <w:rFonts w:asciiTheme="majorHAnsi" w:hAnsiTheme="majorHAnsi" w:cstheme="minorHAnsi"/>
          <w:lang w:val="fr-FR"/>
        </w:rPr>
        <w:t xml:space="preserve"> les </w:t>
      </w:r>
      <w:r w:rsidR="00E0452D" w:rsidRPr="001D2C12">
        <w:rPr>
          <w:rFonts w:asciiTheme="majorHAnsi" w:hAnsiTheme="majorHAnsi" w:cstheme="minorHAnsi"/>
          <w:lang w:val="fr-FR"/>
        </w:rPr>
        <w:t>serv</w:t>
      </w:r>
      <w:r w:rsidR="00B75DFC" w:rsidRPr="001D2C12">
        <w:rPr>
          <w:rFonts w:asciiTheme="majorHAnsi" w:hAnsiTheme="majorHAnsi" w:cstheme="minorHAnsi"/>
          <w:lang w:val="fr-FR"/>
        </w:rPr>
        <w:t>i</w:t>
      </w:r>
      <w:r w:rsidR="00E0452D" w:rsidRPr="001D2C12">
        <w:rPr>
          <w:rFonts w:asciiTheme="majorHAnsi" w:hAnsiTheme="majorHAnsi" w:cstheme="minorHAnsi"/>
          <w:lang w:val="fr-FR"/>
        </w:rPr>
        <w:t xml:space="preserve">ces des </w:t>
      </w:r>
      <w:r w:rsidR="000055D7" w:rsidRPr="001D2C12">
        <w:rPr>
          <w:rFonts w:asciiTheme="majorHAnsi" w:hAnsiTheme="majorHAnsi" w:cstheme="minorHAnsi"/>
          <w:lang w:val="fr-FR"/>
        </w:rPr>
        <w:t>guides-</w:t>
      </w:r>
      <w:r w:rsidR="00E4405F" w:rsidRPr="001D2C12">
        <w:rPr>
          <w:rFonts w:asciiTheme="majorHAnsi" w:hAnsiTheme="majorHAnsi" w:cstheme="minorHAnsi"/>
          <w:lang w:val="fr-FR"/>
        </w:rPr>
        <w:t>interprètes</w:t>
      </w:r>
      <w:r w:rsidR="000055D7" w:rsidRPr="001D2C12">
        <w:rPr>
          <w:rFonts w:asciiTheme="majorHAnsi" w:hAnsiTheme="majorHAnsi" w:cstheme="minorHAnsi"/>
          <w:lang w:val="fr-FR"/>
        </w:rPr>
        <w:t xml:space="preserve">, et </w:t>
      </w:r>
      <w:r w:rsidR="007640A3" w:rsidRPr="001D2C12">
        <w:rPr>
          <w:rFonts w:asciiTheme="majorHAnsi" w:hAnsiTheme="majorHAnsi" w:cstheme="minorHAnsi"/>
          <w:lang w:val="fr-FR"/>
        </w:rPr>
        <w:t>des financements</w:t>
      </w:r>
      <w:r w:rsidR="000055D7" w:rsidRPr="001D2C12">
        <w:rPr>
          <w:rFonts w:asciiTheme="majorHAnsi" w:hAnsiTheme="majorHAnsi" w:cstheme="minorHAnsi"/>
          <w:lang w:val="fr-FR"/>
        </w:rPr>
        <w:t xml:space="preserve"> publics </w:t>
      </w:r>
      <w:r w:rsidR="00E4405F" w:rsidRPr="001D2C12">
        <w:rPr>
          <w:rFonts w:asciiTheme="majorHAnsi" w:hAnsiTheme="majorHAnsi" w:cstheme="minorHAnsi"/>
          <w:lang w:val="fr-FR"/>
        </w:rPr>
        <w:t>adéquats</w:t>
      </w:r>
      <w:r w:rsidR="000055D7" w:rsidRPr="001D2C12">
        <w:rPr>
          <w:rFonts w:asciiTheme="majorHAnsi" w:hAnsiTheme="majorHAnsi" w:cstheme="minorHAnsi"/>
          <w:lang w:val="fr-FR"/>
        </w:rPr>
        <w:t xml:space="preserve"> pour</w:t>
      </w:r>
      <w:r w:rsidR="00D34E95" w:rsidRPr="001D2C12">
        <w:rPr>
          <w:rFonts w:asciiTheme="majorHAnsi" w:hAnsiTheme="majorHAnsi" w:cstheme="minorHAnsi"/>
          <w:lang w:val="fr-FR"/>
        </w:rPr>
        <w:t xml:space="preserve"> assurer un soutien </w:t>
      </w:r>
      <w:r w:rsidR="00E4405F" w:rsidRPr="001D2C12">
        <w:rPr>
          <w:rFonts w:asciiTheme="majorHAnsi" w:hAnsiTheme="majorHAnsi" w:cstheme="minorHAnsi"/>
          <w:lang w:val="fr-FR"/>
        </w:rPr>
        <w:t>dans les domaines de l’éducation, de l’emploi et de la vie communautaire</w:t>
      </w:r>
      <w:r w:rsidR="00B55009" w:rsidRPr="001D2C12">
        <w:rPr>
          <w:rFonts w:asciiTheme="majorHAnsi" w:hAnsiTheme="majorHAnsi" w:cstheme="minorHAnsi"/>
          <w:lang w:val="fr-FR"/>
        </w:rPr>
        <w:t xml:space="preserve">. </w:t>
      </w:r>
    </w:p>
    <w:p w14:paraId="45E9C20D" w14:textId="1709054C" w:rsidR="00D34E95" w:rsidRPr="00F032BC" w:rsidRDefault="00453F45" w:rsidP="001D2C12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HAnsi"/>
          <w:lang w:val="fr-CH"/>
        </w:rPr>
      </w:pPr>
      <w:r w:rsidRPr="001D2C12">
        <w:rPr>
          <w:rFonts w:asciiTheme="majorHAnsi" w:hAnsiTheme="majorHAnsi" w:cstheme="minorHAnsi"/>
          <w:lang w:val="fr-FR"/>
        </w:rPr>
        <w:t xml:space="preserve">Veiller à ce que les organisations des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lang w:val="fr-FR"/>
        </w:rPr>
        <w:t xml:space="preserve"> soient considérées comme un groupe distinct d</w:t>
      </w:r>
      <w:r w:rsidR="00D34E95" w:rsidRPr="001D2C12">
        <w:rPr>
          <w:rFonts w:asciiTheme="majorHAnsi" w:hAnsiTheme="majorHAnsi" w:cstheme="minorHAnsi"/>
          <w:lang w:val="fr-FR"/>
        </w:rPr>
        <w:t xml:space="preserve">e personnes </w:t>
      </w:r>
      <w:r w:rsidRPr="001D2C12">
        <w:rPr>
          <w:rFonts w:asciiTheme="majorHAnsi" w:hAnsiTheme="majorHAnsi" w:cstheme="minorHAnsi"/>
          <w:lang w:val="fr-FR"/>
        </w:rPr>
        <w:t>handicap</w:t>
      </w:r>
      <w:r w:rsidR="00D34E95" w:rsidRPr="001D2C12">
        <w:rPr>
          <w:rFonts w:asciiTheme="majorHAnsi" w:hAnsiTheme="majorHAnsi" w:cstheme="minorHAnsi"/>
          <w:lang w:val="fr-FR"/>
        </w:rPr>
        <w:t>ées</w:t>
      </w:r>
      <w:r w:rsidRPr="001D2C12">
        <w:rPr>
          <w:rFonts w:asciiTheme="majorHAnsi" w:hAnsiTheme="majorHAnsi" w:cstheme="minorHAnsi"/>
          <w:lang w:val="fr-FR"/>
        </w:rPr>
        <w:t xml:space="preserve"> et s</w:t>
      </w:r>
      <w:r w:rsidR="00A558B3" w:rsidRPr="001D2C12">
        <w:rPr>
          <w:rFonts w:asciiTheme="majorHAnsi" w:hAnsiTheme="majorHAnsi" w:cstheme="minorHAnsi"/>
          <w:lang w:val="fr-FR"/>
        </w:rPr>
        <w:t>oient</w:t>
      </w:r>
      <w:r w:rsidRPr="001D2C12">
        <w:rPr>
          <w:rFonts w:asciiTheme="majorHAnsi" w:hAnsiTheme="majorHAnsi" w:cstheme="minorHAnsi"/>
          <w:lang w:val="fr-FR"/>
        </w:rPr>
        <w:t xml:space="preserve"> </w:t>
      </w:r>
      <w:r w:rsidR="00A558B3" w:rsidRPr="001D2C12">
        <w:rPr>
          <w:rFonts w:asciiTheme="majorHAnsi" w:hAnsiTheme="majorHAnsi" w:cstheme="minorHAnsi"/>
          <w:lang w:val="fr-FR"/>
        </w:rPr>
        <w:t>associées</w:t>
      </w:r>
      <w:r w:rsidR="00F261A6" w:rsidRPr="001D2C12">
        <w:rPr>
          <w:rFonts w:asciiTheme="majorHAnsi" w:hAnsiTheme="majorHAnsi" w:cstheme="minorHAnsi"/>
          <w:lang w:val="fr-FR"/>
        </w:rPr>
        <w:t xml:space="preserve">, en tant que tel, </w:t>
      </w:r>
      <w:r w:rsidR="00A558B3" w:rsidRPr="001D2C12">
        <w:rPr>
          <w:rFonts w:asciiTheme="majorHAnsi" w:hAnsiTheme="majorHAnsi" w:cstheme="minorHAnsi"/>
          <w:lang w:val="fr-FR"/>
        </w:rPr>
        <w:t>à</w:t>
      </w:r>
      <w:r w:rsidR="00F261A6" w:rsidRPr="001D2C12">
        <w:rPr>
          <w:rFonts w:asciiTheme="majorHAnsi" w:hAnsiTheme="majorHAnsi" w:cstheme="minorHAnsi"/>
          <w:lang w:val="fr-FR"/>
        </w:rPr>
        <w:t xml:space="preserve"> toutes les consultations menées auprès des personnes handicapées. </w:t>
      </w:r>
    </w:p>
    <w:p w14:paraId="21B5271D" w14:textId="0292A80D" w:rsidR="00A558B3" w:rsidRPr="001D2C12" w:rsidRDefault="00A558B3" w:rsidP="001D2C12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 xml:space="preserve">Impliquer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lang w:val="fr-FR"/>
        </w:rPr>
        <w:t xml:space="preserve"> et leurs organisations dans les </w:t>
      </w:r>
      <w:r w:rsidR="00E6762C" w:rsidRPr="001D2C12">
        <w:rPr>
          <w:rFonts w:asciiTheme="majorHAnsi" w:hAnsiTheme="majorHAnsi" w:cstheme="minorHAnsi"/>
          <w:lang w:val="fr-FR"/>
        </w:rPr>
        <w:t>programmes de sensibilisation et ceux liés à l’inclusion</w:t>
      </w:r>
      <w:r w:rsidR="00B25B81" w:rsidRPr="001D2C12">
        <w:rPr>
          <w:rFonts w:asciiTheme="majorHAnsi" w:hAnsiTheme="majorHAnsi" w:cstheme="minorHAnsi"/>
          <w:lang w:val="fr-FR"/>
        </w:rPr>
        <w:t xml:space="preserve">, en les considérant </w:t>
      </w:r>
      <w:r w:rsidR="000B07D2" w:rsidRPr="001D2C12">
        <w:rPr>
          <w:rFonts w:asciiTheme="majorHAnsi" w:hAnsiTheme="majorHAnsi" w:cstheme="minorHAnsi"/>
          <w:lang w:val="fr-FR"/>
        </w:rPr>
        <w:t xml:space="preserve">comme </w:t>
      </w:r>
      <w:r w:rsidR="00AE08C3" w:rsidRPr="001D2C12">
        <w:rPr>
          <w:rFonts w:asciiTheme="majorHAnsi" w:hAnsiTheme="majorHAnsi" w:cstheme="minorHAnsi"/>
          <w:lang w:val="fr-FR"/>
        </w:rPr>
        <w:t xml:space="preserve">étant </w:t>
      </w:r>
      <w:r w:rsidR="00B25B81" w:rsidRPr="001D2C12">
        <w:rPr>
          <w:rFonts w:asciiTheme="majorHAnsi" w:hAnsiTheme="majorHAnsi" w:cstheme="minorHAnsi"/>
          <w:lang w:val="fr-FR"/>
        </w:rPr>
        <w:t>de</w:t>
      </w:r>
      <w:r w:rsidR="00063B64" w:rsidRPr="001D2C12">
        <w:rPr>
          <w:rFonts w:asciiTheme="majorHAnsi" w:hAnsiTheme="majorHAnsi" w:cstheme="minorHAnsi"/>
          <w:lang w:val="fr-FR"/>
        </w:rPr>
        <w:t>s</w:t>
      </w:r>
      <w:r w:rsidR="00B25B81" w:rsidRPr="001D2C12">
        <w:rPr>
          <w:rFonts w:asciiTheme="majorHAnsi" w:hAnsiTheme="majorHAnsi" w:cstheme="minorHAnsi"/>
          <w:lang w:val="fr-FR"/>
        </w:rPr>
        <w:t xml:space="preserve"> modèles de référence</w:t>
      </w:r>
      <w:r w:rsidR="000B07D2" w:rsidRPr="001D2C12">
        <w:rPr>
          <w:rFonts w:asciiTheme="majorHAnsi" w:hAnsiTheme="majorHAnsi" w:cstheme="minorHAnsi"/>
          <w:lang w:val="fr-FR"/>
        </w:rPr>
        <w:t xml:space="preserve"> et</w:t>
      </w:r>
      <w:r w:rsidR="00B25B81" w:rsidRPr="001D2C12">
        <w:rPr>
          <w:rFonts w:asciiTheme="majorHAnsi" w:hAnsiTheme="majorHAnsi" w:cstheme="minorHAnsi"/>
          <w:lang w:val="fr-FR"/>
        </w:rPr>
        <w:t xml:space="preserve"> </w:t>
      </w:r>
      <w:r w:rsidR="008A454E" w:rsidRPr="001D2C12">
        <w:rPr>
          <w:rFonts w:asciiTheme="majorHAnsi" w:hAnsiTheme="majorHAnsi" w:cstheme="minorHAnsi"/>
          <w:lang w:val="fr-FR"/>
        </w:rPr>
        <w:t>de</w:t>
      </w:r>
      <w:r w:rsidR="000B07D2" w:rsidRPr="001D2C12">
        <w:rPr>
          <w:rFonts w:asciiTheme="majorHAnsi" w:hAnsiTheme="majorHAnsi" w:cstheme="minorHAnsi"/>
          <w:lang w:val="fr-FR"/>
        </w:rPr>
        <w:t>s</w:t>
      </w:r>
      <w:r w:rsidR="008A454E" w:rsidRPr="001D2C12">
        <w:rPr>
          <w:rFonts w:asciiTheme="majorHAnsi" w:hAnsiTheme="majorHAnsi" w:cstheme="minorHAnsi"/>
          <w:lang w:val="fr-FR"/>
        </w:rPr>
        <w:t xml:space="preserve"> mentors</w:t>
      </w:r>
      <w:r w:rsidR="00F227B8" w:rsidRPr="001D2C12">
        <w:rPr>
          <w:rFonts w:asciiTheme="majorHAnsi" w:hAnsiTheme="majorHAnsi" w:cstheme="minorHAnsi"/>
          <w:lang w:val="fr-FR"/>
        </w:rPr>
        <w:t>,</w:t>
      </w:r>
      <w:r w:rsidR="008A454E" w:rsidRPr="001D2C12">
        <w:rPr>
          <w:rFonts w:asciiTheme="majorHAnsi" w:hAnsiTheme="majorHAnsi" w:cstheme="minorHAnsi"/>
          <w:lang w:val="fr-FR"/>
        </w:rPr>
        <w:t xml:space="preserve"> </w:t>
      </w:r>
      <w:r w:rsidR="00063B64" w:rsidRPr="001D2C12">
        <w:rPr>
          <w:rFonts w:asciiTheme="majorHAnsi" w:hAnsiTheme="majorHAnsi" w:cstheme="minorHAnsi"/>
          <w:lang w:val="fr-FR"/>
        </w:rPr>
        <w:t xml:space="preserve">et </w:t>
      </w:r>
      <w:r w:rsidR="00AE08C3" w:rsidRPr="001D2C12">
        <w:rPr>
          <w:rFonts w:asciiTheme="majorHAnsi" w:hAnsiTheme="majorHAnsi" w:cstheme="minorHAnsi"/>
          <w:lang w:val="fr-FR"/>
        </w:rPr>
        <w:t xml:space="preserve">comme </w:t>
      </w:r>
      <w:r w:rsidR="000B07D2" w:rsidRPr="001D2C12">
        <w:rPr>
          <w:rFonts w:asciiTheme="majorHAnsi" w:hAnsiTheme="majorHAnsi" w:cstheme="minorHAnsi"/>
          <w:lang w:val="fr-FR"/>
        </w:rPr>
        <w:t xml:space="preserve">servant </w:t>
      </w:r>
      <w:r w:rsidR="0007637E">
        <w:rPr>
          <w:rFonts w:asciiTheme="majorHAnsi" w:hAnsiTheme="majorHAnsi" w:cstheme="minorHAnsi"/>
          <w:lang w:val="fr-FR"/>
        </w:rPr>
        <w:t>de soutien</w:t>
      </w:r>
      <w:r w:rsidR="008A454E" w:rsidRPr="001D2C12">
        <w:rPr>
          <w:rFonts w:asciiTheme="majorHAnsi" w:hAnsiTheme="majorHAnsi" w:cstheme="minorHAnsi"/>
          <w:lang w:val="fr-FR"/>
        </w:rPr>
        <w:t xml:space="preserve"> des pairs. </w:t>
      </w:r>
    </w:p>
    <w:p w14:paraId="719BCDD4" w14:textId="7BF42E9A" w:rsidR="00F227B8" w:rsidRPr="001D2C12" w:rsidRDefault="00AE08C3" w:rsidP="008869F5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 xml:space="preserve">Adopter, en consultation avec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lang w:val="fr-FR"/>
        </w:rPr>
        <w:t xml:space="preserve"> et leurs organisations, une définition </w:t>
      </w:r>
      <w:r w:rsidR="000D6375" w:rsidRPr="001D2C12">
        <w:rPr>
          <w:rFonts w:asciiTheme="majorHAnsi" w:hAnsiTheme="majorHAnsi" w:cstheme="minorHAnsi"/>
          <w:lang w:val="fr-FR"/>
        </w:rPr>
        <w:t xml:space="preserve">et évaluation </w:t>
      </w:r>
      <w:r w:rsidRPr="001D2C12">
        <w:rPr>
          <w:rFonts w:asciiTheme="majorHAnsi" w:hAnsiTheme="majorHAnsi" w:cstheme="minorHAnsi"/>
          <w:lang w:val="fr-FR"/>
        </w:rPr>
        <w:t>cohérente</w:t>
      </w:r>
      <w:r w:rsidR="000D6375" w:rsidRPr="001D2C12">
        <w:rPr>
          <w:rFonts w:asciiTheme="majorHAnsi" w:hAnsiTheme="majorHAnsi" w:cstheme="minorHAnsi"/>
          <w:lang w:val="fr-FR"/>
        </w:rPr>
        <w:t>s de la surd</w:t>
      </w:r>
      <w:r w:rsidR="008869F5">
        <w:rPr>
          <w:rFonts w:asciiTheme="majorHAnsi" w:hAnsiTheme="majorHAnsi" w:cstheme="minorHAnsi"/>
          <w:lang w:val="fr-FR"/>
        </w:rPr>
        <w:t>icécité, et assurer la collecte</w:t>
      </w:r>
      <w:r w:rsidR="000D6375" w:rsidRPr="001D2C12">
        <w:rPr>
          <w:rFonts w:asciiTheme="majorHAnsi" w:hAnsiTheme="majorHAnsi" w:cstheme="minorHAnsi"/>
          <w:lang w:val="fr-FR"/>
        </w:rPr>
        <w:t xml:space="preserve"> des données </w:t>
      </w:r>
      <w:r w:rsidR="008869F5">
        <w:rPr>
          <w:rFonts w:asciiTheme="majorHAnsi" w:hAnsiTheme="majorHAnsi" w:cstheme="minorHAnsi"/>
          <w:lang w:val="fr-FR"/>
        </w:rPr>
        <w:t>en ayant recours aux</w:t>
      </w:r>
      <w:r w:rsidR="008869F5" w:rsidRPr="001D2C12">
        <w:rPr>
          <w:rFonts w:asciiTheme="majorHAnsi" w:hAnsiTheme="majorHAnsi" w:cstheme="minorHAnsi"/>
          <w:lang w:val="fr-FR"/>
        </w:rPr>
        <w:t xml:space="preserve"> questions développée par le Groupe de W</w:t>
      </w:r>
      <w:r w:rsidR="008869F5">
        <w:rPr>
          <w:rFonts w:asciiTheme="majorHAnsi" w:hAnsiTheme="majorHAnsi" w:cstheme="minorHAnsi"/>
          <w:lang w:val="fr-FR"/>
        </w:rPr>
        <w:t xml:space="preserve">ashington ou à d’autres méthodes, </w:t>
      </w:r>
      <w:r w:rsidR="0034270A" w:rsidRPr="001D2C12">
        <w:rPr>
          <w:rFonts w:asciiTheme="majorHAnsi" w:hAnsiTheme="majorHAnsi" w:cstheme="minorHAnsi"/>
          <w:lang w:val="fr-FR"/>
        </w:rPr>
        <w:t xml:space="preserve">en vue d’évaluer et de garantir le suivi des </w:t>
      </w:r>
      <w:r w:rsidR="00A47EDA">
        <w:rPr>
          <w:rFonts w:asciiTheme="majorHAnsi" w:hAnsiTheme="majorHAnsi" w:cstheme="minorHAnsi"/>
          <w:lang w:val="fr-FR"/>
        </w:rPr>
        <w:t xml:space="preserve">personnes ayant une </w:t>
      </w:r>
      <w:proofErr w:type="spellStart"/>
      <w:r w:rsidR="00A47EDA">
        <w:rPr>
          <w:rFonts w:asciiTheme="majorHAnsi" w:hAnsiTheme="majorHAnsi" w:cstheme="minorHAnsi"/>
          <w:lang w:val="fr-FR"/>
        </w:rPr>
        <w:t>surdicécité</w:t>
      </w:r>
      <w:proofErr w:type="spellEnd"/>
      <w:r w:rsidR="008869F5">
        <w:rPr>
          <w:rFonts w:asciiTheme="majorHAnsi" w:hAnsiTheme="majorHAnsi" w:cstheme="minorHAnsi"/>
          <w:lang w:val="fr-FR"/>
        </w:rPr>
        <w:t>.</w:t>
      </w:r>
    </w:p>
    <w:p w14:paraId="58E7911A" w14:textId="3C300D00" w:rsidR="00D34E95" w:rsidRPr="001D2C12" w:rsidRDefault="001C047A" w:rsidP="008869F5">
      <w:pPr>
        <w:pStyle w:val="Default"/>
        <w:numPr>
          <w:ilvl w:val="0"/>
          <w:numId w:val="16"/>
        </w:numPr>
        <w:jc w:val="both"/>
        <w:rPr>
          <w:rFonts w:asciiTheme="majorHAnsi" w:hAnsiTheme="majorHAnsi" w:cstheme="minorHAnsi"/>
          <w:lang w:val="fr-FR"/>
        </w:rPr>
      </w:pPr>
      <w:r w:rsidRPr="001D2C12">
        <w:rPr>
          <w:rFonts w:asciiTheme="majorHAnsi" w:hAnsiTheme="majorHAnsi" w:cstheme="minorHAnsi"/>
          <w:lang w:val="fr-FR"/>
        </w:rPr>
        <w:t xml:space="preserve">Mener des recherches supplémentaires </w:t>
      </w:r>
      <w:r w:rsidR="007A1376" w:rsidRPr="001D2C12">
        <w:rPr>
          <w:rFonts w:asciiTheme="majorHAnsi" w:hAnsiTheme="majorHAnsi" w:cstheme="minorHAnsi"/>
          <w:lang w:val="fr-FR"/>
        </w:rPr>
        <w:t xml:space="preserve">sur les problèmes auxquels font face les </w:t>
      </w:r>
      <w:r w:rsidR="00A47EDA">
        <w:rPr>
          <w:rFonts w:asciiTheme="majorHAnsi" w:hAnsiTheme="majorHAnsi" w:cstheme="minorHAnsi"/>
          <w:lang w:val="fr-FR"/>
        </w:rPr>
        <w:t>personnes ayant une surdicécité</w:t>
      </w:r>
      <w:r w:rsidR="007A1376" w:rsidRPr="001D2C12">
        <w:rPr>
          <w:rFonts w:asciiTheme="majorHAnsi" w:hAnsiTheme="majorHAnsi" w:cstheme="minorHAnsi"/>
          <w:lang w:val="fr-FR"/>
        </w:rPr>
        <w:t xml:space="preserve">, y compris les questions de l’accès </w:t>
      </w:r>
      <w:r w:rsidR="004E177D" w:rsidRPr="001D2C12">
        <w:rPr>
          <w:rFonts w:asciiTheme="majorHAnsi" w:hAnsiTheme="majorHAnsi" w:cstheme="minorHAnsi"/>
          <w:lang w:val="fr-FR"/>
        </w:rPr>
        <w:t xml:space="preserve">aux soins de santé, la participation sociale et le bien-être, </w:t>
      </w:r>
      <w:r w:rsidR="00D34E95" w:rsidRPr="001D2C12">
        <w:rPr>
          <w:rFonts w:asciiTheme="majorHAnsi" w:hAnsiTheme="majorHAnsi" w:cstheme="minorHAnsi"/>
          <w:lang w:val="fr-FR"/>
        </w:rPr>
        <w:t>l’accès à un</w:t>
      </w:r>
      <w:r w:rsidR="004E177D" w:rsidRPr="001D2C12">
        <w:rPr>
          <w:rFonts w:asciiTheme="majorHAnsi" w:hAnsiTheme="majorHAnsi" w:cstheme="minorHAnsi"/>
          <w:lang w:val="fr-FR"/>
        </w:rPr>
        <w:t xml:space="preserve"> travail et </w:t>
      </w:r>
      <w:r w:rsidR="00D34E95" w:rsidRPr="001D2C12">
        <w:rPr>
          <w:rFonts w:asciiTheme="majorHAnsi" w:hAnsiTheme="majorHAnsi" w:cstheme="minorHAnsi"/>
          <w:lang w:val="fr-FR"/>
        </w:rPr>
        <w:t xml:space="preserve">une </w:t>
      </w:r>
      <w:r w:rsidR="004E177D" w:rsidRPr="001D2C12">
        <w:rPr>
          <w:rFonts w:asciiTheme="majorHAnsi" w:hAnsiTheme="majorHAnsi" w:cstheme="minorHAnsi"/>
          <w:lang w:val="fr-FR"/>
        </w:rPr>
        <w:t>éducation</w:t>
      </w:r>
      <w:r w:rsidR="00D34E95" w:rsidRPr="001D2C12">
        <w:rPr>
          <w:rFonts w:asciiTheme="majorHAnsi" w:hAnsiTheme="majorHAnsi" w:cstheme="minorHAnsi"/>
          <w:lang w:val="fr-FR"/>
        </w:rPr>
        <w:t xml:space="preserve"> de qualité</w:t>
      </w:r>
      <w:r w:rsidR="004E177D" w:rsidRPr="001D2C12">
        <w:rPr>
          <w:rFonts w:asciiTheme="majorHAnsi" w:hAnsiTheme="majorHAnsi" w:cstheme="minorHAnsi"/>
          <w:lang w:val="fr-FR"/>
        </w:rPr>
        <w:t xml:space="preserve">, les causes et l’âge de </w:t>
      </w:r>
      <w:r w:rsidR="004E177D" w:rsidRPr="001D2C12">
        <w:rPr>
          <w:rFonts w:asciiTheme="majorHAnsi" w:hAnsiTheme="majorHAnsi" w:cstheme="minorHAnsi"/>
          <w:lang w:val="fr-FR"/>
        </w:rPr>
        <w:lastRenderedPageBreak/>
        <w:t>l’acquisition de la surdicécité</w:t>
      </w:r>
      <w:r w:rsidR="00B47AF8" w:rsidRPr="001D2C12">
        <w:rPr>
          <w:rFonts w:asciiTheme="majorHAnsi" w:hAnsiTheme="majorHAnsi" w:cstheme="minorHAnsi"/>
          <w:lang w:val="fr-FR"/>
        </w:rPr>
        <w:t xml:space="preserve">. Effectuer aussi des évaluations de l’impact des interventions </w:t>
      </w:r>
      <w:r w:rsidR="00BD7474" w:rsidRPr="001D2C12">
        <w:rPr>
          <w:rFonts w:asciiTheme="majorHAnsi" w:hAnsiTheme="majorHAnsi" w:cstheme="minorHAnsi"/>
          <w:lang w:val="fr-FR"/>
        </w:rPr>
        <w:t>conçues</w:t>
      </w:r>
      <w:r w:rsidR="00DF00C2" w:rsidRPr="001D2C12">
        <w:rPr>
          <w:rFonts w:asciiTheme="majorHAnsi" w:hAnsiTheme="majorHAnsi" w:cstheme="minorHAnsi"/>
          <w:lang w:val="fr-FR"/>
        </w:rPr>
        <w:t xml:space="preserve"> </w:t>
      </w:r>
      <w:r w:rsidR="00D34E95" w:rsidRPr="001D2C12">
        <w:rPr>
          <w:rFonts w:asciiTheme="majorHAnsi" w:hAnsiTheme="majorHAnsi" w:cstheme="minorHAnsi"/>
          <w:lang w:val="fr-FR"/>
        </w:rPr>
        <w:t xml:space="preserve">pour améliorer </w:t>
      </w:r>
      <w:r w:rsidR="00B47AF8" w:rsidRPr="001D2C12">
        <w:rPr>
          <w:rFonts w:asciiTheme="majorHAnsi" w:hAnsiTheme="majorHAnsi" w:cstheme="minorHAnsi"/>
          <w:lang w:val="fr-FR"/>
        </w:rPr>
        <w:t xml:space="preserve">l’inclusion. </w:t>
      </w:r>
    </w:p>
    <w:p w14:paraId="61ACC5E0" w14:textId="77777777" w:rsidR="008869F5" w:rsidRDefault="008869F5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  <w:lang w:val="en-US"/>
        </w:rPr>
      </w:pPr>
    </w:p>
    <w:p w14:paraId="0507DBC8" w14:textId="772EA58B" w:rsidR="001F5D7D" w:rsidRPr="001D2C12" w:rsidRDefault="00BD7474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  <w:lang w:val="en-US"/>
        </w:rPr>
      </w:pPr>
      <w:r w:rsidRPr="001D2C12">
        <w:rPr>
          <w:rFonts w:asciiTheme="majorHAnsi" w:hAnsiTheme="majorHAnsi" w:cstheme="minorHAnsi"/>
          <w:iCs/>
          <w:color w:val="000000" w:themeColor="text1"/>
          <w:u w:val="single"/>
          <w:lang w:val="en-US"/>
        </w:rPr>
        <w:t xml:space="preserve">Protection </w:t>
      </w: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  <w:lang w:val="en-US"/>
        </w:rPr>
        <w:t>sociale</w:t>
      </w:r>
      <w:proofErr w:type="spellEnd"/>
      <w:r w:rsidR="001F5D7D" w:rsidRPr="001D2C12">
        <w:rPr>
          <w:rFonts w:asciiTheme="majorHAnsi" w:hAnsiTheme="majorHAnsi" w:cstheme="minorHAnsi"/>
          <w:iCs/>
          <w:color w:val="000000" w:themeColor="text1"/>
          <w:u w:val="single"/>
          <w:lang w:val="en-US"/>
        </w:rPr>
        <w:t xml:space="preserve"> </w:t>
      </w:r>
    </w:p>
    <w:p w14:paraId="47787B73" w14:textId="2291F3B1" w:rsidR="00B77043" w:rsidRPr="001D2C12" w:rsidRDefault="000F23DA" w:rsidP="000F23DA">
      <w:pPr>
        <w:pStyle w:val="ListParagraph"/>
        <w:numPr>
          <w:ilvl w:val="0"/>
          <w:numId w:val="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>
        <w:rPr>
          <w:rFonts w:asciiTheme="majorHAnsi" w:hAnsiTheme="majorHAnsi" w:cstheme="minorHAnsi"/>
          <w:color w:val="000000" w:themeColor="text1"/>
          <w:lang w:val="fr-FR"/>
        </w:rPr>
        <w:t>Les mécanismes d</w:t>
      </w:r>
      <w:r w:rsidR="00D34E95" w:rsidRPr="001D2C12">
        <w:rPr>
          <w:rFonts w:asciiTheme="majorHAnsi" w:hAnsiTheme="majorHAnsi" w:cstheme="minorHAnsi"/>
          <w:color w:val="000000" w:themeColor="text1"/>
          <w:lang w:val="fr-FR"/>
        </w:rPr>
        <w:t>’</w:t>
      </w:r>
      <w:r>
        <w:rPr>
          <w:rFonts w:asciiTheme="majorHAnsi" w:hAnsiTheme="majorHAnsi" w:cstheme="minorHAnsi"/>
          <w:color w:val="000000" w:themeColor="text1"/>
          <w:lang w:val="fr-FR"/>
        </w:rPr>
        <w:t>évaluation du</w:t>
      </w:r>
      <w:r w:rsidR="00FC1C5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handicap et des processus d</w:t>
      </w:r>
      <w:r>
        <w:rPr>
          <w:rFonts w:asciiTheme="majorHAnsi" w:hAnsiTheme="majorHAnsi" w:cstheme="minorHAnsi"/>
          <w:color w:val="000000" w:themeColor="text1"/>
          <w:lang w:val="fr-FR"/>
        </w:rPr>
        <w:t>e détermination de l</w:t>
      </w:r>
      <w:r w:rsidR="00FC1C5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’éligibilité </w:t>
      </w:r>
      <w:r w:rsidR="00B34B3F" w:rsidRPr="001D2C12">
        <w:rPr>
          <w:rFonts w:asciiTheme="majorHAnsi" w:hAnsiTheme="majorHAnsi" w:cstheme="minorHAnsi"/>
          <w:color w:val="000000" w:themeColor="text1"/>
          <w:lang w:val="fr-FR"/>
        </w:rPr>
        <w:t>devraient</w:t>
      </w:r>
      <w:r w:rsidR="00FC1C5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considérer les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FC1C5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comme </w:t>
      </w:r>
      <w:r w:rsidR="00B77043" w:rsidRPr="001D2C12">
        <w:rPr>
          <w:rFonts w:asciiTheme="majorHAnsi" w:hAnsiTheme="majorHAnsi" w:cstheme="minorHAnsi"/>
          <w:color w:val="000000" w:themeColor="text1"/>
          <w:lang w:val="fr-FR"/>
        </w:rPr>
        <w:t>constitu</w:t>
      </w:r>
      <w:r w:rsidR="001933DB" w:rsidRPr="001D2C12">
        <w:rPr>
          <w:rFonts w:asciiTheme="majorHAnsi" w:hAnsiTheme="majorHAnsi" w:cstheme="minorHAnsi"/>
          <w:color w:val="000000" w:themeColor="text1"/>
          <w:lang w:val="fr-FR"/>
        </w:rPr>
        <w:t>an</w:t>
      </w:r>
      <w:r w:rsidR="00B7704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 </w:t>
      </w:r>
      <w:r w:rsidR="00FC1C5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un groupe distinct </w:t>
      </w:r>
      <w:r w:rsidR="00B77043" w:rsidRPr="001D2C12">
        <w:rPr>
          <w:rFonts w:asciiTheme="majorHAnsi" w:hAnsiTheme="majorHAnsi" w:cstheme="minorHAnsi"/>
          <w:color w:val="000000" w:themeColor="text1"/>
          <w:lang w:val="fr-FR"/>
        </w:rPr>
        <w:t>de personnes handicapées</w:t>
      </w:r>
      <w:r w:rsidR="001933DB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7CEF0923" w14:textId="2534A087" w:rsidR="00D34E95" w:rsidRPr="001D2C12" w:rsidRDefault="001933DB" w:rsidP="001D2C12">
      <w:pPr>
        <w:pStyle w:val="ListParagraph"/>
        <w:numPr>
          <w:ilvl w:val="0"/>
          <w:numId w:val="5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régimes </w:t>
      </w:r>
      <w:r w:rsidR="00D34E9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relatifs au </w:t>
      </w:r>
      <w:r w:rsidR="007D6E9D" w:rsidRPr="001D2C12">
        <w:rPr>
          <w:rFonts w:asciiTheme="majorHAnsi" w:hAnsiTheme="majorHAnsi" w:cstheme="minorHAnsi"/>
          <w:color w:val="000000" w:themeColor="text1"/>
          <w:lang w:val="fr-FR"/>
        </w:rPr>
        <w:t>handicap doivent prendre en considération les coûts supplémentaires conséquents associés à la surdi</w:t>
      </w:r>
      <w:r w:rsidR="00531B63" w:rsidRPr="001D2C12">
        <w:rPr>
          <w:rFonts w:asciiTheme="majorHAnsi" w:hAnsiTheme="majorHAnsi" w:cstheme="minorHAnsi"/>
          <w:color w:val="000000" w:themeColor="text1"/>
          <w:lang w:val="fr-FR"/>
        </w:rPr>
        <w:t>cécité, y compris les technologies d’assistance</w:t>
      </w:r>
      <w:r w:rsidR="00B06BD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l’assistance personnelle et les services des guides-interprètes. </w:t>
      </w:r>
    </w:p>
    <w:p w14:paraId="2F41F07E" w14:textId="77777777" w:rsidR="001F5D7D" w:rsidRPr="001D2C12" w:rsidRDefault="001F5D7D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</w:rPr>
      </w:pP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Education</w:t>
      </w:r>
      <w:proofErr w:type="spellEnd"/>
    </w:p>
    <w:p w14:paraId="62DA95FE" w14:textId="4BAD203F" w:rsidR="003C4222" w:rsidRPr="001D2C12" w:rsidRDefault="003C4222" w:rsidP="001D2C12">
      <w:pPr>
        <w:pStyle w:val="ListParagraph"/>
        <w:numPr>
          <w:ilvl w:val="0"/>
          <w:numId w:val="6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Faire en sorte que les besoins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soient pris en consi</w:t>
      </w:r>
      <w:r w:rsidR="00BB4A52" w:rsidRPr="001D2C12">
        <w:rPr>
          <w:rFonts w:asciiTheme="majorHAnsi" w:hAnsiTheme="majorHAnsi" w:cstheme="minorHAnsi"/>
          <w:color w:val="000000" w:themeColor="text1"/>
          <w:lang w:val="fr-FR"/>
        </w:rPr>
        <w:t>d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ération dans les lois</w:t>
      </w:r>
      <w:r w:rsidR="004A32D6" w:rsidRPr="001D2C12">
        <w:rPr>
          <w:rFonts w:asciiTheme="majorHAnsi" w:hAnsiTheme="majorHAnsi" w:cstheme="minorHAnsi"/>
          <w:color w:val="000000" w:themeColor="text1"/>
          <w:lang w:val="fr-FR"/>
        </w:rPr>
        <w:t>, politiques et programmes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régissant l’éducation inclusive</w:t>
      </w:r>
      <w:r w:rsidR="004A32D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et </w:t>
      </w:r>
      <w:r w:rsidR="00BB4A52" w:rsidRPr="001D2C12">
        <w:rPr>
          <w:rFonts w:asciiTheme="majorHAnsi" w:hAnsiTheme="majorHAnsi" w:cstheme="minorHAnsi"/>
          <w:color w:val="000000" w:themeColor="text1"/>
          <w:lang w:val="fr-FR"/>
        </w:rPr>
        <w:t>veiller à ce que</w:t>
      </w:r>
      <w:r w:rsidR="004A32D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efforts soient déployés en vue d’adapter les </w:t>
      </w:r>
      <w:r w:rsidR="00FF54F5" w:rsidRPr="001D2C12">
        <w:rPr>
          <w:rFonts w:asciiTheme="majorHAnsi" w:hAnsiTheme="majorHAnsi" w:cstheme="minorHAnsi"/>
          <w:color w:val="000000" w:themeColor="text1"/>
          <w:lang w:val="fr-FR"/>
        </w:rPr>
        <w:t>programmes d’enseignement</w:t>
      </w:r>
      <w:r w:rsidR="00512E7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former les instituteurs et fournir un appui aux étudiants. </w:t>
      </w:r>
    </w:p>
    <w:p w14:paraId="67EC7D28" w14:textId="6629D074" w:rsidR="00BB4A52" w:rsidRPr="001D2C12" w:rsidRDefault="00BB4A52" w:rsidP="001D2C12">
      <w:pPr>
        <w:pStyle w:val="ListParagraph"/>
        <w:numPr>
          <w:ilvl w:val="0"/>
          <w:numId w:val="6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Garantir la disponibilité des centres </w:t>
      </w:r>
      <w:r w:rsidR="004978FF" w:rsidRPr="001D2C12">
        <w:rPr>
          <w:rFonts w:asciiTheme="majorHAnsi" w:hAnsiTheme="majorHAnsi" w:cstheme="minorHAnsi"/>
          <w:color w:val="000000" w:themeColor="text1"/>
          <w:lang w:val="fr-FR"/>
        </w:rPr>
        <w:t xml:space="preserve">ressources qui fournissent un appui aux écoles </w:t>
      </w:r>
      <w:r w:rsidR="00326A3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ordinaires, et aux </w:t>
      </w:r>
      <w:r w:rsidR="00C252C8">
        <w:rPr>
          <w:rFonts w:asciiTheme="majorHAnsi" w:hAnsiTheme="majorHAnsi" w:cstheme="minorHAnsi"/>
          <w:color w:val="000000" w:themeColor="text1"/>
          <w:lang w:val="fr-FR"/>
        </w:rPr>
        <w:t xml:space="preserve">enfants ayant une </w:t>
      </w:r>
      <w:proofErr w:type="spellStart"/>
      <w:r w:rsidR="00C252C8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="00326A34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à leurs familles.</w:t>
      </w:r>
    </w:p>
    <w:p w14:paraId="0078A5D5" w14:textId="2696327B" w:rsidR="00326A34" w:rsidRPr="001D2C12" w:rsidRDefault="00326A34" w:rsidP="001D2C12">
      <w:pPr>
        <w:pStyle w:val="ListParagraph"/>
        <w:numPr>
          <w:ilvl w:val="0"/>
          <w:numId w:val="6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Assurer la prestation </w:t>
      </w:r>
      <w:r w:rsidR="004C732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adéquate des services des guides-interprètes. </w:t>
      </w:r>
    </w:p>
    <w:p w14:paraId="7D47B17F" w14:textId="679ED9FE" w:rsidR="001F5D7D" w:rsidRPr="001D2C12" w:rsidRDefault="004C7325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</w:rPr>
      </w:pP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Santé</w:t>
      </w:r>
      <w:proofErr w:type="spellEnd"/>
      <w:r w:rsidR="001F5D7D" w:rsidRPr="001D2C12">
        <w:rPr>
          <w:rFonts w:asciiTheme="majorHAnsi" w:hAnsiTheme="majorHAnsi" w:cstheme="minorHAnsi"/>
          <w:iCs/>
          <w:color w:val="000000" w:themeColor="text1"/>
          <w:u w:val="single"/>
        </w:rPr>
        <w:t xml:space="preserve"> </w:t>
      </w:r>
    </w:p>
    <w:p w14:paraId="18CE5872" w14:textId="4BBADC91" w:rsidR="004C7325" w:rsidRPr="001D2C12" w:rsidRDefault="004C7325" w:rsidP="001D2C1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Dispenser une formation </w:t>
      </w:r>
      <w:r w:rsidR="005557EA" w:rsidRPr="001D2C12">
        <w:rPr>
          <w:rFonts w:asciiTheme="majorHAnsi" w:hAnsiTheme="majorHAnsi" w:cstheme="minorHAnsi"/>
          <w:color w:val="000000" w:themeColor="text1"/>
          <w:lang w:val="fr-FR"/>
        </w:rPr>
        <w:t>adéquate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au personnel de soins de santé sur les causes de la surdicécité </w:t>
      </w:r>
      <w:r w:rsidR="005557E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les besoins spécifiques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5557EA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matière de communication.</w:t>
      </w:r>
    </w:p>
    <w:p w14:paraId="652BE31D" w14:textId="1E30CF2E" w:rsidR="005557EA" w:rsidRPr="001D2C12" w:rsidRDefault="005557EA" w:rsidP="001D2C1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Garantir l’accès aux service</w:t>
      </w:r>
      <w:r w:rsidR="00D473E7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 santé </w:t>
      </w:r>
      <w:r w:rsidR="00D473E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sexuelle et procréative, tout en mettant l’accent sur les femmes et filles sourdaveugles. </w:t>
      </w:r>
    </w:p>
    <w:p w14:paraId="5188DEF8" w14:textId="4E859E4E" w:rsidR="00D473E7" w:rsidRPr="001D2C12" w:rsidRDefault="009766DA" w:rsidP="001D2C1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Assurer la </w:t>
      </w:r>
      <w:r w:rsidR="009F78BB" w:rsidRPr="001D2C12">
        <w:rPr>
          <w:rFonts w:asciiTheme="majorHAnsi" w:hAnsiTheme="majorHAnsi" w:cstheme="minorHAnsi"/>
          <w:color w:val="000000" w:themeColor="text1"/>
          <w:lang w:val="fr-FR"/>
        </w:rPr>
        <w:t>fourniture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des services adéquats de </w:t>
      </w:r>
      <w:r w:rsidR="009F78BB" w:rsidRPr="001D2C12">
        <w:rPr>
          <w:rFonts w:asciiTheme="majorHAnsi" w:hAnsiTheme="majorHAnsi" w:cstheme="minorHAnsi"/>
          <w:color w:val="000000" w:themeColor="text1"/>
          <w:lang w:val="fr-FR"/>
        </w:rPr>
        <w:t>dépistage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</w:t>
      </w:r>
      <w:r w:rsidR="00B75DFC" w:rsidRPr="001D2C12">
        <w:rPr>
          <w:rFonts w:asciiTheme="majorHAnsi" w:hAnsiTheme="majorHAnsi" w:cstheme="minorHAnsi"/>
          <w:color w:val="000000" w:themeColor="text1"/>
          <w:lang w:val="fr-FR"/>
        </w:rPr>
        <w:t>d’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intervention précoces, en partenariat avec les </w:t>
      </w:r>
      <w:r w:rsidR="00EB5403" w:rsidRPr="001D2C12">
        <w:rPr>
          <w:rFonts w:asciiTheme="majorHAnsi" w:hAnsiTheme="majorHAnsi" w:cstheme="minorHAnsi"/>
          <w:color w:val="000000" w:themeColor="text1"/>
          <w:lang w:val="fr-FR"/>
        </w:rPr>
        <w:t>prestataires de</w:t>
      </w:r>
      <w:r w:rsidR="00FF54F5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EB5403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services </w:t>
      </w:r>
      <w:r w:rsidR="009F78BB" w:rsidRPr="001D2C12">
        <w:rPr>
          <w:rFonts w:asciiTheme="majorHAnsi" w:hAnsiTheme="majorHAnsi" w:cstheme="minorHAnsi"/>
          <w:color w:val="000000" w:themeColor="text1"/>
          <w:lang w:val="fr-FR"/>
        </w:rPr>
        <w:t>d’éducation</w:t>
      </w:r>
      <w:r w:rsidR="00FB6A6B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5963E6EC" w14:textId="7716FA10" w:rsidR="009F78BB" w:rsidRPr="001D2C12" w:rsidRDefault="00637C70" w:rsidP="001D2C12">
      <w:pPr>
        <w:pStyle w:val="ListParagraph"/>
        <w:numPr>
          <w:ilvl w:val="0"/>
          <w:numId w:val="7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Faire en sorte qu’une fourniture adéquate des services de guides interprètes soit assuré</w:t>
      </w:r>
      <w:r w:rsidR="00B75DFC" w:rsidRPr="001D2C12">
        <w:rPr>
          <w:rFonts w:asciiTheme="majorHAnsi" w:hAnsiTheme="majorHAnsi" w:cstheme="minorHAnsi"/>
          <w:color w:val="000000" w:themeColor="text1"/>
          <w:lang w:val="fr-FR"/>
        </w:rPr>
        <w:t>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4851BC8B" w14:textId="543E8978" w:rsidR="001F5D7D" w:rsidRPr="001D2C12" w:rsidRDefault="00637C70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</w:rPr>
      </w:pP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Travail</w:t>
      </w:r>
      <w:proofErr w:type="spellEnd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 xml:space="preserve"> </w:t>
      </w:r>
      <w:proofErr w:type="gram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et emploi</w:t>
      </w:r>
      <w:proofErr w:type="gramEnd"/>
    </w:p>
    <w:p w14:paraId="2B461345" w14:textId="5AAC82B0" w:rsidR="007939DD" w:rsidRPr="00F032BC" w:rsidRDefault="007939DD" w:rsidP="001D2C12">
      <w:pPr>
        <w:pStyle w:val="ListParagraph"/>
        <w:numPr>
          <w:ilvl w:val="0"/>
          <w:numId w:val="17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CH"/>
        </w:rPr>
      </w:pPr>
      <w:r w:rsidRPr="00F032BC">
        <w:rPr>
          <w:rFonts w:asciiTheme="majorHAnsi" w:hAnsiTheme="majorHAnsi" w:cstheme="minorHAnsi"/>
          <w:color w:val="000000" w:themeColor="text1"/>
          <w:lang w:val="fr-CH"/>
        </w:rPr>
        <w:t xml:space="preserve">Faire en sorte que les </w:t>
      </w:r>
      <w:r w:rsidR="00A47EDA">
        <w:rPr>
          <w:rFonts w:asciiTheme="majorHAnsi" w:hAnsiTheme="majorHAnsi" w:cstheme="minorHAnsi"/>
          <w:color w:val="000000" w:themeColor="text1"/>
          <w:lang w:val="fr-CH"/>
        </w:rPr>
        <w:t>personnes ayant une surdicécité</w:t>
      </w:r>
      <w:r w:rsidRPr="00F032BC">
        <w:rPr>
          <w:rFonts w:asciiTheme="majorHAnsi" w:hAnsiTheme="majorHAnsi" w:cstheme="minorHAnsi"/>
          <w:color w:val="000000" w:themeColor="text1"/>
          <w:lang w:val="fr-CH"/>
        </w:rPr>
        <w:t xml:space="preserve"> soient </w:t>
      </w:r>
      <w:r w:rsidR="00712E94" w:rsidRPr="00F032BC">
        <w:rPr>
          <w:rFonts w:asciiTheme="majorHAnsi" w:hAnsiTheme="majorHAnsi" w:cstheme="minorHAnsi"/>
          <w:color w:val="000000" w:themeColor="text1"/>
          <w:lang w:val="fr-CH"/>
        </w:rPr>
        <w:t xml:space="preserve">incluses </w:t>
      </w:r>
      <w:r w:rsidR="00061185" w:rsidRPr="00F032BC">
        <w:rPr>
          <w:rFonts w:asciiTheme="majorHAnsi" w:hAnsiTheme="majorHAnsi" w:cstheme="minorHAnsi"/>
          <w:color w:val="000000" w:themeColor="text1"/>
          <w:lang w:val="fr-CH"/>
        </w:rPr>
        <w:t xml:space="preserve">de manière adéquate </w:t>
      </w:r>
      <w:r w:rsidR="00712E94" w:rsidRPr="00F032BC">
        <w:rPr>
          <w:rFonts w:asciiTheme="majorHAnsi" w:hAnsiTheme="majorHAnsi" w:cstheme="minorHAnsi"/>
          <w:color w:val="000000" w:themeColor="text1"/>
          <w:lang w:val="fr-CH"/>
        </w:rPr>
        <w:t>dans les lois, politiques et programmes relatifs à l’emploi.</w:t>
      </w:r>
    </w:p>
    <w:p w14:paraId="37CF1261" w14:textId="446DFEC6" w:rsidR="00712E94" w:rsidRPr="00F032BC" w:rsidRDefault="00D976C6" w:rsidP="001D2C12">
      <w:pPr>
        <w:pStyle w:val="ListParagraph"/>
        <w:numPr>
          <w:ilvl w:val="0"/>
          <w:numId w:val="17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CH"/>
        </w:rPr>
      </w:pPr>
      <w:r w:rsidRPr="00F032BC">
        <w:rPr>
          <w:rFonts w:asciiTheme="majorHAnsi" w:hAnsiTheme="majorHAnsi" w:cstheme="minorHAnsi"/>
          <w:color w:val="000000" w:themeColor="text1"/>
          <w:lang w:val="fr-CH"/>
        </w:rPr>
        <w:t>S’assurer de la mise à dispos</w:t>
      </w:r>
      <w:r w:rsidR="00800519" w:rsidRPr="00F032BC">
        <w:rPr>
          <w:rFonts w:asciiTheme="majorHAnsi" w:hAnsiTheme="majorHAnsi" w:cstheme="minorHAnsi"/>
          <w:color w:val="000000" w:themeColor="text1"/>
          <w:lang w:val="fr-CH"/>
        </w:rPr>
        <w:t>i</w:t>
      </w:r>
      <w:r w:rsidRPr="00F032BC">
        <w:rPr>
          <w:rFonts w:asciiTheme="majorHAnsi" w:hAnsiTheme="majorHAnsi" w:cstheme="minorHAnsi"/>
          <w:color w:val="000000" w:themeColor="text1"/>
          <w:lang w:val="fr-CH"/>
        </w:rPr>
        <w:t xml:space="preserve">tion </w:t>
      </w:r>
      <w:r w:rsidR="00985F58" w:rsidRPr="00F032BC">
        <w:rPr>
          <w:rFonts w:asciiTheme="majorHAnsi" w:hAnsiTheme="majorHAnsi" w:cstheme="minorHAnsi"/>
          <w:color w:val="000000" w:themeColor="text1"/>
          <w:lang w:val="fr-CH"/>
        </w:rPr>
        <w:t xml:space="preserve">satisfaisante </w:t>
      </w:r>
      <w:r w:rsidRPr="00F032BC">
        <w:rPr>
          <w:rFonts w:asciiTheme="majorHAnsi" w:hAnsiTheme="majorHAnsi" w:cstheme="minorHAnsi"/>
          <w:color w:val="000000" w:themeColor="text1"/>
          <w:lang w:val="fr-CH"/>
        </w:rPr>
        <w:t>d</w:t>
      </w:r>
      <w:r w:rsidR="00B75DFC" w:rsidRPr="00F032BC">
        <w:rPr>
          <w:rFonts w:asciiTheme="majorHAnsi" w:hAnsiTheme="majorHAnsi" w:cstheme="minorHAnsi"/>
          <w:color w:val="000000" w:themeColor="text1"/>
          <w:lang w:val="fr-CH"/>
        </w:rPr>
        <w:t>e guides-</w:t>
      </w:r>
      <w:r w:rsidRPr="00F032BC">
        <w:rPr>
          <w:rFonts w:asciiTheme="majorHAnsi" w:hAnsiTheme="majorHAnsi" w:cstheme="minorHAnsi"/>
          <w:color w:val="000000" w:themeColor="text1"/>
          <w:lang w:val="fr-CH"/>
        </w:rPr>
        <w:t xml:space="preserve">interprètes pour le </w:t>
      </w:r>
      <w:r w:rsidR="00800519" w:rsidRPr="00F032BC">
        <w:rPr>
          <w:rFonts w:asciiTheme="majorHAnsi" w:hAnsiTheme="majorHAnsi" w:cstheme="minorHAnsi"/>
          <w:color w:val="000000" w:themeColor="text1"/>
          <w:lang w:val="fr-CH"/>
        </w:rPr>
        <w:t>t</w:t>
      </w:r>
      <w:r w:rsidRPr="00F032BC">
        <w:rPr>
          <w:rFonts w:asciiTheme="majorHAnsi" w:hAnsiTheme="majorHAnsi" w:cstheme="minorHAnsi"/>
          <w:color w:val="000000" w:themeColor="text1"/>
          <w:lang w:val="fr-CH"/>
        </w:rPr>
        <w:t>ra</w:t>
      </w:r>
      <w:r w:rsidR="00800519" w:rsidRPr="00F032BC">
        <w:rPr>
          <w:rFonts w:asciiTheme="majorHAnsi" w:hAnsiTheme="majorHAnsi" w:cstheme="minorHAnsi"/>
          <w:color w:val="000000" w:themeColor="text1"/>
          <w:lang w:val="fr-CH"/>
        </w:rPr>
        <w:t>va</w:t>
      </w:r>
      <w:r w:rsidRPr="00F032BC">
        <w:rPr>
          <w:rFonts w:asciiTheme="majorHAnsi" w:hAnsiTheme="majorHAnsi" w:cstheme="minorHAnsi"/>
          <w:color w:val="000000" w:themeColor="text1"/>
          <w:lang w:val="fr-CH"/>
        </w:rPr>
        <w:t xml:space="preserve">il et l’emploi. </w:t>
      </w:r>
    </w:p>
    <w:p w14:paraId="175D186E" w14:textId="12905C9E" w:rsidR="001F5D7D" w:rsidRPr="001D2C12" w:rsidRDefault="00985F58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</w:rPr>
      </w:pP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Participation</w:t>
      </w:r>
      <w:proofErr w:type="spellEnd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 xml:space="preserve"> </w:t>
      </w: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p</w:t>
      </w:r>
      <w:r w:rsidR="001F5D7D" w:rsidRPr="001D2C12">
        <w:rPr>
          <w:rFonts w:asciiTheme="majorHAnsi" w:hAnsiTheme="majorHAnsi" w:cstheme="minorHAnsi"/>
          <w:iCs/>
          <w:color w:val="000000" w:themeColor="text1"/>
          <w:u w:val="single"/>
        </w:rPr>
        <w:t>oliti</w:t>
      </w:r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que</w:t>
      </w:r>
      <w:proofErr w:type="spellEnd"/>
    </w:p>
    <w:p w14:paraId="2C44F861" w14:textId="326FF8D7" w:rsidR="00985F58" w:rsidRPr="001D2C12" w:rsidRDefault="006C11E1" w:rsidP="001D2C12">
      <w:pPr>
        <w:pStyle w:val="ListParagraph"/>
        <w:numPr>
          <w:ilvl w:val="0"/>
          <w:numId w:val="9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Faire en sorte que le droit de vote soit octroyé aux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 xml:space="preserve">personnes ayant une </w:t>
      </w:r>
      <w:proofErr w:type="spellStart"/>
      <w:r w:rsidR="00A47EDA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="00B34B3F">
        <w:rPr>
          <w:rFonts w:asciiTheme="majorHAnsi" w:hAnsiTheme="majorHAnsi" w:cstheme="minorHAnsi"/>
          <w:color w:val="000000" w:themeColor="text1"/>
          <w:lang w:val="fr-FR"/>
        </w:rPr>
        <w:t xml:space="preserve"> sans exception </w:t>
      </w:r>
    </w:p>
    <w:p w14:paraId="6402EAC7" w14:textId="569CE758" w:rsidR="006C11E1" w:rsidRPr="001D2C12" w:rsidRDefault="006C11E1" w:rsidP="001D2C12">
      <w:pPr>
        <w:pStyle w:val="ListParagraph"/>
        <w:numPr>
          <w:ilvl w:val="0"/>
          <w:numId w:val="9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Tenir compte des besoins </w:t>
      </w:r>
      <w:r w:rsidR="0060612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606129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en matière d’accessibilité en ce qui concerne les campagnes électorales, les bulletins </w:t>
      </w:r>
      <w:r w:rsidR="00F17AF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et bureaux </w:t>
      </w:r>
      <w:r w:rsidR="00606129" w:rsidRPr="001D2C12">
        <w:rPr>
          <w:rFonts w:asciiTheme="majorHAnsi" w:hAnsiTheme="majorHAnsi" w:cstheme="minorHAnsi"/>
          <w:color w:val="000000" w:themeColor="text1"/>
          <w:lang w:val="fr-FR"/>
        </w:rPr>
        <w:t>de vote</w:t>
      </w:r>
      <w:r w:rsidR="00F17AF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6E5E6E54" w14:textId="5C63F40F" w:rsidR="00BE0D10" w:rsidRPr="001D2C12" w:rsidRDefault="00BE0D10" w:rsidP="001D2C12">
      <w:pPr>
        <w:pStyle w:val="ListParagraph"/>
        <w:numPr>
          <w:ilvl w:val="0"/>
          <w:numId w:val="9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Apporter un appui à la participation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à la vie politique et publique.</w:t>
      </w:r>
    </w:p>
    <w:p w14:paraId="598648BD" w14:textId="56AF0D1B" w:rsidR="00D34E95" w:rsidRPr="001D2C12" w:rsidRDefault="00584CCF" w:rsidP="001D2C12">
      <w:pPr>
        <w:pStyle w:val="ListParagraph"/>
        <w:numPr>
          <w:ilvl w:val="0"/>
          <w:numId w:val="9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lastRenderedPageBreak/>
        <w:t xml:space="preserve">Apporter un appui aux organisations 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les associer, en tant que g</w:t>
      </w:r>
      <w:r w:rsidR="00320E32" w:rsidRPr="001D2C12">
        <w:rPr>
          <w:rFonts w:asciiTheme="majorHAnsi" w:hAnsiTheme="majorHAnsi" w:cstheme="minorHAnsi"/>
          <w:color w:val="000000" w:themeColor="text1"/>
          <w:lang w:val="fr-FR"/>
        </w:rPr>
        <w:t>r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oupe </w:t>
      </w:r>
      <w:r w:rsidR="00320E32" w:rsidRPr="001D2C12">
        <w:rPr>
          <w:rFonts w:asciiTheme="majorHAnsi" w:hAnsiTheme="majorHAnsi" w:cstheme="minorHAnsi"/>
          <w:color w:val="000000" w:themeColor="text1"/>
          <w:lang w:val="fr-FR"/>
        </w:rPr>
        <w:t>distinct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D34E95" w:rsidRPr="001D2C12">
        <w:rPr>
          <w:rFonts w:asciiTheme="majorHAnsi" w:hAnsiTheme="majorHAnsi" w:cstheme="minorHAnsi"/>
          <w:color w:val="000000" w:themeColor="text1"/>
          <w:lang w:val="fr-FR"/>
        </w:rPr>
        <w:t>de personnes handicapées</w:t>
      </w:r>
      <w:r w:rsidR="005470DF" w:rsidRPr="001D2C12">
        <w:rPr>
          <w:rFonts w:asciiTheme="majorHAnsi" w:hAnsiTheme="majorHAnsi" w:cstheme="minorHAnsi"/>
          <w:color w:val="000000" w:themeColor="text1"/>
          <w:lang w:val="fr-FR"/>
        </w:rPr>
        <w:t>,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à toutes les consultations menées auprès des mouvements d</w:t>
      </w:r>
      <w:r w:rsidR="00B34B3F">
        <w:rPr>
          <w:rFonts w:asciiTheme="majorHAnsi" w:hAnsiTheme="majorHAnsi" w:cstheme="minorHAnsi"/>
          <w:color w:val="000000" w:themeColor="text1"/>
          <w:lang w:val="fr-FR"/>
        </w:rPr>
        <w:t xml:space="preserve">e personnes </w:t>
      </w:r>
      <w:r w:rsidR="00320E32" w:rsidRPr="001D2C12">
        <w:rPr>
          <w:rFonts w:asciiTheme="majorHAnsi" w:hAnsiTheme="majorHAnsi" w:cstheme="minorHAnsi"/>
          <w:color w:val="000000" w:themeColor="text1"/>
          <w:lang w:val="fr-FR"/>
        </w:rPr>
        <w:t>handicap</w:t>
      </w:r>
      <w:r w:rsidR="00B34B3F">
        <w:rPr>
          <w:rFonts w:asciiTheme="majorHAnsi" w:hAnsiTheme="majorHAnsi" w:cstheme="minorHAnsi"/>
          <w:color w:val="000000" w:themeColor="text1"/>
          <w:lang w:val="fr-FR"/>
        </w:rPr>
        <w:t>ées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. </w:t>
      </w:r>
    </w:p>
    <w:p w14:paraId="69AD3933" w14:textId="0E9D36B3" w:rsidR="001F5D7D" w:rsidRPr="001D2C12" w:rsidRDefault="005470DF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iCs/>
          <w:color w:val="000000" w:themeColor="text1"/>
          <w:u w:val="single"/>
        </w:rPr>
      </w:pP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Participation</w:t>
      </w:r>
      <w:proofErr w:type="spellEnd"/>
      <w:r w:rsidR="001F5D7D" w:rsidRPr="001D2C12">
        <w:rPr>
          <w:rFonts w:asciiTheme="majorHAnsi" w:hAnsiTheme="majorHAnsi" w:cstheme="minorHAnsi"/>
          <w:iCs/>
          <w:color w:val="000000" w:themeColor="text1"/>
          <w:u w:val="single"/>
        </w:rPr>
        <w:t xml:space="preserve"> </w:t>
      </w:r>
      <w:proofErr w:type="spellStart"/>
      <w:r w:rsidRPr="001D2C12">
        <w:rPr>
          <w:rFonts w:asciiTheme="majorHAnsi" w:hAnsiTheme="majorHAnsi" w:cstheme="minorHAnsi"/>
          <w:iCs/>
          <w:color w:val="000000" w:themeColor="text1"/>
          <w:u w:val="single"/>
        </w:rPr>
        <w:t>sociale</w:t>
      </w:r>
      <w:proofErr w:type="spellEnd"/>
    </w:p>
    <w:p w14:paraId="2B56D2E8" w14:textId="395C7673" w:rsidR="005470DF" w:rsidRPr="001D2C12" w:rsidRDefault="00525E2F" w:rsidP="001D2C12">
      <w:pPr>
        <w:pStyle w:val="ListParagraph"/>
        <w:numPr>
          <w:ilvl w:val="0"/>
          <w:numId w:val="10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Fournir des services d’orientation et d’intervention précoce aux familles des </w:t>
      </w:r>
      <w:r w:rsidR="00C252C8">
        <w:rPr>
          <w:rFonts w:asciiTheme="majorHAnsi" w:hAnsiTheme="majorHAnsi" w:cstheme="minorHAnsi"/>
          <w:color w:val="000000" w:themeColor="text1"/>
          <w:lang w:val="fr-FR"/>
        </w:rPr>
        <w:t xml:space="preserve">enfants ayant une </w:t>
      </w:r>
      <w:proofErr w:type="spellStart"/>
      <w:r w:rsidR="00C252C8">
        <w:rPr>
          <w:rFonts w:asciiTheme="majorHAnsi" w:hAnsiTheme="majorHAnsi" w:cstheme="minorHAnsi"/>
          <w:color w:val="000000" w:themeColor="text1"/>
          <w:lang w:val="fr-FR"/>
        </w:rPr>
        <w:t>surdicécité</w:t>
      </w:r>
      <w:proofErr w:type="spellEnd"/>
      <w:r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1BAA4AAC" w14:textId="1504999F" w:rsidR="00525E2F" w:rsidRPr="001D2C12" w:rsidRDefault="00CF6F73" w:rsidP="001D2C12">
      <w:pPr>
        <w:pStyle w:val="ListParagraph"/>
        <w:numPr>
          <w:ilvl w:val="0"/>
          <w:numId w:val="10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Mettre en œuvre des programmes d’intervention </w:t>
      </w:r>
      <w:r w:rsidR="00081B17" w:rsidRPr="001D2C12">
        <w:rPr>
          <w:rFonts w:asciiTheme="majorHAnsi" w:hAnsiTheme="majorHAnsi" w:cstheme="minorHAnsi"/>
          <w:color w:val="000000" w:themeColor="text1"/>
          <w:lang w:val="fr-FR"/>
        </w:rPr>
        <w:t>à base communautaire en vue de faciliter l</w:t>
      </w:r>
      <w:r w:rsidR="005A50F1" w:rsidRPr="001D2C12">
        <w:rPr>
          <w:rFonts w:asciiTheme="majorHAnsi" w:hAnsiTheme="majorHAnsi" w:cstheme="minorHAnsi"/>
          <w:color w:val="000000" w:themeColor="text1"/>
          <w:lang w:val="fr-FR"/>
        </w:rPr>
        <w:t>’inclusion et la</w:t>
      </w:r>
      <w:r w:rsidR="00081B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participation sociale </w:t>
      </w:r>
      <w:r w:rsidR="005A50F1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des </w:t>
      </w:r>
      <w:r w:rsidR="00A47EDA">
        <w:rPr>
          <w:rFonts w:asciiTheme="majorHAnsi" w:hAnsiTheme="majorHAnsi" w:cstheme="minorHAnsi"/>
          <w:color w:val="000000" w:themeColor="text1"/>
          <w:lang w:val="fr-FR"/>
        </w:rPr>
        <w:t>personnes ayant une surdicécité</w:t>
      </w:r>
      <w:r w:rsidR="005A50F1" w:rsidRPr="001D2C12">
        <w:rPr>
          <w:rFonts w:asciiTheme="majorHAnsi" w:hAnsiTheme="majorHAnsi" w:cstheme="minorHAnsi"/>
          <w:color w:val="000000" w:themeColor="text1"/>
          <w:lang w:val="fr-FR"/>
        </w:rPr>
        <w:t>.</w:t>
      </w:r>
    </w:p>
    <w:p w14:paraId="67501668" w14:textId="2D908090" w:rsidR="005A50F1" w:rsidRPr="001D2C12" w:rsidRDefault="005A50F1" w:rsidP="001D2C12">
      <w:pPr>
        <w:pStyle w:val="ListParagraph"/>
        <w:numPr>
          <w:ilvl w:val="0"/>
          <w:numId w:val="10"/>
        </w:numPr>
        <w:tabs>
          <w:tab w:val="left" w:pos="180"/>
        </w:tabs>
        <w:spacing w:after="120"/>
        <w:ind w:right="-90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>Assurer la fourniture adéquate de services de</w:t>
      </w:r>
      <w:r w:rsidR="00910CD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guides-interprètes.</w:t>
      </w:r>
    </w:p>
    <w:p w14:paraId="776748E3" w14:textId="4959872A" w:rsidR="00555B85" w:rsidRPr="001D2C12" w:rsidRDefault="00E52D5C" w:rsidP="004A17FD">
      <w:pPr>
        <w:shd w:val="clear" w:color="auto" w:fill="FFFFFF"/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 w:eastAsia="zh-CN"/>
        </w:rPr>
      </w:pP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>Les conclusions de c</w:t>
      </w:r>
      <w:r w:rsidR="000F1A88" w:rsidRPr="001D2C12">
        <w:rPr>
          <w:rFonts w:asciiTheme="majorHAnsi" w:hAnsiTheme="majorHAnsi" w:cstheme="minorHAnsi"/>
          <w:color w:val="000000" w:themeColor="text1"/>
          <w:lang w:val="fr-FR" w:eastAsia="zh-CN"/>
        </w:rPr>
        <w:t>e rapport</w:t>
      </w: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montrent que</w:t>
      </w:r>
      <w:r w:rsidR="000F1A88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les </w:t>
      </w:r>
      <w:r w:rsidR="00A47EDA">
        <w:rPr>
          <w:rFonts w:asciiTheme="majorHAnsi" w:hAnsiTheme="majorHAnsi" w:cstheme="minorHAnsi"/>
          <w:color w:val="000000" w:themeColor="text1"/>
          <w:lang w:val="fr-FR" w:eastAsia="zh-CN"/>
        </w:rPr>
        <w:t>personnes ayant une surdicécité</w:t>
      </w:r>
      <w:r w:rsidR="000F1A88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sont encore laissées pour compte </w:t>
      </w:r>
      <w:r w:rsidR="00057843" w:rsidRPr="001D2C12">
        <w:rPr>
          <w:rFonts w:asciiTheme="majorHAnsi" w:hAnsiTheme="majorHAnsi" w:cstheme="minorHAnsi"/>
          <w:color w:val="000000" w:themeColor="text1"/>
          <w:lang w:val="fr-FR" w:eastAsia="zh-CN"/>
        </w:rPr>
        <w:t>dans tous les pays du monde. Les mesures initiales à adopter pour combler les lacunes</w:t>
      </w:r>
      <w:r w:rsidR="001D7366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555B85" w:rsidRPr="001D2C12">
        <w:rPr>
          <w:rFonts w:asciiTheme="majorHAnsi" w:hAnsiTheme="majorHAnsi" w:cstheme="minorHAnsi"/>
          <w:color w:val="000000" w:themeColor="text1"/>
          <w:lang w:val="fr-FR" w:eastAsia="zh-CN"/>
        </w:rPr>
        <w:t>consistent</w:t>
      </w:r>
      <w:r w:rsidR="00C6744C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555B85" w:rsidRPr="001D2C12">
        <w:rPr>
          <w:rFonts w:asciiTheme="majorHAnsi" w:hAnsiTheme="majorHAnsi" w:cstheme="minorHAnsi"/>
          <w:color w:val="000000" w:themeColor="text1"/>
          <w:lang w:val="fr-FR" w:eastAsia="zh-CN"/>
        </w:rPr>
        <w:t>à</w:t>
      </w:r>
      <w:r w:rsidR="004A17FD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555B85" w:rsidRPr="001D2C12">
        <w:rPr>
          <w:rFonts w:asciiTheme="majorHAnsi" w:hAnsiTheme="majorHAnsi" w:cstheme="minorHAnsi"/>
          <w:color w:val="000000" w:themeColor="text1"/>
          <w:lang w:val="fr-FR" w:eastAsia="zh-CN"/>
        </w:rPr>
        <w:t>:</w:t>
      </w:r>
    </w:p>
    <w:p w14:paraId="026981CC" w14:textId="6F1A3BB9" w:rsidR="001F738D" w:rsidRPr="001D2C12" w:rsidRDefault="00555B85" w:rsidP="001D2C12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 w:eastAsia="zh-CN"/>
        </w:rPr>
      </w:pP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>E</w:t>
      </w:r>
      <w:r w:rsidR="009463EE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tablir une reconnaissance </w:t>
      </w:r>
      <w:r w:rsidR="006C6EEF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et acceptation </w:t>
      </w:r>
      <w:r w:rsidR="00D22240" w:rsidRPr="001D2C12">
        <w:rPr>
          <w:rFonts w:asciiTheme="majorHAnsi" w:hAnsiTheme="majorHAnsi" w:cstheme="minorHAnsi"/>
          <w:color w:val="000000" w:themeColor="text1"/>
          <w:lang w:val="fr-FR" w:eastAsia="zh-CN"/>
        </w:rPr>
        <w:t>universelle</w:t>
      </w:r>
      <w:r w:rsidR="006C6EEF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s de la surdicécité en tant </w:t>
      </w:r>
      <w:r w:rsidR="00616C2E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que handicap distinct et unique ayant ses propres défis et barrières spécifiques, et ses besoins particuliers en matière </w:t>
      </w:r>
      <w:r w:rsidR="0007637E">
        <w:rPr>
          <w:rFonts w:asciiTheme="majorHAnsi" w:hAnsiTheme="majorHAnsi" w:cstheme="minorHAnsi"/>
          <w:color w:val="000000" w:themeColor="text1"/>
          <w:lang w:val="fr-FR" w:eastAsia="zh-CN"/>
        </w:rPr>
        <w:t>de soutien</w:t>
      </w:r>
      <w:r w:rsidR="00616C2E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et d’inclusion.</w:t>
      </w:r>
    </w:p>
    <w:p w14:paraId="30E52D2A" w14:textId="5C721D2B" w:rsidR="00555B85" w:rsidRPr="001D2C12" w:rsidRDefault="001F738D" w:rsidP="001D2C12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 w:eastAsia="zh-CN"/>
        </w:rPr>
      </w:pP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Etablir des services d’interprétation pour les </w:t>
      </w:r>
      <w:r w:rsidR="00A47EDA">
        <w:rPr>
          <w:rFonts w:asciiTheme="majorHAnsi" w:hAnsiTheme="majorHAnsi" w:cstheme="minorHAnsi"/>
          <w:color w:val="000000" w:themeColor="text1"/>
          <w:lang w:val="fr-FR" w:eastAsia="zh-CN"/>
        </w:rPr>
        <w:t>personnes ayant une surdicécité</w:t>
      </w: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761A68" w:rsidRPr="001D2C12">
        <w:rPr>
          <w:rFonts w:asciiTheme="majorHAnsi" w:hAnsiTheme="majorHAnsi" w:cstheme="minorHAnsi"/>
          <w:color w:val="000000" w:themeColor="text1"/>
          <w:lang w:val="fr-FR" w:eastAsia="zh-CN"/>
        </w:rPr>
        <w:t>financés par les fonds publics, notamment des guides-interprètes.</w:t>
      </w:r>
    </w:p>
    <w:p w14:paraId="23E0C9C4" w14:textId="22F45877" w:rsidR="00761A68" w:rsidRPr="001D2C12" w:rsidRDefault="005400EE" w:rsidP="001D2C12">
      <w:pPr>
        <w:numPr>
          <w:ilvl w:val="0"/>
          <w:numId w:val="11"/>
        </w:numPr>
        <w:shd w:val="clear" w:color="auto" w:fill="FFFFFF"/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 w:eastAsia="zh-CN"/>
        </w:rPr>
      </w:pP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Assurer le financement nécessaire pour mener davantage de recherches et renforcer le travail de plaidoyer, </w:t>
      </w:r>
      <w:r w:rsidR="00CA66E3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y compris le financement des outils et </w:t>
      </w:r>
      <w:r w:rsidR="00DA118E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du support technique requis. </w:t>
      </w:r>
    </w:p>
    <w:p w14:paraId="1AEB7500" w14:textId="4963A096" w:rsidR="00DA118E" w:rsidRPr="001D2C12" w:rsidRDefault="00DA118E" w:rsidP="000F23DA">
      <w:pPr>
        <w:shd w:val="clear" w:color="auto" w:fill="FFFFFF"/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color w:val="000000" w:themeColor="text1"/>
          <w:lang w:val="fr-FR" w:eastAsia="zh-CN"/>
        </w:rPr>
      </w:pP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>L</w:t>
      </w:r>
      <w:r w:rsidR="00E52D5C" w:rsidRPr="001D2C12">
        <w:rPr>
          <w:rFonts w:asciiTheme="majorHAnsi" w:hAnsiTheme="majorHAnsi" w:cstheme="minorHAnsi"/>
          <w:color w:val="000000" w:themeColor="text1"/>
          <w:lang w:val="fr-FR" w:eastAsia="zh-CN"/>
        </w:rPr>
        <w:t>’</w:t>
      </w:r>
      <w:r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adoption de ces mesures </w:t>
      </w:r>
      <w:r w:rsidR="001256B3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contribuera à </w:t>
      </w:r>
      <w:r w:rsidR="00095F94" w:rsidRPr="001D2C12">
        <w:rPr>
          <w:rFonts w:asciiTheme="majorHAnsi" w:hAnsiTheme="majorHAnsi" w:cstheme="minorHAnsi"/>
          <w:color w:val="000000" w:themeColor="text1"/>
          <w:lang w:val="fr-FR" w:eastAsia="zh-CN"/>
        </w:rPr>
        <w:t>soutenir</w:t>
      </w:r>
      <w:r w:rsidR="001256B3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095F94" w:rsidRPr="001D2C12">
        <w:rPr>
          <w:rFonts w:asciiTheme="majorHAnsi" w:hAnsiTheme="majorHAnsi" w:cstheme="minorHAnsi"/>
          <w:color w:val="000000" w:themeColor="text1"/>
          <w:lang w:val="fr-FR" w:eastAsia="zh-CN"/>
        </w:rPr>
        <w:t>les</w:t>
      </w:r>
      <w:r w:rsidR="001256B3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femmes et hommes, </w:t>
      </w:r>
      <w:r w:rsidR="000F5A27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les </w:t>
      </w:r>
      <w:r w:rsidR="001256B3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filles et </w:t>
      </w:r>
      <w:r w:rsidR="000F5A27" w:rsidRPr="001D2C12">
        <w:rPr>
          <w:rFonts w:asciiTheme="majorHAnsi" w:hAnsiTheme="majorHAnsi" w:cstheme="minorHAnsi"/>
          <w:color w:val="000000" w:themeColor="text1"/>
          <w:lang w:val="fr-FR" w:eastAsia="zh-CN"/>
        </w:rPr>
        <w:t>garçons</w:t>
      </w:r>
      <w:r w:rsidR="001256B3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0F23DA">
        <w:rPr>
          <w:rFonts w:asciiTheme="majorHAnsi" w:hAnsiTheme="majorHAnsi" w:cstheme="minorHAnsi"/>
          <w:b/>
          <w:bCs/>
          <w:color w:val="000000" w:themeColor="text1"/>
          <w:lang w:val="fr-FR"/>
        </w:rPr>
        <w:t>ayant une surdicécité</w:t>
      </w:r>
      <w:r w:rsidR="000F23DA" w:rsidRPr="001D2C12" w:rsidDel="000F23DA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  <w:r w:rsidR="0077246B" w:rsidRPr="001D2C12">
        <w:rPr>
          <w:rFonts w:asciiTheme="majorHAnsi" w:hAnsiTheme="majorHAnsi" w:cstheme="minorHAnsi"/>
          <w:color w:val="000000" w:themeColor="text1"/>
          <w:lang w:val="fr-FR" w:eastAsia="zh-CN"/>
        </w:rPr>
        <w:t>pour assurer leur participation, plaidoyer et contribution sur une meilleur base d’égalité</w:t>
      </w:r>
      <w:r w:rsidR="00E52D5C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, préparant </w:t>
      </w:r>
      <w:r w:rsidR="000F1BC1" w:rsidRPr="001D2C12">
        <w:rPr>
          <w:rFonts w:asciiTheme="majorHAnsi" w:hAnsiTheme="majorHAnsi" w:cstheme="minorHAnsi"/>
          <w:color w:val="000000" w:themeColor="text1"/>
          <w:lang w:val="fr-FR" w:eastAsia="zh-CN"/>
        </w:rPr>
        <w:t>ainsi</w:t>
      </w:r>
      <w:r w:rsidR="00310080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la voie </w:t>
      </w:r>
      <w:r w:rsidR="00095F94" w:rsidRPr="001D2C12">
        <w:rPr>
          <w:rFonts w:asciiTheme="majorHAnsi" w:hAnsiTheme="majorHAnsi" w:cstheme="minorHAnsi"/>
          <w:color w:val="000000" w:themeColor="text1"/>
          <w:lang w:val="fr-FR" w:eastAsia="zh-CN"/>
        </w:rPr>
        <w:t>à</w:t>
      </w:r>
      <w:r w:rsidR="00310080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leur </w:t>
      </w:r>
      <w:r w:rsidR="00E52D5C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participation et inclusion </w:t>
      </w:r>
      <w:r w:rsidR="00310080" w:rsidRPr="001D2C12">
        <w:rPr>
          <w:rFonts w:asciiTheme="majorHAnsi" w:hAnsiTheme="majorHAnsi" w:cstheme="minorHAnsi"/>
          <w:color w:val="000000" w:themeColor="text1"/>
          <w:lang w:val="fr-FR" w:eastAsia="zh-CN"/>
        </w:rPr>
        <w:t>pleine</w:t>
      </w:r>
      <w:r w:rsidR="00301770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s </w:t>
      </w:r>
      <w:r w:rsidR="00310080" w:rsidRPr="001D2C12">
        <w:rPr>
          <w:rFonts w:asciiTheme="majorHAnsi" w:hAnsiTheme="majorHAnsi" w:cstheme="minorHAnsi"/>
          <w:color w:val="000000" w:themeColor="text1"/>
          <w:lang w:val="fr-FR" w:eastAsia="zh-CN"/>
        </w:rPr>
        <w:t>et effective</w:t>
      </w:r>
      <w:r w:rsidR="00301770" w:rsidRPr="001D2C12">
        <w:rPr>
          <w:rFonts w:asciiTheme="majorHAnsi" w:hAnsiTheme="majorHAnsi" w:cstheme="minorHAnsi"/>
          <w:color w:val="000000" w:themeColor="text1"/>
          <w:lang w:val="fr-FR" w:eastAsia="zh-CN"/>
        </w:rPr>
        <w:t>s</w:t>
      </w:r>
      <w:r w:rsidR="00E52D5C" w:rsidRPr="001D2C12">
        <w:rPr>
          <w:rFonts w:asciiTheme="majorHAnsi" w:hAnsiTheme="majorHAnsi" w:cstheme="minorHAnsi"/>
          <w:color w:val="000000" w:themeColor="text1"/>
          <w:lang w:val="fr-FR" w:eastAsia="zh-CN"/>
        </w:rPr>
        <w:t>.</w:t>
      </w:r>
      <w:r w:rsidR="00310080" w:rsidRPr="001D2C12">
        <w:rPr>
          <w:rFonts w:asciiTheme="majorHAnsi" w:hAnsiTheme="majorHAnsi" w:cstheme="minorHAnsi"/>
          <w:color w:val="000000" w:themeColor="text1"/>
          <w:lang w:val="fr-FR" w:eastAsia="zh-CN"/>
        </w:rPr>
        <w:t xml:space="preserve"> </w:t>
      </w:r>
    </w:p>
    <w:p w14:paraId="1B977924" w14:textId="0E147921" w:rsidR="001F5D7D" w:rsidRPr="001D2C12" w:rsidRDefault="000F1BC1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b/>
          <w:bCs/>
          <w:color w:val="000000" w:themeColor="text1"/>
          <w:lang w:val="fr-FR"/>
        </w:rPr>
      </w:pPr>
      <w:bookmarkStart w:id="18" w:name="_Hlk7448844"/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Pour plus d’information sur </w:t>
      </w:r>
      <w:bookmarkEnd w:id="18"/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le rapport </w:t>
      </w:r>
      <w:r w:rsidR="00B8290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mondial</w:t>
      </w:r>
      <w:r w:rsidR="0074499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port</w:t>
      </w:r>
      <w:r w:rsidR="00B776A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ant sur la situation et les droits des </w:t>
      </w:r>
      <w:r w:rsidR="00A47EDA">
        <w:rPr>
          <w:rFonts w:asciiTheme="majorHAnsi" w:hAnsiTheme="majorHAnsi" w:cstheme="minorHAnsi"/>
          <w:b/>
          <w:bCs/>
          <w:color w:val="000000" w:themeColor="text1"/>
          <w:lang w:val="fr-FR"/>
        </w:rPr>
        <w:t>personnes ayant une surdicécité</w:t>
      </w:r>
      <w:r w:rsidR="00B776A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, veuillez consulter le site </w:t>
      </w:r>
      <w:proofErr w:type="gramStart"/>
      <w:r w:rsidR="00B776A9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suivant</w:t>
      </w:r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:</w:t>
      </w:r>
      <w:proofErr w:type="gramEnd"/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</w:t>
      </w:r>
      <w:r w:rsidR="00454A48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www.wfdb.eu</w:t>
      </w:r>
    </w:p>
    <w:p w14:paraId="1D0F180C" w14:textId="22639B96" w:rsidR="001F5D7D" w:rsidRPr="001D2C12" w:rsidRDefault="0040323A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b/>
          <w:b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Pour plus d’information sur la </w:t>
      </w:r>
      <w:bookmarkStart w:id="19" w:name="_Hlk7449248"/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Fédération mondiale des sourdaveugles</w:t>
      </w:r>
      <w:bookmarkEnd w:id="19"/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, veuillez consultez le site suivant </w:t>
      </w:r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: www.wfdb.eu</w:t>
      </w:r>
    </w:p>
    <w:p w14:paraId="671A4026" w14:textId="6754C37A" w:rsidR="001F5D7D" w:rsidRPr="001D2C12" w:rsidRDefault="00311062" w:rsidP="001D2C12">
      <w:pPr>
        <w:tabs>
          <w:tab w:val="left" w:pos="180"/>
        </w:tabs>
        <w:spacing w:after="120" w:line="240" w:lineRule="auto"/>
        <w:ind w:right="-90"/>
        <w:jc w:val="both"/>
        <w:rPr>
          <w:rFonts w:asciiTheme="majorHAnsi" w:hAnsiTheme="majorHAnsi" w:cstheme="minorHAnsi"/>
          <w:b/>
          <w:b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Pour plus d’information sur l’organisation </w:t>
      </w:r>
      <w:proofErr w:type="spellStart"/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Sense</w:t>
      </w:r>
      <w:proofErr w:type="spellEnd"/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International</w:t>
      </w:r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, veuillez consultez le site </w:t>
      </w:r>
      <w:proofErr w:type="gramStart"/>
      <w:r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suivant</w:t>
      </w:r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>:</w:t>
      </w:r>
      <w:proofErr w:type="gramEnd"/>
      <w:r w:rsidR="001F5D7D" w:rsidRPr="001D2C12">
        <w:rPr>
          <w:rFonts w:asciiTheme="majorHAnsi" w:hAnsiTheme="majorHAnsi" w:cstheme="minorHAnsi"/>
          <w:b/>
          <w:bCs/>
          <w:color w:val="000000" w:themeColor="text1"/>
          <w:lang w:val="fr-FR"/>
        </w:rPr>
        <w:t xml:space="preserve"> https://senseinternational.org.uk</w:t>
      </w:r>
    </w:p>
    <w:p w14:paraId="4782251A" w14:textId="77777777" w:rsidR="00311062" w:rsidRPr="00F032BC" w:rsidRDefault="00311062" w:rsidP="001D2C12">
      <w:pPr>
        <w:pStyle w:val="Heading1"/>
        <w:tabs>
          <w:tab w:val="left" w:pos="180"/>
        </w:tabs>
        <w:spacing w:line="240" w:lineRule="auto"/>
        <w:rPr>
          <w:rFonts w:cstheme="minorHAnsi"/>
          <w:color w:val="000000" w:themeColor="text1"/>
          <w:sz w:val="24"/>
          <w:szCs w:val="24"/>
          <w:lang w:val="fr-CH"/>
        </w:rPr>
      </w:pPr>
      <w:bookmarkStart w:id="20" w:name="_Toc524071195"/>
    </w:p>
    <w:p w14:paraId="67D9B529" w14:textId="77777777" w:rsidR="005F45A6" w:rsidRDefault="005F45A6">
      <w:pPr>
        <w:spacing w:after="160" w:line="259" w:lineRule="auto"/>
        <w:rPr>
          <w:rFonts w:asciiTheme="majorHAnsi" w:eastAsiaTheme="majorEastAsia" w:hAnsiTheme="majorHAnsi" w:cstheme="minorHAnsi"/>
          <w:color w:val="000000" w:themeColor="text1"/>
          <w:lang w:val="fr-CH"/>
        </w:rPr>
      </w:pPr>
      <w:r>
        <w:rPr>
          <w:rFonts w:cstheme="minorHAnsi"/>
          <w:color w:val="000000" w:themeColor="text1"/>
          <w:lang w:val="fr-CH"/>
        </w:rPr>
        <w:br w:type="page"/>
      </w:r>
    </w:p>
    <w:p w14:paraId="7989BABC" w14:textId="294E174E" w:rsidR="002C39D4" w:rsidRPr="00F032BC" w:rsidRDefault="00311062" w:rsidP="002C39D4">
      <w:pPr>
        <w:pStyle w:val="Heading1"/>
        <w:tabs>
          <w:tab w:val="left" w:pos="180"/>
        </w:tabs>
        <w:rPr>
          <w:rFonts w:cstheme="minorHAnsi"/>
          <w:color w:val="000000" w:themeColor="text1"/>
          <w:lang w:val="fr-CH"/>
        </w:rPr>
      </w:pPr>
      <w:r w:rsidRPr="00F032BC">
        <w:rPr>
          <w:rFonts w:cstheme="minorHAnsi"/>
          <w:color w:val="000000" w:themeColor="text1"/>
          <w:sz w:val="24"/>
          <w:szCs w:val="24"/>
          <w:lang w:val="fr-CH"/>
        </w:rPr>
        <w:lastRenderedPageBreak/>
        <w:t xml:space="preserve">Remerciements </w:t>
      </w:r>
      <w:r w:rsidR="00FD5F8B" w:rsidRPr="00F032BC">
        <w:rPr>
          <w:rFonts w:cstheme="minorHAnsi"/>
          <w:color w:val="000000" w:themeColor="text1"/>
          <w:sz w:val="24"/>
          <w:szCs w:val="24"/>
          <w:lang w:val="fr-CH"/>
        </w:rPr>
        <w:t xml:space="preserve">et </w:t>
      </w:r>
      <w:r w:rsidR="002C39D4">
        <w:rPr>
          <w:rFonts w:cstheme="minorHAnsi"/>
          <w:color w:val="000000" w:themeColor="text1"/>
          <w:sz w:val="24"/>
          <w:szCs w:val="24"/>
          <w:lang w:val="fr-CH"/>
        </w:rPr>
        <w:t>a</w:t>
      </w:r>
      <w:r w:rsidR="002C39D4" w:rsidRPr="00F032BC">
        <w:rPr>
          <w:rFonts w:cstheme="minorHAnsi"/>
          <w:color w:val="000000" w:themeColor="text1"/>
          <w:sz w:val="24"/>
          <w:szCs w:val="24"/>
          <w:lang w:val="fr-CH"/>
        </w:rPr>
        <w:t>vis de non-responsabilité</w:t>
      </w:r>
    </w:p>
    <w:bookmarkEnd w:id="20"/>
    <w:p w14:paraId="2607D4B7" w14:textId="1BB07E6F" w:rsidR="005F45A6" w:rsidRPr="00F032BC" w:rsidRDefault="005F45A6" w:rsidP="002C39D4">
      <w:pPr>
        <w:pStyle w:val="Heading1"/>
        <w:tabs>
          <w:tab w:val="left" w:pos="180"/>
        </w:tabs>
        <w:spacing w:line="240" w:lineRule="auto"/>
        <w:rPr>
          <w:rFonts w:cstheme="minorHAnsi"/>
          <w:color w:val="000000" w:themeColor="text1"/>
          <w:sz w:val="24"/>
          <w:szCs w:val="24"/>
          <w:lang w:val="fr-CH"/>
        </w:rPr>
      </w:pPr>
    </w:p>
    <w:p w14:paraId="5057B222" w14:textId="5ED618F1" w:rsidR="00FD5F8B" w:rsidRPr="001D2C12" w:rsidRDefault="00FD5F8B" w:rsidP="001D2C12">
      <w:pPr>
        <w:tabs>
          <w:tab w:val="left" w:pos="180"/>
        </w:tabs>
        <w:spacing w:after="80" w:line="240" w:lineRule="auto"/>
        <w:ind w:right="-284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L’équipe </w:t>
      </w:r>
      <w:r w:rsidR="00E52D5C" w:rsidRPr="001D2C12">
        <w:rPr>
          <w:rFonts w:asciiTheme="majorHAnsi" w:hAnsiTheme="majorHAnsi" w:cstheme="minorHAnsi"/>
          <w:color w:val="000000" w:themeColor="text1"/>
          <w:lang w:val="fr-FR"/>
        </w:rPr>
        <w:t>souhaite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remercier toutes les personnes qui ont contribué à ce rapport, notamment </w:t>
      </w:r>
      <w:r w:rsidR="00A832D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les membres du conseil d’administration de la Fédération </w:t>
      </w:r>
      <w:r w:rsidR="006E69D3">
        <w:rPr>
          <w:rFonts w:asciiTheme="majorHAnsi" w:hAnsiTheme="majorHAnsi" w:cstheme="minorHAnsi"/>
          <w:color w:val="000000" w:themeColor="text1"/>
          <w:lang w:val="fr-FR"/>
        </w:rPr>
        <w:t>M</w:t>
      </w:r>
      <w:r w:rsidR="00A832D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ondiale des </w:t>
      </w:r>
      <w:r w:rsidR="006E69D3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A832DE" w:rsidRPr="001D2C12">
        <w:rPr>
          <w:rFonts w:asciiTheme="majorHAnsi" w:hAnsiTheme="majorHAnsi" w:cstheme="minorHAnsi"/>
          <w:color w:val="000000" w:themeColor="text1"/>
          <w:lang w:val="fr-FR"/>
        </w:rPr>
        <w:t>ourdaveugles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 xml:space="preserve"> (WFDB)</w:t>
      </w:r>
      <w:r w:rsidR="00A832DE" w:rsidRPr="001D2C12">
        <w:rPr>
          <w:rFonts w:asciiTheme="majorHAnsi" w:hAnsiTheme="majorHAnsi" w:cstheme="minorHAnsi"/>
          <w:color w:val="000000" w:themeColor="text1"/>
          <w:lang w:val="fr-FR"/>
        </w:rPr>
        <w:t>, le personnel des agences de l’ONU</w:t>
      </w:r>
      <w:r w:rsidR="0064505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qui ont pris part à la réunion technique de Genève tenu en Septembre 2017</w:t>
      </w:r>
      <w:r w:rsidR="009E6C9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645055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tout comme </w:t>
      </w:r>
      <w:r w:rsidR="00AB6607" w:rsidRPr="001D2C12">
        <w:rPr>
          <w:rFonts w:asciiTheme="majorHAnsi" w:hAnsiTheme="majorHAnsi" w:cstheme="minorHAnsi"/>
          <w:color w:val="000000" w:themeColor="text1"/>
          <w:lang w:val="fr-FR"/>
        </w:rPr>
        <w:t>tou</w:t>
      </w:r>
      <w:r w:rsidR="009E6C9E" w:rsidRPr="001D2C12">
        <w:rPr>
          <w:rFonts w:asciiTheme="majorHAnsi" w:hAnsiTheme="majorHAnsi" w:cstheme="minorHAnsi"/>
          <w:color w:val="000000" w:themeColor="text1"/>
          <w:lang w:val="fr-FR"/>
        </w:rPr>
        <w:t>s</w:t>
      </w:r>
      <w:r w:rsidR="00AB660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les orateurs et participants à la Conférence mondiale </w:t>
      </w:r>
      <w:proofErr w:type="spellStart"/>
      <w:r w:rsidR="00AB6607" w:rsidRPr="001D2C12">
        <w:rPr>
          <w:rFonts w:asciiTheme="majorHAnsi" w:hAnsiTheme="majorHAnsi" w:cstheme="minorHAnsi"/>
          <w:color w:val="000000" w:themeColor="text1"/>
          <w:lang w:val="fr-FR"/>
        </w:rPr>
        <w:t>Hellen</w:t>
      </w:r>
      <w:proofErr w:type="spellEnd"/>
      <w:r w:rsidR="00AB660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Keller de 2018. </w:t>
      </w:r>
    </w:p>
    <w:p w14:paraId="2C9CA8D3" w14:textId="2C97223C" w:rsidR="00F420F8" w:rsidRPr="001D2C12" w:rsidRDefault="00F420F8" w:rsidP="001D2C12">
      <w:pPr>
        <w:tabs>
          <w:tab w:val="left" w:pos="180"/>
        </w:tabs>
        <w:spacing w:after="80" w:line="240" w:lineRule="auto"/>
        <w:ind w:right="-284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Le rapport a été rendu possible grâce au </w:t>
      </w:r>
      <w:r w:rsidR="00E52D5C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soutien 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orga</w:t>
      </w:r>
      <w:r w:rsidR="009019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nisationnel et technique </w:t>
      </w:r>
      <w:r w:rsidR="009E6C9E" w:rsidRPr="001D2C12">
        <w:rPr>
          <w:rFonts w:asciiTheme="majorHAnsi" w:hAnsiTheme="majorHAnsi" w:cstheme="minorHAnsi"/>
          <w:color w:val="000000" w:themeColor="text1"/>
          <w:lang w:val="fr-FR"/>
        </w:rPr>
        <w:t>de</w:t>
      </w:r>
      <w:r w:rsidR="00901917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  <w:r w:rsidR="00DC138B" w:rsidRPr="001D2C12">
        <w:rPr>
          <w:rFonts w:asciiTheme="majorHAnsi" w:hAnsiTheme="majorHAnsi" w:cstheme="minorHAnsi"/>
          <w:bCs/>
          <w:lang w:val="fr-FR"/>
        </w:rPr>
        <w:t>l’Alliance Internationale du Handicap (</w:t>
      </w:r>
      <w:r w:rsidR="002C39D4">
        <w:rPr>
          <w:rFonts w:asciiTheme="majorHAnsi" w:hAnsiTheme="majorHAnsi" w:cstheme="minorHAnsi"/>
          <w:bCs/>
          <w:lang w:val="fr-FR"/>
        </w:rPr>
        <w:t>IDA</w:t>
      </w:r>
      <w:r w:rsidR="00DC138B" w:rsidRPr="001D2C12">
        <w:rPr>
          <w:rFonts w:asciiTheme="majorHAnsi" w:hAnsiTheme="majorHAnsi" w:cstheme="minorHAnsi"/>
          <w:bCs/>
          <w:lang w:val="fr-FR"/>
        </w:rPr>
        <w:t>)</w:t>
      </w:r>
      <w:r w:rsidR="00DC138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bookmarkStart w:id="21" w:name="_Hlk7450363"/>
      <w:r w:rsidR="00B82908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</w:t>
      </w:r>
      <w:r w:rsidR="00DC138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l’Association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N</w:t>
      </w:r>
      <w:r w:rsidR="00DC138B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orvégienne </w:t>
      </w:r>
      <w:r w:rsidR="00814CDE" w:rsidRPr="001D2C12">
        <w:rPr>
          <w:rFonts w:asciiTheme="majorHAnsi" w:hAnsiTheme="majorHAnsi" w:cstheme="minorHAnsi"/>
          <w:color w:val="000000" w:themeColor="text1"/>
          <w:lang w:val="fr-FR"/>
        </w:rPr>
        <w:t>des Sourdaveugles</w:t>
      </w:r>
      <w:bookmarkEnd w:id="21"/>
      <w:r w:rsidR="00814CD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, </w:t>
      </w:r>
      <w:r w:rsidR="00E52D5C" w:rsidRPr="001D2C12">
        <w:rPr>
          <w:rFonts w:asciiTheme="majorHAnsi" w:hAnsiTheme="majorHAnsi" w:cstheme="minorHAnsi"/>
          <w:color w:val="000000" w:themeColor="text1"/>
          <w:lang w:val="fr-FR"/>
        </w:rPr>
        <w:t>et</w:t>
      </w:r>
      <w:r w:rsidR="00814CDE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grâce au 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soutien financier du Département pour le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D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éveloppement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I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nternational du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Royaume-Uni (DFID)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 et du Ministère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N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orvégien des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A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ffaires </w:t>
      </w:r>
      <w:r w:rsidR="002C39D4">
        <w:rPr>
          <w:rFonts w:asciiTheme="majorHAnsi" w:hAnsiTheme="majorHAnsi" w:cstheme="minorHAnsi"/>
          <w:color w:val="000000" w:themeColor="text1"/>
          <w:lang w:val="fr-FR"/>
        </w:rPr>
        <w:t>E</w:t>
      </w:r>
      <w:r w:rsidR="007F6DA2" w:rsidRPr="001D2C12">
        <w:rPr>
          <w:rFonts w:asciiTheme="majorHAnsi" w:hAnsiTheme="majorHAnsi" w:cstheme="minorHAnsi"/>
          <w:color w:val="000000" w:themeColor="text1"/>
          <w:lang w:val="fr-FR"/>
        </w:rPr>
        <w:t xml:space="preserve">trangères. </w:t>
      </w:r>
    </w:p>
    <w:p w14:paraId="165A9F13" w14:textId="3172F916" w:rsidR="001D14D4" w:rsidRPr="001D2C12" w:rsidRDefault="001D14D4" w:rsidP="001D2C12">
      <w:pPr>
        <w:tabs>
          <w:tab w:val="left" w:pos="180"/>
        </w:tabs>
        <w:spacing w:after="80" w:line="240" w:lineRule="auto"/>
        <w:ind w:right="-284"/>
        <w:rPr>
          <w:rFonts w:asciiTheme="majorHAnsi" w:hAnsiTheme="majorHAnsi" w:cstheme="minorHAnsi"/>
          <w:iCs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Les informations et les </w:t>
      </w:r>
      <w:r w:rsidR="008B6AE9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opinions exprimées dans ce document de référence </w:t>
      </w:r>
      <w:r w:rsidR="00C555E7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sont uniquement celles de l’auteur (des auteurs) et </w:t>
      </w:r>
      <w:r w:rsidR="00627159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ne reflètent pas nécessairement </w:t>
      </w:r>
      <w:r w:rsidR="009E6C9E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l’opinion officielle </w:t>
      </w:r>
      <w:r w:rsidR="006D7D93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de </w:t>
      </w:r>
      <w:r w:rsidR="006D7D93" w:rsidRPr="001D2C12">
        <w:rPr>
          <w:rFonts w:asciiTheme="majorHAnsi" w:hAnsiTheme="majorHAnsi" w:cstheme="minorHAnsi"/>
          <w:bCs/>
          <w:iCs/>
          <w:lang w:val="fr-FR"/>
        </w:rPr>
        <w:t>l’Alliance Internationale du Handicap (</w:t>
      </w:r>
      <w:r w:rsidR="002C39D4">
        <w:rPr>
          <w:rFonts w:asciiTheme="majorHAnsi" w:hAnsiTheme="majorHAnsi" w:cstheme="minorHAnsi"/>
          <w:bCs/>
          <w:iCs/>
          <w:lang w:val="fr-FR"/>
        </w:rPr>
        <w:t>IDA</w:t>
      </w:r>
      <w:r w:rsidR="006D7D93" w:rsidRPr="001D2C12">
        <w:rPr>
          <w:rFonts w:asciiTheme="majorHAnsi" w:hAnsiTheme="majorHAnsi" w:cstheme="minorHAnsi"/>
          <w:bCs/>
          <w:iCs/>
          <w:lang w:val="fr-FR"/>
        </w:rPr>
        <w:t>)</w:t>
      </w:r>
      <w:r w:rsidR="006D7D93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, </w:t>
      </w:r>
      <w:r w:rsidR="00DF76C6" w:rsidRPr="001D2C12">
        <w:rPr>
          <w:rFonts w:asciiTheme="majorHAnsi" w:hAnsiTheme="majorHAnsi" w:cstheme="minorHAnsi"/>
          <w:color w:val="000000" w:themeColor="text1"/>
          <w:lang w:val="fr-FR"/>
        </w:rPr>
        <w:t xml:space="preserve">de </w:t>
      </w:r>
      <w:r w:rsidR="006D7D93" w:rsidRPr="001D2C12">
        <w:rPr>
          <w:rFonts w:asciiTheme="majorHAnsi" w:hAnsiTheme="majorHAnsi" w:cstheme="minorHAnsi"/>
          <w:color w:val="000000" w:themeColor="text1"/>
          <w:lang w:val="fr-FR"/>
        </w:rPr>
        <w:t>l’Association norvégienne des Sourdaveugles</w:t>
      </w:r>
      <w:r w:rsidR="006D7D93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, </w:t>
      </w:r>
      <w:r w:rsidR="00DF76C6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de </w:t>
      </w:r>
      <w:r w:rsidR="005534A4" w:rsidRPr="001D2C12">
        <w:rPr>
          <w:rFonts w:asciiTheme="majorHAnsi" w:hAnsiTheme="majorHAnsi" w:cstheme="minorHAnsi"/>
          <w:iCs/>
          <w:color w:val="000000" w:themeColor="text1"/>
          <w:lang w:val="fr-FR"/>
        </w:rPr>
        <w:t>l’</w:t>
      </w:r>
      <w:r w:rsidR="00CC6C2D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International Centre for Evidence in </w:t>
      </w:r>
      <w:proofErr w:type="spellStart"/>
      <w:r w:rsidR="00CC6C2D" w:rsidRPr="001D2C12">
        <w:rPr>
          <w:rFonts w:asciiTheme="majorHAnsi" w:hAnsiTheme="majorHAnsi" w:cstheme="minorHAnsi"/>
          <w:iCs/>
          <w:color w:val="000000" w:themeColor="text1"/>
          <w:lang w:val="fr-FR"/>
        </w:rPr>
        <w:t>Disability</w:t>
      </w:r>
      <w:proofErr w:type="spellEnd"/>
      <w:r w:rsidR="00CC6C2D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 (ICED) </w:t>
      </w:r>
      <w:r w:rsidR="00DF76C6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rattaché à </w:t>
      </w:r>
      <w:r w:rsidR="00CC6C2D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l’Ecole d’Hygiène et de Médecine tropicale de Londres (LSHTM), 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du Département pour le </w:t>
      </w:r>
      <w:r w:rsidR="002C39D4">
        <w:rPr>
          <w:rFonts w:asciiTheme="majorHAnsi" w:hAnsiTheme="majorHAnsi" w:cstheme="minorHAnsi"/>
          <w:iCs/>
          <w:color w:val="000000" w:themeColor="text1"/>
          <w:lang w:val="fr-FR"/>
        </w:rPr>
        <w:t>D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éveloppement </w:t>
      </w:r>
      <w:r w:rsidR="002C39D4">
        <w:rPr>
          <w:rFonts w:asciiTheme="majorHAnsi" w:hAnsiTheme="majorHAnsi" w:cstheme="minorHAnsi"/>
          <w:iCs/>
          <w:color w:val="000000" w:themeColor="text1"/>
          <w:lang w:val="fr-FR"/>
        </w:rPr>
        <w:t>I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nternational du Royaume-Uni </w:t>
      </w:r>
      <w:r w:rsidR="00DD7145" w:rsidRPr="001D2C12">
        <w:rPr>
          <w:rFonts w:asciiTheme="majorHAnsi" w:hAnsiTheme="majorHAnsi" w:cstheme="minorHAnsi"/>
          <w:iCs/>
          <w:color w:val="000000" w:themeColor="text1"/>
          <w:lang w:val="fr-FR"/>
        </w:rPr>
        <w:t>(DFID)</w:t>
      </w:r>
      <w:r w:rsidR="002C39D4">
        <w:rPr>
          <w:rFonts w:asciiTheme="majorHAnsi" w:hAnsiTheme="majorHAnsi" w:cstheme="minorHAnsi"/>
          <w:iCs/>
          <w:color w:val="000000" w:themeColor="text1"/>
          <w:lang w:val="fr-FR"/>
        </w:rPr>
        <w:t xml:space="preserve"> 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et du Ministère </w:t>
      </w:r>
      <w:r w:rsidR="002C39D4">
        <w:rPr>
          <w:rFonts w:asciiTheme="majorHAnsi" w:hAnsiTheme="majorHAnsi" w:cstheme="minorHAnsi"/>
          <w:iCs/>
          <w:color w:val="000000" w:themeColor="text1"/>
          <w:lang w:val="fr-FR"/>
        </w:rPr>
        <w:t>N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orvégien des </w:t>
      </w:r>
      <w:r w:rsidR="002C39D4">
        <w:rPr>
          <w:rFonts w:asciiTheme="majorHAnsi" w:hAnsiTheme="majorHAnsi" w:cstheme="minorHAnsi"/>
          <w:iCs/>
          <w:color w:val="000000" w:themeColor="text1"/>
          <w:lang w:val="fr-FR"/>
        </w:rPr>
        <w:t>A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 xml:space="preserve">ffaires </w:t>
      </w:r>
      <w:r w:rsidR="002C39D4">
        <w:rPr>
          <w:rFonts w:asciiTheme="majorHAnsi" w:hAnsiTheme="majorHAnsi" w:cstheme="minorHAnsi"/>
          <w:iCs/>
          <w:color w:val="000000" w:themeColor="text1"/>
          <w:lang w:val="fr-FR"/>
        </w:rPr>
        <w:t>E</w:t>
      </w:r>
      <w:r w:rsidR="008B59A5" w:rsidRPr="001D2C12">
        <w:rPr>
          <w:rFonts w:asciiTheme="majorHAnsi" w:hAnsiTheme="majorHAnsi" w:cstheme="minorHAnsi"/>
          <w:iCs/>
          <w:color w:val="000000" w:themeColor="text1"/>
          <w:lang w:val="fr-FR"/>
        </w:rPr>
        <w:t>trangères.</w:t>
      </w:r>
    </w:p>
    <w:p w14:paraId="1BC6FC86" w14:textId="77777777" w:rsidR="001D2C12" w:rsidRDefault="001D2C12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b/>
          <w:color w:val="000000" w:themeColor="text1"/>
          <w:lang w:val="fr-FR"/>
        </w:rPr>
      </w:pPr>
    </w:p>
    <w:p w14:paraId="33C3DBD9" w14:textId="060670E6" w:rsidR="005A4F15" w:rsidRPr="001D2C12" w:rsidRDefault="00EA0367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color w:val="000000" w:themeColor="text1"/>
          <w:lang w:val="fr-FR"/>
        </w:rPr>
        <w:t>En</w:t>
      </w:r>
      <w:r w:rsidR="005A4F15" w:rsidRPr="001D2C12">
        <w:rPr>
          <w:rFonts w:asciiTheme="majorHAnsi" w:hAnsiTheme="majorHAnsi" w:cstheme="minorHAnsi"/>
          <w:b/>
          <w:color w:val="000000" w:themeColor="text1"/>
          <w:lang w:val="fr-FR"/>
        </w:rPr>
        <w:t xml:space="preserve"> coop</w:t>
      </w:r>
      <w:r w:rsidRPr="001D2C12">
        <w:rPr>
          <w:rFonts w:asciiTheme="majorHAnsi" w:hAnsiTheme="majorHAnsi" w:cstheme="minorHAnsi"/>
          <w:b/>
          <w:color w:val="000000" w:themeColor="text1"/>
          <w:lang w:val="fr-FR"/>
        </w:rPr>
        <w:t>é</w:t>
      </w:r>
      <w:r w:rsidR="005A4F15" w:rsidRPr="001D2C12">
        <w:rPr>
          <w:rFonts w:asciiTheme="majorHAnsi" w:hAnsiTheme="majorHAnsi" w:cstheme="minorHAnsi"/>
          <w:b/>
          <w:color w:val="000000" w:themeColor="text1"/>
          <w:lang w:val="fr-FR"/>
        </w:rPr>
        <w:t xml:space="preserve">ration </w:t>
      </w:r>
      <w:r w:rsidRPr="001D2C12">
        <w:rPr>
          <w:rFonts w:asciiTheme="majorHAnsi" w:hAnsiTheme="majorHAnsi" w:cstheme="minorHAnsi"/>
          <w:b/>
          <w:color w:val="000000" w:themeColor="text1"/>
          <w:lang w:val="fr-FR"/>
        </w:rPr>
        <w:t>avec</w:t>
      </w:r>
      <w:r w:rsidR="00860862">
        <w:rPr>
          <w:rFonts w:asciiTheme="majorHAnsi" w:hAnsiTheme="majorHAnsi" w:cstheme="minorHAnsi"/>
          <w:b/>
          <w:color w:val="000000" w:themeColor="text1"/>
          <w:lang w:val="fr-FR"/>
        </w:rPr>
        <w:t xml:space="preserve"> </w:t>
      </w:r>
      <w:bookmarkStart w:id="22" w:name="_GoBack"/>
      <w:bookmarkEnd w:id="22"/>
      <w:r w:rsidR="005A4F15" w:rsidRPr="001D2C12">
        <w:rPr>
          <w:rFonts w:asciiTheme="majorHAnsi" w:hAnsiTheme="majorHAnsi" w:cstheme="minorHAnsi"/>
          <w:color w:val="000000" w:themeColor="text1"/>
          <w:lang w:val="fr-FR"/>
        </w:rPr>
        <w:t>:</w:t>
      </w:r>
    </w:p>
    <w:p w14:paraId="7BD5DAC9" w14:textId="34386176" w:rsidR="005A4F15" w:rsidRPr="001D2C12" w:rsidRDefault="00454A48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noProof/>
          <w:lang w:val="en-GB" w:eastAsia="zh-CN"/>
        </w:rPr>
        <w:drawing>
          <wp:anchor distT="0" distB="0" distL="114300" distR="114300" simplePos="0" relativeHeight="251663360" behindDoc="0" locked="0" layoutInCell="1" allowOverlap="1" wp14:anchorId="1FBC7FEB" wp14:editId="71FFAFD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4100" cy="1031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51BF" w14:textId="056B1A40" w:rsidR="005A4F15" w:rsidRPr="001D2C12" w:rsidRDefault="005A4F15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</w:p>
    <w:p w14:paraId="2347E8A0" w14:textId="77777777" w:rsidR="005A4F15" w:rsidRPr="001D2C12" w:rsidRDefault="005A4F15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</w:p>
    <w:p w14:paraId="18B40C9B" w14:textId="77777777" w:rsidR="005A4F15" w:rsidRPr="001D2C12" w:rsidRDefault="005A4F15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</w:p>
    <w:p w14:paraId="4E545EEA" w14:textId="77777777" w:rsidR="005A4F15" w:rsidRPr="001D2C12" w:rsidRDefault="005A4F15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</w:p>
    <w:p w14:paraId="040385DC" w14:textId="56E39E6D" w:rsidR="005A4F15" w:rsidRPr="001D2C12" w:rsidRDefault="005A4F15" w:rsidP="001D2C12">
      <w:pPr>
        <w:tabs>
          <w:tab w:val="left" w:pos="180"/>
        </w:tabs>
        <w:spacing w:after="80" w:line="240" w:lineRule="auto"/>
        <w:jc w:val="both"/>
        <w:rPr>
          <w:rFonts w:asciiTheme="majorHAnsi" w:hAnsiTheme="majorHAnsi" w:cstheme="minorHAnsi"/>
          <w:color w:val="000000" w:themeColor="text1"/>
          <w:lang w:val="fr-FR"/>
        </w:rPr>
      </w:pPr>
      <w:r w:rsidRPr="001D2C12">
        <w:rPr>
          <w:rFonts w:asciiTheme="majorHAnsi" w:hAnsiTheme="majorHAnsi" w:cstheme="minorHAnsi"/>
          <w:b/>
          <w:noProof/>
          <w:lang w:val="en-GB" w:eastAsia="zh-CN"/>
        </w:rPr>
        <w:drawing>
          <wp:anchor distT="0" distB="0" distL="114300" distR="114300" simplePos="0" relativeHeight="251660288" behindDoc="0" locked="0" layoutInCell="1" allowOverlap="1" wp14:anchorId="1D84271A" wp14:editId="4EFB4E63">
            <wp:simplePos x="0" y="0"/>
            <wp:positionH relativeFrom="column">
              <wp:posOffset>1439545</wp:posOffset>
            </wp:positionH>
            <wp:positionV relativeFrom="paragraph">
              <wp:posOffset>328295</wp:posOffset>
            </wp:positionV>
            <wp:extent cx="1330960" cy="76962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12">
        <w:rPr>
          <w:rFonts w:asciiTheme="majorHAnsi" w:hAnsiTheme="majorHAnsi" w:cstheme="minorHAnsi"/>
          <w:b/>
          <w:noProof/>
          <w:lang w:val="en-GB" w:eastAsia="zh-CN"/>
        </w:rPr>
        <w:drawing>
          <wp:anchor distT="0" distB="0" distL="114300" distR="114300" simplePos="0" relativeHeight="251664384" behindDoc="0" locked="0" layoutInCell="1" allowOverlap="1" wp14:anchorId="71DCCF6B" wp14:editId="0C984B47">
            <wp:simplePos x="0" y="0"/>
            <wp:positionH relativeFrom="column">
              <wp:posOffset>4977130</wp:posOffset>
            </wp:positionH>
            <wp:positionV relativeFrom="paragraph">
              <wp:posOffset>354330</wp:posOffset>
            </wp:positionV>
            <wp:extent cx="628015" cy="768350"/>
            <wp:effectExtent l="0" t="0" r="635" b="0"/>
            <wp:wrapThrough wrapText="bothSides">
              <wp:wrapPolygon edited="0">
                <wp:start x="0" y="0"/>
                <wp:lineTo x="0" y="20886"/>
                <wp:lineTo x="20967" y="20886"/>
                <wp:lineTo x="2096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2C12">
        <w:rPr>
          <w:rFonts w:asciiTheme="majorHAnsi" w:hAnsiTheme="majorHAnsi" w:cstheme="minorHAnsi"/>
          <w:b/>
          <w:noProof/>
          <w:lang w:val="en-GB" w:eastAsia="zh-CN"/>
        </w:rPr>
        <w:drawing>
          <wp:anchor distT="0" distB="0" distL="114300" distR="114300" simplePos="0" relativeHeight="251662336" behindDoc="0" locked="0" layoutInCell="1" allowOverlap="1" wp14:anchorId="3F0E428E" wp14:editId="7E5AEBDE">
            <wp:simplePos x="0" y="0"/>
            <wp:positionH relativeFrom="column">
              <wp:posOffset>3310255</wp:posOffset>
            </wp:positionH>
            <wp:positionV relativeFrom="paragraph">
              <wp:posOffset>325120</wp:posOffset>
            </wp:positionV>
            <wp:extent cx="1203960" cy="786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C12">
        <w:rPr>
          <w:rFonts w:asciiTheme="majorHAnsi" w:hAnsiTheme="majorHAnsi" w:cstheme="minorHAnsi"/>
          <w:b/>
          <w:noProof/>
          <w:lang w:val="en-GB" w:eastAsia="zh-CN"/>
        </w:rPr>
        <w:drawing>
          <wp:anchor distT="0" distB="0" distL="114300" distR="114300" simplePos="0" relativeHeight="251661312" behindDoc="0" locked="0" layoutInCell="1" allowOverlap="1" wp14:anchorId="211C1B6D" wp14:editId="644A386E">
            <wp:simplePos x="0" y="0"/>
            <wp:positionH relativeFrom="column">
              <wp:posOffset>-296545</wp:posOffset>
            </wp:positionH>
            <wp:positionV relativeFrom="paragraph">
              <wp:posOffset>203200</wp:posOffset>
            </wp:positionV>
            <wp:extent cx="1373505" cy="1026160"/>
            <wp:effectExtent l="0" t="0" r="0" b="2540"/>
            <wp:wrapNone/>
            <wp:docPr id="2" name="Picture 2" descr="Description: Description: C:\Users\cbm\AppData\Local\Microsoft\Windows\Temporary Internet Files\Content.Outlook\1ULFDPL9\296871_178077295604197_17799210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: Description: C:\Users\cbm\AppData\Local\Microsoft\Windows\Temporary Internet Files\Content.Outlook\1ULFDPL9\296871_178077295604197_177992104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145" w:rsidRPr="001D2C12">
        <w:rPr>
          <w:rFonts w:asciiTheme="majorHAnsi" w:hAnsiTheme="majorHAnsi" w:cstheme="minorHAnsi"/>
          <w:b/>
          <w:color w:val="000000" w:themeColor="text1"/>
          <w:lang w:val="fr-FR"/>
        </w:rPr>
        <w:t xml:space="preserve">Avec l’appui </w:t>
      </w:r>
      <w:proofErr w:type="gramStart"/>
      <w:r w:rsidR="00DD7145" w:rsidRPr="001D2C12">
        <w:rPr>
          <w:rFonts w:asciiTheme="majorHAnsi" w:hAnsiTheme="majorHAnsi" w:cstheme="minorHAnsi"/>
          <w:b/>
          <w:color w:val="000000" w:themeColor="text1"/>
          <w:lang w:val="fr-FR"/>
        </w:rPr>
        <w:t>de</w:t>
      </w:r>
      <w:r w:rsidRPr="001D2C12">
        <w:rPr>
          <w:rFonts w:asciiTheme="majorHAnsi" w:hAnsiTheme="majorHAnsi" w:cstheme="minorHAnsi"/>
          <w:color w:val="000000" w:themeColor="text1"/>
          <w:lang w:val="fr-FR"/>
        </w:rPr>
        <w:t>:</w:t>
      </w:r>
      <w:proofErr w:type="gramEnd"/>
      <w:r w:rsidRPr="001D2C12">
        <w:rPr>
          <w:rFonts w:asciiTheme="majorHAnsi" w:hAnsiTheme="majorHAnsi" w:cstheme="minorHAnsi"/>
          <w:color w:val="000000" w:themeColor="text1"/>
          <w:lang w:val="fr-FR"/>
        </w:rPr>
        <w:t xml:space="preserve"> </w:t>
      </w:r>
    </w:p>
    <w:p w14:paraId="498A64FC" w14:textId="4780D356" w:rsidR="0056484A" w:rsidRPr="001D2C12" w:rsidRDefault="0056484A" w:rsidP="001D2C12">
      <w:pPr>
        <w:tabs>
          <w:tab w:val="left" w:pos="180"/>
        </w:tabs>
        <w:spacing w:line="240" w:lineRule="auto"/>
        <w:ind w:right="-90"/>
        <w:rPr>
          <w:rFonts w:asciiTheme="majorHAnsi" w:hAnsiTheme="majorHAnsi" w:cstheme="minorHAnsi"/>
          <w:lang w:val="fr-FR"/>
        </w:rPr>
      </w:pPr>
    </w:p>
    <w:sectPr w:rsidR="0056484A" w:rsidRPr="001D2C12" w:rsidSect="00454A48">
      <w:pgSz w:w="12240" w:h="15840"/>
      <w:pgMar w:top="1296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C9E07" w14:textId="77777777" w:rsidR="00437B5C" w:rsidRDefault="00437B5C" w:rsidP="000A30CB">
      <w:pPr>
        <w:spacing w:line="240" w:lineRule="auto"/>
      </w:pPr>
      <w:r>
        <w:separator/>
      </w:r>
    </w:p>
  </w:endnote>
  <w:endnote w:type="continuationSeparator" w:id="0">
    <w:p w14:paraId="241FFE20" w14:textId="77777777" w:rsidR="00437B5C" w:rsidRDefault="00437B5C" w:rsidP="000A3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QESLZ A+ FS Alber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D0A3" w14:textId="77777777" w:rsidR="00437B5C" w:rsidRDefault="00437B5C" w:rsidP="000A30CB">
      <w:pPr>
        <w:spacing w:line="240" w:lineRule="auto"/>
      </w:pPr>
      <w:r>
        <w:separator/>
      </w:r>
    </w:p>
  </w:footnote>
  <w:footnote w:type="continuationSeparator" w:id="0">
    <w:p w14:paraId="65E65AB5" w14:textId="77777777" w:rsidR="00437B5C" w:rsidRDefault="00437B5C" w:rsidP="000A3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44A9"/>
    <w:multiLevelType w:val="hybridMultilevel"/>
    <w:tmpl w:val="9B6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887"/>
    <w:multiLevelType w:val="hybridMultilevel"/>
    <w:tmpl w:val="A9C6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6887"/>
    <w:multiLevelType w:val="hybridMultilevel"/>
    <w:tmpl w:val="B02C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486A"/>
    <w:multiLevelType w:val="hybridMultilevel"/>
    <w:tmpl w:val="AA0E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753"/>
    <w:multiLevelType w:val="hybridMultilevel"/>
    <w:tmpl w:val="640E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384F"/>
    <w:multiLevelType w:val="multilevel"/>
    <w:tmpl w:val="D01E9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6">
    <w:nsid w:val="3FD6476E"/>
    <w:multiLevelType w:val="hybridMultilevel"/>
    <w:tmpl w:val="11E601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A642EC"/>
    <w:multiLevelType w:val="hybridMultilevel"/>
    <w:tmpl w:val="247AC3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F41FA"/>
    <w:multiLevelType w:val="hybridMultilevel"/>
    <w:tmpl w:val="85E2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F28B4"/>
    <w:multiLevelType w:val="multilevel"/>
    <w:tmpl w:val="65E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6B6AC0"/>
    <w:multiLevelType w:val="hybridMultilevel"/>
    <w:tmpl w:val="182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B572C"/>
    <w:multiLevelType w:val="hybridMultilevel"/>
    <w:tmpl w:val="06B0E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E2F6A"/>
    <w:multiLevelType w:val="hybridMultilevel"/>
    <w:tmpl w:val="4960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04183"/>
    <w:multiLevelType w:val="hybridMultilevel"/>
    <w:tmpl w:val="F1A0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562EF"/>
    <w:multiLevelType w:val="hybridMultilevel"/>
    <w:tmpl w:val="762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100C1"/>
    <w:multiLevelType w:val="hybridMultilevel"/>
    <w:tmpl w:val="16E47C7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21FC7"/>
    <w:multiLevelType w:val="hybridMultilevel"/>
    <w:tmpl w:val="B568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D"/>
    <w:rsid w:val="0000133E"/>
    <w:rsid w:val="00005180"/>
    <w:rsid w:val="000055D7"/>
    <w:rsid w:val="00010957"/>
    <w:rsid w:val="00011D82"/>
    <w:rsid w:val="0002091A"/>
    <w:rsid w:val="00025193"/>
    <w:rsid w:val="000254CA"/>
    <w:rsid w:val="00030903"/>
    <w:rsid w:val="000351C9"/>
    <w:rsid w:val="000369B7"/>
    <w:rsid w:val="00037276"/>
    <w:rsid w:val="000409FF"/>
    <w:rsid w:val="00043447"/>
    <w:rsid w:val="0004386F"/>
    <w:rsid w:val="00053486"/>
    <w:rsid w:val="0005588D"/>
    <w:rsid w:val="00057843"/>
    <w:rsid w:val="00061185"/>
    <w:rsid w:val="00063B64"/>
    <w:rsid w:val="00070BFA"/>
    <w:rsid w:val="00074AFE"/>
    <w:rsid w:val="0007637E"/>
    <w:rsid w:val="00080831"/>
    <w:rsid w:val="000817A2"/>
    <w:rsid w:val="00081B17"/>
    <w:rsid w:val="000856B3"/>
    <w:rsid w:val="00087B4C"/>
    <w:rsid w:val="00093D8F"/>
    <w:rsid w:val="00095F94"/>
    <w:rsid w:val="000A30CB"/>
    <w:rsid w:val="000A51BA"/>
    <w:rsid w:val="000B07D2"/>
    <w:rsid w:val="000B5749"/>
    <w:rsid w:val="000C0514"/>
    <w:rsid w:val="000C2545"/>
    <w:rsid w:val="000C787B"/>
    <w:rsid w:val="000D0BB5"/>
    <w:rsid w:val="000D1259"/>
    <w:rsid w:val="000D1B6D"/>
    <w:rsid w:val="000D42E6"/>
    <w:rsid w:val="000D6375"/>
    <w:rsid w:val="000E61B1"/>
    <w:rsid w:val="000F1A88"/>
    <w:rsid w:val="000F1BC1"/>
    <w:rsid w:val="000F23DA"/>
    <w:rsid w:val="000F5A27"/>
    <w:rsid w:val="000F6FBE"/>
    <w:rsid w:val="001017BF"/>
    <w:rsid w:val="00101884"/>
    <w:rsid w:val="001045F7"/>
    <w:rsid w:val="00111B78"/>
    <w:rsid w:val="00120141"/>
    <w:rsid w:val="0012369E"/>
    <w:rsid w:val="001256B3"/>
    <w:rsid w:val="00126CD8"/>
    <w:rsid w:val="001301E6"/>
    <w:rsid w:val="00133B30"/>
    <w:rsid w:val="001356C3"/>
    <w:rsid w:val="00140316"/>
    <w:rsid w:val="00142874"/>
    <w:rsid w:val="00142B31"/>
    <w:rsid w:val="00143B5B"/>
    <w:rsid w:val="001446E1"/>
    <w:rsid w:val="001476DA"/>
    <w:rsid w:val="00153652"/>
    <w:rsid w:val="001579D9"/>
    <w:rsid w:val="00165F53"/>
    <w:rsid w:val="00172BD5"/>
    <w:rsid w:val="00173B91"/>
    <w:rsid w:val="00173FF2"/>
    <w:rsid w:val="001819AE"/>
    <w:rsid w:val="00187F24"/>
    <w:rsid w:val="0019050C"/>
    <w:rsid w:val="001933DB"/>
    <w:rsid w:val="00195C40"/>
    <w:rsid w:val="001968B3"/>
    <w:rsid w:val="001A51B8"/>
    <w:rsid w:val="001B02A1"/>
    <w:rsid w:val="001B414C"/>
    <w:rsid w:val="001B6485"/>
    <w:rsid w:val="001C047A"/>
    <w:rsid w:val="001C2619"/>
    <w:rsid w:val="001C293C"/>
    <w:rsid w:val="001C2BCB"/>
    <w:rsid w:val="001D14D4"/>
    <w:rsid w:val="001D2C12"/>
    <w:rsid w:val="001D7366"/>
    <w:rsid w:val="001E28D3"/>
    <w:rsid w:val="001E6B55"/>
    <w:rsid w:val="001E7438"/>
    <w:rsid w:val="001E75DE"/>
    <w:rsid w:val="001E7D18"/>
    <w:rsid w:val="001F1DEF"/>
    <w:rsid w:val="001F5CB9"/>
    <w:rsid w:val="001F5D7D"/>
    <w:rsid w:val="001F738D"/>
    <w:rsid w:val="001F777B"/>
    <w:rsid w:val="00200B03"/>
    <w:rsid w:val="00201237"/>
    <w:rsid w:val="00201AA1"/>
    <w:rsid w:val="00203E78"/>
    <w:rsid w:val="0020574F"/>
    <w:rsid w:val="00216F2E"/>
    <w:rsid w:val="002211D4"/>
    <w:rsid w:val="00226973"/>
    <w:rsid w:val="002270DE"/>
    <w:rsid w:val="002276AE"/>
    <w:rsid w:val="00232B4D"/>
    <w:rsid w:val="0024204A"/>
    <w:rsid w:val="00243F1E"/>
    <w:rsid w:val="00247D4D"/>
    <w:rsid w:val="00250F76"/>
    <w:rsid w:val="0025626B"/>
    <w:rsid w:val="002707AA"/>
    <w:rsid w:val="0029058B"/>
    <w:rsid w:val="002A0182"/>
    <w:rsid w:val="002A2ADF"/>
    <w:rsid w:val="002A7653"/>
    <w:rsid w:val="002B612A"/>
    <w:rsid w:val="002C3463"/>
    <w:rsid w:val="002C39D4"/>
    <w:rsid w:val="002D0EEB"/>
    <w:rsid w:val="002D47D3"/>
    <w:rsid w:val="002D53FB"/>
    <w:rsid w:val="002E0EBE"/>
    <w:rsid w:val="002E467F"/>
    <w:rsid w:val="002E573A"/>
    <w:rsid w:val="002E6D76"/>
    <w:rsid w:val="002E7CBA"/>
    <w:rsid w:val="002F18C4"/>
    <w:rsid w:val="003010EF"/>
    <w:rsid w:val="00301770"/>
    <w:rsid w:val="003060E5"/>
    <w:rsid w:val="003061A3"/>
    <w:rsid w:val="00307E7A"/>
    <w:rsid w:val="00310080"/>
    <w:rsid w:val="003102A5"/>
    <w:rsid w:val="00311062"/>
    <w:rsid w:val="003155E6"/>
    <w:rsid w:val="00316EE3"/>
    <w:rsid w:val="00320289"/>
    <w:rsid w:val="00320E32"/>
    <w:rsid w:val="003223A0"/>
    <w:rsid w:val="0032457D"/>
    <w:rsid w:val="0032509C"/>
    <w:rsid w:val="00325EEB"/>
    <w:rsid w:val="00326A34"/>
    <w:rsid w:val="00332FA7"/>
    <w:rsid w:val="0033500E"/>
    <w:rsid w:val="00336441"/>
    <w:rsid w:val="00336451"/>
    <w:rsid w:val="00337EE2"/>
    <w:rsid w:val="00340523"/>
    <w:rsid w:val="0034270A"/>
    <w:rsid w:val="00343292"/>
    <w:rsid w:val="0034545E"/>
    <w:rsid w:val="00346104"/>
    <w:rsid w:val="00346909"/>
    <w:rsid w:val="0035022D"/>
    <w:rsid w:val="00350AA9"/>
    <w:rsid w:val="00353654"/>
    <w:rsid w:val="00354E20"/>
    <w:rsid w:val="00360155"/>
    <w:rsid w:val="003604AF"/>
    <w:rsid w:val="00360ABE"/>
    <w:rsid w:val="00363B0A"/>
    <w:rsid w:val="00372FA2"/>
    <w:rsid w:val="0037468A"/>
    <w:rsid w:val="003830ED"/>
    <w:rsid w:val="00391742"/>
    <w:rsid w:val="00391B86"/>
    <w:rsid w:val="003A48DF"/>
    <w:rsid w:val="003B6A22"/>
    <w:rsid w:val="003C29E6"/>
    <w:rsid w:val="003C4222"/>
    <w:rsid w:val="003C434F"/>
    <w:rsid w:val="003E24C4"/>
    <w:rsid w:val="003E2826"/>
    <w:rsid w:val="003E694B"/>
    <w:rsid w:val="0040323A"/>
    <w:rsid w:val="004070A5"/>
    <w:rsid w:val="00416912"/>
    <w:rsid w:val="0043219D"/>
    <w:rsid w:val="00437135"/>
    <w:rsid w:val="0043715E"/>
    <w:rsid w:val="004373DA"/>
    <w:rsid w:val="00437B5C"/>
    <w:rsid w:val="00444B55"/>
    <w:rsid w:val="004475D6"/>
    <w:rsid w:val="00453F45"/>
    <w:rsid w:val="00454A48"/>
    <w:rsid w:val="00456906"/>
    <w:rsid w:val="004620FD"/>
    <w:rsid w:val="004641B2"/>
    <w:rsid w:val="004657C3"/>
    <w:rsid w:val="00473493"/>
    <w:rsid w:val="0047684E"/>
    <w:rsid w:val="00484D64"/>
    <w:rsid w:val="004978FF"/>
    <w:rsid w:val="004A0C7D"/>
    <w:rsid w:val="004A17FD"/>
    <w:rsid w:val="004A32D6"/>
    <w:rsid w:val="004A4303"/>
    <w:rsid w:val="004B179D"/>
    <w:rsid w:val="004B2D15"/>
    <w:rsid w:val="004C1437"/>
    <w:rsid w:val="004C443E"/>
    <w:rsid w:val="004C7325"/>
    <w:rsid w:val="004D765F"/>
    <w:rsid w:val="004E177D"/>
    <w:rsid w:val="004E2974"/>
    <w:rsid w:val="004E7060"/>
    <w:rsid w:val="004F1354"/>
    <w:rsid w:val="004F39DF"/>
    <w:rsid w:val="004F74A1"/>
    <w:rsid w:val="00500E5C"/>
    <w:rsid w:val="00503063"/>
    <w:rsid w:val="00504F8E"/>
    <w:rsid w:val="0050566A"/>
    <w:rsid w:val="00512E73"/>
    <w:rsid w:val="00524CF0"/>
    <w:rsid w:val="00525E2F"/>
    <w:rsid w:val="00531B63"/>
    <w:rsid w:val="00532EA7"/>
    <w:rsid w:val="00534E47"/>
    <w:rsid w:val="00535CB6"/>
    <w:rsid w:val="0053694B"/>
    <w:rsid w:val="005400EE"/>
    <w:rsid w:val="00540501"/>
    <w:rsid w:val="005409B8"/>
    <w:rsid w:val="00541628"/>
    <w:rsid w:val="005470DF"/>
    <w:rsid w:val="005471A3"/>
    <w:rsid w:val="005522B2"/>
    <w:rsid w:val="0055328A"/>
    <w:rsid w:val="005534A4"/>
    <w:rsid w:val="005557EA"/>
    <w:rsid w:val="00555B85"/>
    <w:rsid w:val="0055759C"/>
    <w:rsid w:val="0056484A"/>
    <w:rsid w:val="00571758"/>
    <w:rsid w:val="00572BFD"/>
    <w:rsid w:val="00574633"/>
    <w:rsid w:val="00580DC1"/>
    <w:rsid w:val="00582358"/>
    <w:rsid w:val="00584CCF"/>
    <w:rsid w:val="0059219E"/>
    <w:rsid w:val="005A1774"/>
    <w:rsid w:val="005A4F15"/>
    <w:rsid w:val="005A50F1"/>
    <w:rsid w:val="005A6D90"/>
    <w:rsid w:val="005B2155"/>
    <w:rsid w:val="005B2D56"/>
    <w:rsid w:val="005C21A9"/>
    <w:rsid w:val="005C61BF"/>
    <w:rsid w:val="005C66D8"/>
    <w:rsid w:val="005D475A"/>
    <w:rsid w:val="005D5552"/>
    <w:rsid w:val="005D6F9B"/>
    <w:rsid w:val="005D7C00"/>
    <w:rsid w:val="005E0467"/>
    <w:rsid w:val="005E7817"/>
    <w:rsid w:val="005F0529"/>
    <w:rsid w:val="005F065D"/>
    <w:rsid w:val="005F0DD3"/>
    <w:rsid w:val="005F155A"/>
    <w:rsid w:val="005F1CD8"/>
    <w:rsid w:val="005F2E5A"/>
    <w:rsid w:val="005F45A6"/>
    <w:rsid w:val="005F6B5B"/>
    <w:rsid w:val="005F7C1F"/>
    <w:rsid w:val="00600DEB"/>
    <w:rsid w:val="006037F0"/>
    <w:rsid w:val="00606129"/>
    <w:rsid w:val="00616C2E"/>
    <w:rsid w:val="00623924"/>
    <w:rsid w:val="006244C3"/>
    <w:rsid w:val="0062452F"/>
    <w:rsid w:val="00624CF7"/>
    <w:rsid w:val="00627159"/>
    <w:rsid w:val="00632619"/>
    <w:rsid w:val="00632BC5"/>
    <w:rsid w:val="00636DCD"/>
    <w:rsid w:val="00637C70"/>
    <w:rsid w:val="00645055"/>
    <w:rsid w:val="00645826"/>
    <w:rsid w:val="00655CC7"/>
    <w:rsid w:val="0066494D"/>
    <w:rsid w:val="006676B9"/>
    <w:rsid w:val="00673CBB"/>
    <w:rsid w:val="00676D89"/>
    <w:rsid w:val="006869D3"/>
    <w:rsid w:val="0069376A"/>
    <w:rsid w:val="00693DF2"/>
    <w:rsid w:val="006A1425"/>
    <w:rsid w:val="006A27A1"/>
    <w:rsid w:val="006A3DA2"/>
    <w:rsid w:val="006A440B"/>
    <w:rsid w:val="006B1BD4"/>
    <w:rsid w:val="006B2E97"/>
    <w:rsid w:val="006B77B9"/>
    <w:rsid w:val="006C11E1"/>
    <w:rsid w:val="006C6EEF"/>
    <w:rsid w:val="006D7D93"/>
    <w:rsid w:val="006E26F9"/>
    <w:rsid w:val="006E3B41"/>
    <w:rsid w:val="006E46B0"/>
    <w:rsid w:val="006E69D3"/>
    <w:rsid w:val="006E72B2"/>
    <w:rsid w:val="006F070B"/>
    <w:rsid w:val="006F0DAA"/>
    <w:rsid w:val="006F1C7C"/>
    <w:rsid w:val="006F7F7F"/>
    <w:rsid w:val="00712E94"/>
    <w:rsid w:val="00717522"/>
    <w:rsid w:val="00717767"/>
    <w:rsid w:val="00720490"/>
    <w:rsid w:val="00720649"/>
    <w:rsid w:val="00721234"/>
    <w:rsid w:val="00722EC9"/>
    <w:rsid w:val="007267C7"/>
    <w:rsid w:val="007270B6"/>
    <w:rsid w:val="00732FD8"/>
    <w:rsid w:val="0073329D"/>
    <w:rsid w:val="00733702"/>
    <w:rsid w:val="0074156F"/>
    <w:rsid w:val="0074419B"/>
    <w:rsid w:val="00744998"/>
    <w:rsid w:val="007474A6"/>
    <w:rsid w:val="0075195C"/>
    <w:rsid w:val="007561B9"/>
    <w:rsid w:val="00760397"/>
    <w:rsid w:val="007616D2"/>
    <w:rsid w:val="00761A68"/>
    <w:rsid w:val="00762C28"/>
    <w:rsid w:val="007640A3"/>
    <w:rsid w:val="007642C2"/>
    <w:rsid w:val="0077080E"/>
    <w:rsid w:val="0077246B"/>
    <w:rsid w:val="0077506B"/>
    <w:rsid w:val="00776009"/>
    <w:rsid w:val="00780AB1"/>
    <w:rsid w:val="0078230C"/>
    <w:rsid w:val="007825C2"/>
    <w:rsid w:val="00782E4F"/>
    <w:rsid w:val="00783285"/>
    <w:rsid w:val="0078493A"/>
    <w:rsid w:val="00786342"/>
    <w:rsid w:val="00791741"/>
    <w:rsid w:val="00792591"/>
    <w:rsid w:val="007939DD"/>
    <w:rsid w:val="007971E9"/>
    <w:rsid w:val="00797D30"/>
    <w:rsid w:val="007A1376"/>
    <w:rsid w:val="007A6AEE"/>
    <w:rsid w:val="007A6D4B"/>
    <w:rsid w:val="007C0222"/>
    <w:rsid w:val="007C6423"/>
    <w:rsid w:val="007D34CE"/>
    <w:rsid w:val="007D451D"/>
    <w:rsid w:val="007D477B"/>
    <w:rsid w:val="007D69A2"/>
    <w:rsid w:val="007D6E9D"/>
    <w:rsid w:val="007D7C8E"/>
    <w:rsid w:val="007E0EA7"/>
    <w:rsid w:val="007E4890"/>
    <w:rsid w:val="007F6DA2"/>
    <w:rsid w:val="00800519"/>
    <w:rsid w:val="00806ADA"/>
    <w:rsid w:val="00810088"/>
    <w:rsid w:val="008148BE"/>
    <w:rsid w:val="00814CDE"/>
    <w:rsid w:val="00816215"/>
    <w:rsid w:val="0082148E"/>
    <w:rsid w:val="0083160A"/>
    <w:rsid w:val="00840DF4"/>
    <w:rsid w:val="008422F2"/>
    <w:rsid w:val="008463B6"/>
    <w:rsid w:val="00846468"/>
    <w:rsid w:val="00850377"/>
    <w:rsid w:val="008540DE"/>
    <w:rsid w:val="00854900"/>
    <w:rsid w:val="008555C8"/>
    <w:rsid w:val="0085681A"/>
    <w:rsid w:val="00860862"/>
    <w:rsid w:val="00862A57"/>
    <w:rsid w:val="0086365B"/>
    <w:rsid w:val="00863E17"/>
    <w:rsid w:val="0088227B"/>
    <w:rsid w:val="008869F5"/>
    <w:rsid w:val="00895ADE"/>
    <w:rsid w:val="008974E7"/>
    <w:rsid w:val="008A35ED"/>
    <w:rsid w:val="008A454E"/>
    <w:rsid w:val="008A47AE"/>
    <w:rsid w:val="008A70E2"/>
    <w:rsid w:val="008A7B9F"/>
    <w:rsid w:val="008B128C"/>
    <w:rsid w:val="008B19C4"/>
    <w:rsid w:val="008B59A5"/>
    <w:rsid w:val="008B6923"/>
    <w:rsid w:val="008B6AE9"/>
    <w:rsid w:val="008C3136"/>
    <w:rsid w:val="008C44E3"/>
    <w:rsid w:val="008D00F6"/>
    <w:rsid w:val="008D0BD2"/>
    <w:rsid w:val="008D2CB4"/>
    <w:rsid w:val="008D5392"/>
    <w:rsid w:val="008D79AA"/>
    <w:rsid w:val="008E1526"/>
    <w:rsid w:val="008E2E38"/>
    <w:rsid w:val="008E5B63"/>
    <w:rsid w:val="008F0A3B"/>
    <w:rsid w:val="008F7572"/>
    <w:rsid w:val="00901917"/>
    <w:rsid w:val="009022AA"/>
    <w:rsid w:val="009071BE"/>
    <w:rsid w:val="00910CD5"/>
    <w:rsid w:val="00916BA5"/>
    <w:rsid w:val="009223C3"/>
    <w:rsid w:val="00922405"/>
    <w:rsid w:val="00925B15"/>
    <w:rsid w:val="00927E32"/>
    <w:rsid w:val="009357AF"/>
    <w:rsid w:val="00937D2A"/>
    <w:rsid w:val="0094002C"/>
    <w:rsid w:val="00940B4D"/>
    <w:rsid w:val="00941518"/>
    <w:rsid w:val="00941D50"/>
    <w:rsid w:val="009463EE"/>
    <w:rsid w:val="00962E95"/>
    <w:rsid w:val="00963ADF"/>
    <w:rsid w:val="00963E94"/>
    <w:rsid w:val="009647CD"/>
    <w:rsid w:val="00965F08"/>
    <w:rsid w:val="00970F02"/>
    <w:rsid w:val="00971A86"/>
    <w:rsid w:val="009722B3"/>
    <w:rsid w:val="00975E55"/>
    <w:rsid w:val="009766DA"/>
    <w:rsid w:val="0097724F"/>
    <w:rsid w:val="00985F58"/>
    <w:rsid w:val="009865EC"/>
    <w:rsid w:val="00990447"/>
    <w:rsid w:val="0099440D"/>
    <w:rsid w:val="00995141"/>
    <w:rsid w:val="00996313"/>
    <w:rsid w:val="009967DF"/>
    <w:rsid w:val="00996CA7"/>
    <w:rsid w:val="00997B15"/>
    <w:rsid w:val="009C2018"/>
    <w:rsid w:val="009C2977"/>
    <w:rsid w:val="009C39B2"/>
    <w:rsid w:val="009E2B90"/>
    <w:rsid w:val="009E6C9E"/>
    <w:rsid w:val="009F59A3"/>
    <w:rsid w:val="009F7097"/>
    <w:rsid w:val="009F78BB"/>
    <w:rsid w:val="00A059DC"/>
    <w:rsid w:val="00A17EB3"/>
    <w:rsid w:val="00A202CD"/>
    <w:rsid w:val="00A20D43"/>
    <w:rsid w:val="00A34889"/>
    <w:rsid w:val="00A34B1F"/>
    <w:rsid w:val="00A36BC9"/>
    <w:rsid w:val="00A371D6"/>
    <w:rsid w:val="00A42C31"/>
    <w:rsid w:val="00A43113"/>
    <w:rsid w:val="00A44B39"/>
    <w:rsid w:val="00A47EDA"/>
    <w:rsid w:val="00A506D2"/>
    <w:rsid w:val="00A50D0C"/>
    <w:rsid w:val="00A558B3"/>
    <w:rsid w:val="00A56ACC"/>
    <w:rsid w:val="00A56FA4"/>
    <w:rsid w:val="00A61646"/>
    <w:rsid w:val="00A63F06"/>
    <w:rsid w:val="00A6639F"/>
    <w:rsid w:val="00A7158F"/>
    <w:rsid w:val="00A73AB0"/>
    <w:rsid w:val="00A7417F"/>
    <w:rsid w:val="00A751BE"/>
    <w:rsid w:val="00A832DE"/>
    <w:rsid w:val="00A878FF"/>
    <w:rsid w:val="00A87A67"/>
    <w:rsid w:val="00A9025C"/>
    <w:rsid w:val="00A90C1C"/>
    <w:rsid w:val="00A91693"/>
    <w:rsid w:val="00A91AF7"/>
    <w:rsid w:val="00A92FCA"/>
    <w:rsid w:val="00A93449"/>
    <w:rsid w:val="00A968AE"/>
    <w:rsid w:val="00A97433"/>
    <w:rsid w:val="00A97DFF"/>
    <w:rsid w:val="00AA12E7"/>
    <w:rsid w:val="00AA19FD"/>
    <w:rsid w:val="00AB421F"/>
    <w:rsid w:val="00AB4D08"/>
    <w:rsid w:val="00AB6607"/>
    <w:rsid w:val="00AC4194"/>
    <w:rsid w:val="00AC75D1"/>
    <w:rsid w:val="00AD115C"/>
    <w:rsid w:val="00AE08C3"/>
    <w:rsid w:val="00AE097B"/>
    <w:rsid w:val="00AE165A"/>
    <w:rsid w:val="00AE1DC5"/>
    <w:rsid w:val="00AE21EE"/>
    <w:rsid w:val="00AF277B"/>
    <w:rsid w:val="00AF404B"/>
    <w:rsid w:val="00AF4588"/>
    <w:rsid w:val="00AF704F"/>
    <w:rsid w:val="00B0086E"/>
    <w:rsid w:val="00B03F09"/>
    <w:rsid w:val="00B04806"/>
    <w:rsid w:val="00B04896"/>
    <w:rsid w:val="00B06BD9"/>
    <w:rsid w:val="00B12714"/>
    <w:rsid w:val="00B1476B"/>
    <w:rsid w:val="00B25B81"/>
    <w:rsid w:val="00B31820"/>
    <w:rsid w:val="00B325BA"/>
    <w:rsid w:val="00B32BF3"/>
    <w:rsid w:val="00B33109"/>
    <w:rsid w:val="00B34B3F"/>
    <w:rsid w:val="00B34F25"/>
    <w:rsid w:val="00B366A3"/>
    <w:rsid w:val="00B37080"/>
    <w:rsid w:val="00B41AB3"/>
    <w:rsid w:val="00B4364B"/>
    <w:rsid w:val="00B46D6F"/>
    <w:rsid w:val="00B47AF8"/>
    <w:rsid w:val="00B55009"/>
    <w:rsid w:val="00B55982"/>
    <w:rsid w:val="00B572F3"/>
    <w:rsid w:val="00B57926"/>
    <w:rsid w:val="00B602B0"/>
    <w:rsid w:val="00B62C85"/>
    <w:rsid w:val="00B63457"/>
    <w:rsid w:val="00B66F3A"/>
    <w:rsid w:val="00B75DFC"/>
    <w:rsid w:val="00B77043"/>
    <w:rsid w:val="00B776A9"/>
    <w:rsid w:val="00B82908"/>
    <w:rsid w:val="00B844A1"/>
    <w:rsid w:val="00B85479"/>
    <w:rsid w:val="00B86E18"/>
    <w:rsid w:val="00B90074"/>
    <w:rsid w:val="00B96969"/>
    <w:rsid w:val="00BA2287"/>
    <w:rsid w:val="00BA4FE4"/>
    <w:rsid w:val="00BA6A9B"/>
    <w:rsid w:val="00BA6CB1"/>
    <w:rsid w:val="00BA7FB7"/>
    <w:rsid w:val="00BB4A52"/>
    <w:rsid w:val="00BB6B1C"/>
    <w:rsid w:val="00BB7CDD"/>
    <w:rsid w:val="00BB7F3A"/>
    <w:rsid w:val="00BC101F"/>
    <w:rsid w:val="00BC5A60"/>
    <w:rsid w:val="00BD0936"/>
    <w:rsid w:val="00BD4DD7"/>
    <w:rsid w:val="00BD7474"/>
    <w:rsid w:val="00BE0C19"/>
    <w:rsid w:val="00BE0D10"/>
    <w:rsid w:val="00BE2B2E"/>
    <w:rsid w:val="00BF7E85"/>
    <w:rsid w:val="00C0154C"/>
    <w:rsid w:val="00C01DEF"/>
    <w:rsid w:val="00C12905"/>
    <w:rsid w:val="00C133A6"/>
    <w:rsid w:val="00C14E06"/>
    <w:rsid w:val="00C15BF4"/>
    <w:rsid w:val="00C252C8"/>
    <w:rsid w:val="00C3066F"/>
    <w:rsid w:val="00C344B4"/>
    <w:rsid w:val="00C45D34"/>
    <w:rsid w:val="00C461F6"/>
    <w:rsid w:val="00C550E2"/>
    <w:rsid w:val="00C555E7"/>
    <w:rsid w:val="00C56732"/>
    <w:rsid w:val="00C617A2"/>
    <w:rsid w:val="00C63781"/>
    <w:rsid w:val="00C65604"/>
    <w:rsid w:val="00C656AB"/>
    <w:rsid w:val="00C6744C"/>
    <w:rsid w:val="00C6753A"/>
    <w:rsid w:val="00C705BD"/>
    <w:rsid w:val="00C710CA"/>
    <w:rsid w:val="00C72254"/>
    <w:rsid w:val="00C747F3"/>
    <w:rsid w:val="00C761C4"/>
    <w:rsid w:val="00C824DF"/>
    <w:rsid w:val="00C83404"/>
    <w:rsid w:val="00C869C2"/>
    <w:rsid w:val="00C879E8"/>
    <w:rsid w:val="00C94289"/>
    <w:rsid w:val="00CA0E4F"/>
    <w:rsid w:val="00CA11BE"/>
    <w:rsid w:val="00CA2C7F"/>
    <w:rsid w:val="00CA66E3"/>
    <w:rsid w:val="00CB3BA5"/>
    <w:rsid w:val="00CB51F0"/>
    <w:rsid w:val="00CB540B"/>
    <w:rsid w:val="00CB567D"/>
    <w:rsid w:val="00CC013F"/>
    <w:rsid w:val="00CC2449"/>
    <w:rsid w:val="00CC3EE3"/>
    <w:rsid w:val="00CC4EF6"/>
    <w:rsid w:val="00CC6C2D"/>
    <w:rsid w:val="00CC702B"/>
    <w:rsid w:val="00CC76E9"/>
    <w:rsid w:val="00CD29F8"/>
    <w:rsid w:val="00CD2D9D"/>
    <w:rsid w:val="00CD6D64"/>
    <w:rsid w:val="00CE173B"/>
    <w:rsid w:val="00CE49F7"/>
    <w:rsid w:val="00CE5802"/>
    <w:rsid w:val="00CF6F73"/>
    <w:rsid w:val="00D00892"/>
    <w:rsid w:val="00D04E0B"/>
    <w:rsid w:val="00D1272D"/>
    <w:rsid w:val="00D156B3"/>
    <w:rsid w:val="00D15F44"/>
    <w:rsid w:val="00D21706"/>
    <w:rsid w:val="00D22240"/>
    <w:rsid w:val="00D24C11"/>
    <w:rsid w:val="00D312A0"/>
    <w:rsid w:val="00D33A59"/>
    <w:rsid w:val="00D33E0B"/>
    <w:rsid w:val="00D34E95"/>
    <w:rsid w:val="00D36ACD"/>
    <w:rsid w:val="00D457D3"/>
    <w:rsid w:val="00D45EC0"/>
    <w:rsid w:val="00D473E7"/>
    <w:rsid w:val="00D47F17"/>
    <w:rsid w:val="00D517B9"/>
    <w:rsid w:val="00D51BE9"/>
    <w:rsid w:val="00D527C4"/>
    <w:rsid w:val="00D52C50"/>
    <w:rsid w:val="00D5313B"/>
    <w:rsid w:val="00D53F23"/>
    <w:rsid w:val="00D56F35"/>
    <w:rsid w:val="00D56F7F"/>
    <w:rsid w:val="00D65187"/>
    <w:rsid w:val="00D65FED"/>
    <w:rsid w:val="00D6737A"/>
    <w:rsid w:val="00D73A16"/>
    <w:rsid w:val="00D74429"/>
    <w:rsid w:val="00D87D58"/>
    <w:rsid w:val="00D90887"/>
    <w:rsid w:val="00D90B96"/>
    <w:rsid w:val="00D91821"/>
    <w:rsid w:val="00D927A8"/>
    <w:rsid w:val="00D95EAE"/>
    <w:rsid w:val="00D976C6"/>
    <w:rsid w:val="00DA08DD"/>
    <w:rsid w:val="00DA0F36"/>
    <w:rsid w:val="00DA118E"/>
    <w:rsid w:val="00DA1329"/>
    <w:rsid w:val="00DA5CA3"/>
    <w:rsid w:val="00DA771A"/>
    <w:rsid w:val="00DA7EE8"/>
    <w:rsid w:val="00DB51ED"/>
    <w:rsid w:val="00DB67D1"/>
    <w:rsid w:val="00DC138B"/>
    <w:rsid w:val="00DC7D76"/>
    <w:rsid w:val="00DD07F9"/>
    <w:rsid w:val="00DD2C26"/>
    <w:rsid w:val="00DD7145"/>
    <w:rsid w:val="00DE521C"/>
    <w:rsid w:val="00DE6E85"/>
    <w:rsid w:val="00DF00C2"/>
    <w:rsid w:val="00DF279F"/>
    <w:rsid w:val="00DF6D69"/>
    <w:rsid w:val="00DF7194"/>
    <w:rsid w:val="00DF76C6"/>
    <w:rsid w:val="00E01B7B"/>
    <w:rsid w:val="00E01CC0"/>
    <w:rsid w:val="00E01EBB"/>
    <w:rsid w:val="00E0452D"/>
    <w:rsid w:val="00E128B2"/>
    <w:rsid w:val="00E15116"/>
    <w:rsid w:val="00E1660F"/>
    <w:rsid w:val="00E17326"/>
    <w:rsid w:val="00E21881"/>
    <w:rsid w:val="00E21CA6"/>
    <w:rsid w:val="00E24736"/>
    <w:rsid w:val="00E247C9"/>
    <w:rsid w:val="00E334E0"/>
    <w:rsid w:val="00E36F85"/>
    <w:rsid w:val="00E4405F"/>
    <w:rsid w:val="00E44EE8"/>
    <w:rsid w:val="00E46397"/>
    <w:rsid w:val="00E501D4"/>
    <w:rsid w:val="00E50986"/>
    <w:rsid w:val="00E5108C"/>
    <w:rsid w:val="00E52284"/>
    <w:rsid w:val="00E52D5C"/>
    <w:rsid w:val="00E53AC2"/>
    <w:rsid w:val="00E56810"/>
    <w:rsid w:val="00E60E42"/>
    <w:rsid w:val="00E6138A"/>
    <w:rsid w:val="00E65ED5"/>
    <w:rsid w:val="00E66413"/>
    <w:rsid w:val="00E66D94"/>
    <w:rsid w:val="00E6762C"/>
    <w:rsid w:val="00E75735"/>
    <w:rsid w:val="00E80A14"/>
    <w:rsid w:val="00E83E83"/>
    <w:rsid w:val="00E851F6"/>
    <w:rsid w:val="00E855E2"/>
    <w:rsid w:val="00E90786"/>
    <w:rsid w:val="00E90D5A"/>
    <w:rsid w:val="00E95611"/>
    <w:rsid w:val="00E957C6"/>
    <w:rsid w:val="00EA0367"/>
    <w:rsid w:val="00EA0C5D"/>
    <w:rsid w:val="00EA6D7D"/>
    <w:rsid w:val="00EA7D9D"/>
    <w:rsid w:val="00EB19FA"/>
    <w:rsid w:val="00EB3128"/>
    <w:rsid w:val="00EB5403"/>
    <w:rsid w:val="00EB6F0E"/>
    <w:rsid w:val="00EC1A3E"/>
    <w:rsid w:val="00EC7827"/>
    <w:rsid w:val="00ED0A11"/>
    <w:rsid w:val="00ED228F"/>
    <w:rsid w:val="00ED3542"/>
    <w:rsid w:val="00ED76C0"/>
    <w:rsid w:val="00EE79E2"/>
    <w:rsid w:val="00EF0418"/>
    <w:rsid w:val="00EF2E67"/>
    <w:rsid w:val="00EF5888"/>
    <w:rsid w:val="00EF6BE5"/>
    <w:rsid w:val="00F032BC"/>
    <w:rsid w:val="00F04EF5"/>
    <w:rsid w:val="00F121F2"/>
    <w:rsid w:val="00F1642E"/>
    <w:rsid w:val="00F17AF5"/>
    <w:rsid w:val="00F220A0"/>
    <w:rsid w:val="00F227B8"/>
    <w:rsid w:val="00F261A6"/>
    <w:rsid w:val="00F267A5"/>
    <w:rsid w:val="00F27418"/>
    <w:rsid w:val="00F27C05"/>
    <w:rsid w:val="00F339B7"/>
    <w:rsid w:val="00F33FAD"/>
    <w:rsid w:val="00F355A1"/>
    <w:rsid w:val="00F420F8"/>
    <w:rsid w:val="00F4642C"/>
    <w:rsid w:val="00F47A89"/>
    <w:rsid w:val="00F53CE4"/>
    <w:rsid w:val="00F55E61"/>
    <w:rsid w:val="00F6451D"/>
    <w:rsid w:val="00F65089"/>
    <w:rsid w:val="00F65C69"/>
    <w:rsid w:val="00F7335D"/>
    <w:rsid w:val="00F73641"/>
    <w:rsid w:val="00F7393F"/>
    <w:rsid w:val="00F8629C"/>
    <w:rsid w:val="00F87862"/>
    <w:rsid w:val="00F87E72"/>
    <w:rsid w:val="00F91232"/>
    <w:rsid w:val="00F9604D"/>
    <w:rsid w:val="00FA49A7"/>
    <w:rsid w:val="00FA5508"/>
    <w:rsid w:val="00FB093D"/>
    <w:rsid w:val="00FB32E1"/>
    <w:rsid w:val="00FB60E4"/>
    <w:rsid w:val="00FB6A6B"/>
    <w:rsid w:val="00FB7AEA"/>
    <w:rsid w:val="00FB7EA9"/>
    <w:rsid w:val="00FC1C5B"/>
    <w:rsid w:val="00FD5F8B"/>
    <w:rsid w:val="00FD6717"/>
    <w:rsid w:val="00FD73C1"/>
    <w:rsid w:val="00FD7680"/>
    <w:rsid w:val="00FE673A"/>
    <w:rsid w:val="00FF0AF8"/>
    <w:rsid w:val="00FF54F5"/>
    <w:rsid w:val="00FF5994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136C4"/>
  <w15:chartTrackingRefBased/>
  <w15:docId w15:val="{7001F7AD-993E-49D7-979D-D8393636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D7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D7D"/>
    <w:pPr>
      <w:keepNext/>
      <w:keepLines/>
      <w:spacing w:after="80" w:line="240" w:lineRule="auto"/>
      <w:jc w:val="both"/>
      <w:outlineLvl w:val="1"/>
    </w:pPr>
    <w:rPr>
      <w:rFonts w:asciiTheme="minorHAnsi" w:eastAsiaTheme="majorEastAsia" w:hAnsiTheme="minorHAnsi" w:cstheme="majorBidi"/>
      <w:color w:val="2F5496" w:themeColor="accent1" w:themeShade="BF"/>
      <w:sz w:val="28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F5D7D"/>
    <w:pPr>
      <w:spacing w:line="240" w:lineRule="auto"/>
      <w:ind w:left="720"/>
      <w:contextualSpacing/>
    </w:pPr>
    <w:rPr>
      <w:rFonts w:ascii="Arial" w:eastAsiaTheme="minorHAnsi" w:hAnsi="Arial" w:cstheme="minorBidi"/>
      <w:lang w:val="es-ES_tradnl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F5D7D"/>
    <w:rPr>
      <w:rFonts w:ascii="Arial" w:hAnsi="Arial"/>
      <w:sz w:val="24"/>
      <w:szCs w:val="24"/>
      <w:lang w:val="es-ES_tradnl"/>
    </w:rPr>
  </w:style>
  <w:style w:type="paragraph" w:customStyle="1" w:styleId="Default">
    <w:name w:val="Default"/>
    <w:rsid w:val="001F5D7D"/>
    <w:pPr>
      <w:autoSpaceDE w:val="0"/>
      <w:autoSpaceDN w:val="0"/>
      <w:adjustRightInd w:val="0"/>
      <w:spacing w:after="0" w:line="240" w:lineRule="auto"/>
    </w:pPr>
    <w:rPr>
      <w:rFonts w:ascii="QESLZ A+ FS Albert" w:hAnsi="QESLZ A+ FS Albert" w:cs="QESLZ A+ FS Albert"/>
      <w:color w:val="000000"/>
      <w:sz w:val="24"/>
      <w:szCs w:val="24"/>
      <w:lang w:val="en-GB"/>
    </w:rPr>
  </w:style>
  <w:style w:type="paragraph" w:customStyle="1" w:styleId="Pa4">
    <w:name w:val="Pa4"/>
    <w:basedOn w:val="Default"/>
    <w:next w:val="Default"/>
    <w:uiPriority w:val="99"/>
    <w:rsid w:val="001F5D7D"/>
    <w:pPr>
      <w:spacing w:line="22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1F5D7D"/>
    <w:rPr>
      <w:rFonts w:eastAsiaTheme="majorEastAsia" w:cstheme="majorBidi"/>
      <w:color w:val="2F5496" w:themeColor="accent1" w:themeShade="BF"/>
      <w:sz w:val="28"/>
      <w:lang w:val="en-GB"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7D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1F5D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A3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CB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0A3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CB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63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7EDA"/>
    <w:pPr>
      <w:spacing w:line="240" w:lineRule="auto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EDA"/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218E-D59D-F041-B55A-8289A38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5787</Words>
  <Characters>32988</Characters>
  <Application>Microsoft Macintosh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COTE</dc:creator>
  <cp:keywords/>
  <dc:description/>
  <cp:lastModifiedBy>alex COTE</cp:lastModifiedBy>
  <cp:revision>3</cp:revision>
  <dcterms:created xsi:type="dcterms:W3CDTF">2019-05-31T15:21:00Z</dcterms:created>
  <dcterms:modified xsi:type="dcterms:W3CDTF">2019-05-31T15:22:00Z</dcterms:modified>
</cp:coreProperties>
</file>