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5C2A" w14:textId="58659EBF" w:rsidR="0083082F" w:rsidRDefault="0083082F" w:rsidP="0083082F">
      <w:pPr>
        <w:jc w:val="center"/>
        <w:rPr>
          <w:b/>
          <w:bCs/>
          <w:sz w:val="32"/>
          <w:szCs w:val="32"/>
        </w:rPr>
      </w:pPr>
      <w:r>
        <w:rPr>
          <w:b/>
          <w:bCs/>
          <w:noProof/>
          <w:sz w:val="32"/>
          <w:szCs w:val="32"/>
        </w:rPr>
        <w:drawing>
          <wp:inline distT="0" distB="0" distL="0" distR="0" wp14:anchorId="4D87EB4A" wp14:editId="1B415571">
            <wp:extent cx="1895475" cy="129656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8">
                      <a:extLst>
                        <a:ext uri="{28A0092B-C50C-407E-A947-70E740481C1C}">
                          <a14:useLocalDpi xmlns:a14="http://schemas.microsoft.com/office/drawing/2010/main" val="0"/>
                        </a:ext>
                      </a:extLst>
                    </a:blip>
                    <a:stretch>
                      <a:fillRect/>
                    </a:stretch>
                  </pic:blipFill>
                  <pic:spPr>
                    <a:xfrm>
                      <a:off x="0" y="0"/>
                      <a:ext cx="1905376" cy="1303341"/>
                    </a:xfrm>
                    <a:prstGeom prst="rect">
                      <a:avLst/>
                    </a:prstGeom>
                  </pic:spPr>
                </pic:pic>
              </a:graphicData>
            </a:graphic>
          </wp:inline>
        </w:drawing>
      </w:r>
    </w:p>
    <w:p w14:paraId="40C0ADEB" w14:textId="3793A45A" w:rsidR="00EB2D67" w:rsidRPr="007458C5" w:rsidRDefault="0083082F" w:rsidP="00A6126C">
      <w:pPr>
        <w:rPr>
          <w:b/>
          <w:bCs/>
          <w:sz w:val="32"/>
          <w:szCs w:val="32"/>
        </w:rPr>
      </w:pPr>
      <w:r>
        <w:rPr>
          <w:b/>
          <w:bCs/>
          <w:sz w:val="32"/>
          <w:szCs w:val="32"/>
        </w:rPr>
        <w:t>V</w:t>
      </w:r>
      <w:r w:rsidR="00D47C08" w:rsidRPr="007458C5">
        <w:rPr>
          <w:b/>
          <w:bCs/>
          <w:sz w:val="32"/>
          <w:szCs w:val="32"/>
        </w:rPr>
        <w:t xml:space="preserve">ision for </w:t>
      </w:r>
      <w:r w:rsidR="003B532E">
        <w:rPr>
          <w:b/>
          <w:bCs/>
          <w:sz w:val="32"/>
          <w:szCs w:val="32"/>
        </w:rPr>
        <w:t>SDG 4 implementation</w:t>
      </w:r>
      <w:r w:rsidR="00D47C08" w:rsidRPr="007458C5">
        <w:rPr>
          <w:b/>
          <w:bCs/>
          <w:sz w:val="32"/>
          <w:szCs w:val="32"/>
        </w:rPr>
        <w:t xml:space="preserve"> by 2030 in line with the CRPD</w:t>
      </w:r>
    </w:p>
    <w:p w14:paraId="3ADCE87D" w14:textId="77777777" w:rsidR="00D47C08" w:rsidRPr="007458C5" w:rsidRDefault="00D47C08" w:rsidP="00A6126C">
      <w:pPr>
        <w:rPr>
          <w:b/>
          <w:bCs/>
          <w:sz w:val="32"/>
          <w:szCs w:val="32"/>
        </w:rPr>
      </w:pPr>
      <w:bookmarkStart w:id="0" w:name="_GoBack"/>
      <w:bookmarkEnd w:id="0"/>
    </w:p>
    <w:p w14:paraId="1C6B2776" w14:textId="77777777" w:rsidR="0083082F" w:rsidRPr="0083082F" w:rsidRDefault="0083082F" w:rsidP="0083082F">
      <w:pPr>
        <w:rPr>
          <w:b/>
          <w:bCs/>
          <w:sz w:val="28"/>
          <w:szCs w:val="28"/>
        </w:rPr>
      </w:pPr>
      <w:r w:rsidRPr="0083082F">
        <w:rPr>
          <w:b/>
          <w:bCs/>
          <w:sz w:val="28"/>
          <w:szCs w:val="28"/>
        </w:rPr>
        <w:t>C</w:t>
      </w:r>
      <w:r w:rsidR="00EB2D67" w:rsidRPr="0083082F">
        <w:rPr>
          <w:b/>
          <w:bCs/>
          <w:sz w:val="28"/>
          <w:szCs w:val="28"/>
        </w:rPr>
        <w:t xml:space="preserve">onsensus </w:t>
      </w:r>
      <w:r w:rsidRPr="0083082F">
        <w:rPr>
          <w:b/>
          <w:bCs/>
          <w:sz w:val="28"/>
          <w:szCs w:val="28"/>
        </w:rPr>
        <w:t xml:space="preserve">position prepared by the </w:t>
      </w:r>
      <w:r w:rsidRPr="0083082F">
        <w:rPr>
          <w:b/>
          <w:bCs/>
          <w:sz w:val="28"/>
          <w:szCs w:val="28"/>
        </w:rPr>
        <w:t>IDA Inclusive Education task team</w:t>
      </w:r>
    </w:p>
    <w:p w14:paraId="47CFCE43" w14:textId="55D59A88" w:rsidR="00D47C08" w:rsidRPr="0083082F" w:rsidRDefault="0083082F" w:rsidP="00A6126C">
      <w:pPr>
        <w:rPr>
          <w:b/>
          <w:bCs/>
          <w:sz w:val="28"/>
          <w:szCs w:val="28"/>
        </w:rPr>
      </w:pPr>
      <w:r w:rsidRPr="0083082F">
        <w:rPr>
          <w:b/>
          <w:bCs/>
          <w:sz w:val="28"/>
          <w:szCs w:val="28"/>
        </w:rPr>
        <w:t>voted by the IDA Board (Nov. 2019)</w:t>
      </w:r>
    </w:p>
    <w:p w14:paraId="0A28CBCA" w14:textId="77777777" w:rsidR="006717F9" w:rsidRPr="007458C5" w:rsidRDefault="006717F9" w:rsidP="00100EBE">
      <w:pPr>
        <w:rPr>
          <w:b/>
          <w:bCs/>
          <w:sz w:val="32"/>
          <w:szCs w:val="32"/>
        </w:rPr>
      </w:pPr>
    </w:p>
    <w:p w14:paraId="5A1EC9FD" w14:textId="77777777" w:rsidR="00AB659C" w:rsidRPr="004733D0" w:rsidRDefault="00AB659C" w:rsidP="00155BE8">
      <w:pPr>
        <w:rPr>
          <w:b/>
          <w:bCs/>
          <w:lang w:eastAsia="zh-CN"/>
        </w:rPr>
      </w:pPr>
      <w:r w:rsidRPr="004733D0">
        <w:rPr>
          <w:b/>
          <w:bCs/>
          <w:lang w:eastAsia="zh-CN"/>
        </w:rPr>
        <w:t xml:space="preserve">Introduction </w:t>
      </w:r>
    </w:p>
    <w:p w14:paraId="6A37E54B" w14:textId="77777777" w:rsidR="00AB659C" w:rsidRDefault="00AB659C" w:rsidP="00155BE8">
      <w:pPr>
        <w:rPr>
          <w:lang w:eastAsia="zh-CN"/>
        </w:rPr>
      </w:pPr>
    </w:p>
    <w:p w14:paraId="7D646E25" w14:textId="481F6CB7" w:rsidR="006F5EC9" w:rsidRDefault="0046408D" w:rsidP="00100EBE">
      <w:pPr>
        <w:spacing w:after="120"/>
        <w:rPr>
          <w:lang w:eastAsia="zh-CN"/>
        </w:rPr>
      </w:pPr>
      <w:r>
        <w:rPr>
          <w:lang w:eastAsia="zh-CN"/>
        </w:rPr>
        <w:t>The</w:t>
      </w:r>
      <w:r w:rsidR="00AB659C">
        <w:rPr>
          <w:lang w:eastAsia="zh-CN"/>
        </w:rPr>
        <w:t xml:space="preserve"> following </w:t>
      </w:r>
      <w:r>
        <w:rPr>
          <w:lang w:eastAsia="zh-CN"/>
        </w:rPr>
        <w:t>document</w:t>
      </w:r>
      <w:r w:rsidR="00AB659C">
        <w:rPr>
          <w:lang w:eastAsia="zh-CN"/>
        </w:rPr>
        <w:t xml:space="preserve"> </w:t>
      </w:r>
      <w:r w:rsidR="006F5EC9">
        <w:rPr>
          <w:lang w:eastAsia="zh-CN"/>
        </w:rPr>
        <w:t>present</w:t>
      </w:r>
      <w:r w:rsidR="00AB5EB9">
        <w:rPr>
          <w:lang w:eastAsia="zh-CN"/>
        </w:rPr>
        <w:t>s</w:t>
      </w:r>
      <w:r w:rsidR="006F5EC9">
        <w:rPr>
          <w:lang w:eastAsia="zh-CN"/>
        </w:rPr>
        <w:t xml:space="preserve"> the </w:t>
      </w:r>
      <w:r w:rsidR="00AB659C">
        <w:rPr>
          <w:lang w:eastAsia="zh-CN"/>
        </w:rPr>
        <w:t>consensus</w:t>
      </w:r>
      <w:r w:rsidR="006F5EC9">
        <w:rPr>
          <w:lang w:eastAsia="zh-CN"/>
        </w:rPr>
        <w:t xml:space="preserve"> reached by the I</w:t>
      </w:r>
      <w:r w:rsidR="00194B52">
        <w:rPr>
          <w:lang w:eastAsia="zh-CN"/>
        </w:rPr>
        <w:t>nternational Disability Alliance I</w:t>
      </w:r>
      <w:r w:rsidR="00E156A1">
        <w:rPr>
          <w:lang w:eastAsia="zh-CN"/>
        </w:rPr>
        <w:t xml:space="preserve">nclusive </w:t>
      </w:r>
      <w:r w:rsidR="00194B52">
        <w:rPr>
          <w:lang w:eastAsia="zh-CN"/>
        </w:rPr>
        <w:t>E</w:t>
      </w:r>
      <w:r w:rsidR="00E156A1">
        <w:rPr>
          <w:lang w:eastAsia="zh-CN"/>
        </w:rPr>
        <w:t xml:space="preserve">ducation </w:t>
      </w:r>
      <w:r w:rsidR="006F5EC9">
        <w:rPr>
          <w:lang w:eastAsia="zh-CN"/>
        </w:rPr>
        <w:t xml:space="preserve">task team </w:t>
      </w:r>
      <w:r w:rsidR="00AB659C">
        <w:rPr>
          <w:lang w:eastAsia="zh-CN"/>
        </w:rPr>
        <w:t xml:space="preserve">on the </w:t>
      </w:r>
      <w:r w:rsidR="006F5EC9">
        <w:rPr>
          <w:lang w:eastAsia="zh-CN"/>
        </w:rPr>
        <w:t>framing of implementation of SDG 4 with the CRPD</w:t>
      </w:r>
      <w:r w:rsidR="00E156A1">
        <w:rPr>
          <w:lang w:eastAsia="zh-CN"/>
        </w:rPr>
        <w:t xml:space="preserve"> in the area of education</w:t>
      </w:r>
      <w:r w:rsidR="006F5EC9">
        <w:rPr>
          <w:lang w:eastAsia="zh-CN"/>
        </w:rPr>
        <w:t xml:space="preserve">. </w:t>
      </w:r>
    </w:p>
    <w:p w14:paraId="10E283F8" w14:textId="4623F27C" w:rsidR="00C34179" w:rsidRDefault="00F22C6B" w:rsidP="00100EBE">
      <w:pPr>
        <w:spacing w:after="120"/>
        <w:rPr>
          <w:lang w:eastAsia="zh-CN"/>
        </w:rPr>
      </w:pPr>
      <w:r>
        <w:rPr>
          <w:lang w:eastAsia="zh-CN"/>
        </w:rPr>
        <w:t xml:space="preserve">The consensus </w:t>
      </w:r>
      <w:r w:rsidR="007458C5">
        <w:rPr>
          <w:lang w:eastAsia="zh-CN"/>
        </w:rPr>
        <w:t>document</w:t>
      </w:r>
      <w:r>
        <w:rPr>
          <w:lang w:eastAsia="zh-CN"/>
        </w:rPr>
        <w:t xml:space="preserve"> is based on extensive exchanges between IDA members, dialogue with </w:t>
      </w:r>
      <w:r w:rsidR="00194B52">
        <w:rPr>
          <w:lang w:eastAsia="zh-CN"/>
        </w:rPr>
        <w:t>members of the International Disability Development Consortium (</w:t>
      </w:r>
      <w:r>
        <w:rPr>
          <w:lang w:eastAsia="zh-CN"/>
        </w:rPr>
        <w:t>IDDC</w:t>
      </w:r>
      <w:r w:rsidR="00194B52">
        <w:rPr>
          <w:lang w:eastAsia="zh-CN"/>
        </w:rPr>
        <w:t>)</w:t>
      </w:r>
      <w:r>
        <w:rPr>
          <w:lang w:eastAsia="zh-CN"/>
        </w:rPr>
        <w:t xml:space="preserve"> and review of</w:t>
      </w:r>
      <w:r w:rsidR="00E15DF5">
        <w:rPr>
          <w:lang w:eastAsia="zh-CN"/>
        </w:rPr>
        <w:t xml:space="preserve"> literature and in-depth analysis of </w:t>
      </w:r>
      <w:r w:rsidR="00AB5EB9">
        <w:rPr>
          <w:lang w:eastAsia="zh-CN"/>
        </w:rPr>
        <w:t xml:space="preserve">the </w:t>
      </w:r>
      <w:r w:rsidR="00E15DF5">
        <w:rPr>
          <w:lang w:eastAsia="zh-CN"/>
        </w:rPr>
        <w:t xml:space="preserve">Nepal </w:t>
      </w:r>
      <w:r w:rsidR="00E156A1">
        <w:rPr>
          <w:lang w:eastAsia="zh-CN"/>
        </w:rPr>
        <w:t>context</w:t>
      </w:r>
      <w:r w:rsidR="00E15DF5">
        <w:rPr>
          <w:lang w:eastAsia="zh-CN"/>
        </w:rPr>
        <w:t xml:space="preserve">, including </w:t>
      </w:r>
      <w:r w:rsidR="00194B52">
        <w:rPr>
          <w:lang w:eastAsia="zh-CN"/>
        </w:rPr>
        <w:t xml:space="preserve">an </w:t>
      </w:r>
      <w:r w:rsidR="00E15DF5">
        <w:rPr>
          <w:lang w:eastAsia="zh-CN"/>
        </w:rPr>
        <w:t xml:space="preserve">exchange with Nepalese </w:t>
      </w:r>
      <w:r w:rsidR="00194B52">
        <w:rPr>
          <w:lang w:eastAsia="zh-CN"/>
        </w:rPr>
        <w:t>representatives of disability organizations (</w:t>
      </w:r>
      <w:r w:rsidR="00E15DF5">
        <w:rPr>
          <w:lang w:eastAsia="zh-CN"/>
        </w:rPr>
        <w:t>DPOs</w:t>
      </w:r>
      <w:r w:rsidR="00194B52">
        <w:rPr>
          <w:lang w:eastAsia="zh-CN"/>
        </w:rPr>
        <w:t>)</w:t>
      </w:r>
      <w:r>
        <w:rPr>
          <w:lang w:eastAsia="zh-CN"/>
        </w:rPr>
        <w:t xml:space="preserve">. </w:t>
      </w:r>
      <w:r w:rsidR="00C34179">
        <w:rPr>
          <w:lang w:eastAsia="zh-CN"/>
        </w:rPr>
        <w:t>This document is the result of a collaborative process that lasted 16 months</w:t>
      </w:r>
      <w:r w:rsidR="0032798C">
        <w:rPr>
          <w:lang w:eastAsia="zh-CN"/>
        </w:rPr>
        <w:t xml:space="preserve"> and included</w:t>
      </w:r>
      <w:r w:rsidR="00C34179">
        <w:rPr>
          <w:lang w:eastAsia="zh-CN"/>
        </w:rPr>
        <w:t>:</w:t>
      </w:r>
    </w:p>
    <w:p w14:paraId="5CED84C1" w14:textId="1D4A5805" w:rsidR="00C34179" w:rsidRDefault="00C34179" w:rsidP="00100EBE">
      <w:pPr>
        <w:pStyle w:val="ListParagraph"/>
        <w:numPr>
          <w:ilvl w:val="0"/>
          <w:numId w:val="9"/>
        </w:numPr>
        <w:spacing w:after="120"/>
        <w:rPr>
          <w:lang w:eastAsia="zh-CN"/>
        </w:rPr>
      </w:pPr>
      <w:r>
        <w:rPr>
          <w:lang w:eastAsia="zh-CN"/>
        </w:rPr>
        <w:t>A stock taking workshop</w:t>
      </w:r>
      <w:r w:rsidR="0032798C">
        <w:rPr>
          <w:lang w:eastAsia="zh-CN"/>
        </w:rPr>
        <w:t xml:space="preserve"> with the IDDC IE task group</w:t>
      </w:r>
      <w:r w:rsidR="00194B52">
        <w:rPr>
          <w:lang w:eastAsia="zh-CN"/>
        </w:rPr>
        <w:t xml:space="preserve"> in March 2018</w:t>
      </w:r>
      <w:r>
        <w:rPr>
          <w:lang w:eastAsia="zh-CN"/>
        </w:rPr>
        <w:t xml:space="preserve"> and </w:t>
      </w:r>
      <w:r w:rsidR="0032798C">
        <w:rPr>
          <w:lang w:eastAsia="zh-CN"/>
        </w:rPr>
        <w:t xml:space="preserve">preparation of a </w:t>
      </w:r>
      <w:r>
        <w:rPr>
          <w:lang w:eastAsia="zh-CN"/>
        </w:rPr>
        <w:t xml:space="preserve">preliminary report on </w:t>
      </w:r>
      <w:r w:rsidR="0032798C">
        <w:rPr>
          <w:lang w:eastAsia="zh-CN"/>
        </w:rPr>
        <w:t xml:space="preserve">the </w:t>
      </w:r>
      <w:r>
        <w:rPr>
          <w:lang w:eastAsia="zh-CN"/>
        </w:rPr>
        <w:t>global state of play of education in general and for learners with disabilities</w:t>
      </w:r>
      <w:r w:rsidR="00E15DF5">
        <w:rPr>
          <w:lang w:eastAsia="zh-CN"/>
        </w:rPr>
        <w:t xml:space="preserve"> in particular</w:t>
      </w:r>
      <w:r w:rsidR="0032798C">
        <w:rPr>
          <w:lang w:eastAsia="zh-CN"/>
        </w:rPr>
        <w:t>.</w:t>
      </w:r>
    </w:p>
    <w:p w14:paraId="1F0ABAC7" w14:textId="34739FC5" w:rsidR="00883B5B" w:rsidRDefault="00C34179" w:rsidP="00100EBE">
      <w:pPr>
        <w:pStyle w:val="ListParagraph"/>
        <w:numPr>
          <w:ilvl w:val="0"/>
          <w:numId w:val="9"/>
        </w:numPr>
        <w:spacing w:after="120"/>
        <w:rPr>
          <w:lang w:eastAsia="zh-CN"/>
        </w:rPr>
      </w:pPr>
      <w:r>
        <w:rPr>
          <w:lang w:eastAsia="zh-CN"/>
        </w:rPr>
        <w:t xml:space="preserve">A </w:t>
      </w:r>
      <w:r w:rsidR="00E15DF5">
        <w:rPr>
          <w:lang w:eastAsia="zh-CN"/>
        </w:rPr>
        <w:t xml:space="preserve">comprehensive </w:t>
      </w:r>
      <w:r w:rsidR="00915CCE">
        <w:rPr>
          <w:lang w:eastAsia="zh-CN"/>
        </w:rPr>
        <w:t xml:space="preserve">data collection </w:t>
      </w:r>
      <w:r w:rsidR="00E15DF5">
        <w:rPr>
          <w:lang w:eastAsia="zh-CN"/>
        </w:rPr>
        <w:t xml:space="preserve">on Nepal </w:t>
      </w:r>
      <w:r w:rsidR="00971AE3">
        <w:rPr>
          <w:lang w:eastAsia="zh-CN"/>
        </w:rPr>
        <w:t xml:space="preserve">and </w:t>
      </w:r>
      <w:r w:rsidR="00E15DF5">
        <w:rPr>
          <w:lang w:eastAsia="zh-CN"/>
        </w:rPr>
        <w:t>an in-</w:t>
      </w:r>
      <w:r w:rsidR="00971AE3">
        <w:rPr>
          <w:lang w:eastAsia="zh-CN"/>
        </w:rPr>
        <w:t xml:space="preserve">depth exchange with Nepalese </w:t>
      </w:r>
      <w:r w:rsidR="00AB659C">
        <w:rPr>
          <w:lang w:eastAsia="zh-CN"/>
        </w:rPr>
        <w:t>DPOs</w:t>
      </w:r>
      <w:r w:rsidR="00194B52">
        <w:rPr>
          <w:lang w:eastAsia="zh-CN"/>
        </w:rPr>
        <w:t xml:space="preserve"> in March 2019,</w:t>
      </w:r>
      <w:r w:rsidR="00915CCE">
        <w:rPr>
          <w:lang w:eastAsia="zh-CN"/>
        </w:rPr>
        <w:t xml:space="preserve"> </w:t>
      </w:r>
      <w:r w:rsidR="00AB659C">
        <w:rPr>
          <w:lang w:eastAsia="zh-CN"/>
        </w:rPr>
        <w:t>and interaction with</w:t>
      </w:r>
      <w:r w:rsidR="00E15DF5">
        <w:rPr>
          <w:lang w:eastAsia="zh-CN"/>
        </w:rPr>
        <w:t xml:space="preserve"> DFID and UNICEF</w:t>
      </w:r>
      <w:r w:rsidR="00AB659C">
        <w:rPr>
          <w:lang w:eastAsia="zh-CN"/>
        </w:rPr>
        <w:t xml:space="preserve">. </w:t>
      </w:r>
    </w:p>
    <w:p w14:paraId="79AC35E3" w14:textId="6BA3B47D" w:rsidR="00D0477A" w:rsidRDefault="00D0477A" w:rsidP="00100EBE">
      <w:pPr>
        <w:pStyle w:val="ListParagraph"/>
        <w:numPr>
          <w:ilvl w:val="0"/>
          <w:numId w:val="9"/>
        </w:numPr>
        <w:spacing w:after="120"/>
        <w:rPr>
          <w:lang w:eastAsia="zh-CN"/>
        </w:rPr>
      </w:pPr>
      <w:r>
        <w:rPr>
          <w:lang w:eastAsia="zh-CN"/>
        </w:rPr>
        <w:t>A workshop in Brighton</w:t>
      </w:r>
      <w:r w:rsidR="00194B52">
        <w:rPr>
          <w:lang w:eastAsia="zh-CN"/>
        </w:rPr>
        <w:t xml:space="preserve"> in July 2019</w:t>
      </w:r>
      <w:r>
        <w:rPr>
          <w:lang w:eastAsia="zh-CN"/>
        </w:rPr>
        <w:t>,</w:t>
      </w:r>
      <w:r w:rsidR="004F7B28">
        <w:rPr>
          <w:lang w:eastAsia="zh-CN"/>
        </w:rPr>
        <w:t xml:space="preserve"> to formalise this consensus </w:t>
      </w:r>
    </w:p>
    <w:p w14:paraId="5E9C3E3F" w14:textId="03E53529" w:rsidR="00F22C6B" w:rsidRDefault="00F22C6B" w:rsidP="00100EBE">
      <w:pPr>
        <w:spacing w:after="120"/>
        <w:rPr>
          <w:lang w:eastAsia="zh-CN"/>
        </w:rPr>
      </w:pPr>
      <w:r>
        <w:rPr>
          <w:lang w:eastAsia="zh-CN"/>
        </w:rPr>
        <w:t xml:space="preserve">If IDA wants to play an effective role in framing the increasing momentum on </w:t>
      </w:r>
      <w:r w:rsidR="005222F9">
        <w:rPr>
          <w:lang w:eastAsia="zh-CN"/>
        </w:rPr>
        <w:t xml:space="preserve">access of children with disabilities to </w:t>
      </w:r>
      <w:r>
        <w:rPr>
          <w:lang w:eastAsia="zh-CN"/>
        </w:rPr>
        <w:t xml:space="preserve">education, including the new </w:t>
      </w:r>
      <w:r w:rsidR="00E156A1">
        <w:rPr>
          <w:lang w:eastAsia="zh-CN"/>
        </w:rPr>
        <w:t>W</w:t>
      </w:r>
      <w:r>
        <w:rPr>
          <w:lang w:eastAsia="zh-CN"/>
        </w:rPr>
        <w:t xml:space="preserve">orld </w:t>
      </w:r>
      <w:r w:rsidR="00E156A1">
        <w:rPr>
          <w:lang w:eastAsia="zh-CN"/>
        </w:rPr>
        <w:t>B</w:t>
      </w:r>
      <w:r>
        <w:rPr>
          <w:lang w:eastAsia="zh-CN"/>
        </w:rPr>
        <w:t>ank Inclusive education initiative</w:t>
      </w:r>
      <w:r w:rsidR="0032798C">
        <w:rPr>
          <w:lang w:eastAsia="zh-CN"/>
        </w:rPr>
        <w:t xml:space="preserve"> currently being established</w:t>
      </w:r>
      <w:r>
        <w:rPr>
          <w:lang w:eastAsia="zh-CN"/>
        </w:rPr>
        <w:t>, it needs a clear and strong position</w:t>
      </w:r>
      <w:r w:rsidR="005222F9">
        <w:rPr>
          <w:lang w:eastAsia="zh-CN"/>
        </w:rPr>
        <w:t xml:space="preserve">. </w:t>
      </w:r>
      <w:r>
        <w:rPr>
          <w:lang w:eastAsia="zh-CN"/>
        </w:rPr>
        <w:t xml:space="preserve">The workshop in Nepal </w:t>
      </w:r>
      <w:r w:rsidR="006717F9">
        <w:rPr>
          <w:lang w:eastAsia="zh-CN"/>
        </w:rPr>
        <w:t xml:space="preserve">also </w:t>
      </w:r>
      <w:r>
        <w:rPr>
          <w:lang w:eastAsia="zh-CN"/>
        </w:rPr>
        <w:t xml:space="preserve">showed that the lack of consensus among IDA members weaken </w:t>
      </w:r>
      <w:r w:rsidR="00AB5EB9">
        <w:rPr>
          <w:lang w:eastAsia="zh-CN"/>
        </w:rPr>
        <w:t xml:space="preserve">the </w:t>
      </w:r>
      <w:r>
        <w:rPr>
          <w:lang w:eastAsia="zh-CN"/>
        </w:rPr>
        <w:t xml:space="preserve">ability of both IDA and its members to support national DPOs in their advocacy efforts. </w:t>
      </w:r>
    </w:p>
    <w:p w14:paraId="2A508BF6" w14:textId="0F829E88" w:rsidR="001C6E94" w:rsidRDefault="005D7DB5" w:rsidP="00100EBE">
      <w:pPr>
        <w:spacing w:after="120"/>
        <w:rPr>
          <w:lang w:eastAsia="zh-CN"/>
        </w:rPr>
      </w:pPr>
      <w:r>
        <w:rPr>
          <w:lang w:eastAsia="zh-CN"/>
        </w:rPr>
        <w:t>Th</w:t>
      </w:r>
      <w:r w:rsidR="00735212">
        <w:rPr>
          <w:lang w:eastAsia="zh-CN"/>
        </w:rPr>
        <w:t>is</w:t>
      </w:r>
      <w:r>
        <w:rPr>
          <w:lang w:eastAsia="zh-CN"/>
        </w:rPr>
        <w:t xml:space="preserve"> Document </w:t>
      </w:r>
      <w:r w:rsidR="008F2F6E">
        <w:rPr>
          <w:lang w:eastAsia="zh-CN"/>
        </w:rPr>
        <w:t>is divided in</w:t>
      </w:r>
      <w:r w:rsidR="00AB5EB9">
        <w:rPr>
          <w:lang w:eastAsia="zh-CN"/>
        </w:rPr>
        <w:t>to</w:t>
      </w:r>
      <w:r w:rsidR="008F2F6E">
        <w:rPr>
          <w:lang w:eastAsia="zh-CN"/>
        </w:rPr>
        <w:t xml:space="preserve"> 2 parts:</w:t>
      </w:r>
    </w:p>
    <w:p w14:paraId="6F162BDD" w14:textId="5E1139C1" w:rsidR="00797653" w:rsidRDefault="00797653" w:rsidP="00100EBE">
      <w:pPr>
        <w:pStyle w:val="ListParagraph"/>
        <w:numPr>
          <w:ilvl w:val="0"/>
          <w:numId w:val="9"/>
        </w:numPr>
        <w:spacing w:after="120"/>
        <w:rPr>
          <w:lang w:eastAsia="zh-CN"/>
        </w:rPr>
      </w:pPr>
      <w:r w:rsidRPr="00797653">
        <w:rPr>
          <w:lang w:eastAsia="zh-CN"/>
        </w:rPr>
        <w:t xml:space="preserve">The </w:t>
      </w:r>
      <w:r w:rsidR="008F2F6E">
        <w:rPr>
          <w:lang w:eastAsia="zh-CN"/>
        </w:rPr>
        <w:t xml:space="preserve">common </w:t>
      </w:r>
      <w:r w:rsidR="00735212">
        <w:rPr>
          <w:lang w:eastAsia="zh-CN"/>
        </w:rPr>
        <w:t xml:space="preserve">IDA </w:t>
      </w:r>
      <w:r w:rsidRPr="00797653">
        <w:t xml:space="preserve">Vision for </w:t>
      </w:r>
      <w:r w:rsidRPr="00797653">
        <w:rPr>
          <w:lang w:eastAsia="zh-CN"/>
        </w:rPr>
        <w:t>S</w:t>
      </w:r>
      <w:r w:rsidR="00194B52">
        <w:rPr>
          <w:lang w:eastAsia="zh-CN"/>
        </w:rPr>
        <w:t>ustained Development Goal</w:t>
      </w:r>
      <w:r w:rsidRPr="00797653">
        <w:rPr>
          <w:lang w:eastAsia="zh-CN"/>
        </w:rPr>
        <w:t xml:space="preserve"> 4</w:t>
      </w:r>
      <w:r w:rsidR="00100EBE">
        <w:rPr>
          <w:lang w:eastAsia="zh-CN"/>
        </w:rPr>
        <w:t xml:space="preserve"> (SDG 4)</w:t>
      </w:r>
      <w:r w:rsidRPr="00797653">
        <w:rPr>
          <w:lang w:eastAsia="zh-CN"/>
        </w:rPr>
        <w:t xml:space="preserve"> implemented by 2030 in line with the </w:t>
      </w:r>
      <w:r w:rsidR="00194B52">
        <w:rPr>
          <w:lang w:eastAsia="zh-CN"/>
        </w:rPr>
        <w:t>Convention of the Rights of Persons with Disabilities</w:t>
      </w:r>
      <w:r w:rsidR="00100EBE">
        <w:rPr>
          <w:lang w:eastAsia="zh-CN"/>
        </w:rPr>
        <w:t xml:space="preserve"> (CRPD)</w:t>
      </w:r>
    </w:p>
    <w:p w14:paraId="409DB2C6" w14:textId="55E1878A" w:rsidR="00797653" w:rsidRDefault="008F2F6E" w:rsidP="00100EBE">
      <w:pPr>
        <w:pStyle w:val="ListParagraph"/>
        <w:numPr>
          <w:ilvl w:val="0"/>
          <w:numId w:val="9"/>
        </w:numPr>
        <w:spacing w:after="120"/>
        <w:rPr>
          <w:lang w:eastAsia="zh-CN"/>
        </w:rPr>
      </w:pPr>
      <w:r>
        <w:rPr>
          <w:lang w:eastAsia="zh-CN"/>
        </w:rPr>
        <w:t>The elements of dialogue that contribute</w:t>
      </w:r>
      <w:r w:rsidR="00735212">
        <w:rPr>
          <w:lang w:eastAsia="zh-CN"/>
        </w:rPr>
        <w:t>d</w:t>
      </w:r>
      <w:r>
        <w:rPr>
          <w:lang w:eastAsia="zh-CN"/>
        </w:rPr>
        <w:t xml:space="preserve"> to build</w:t>
      </w:r>
      <w:r w:rsidR="00735212">
        <w:rPr>
          <w:lang w:eastAsia="zh-CN"/>
        </w:rPr>
        <w:t>ing</w:t>
      </w:r>
      <w:r>
        <w:rPr>
          <w:lang w:eastAsia="zh-CN"/>
        </w:rPr>
        <w:t xml:space="preserve"> the common </w:t>
      </w:r>
      <w:r w:rsidR="00DC3348">
        <w:rPr>
          <w:lang w:eastAsia="zh-CN"/>
        </w:rPr>
        <w:t>vision (</w:t>
      </w:r>
      <w:r w:rsidR="001C6E94">
        <w:rPr>
          <w:lang w:eastAsia="zh-CN"/>
        </w:rPr>
        <w:t xml:space="preserve">parameters </w:t>
      </w:r>
      <w:r w:rsidR="00DC3348">
        <w:rPr>
          <w:lang w:eastAsia="zh-CN"/>
        </w:rPr>
        <w:t>set to frame</w:t>
      </w:r>
      <w:r w:rsidR="005D7DB5">
        <w:rPr>
          <w:lang w:eastAsia="zh-CN"/>
        </w:rPr>
        <w:t xml:space="preserve"> the exchang</w:t>
      </w:r>
      <w:r w:rsidR="00DC3348">
        <w:rPr>
          <w:lang w:eastAsia="zh-CN"/>
        </w:rPr>
        <w:t>e</w:t>
      </w:r>
      <w:r w:rsidR="006717F9">
        <w:rPr>
          <w:lang w:eastAsia="zh-CN"/>
        </w:rPr>
        <w:t xml:space="preserve"> and</w:t>
      </w:r>
      <w:r w:rsidR="00DC3348">
        <w:rPr>
          <w:lang w:eastAsia="zh-CN"/>
        </w:rPr>
        <w:t xml:space="preserve"> country analysis, </w:t>
      </w:r>
      <w:r w:rsidR="001C6E94">
        <w:rPr>
          <w:lang w:eastAsia="zh-CN"/>
        </w:rPr>
        <w:t>key poin</w:t>
      </w:r>
      <w:r>
        <w:rPr>
          <w:lang w:eastAsia="zh-CN"/>
        </w:rPr>
        <w:t>t</w:t>
      </w:r>
      <w:r w:rsidR="00DC3348">
        <w:rPr>
          <w:lang w:eastAsia="zh-CN"/>
        </w:rPr>
        <w:t>s</w:t>
      </w:r>
      <w:r>
        <w:rPr>
          <w:lang w:eastAsia="zh-CN"/>
        </w:rPr>
        <w:t xml:space="preserve"> of general consensus</w:t>
      </w:r>
      <w:r w:rsidR="00DC3348">
        <w:rPr>
          <w:lang w:eastAsia="zh-CN"/>
        </w:rPr>
        <w:t>,</w:t>
      </w:r>
      <w:r w:rsidR="001C6E94">
        <w:rPr>
          <w:lang w:eastAsia="zh-CN"/>
        </w:rPr>
        <w:t xml:space="preserve"> the “special schools” </w:t>
      </w:r>
      <w:r w:rsidR="00DC3348">
        <w:rPr>
          <w:lang w:eastAsia="zh-CN"/>
        </w:rPr>
        <w:t>debate)</w:t>
      </w:r>
    </w:p>
    <w:p w14:paraId="7CE02892" w14:textId="1CD3E46F" w:rsidR="00F22C6B" w:rsidRDefault="00735212" w:rsidP="00100EBE">
      <w:pPr>
        <w:pStyle w:val="Heading1"/>
        <w:ind w:left="0" w:firstLine="0"/>
        <w:rPr>
          <w:rFonts w:asciiTheme="minorHAnsi" w:eastAsiaTheme="minorHAnsi" w:hAnsiTheme="minorHAnsi" w:cstheme="minorBidi"/>
          <w:b/>
          <w:bCs/>
          <w:color w:val="auto"/>
          <w:kern w:val="0"/>
          <w:sz w:val="24"/>
          <w:szCs w:val="24"/>
          <w:lang w:val="en-GB"/>
        </w:rPr>
      </w:pPr>
      <w:r>
        <w:rPr>
          <w:rFonts w:asciiTheme="minorHAnsi" w:eastAsiaTheme="minorHAnsi" w:hAnsiTheme="minorHAnsi" w:cstheme="minorBidi"/>
          <w:b/>
          <w:bCs/>
          <w:color w:val="auto"/>
          <w:kern w:val="0"/>
          <w:sz w:val="24"/>
          <w:szCs w:val="24"/>
          <w:lang w:val="en-GB"/>
        </w:rPr>
        <w:t xml:space="preserve">The Task Team calls on IDA members to adopt this Vision and </w:t>
      </w:r>
      <w:r w:rsidR="00100EBE">
        <w:rPr>
          <w:rFonts w:asciiTheme="minorHAnsi" w:eastAsiaTheme="minorHAnsi" w:hAnsiTheme="minorHAnsi" w:cstheme="minorBidi"/>
          <w:b/>
          <w:bCs/>
          <w:color w:val="auto"/>
          <w:kern w:val="0"/>
          <w:sz w:val="24"/>
          <w:szCs w:val="24"/>
          <w:lang w:val="en-GB"/>
        </w:rPr>
        <w:t xml:space="preserve">make it the common platform for </w:t>
      </w:r>
      <w:r>
        <w:rPr>
          <w:rFonts w:asciiTheme="minorHAnsi" w:eastAsiaTheme="minorHAnsi" w:hAnsiTheme="minorHAnsi" w:cstheme="minorBidi"/>
          <w:b/>
          <w:bCs/>
          <w:color w:val="auto"/>
          <w:kern w:val="0"/>
          <w:sz w:val="24"/>
          <w:szCs w:val="24"/>
          <w:lang w:val="en-GB"/>
        </w:rPr>
        <w:t>both global advocacy and support to national DPOs.</w:t>
      </w:r>
    </w:p>
    <w:p w14:paraId="5B6F9725" w14:textId="77777777" w:rsidR="00735212" w:rsidRPr="00100EBE" w:rsidRDefault="00735212" w:rsidP="00100EBE"/>
    <w:p w14:paraId="3E8176A7" w14:textId="1D09E08E" w:rsidR="00A70764" w:rsidRPr="00DB6299" w:rsidRDefault="00735212" w:rsidP="00100EBE">
      <w:pPr>
        <w:pStyle w:val="Heading1"/>
        <w:numPr>
          <w:ilvl w:val="0"/>
          <w:numId w:val="12"/>
        </w:numPr>
        <w:rPr>
          <w:rFonts w:asciiTheme="minorHAnsi" w:eastAsiaTheme="minorHAnsi" w:hAnsiTheme="minorHAnsi" w:cstheme="minorBidi"/>
          <w:b/>
          <w:bCs/>
          <w:color w:val="auto"/>
          <w:kern w:val="0"/>
          <w:sz w:val="24"/>
          <w:szCs w:val="24"/>
          <w:lang w:val="en-GB"/>
        </w:rPr>
      </w:pPr>
      <w:r>
        <w:rPr>
          <w:rFonts w:asciiTheme="minorHAnsi" w:eastAsiaTheme="minorHAnsi" w:hAnsiTheme="minorHAnsi" w:cstheme="minorBidi"/>
          <w:b/>
          <w:bCs/>
          <w:color w:val="auto"/>
          <w:kern w:val="0"/>
          <w:sz w:val="24"/>
          <w:szCs w:val="24"/>
          <w:lang w:val="en-GB"/>
        </w:rPr>
        <w:t xml:space="preserve">IDA </w:t>
      </w:r>
      <w:r w:rsidR="00A70764" w:rsidRPr="00DB6299">
        <w:rPr>
          <w:rFonts w:asciiTheme="minorHAnsi" w:eastAsiaTheme="minorHAnsi" w:hAnsiTheme="minorHAnsi" w:cstheme="minorBidi"/>
          <w:b/>
          <w:bCs/>
          <w:color w:val="auto"/>
          <w:kern w:val="0"/>
          <w:sz w:val="24"/>
          <w:szCs w:val="24"/>
          <w:lang w:val="en-GB"/>
        </w:rPr>
        <w:t>Vision for SDG 4 implemented by 2030 in line with the CRPD</w:t>
      </w:r>
    </w:p>
    <w:p w14:paraId="07B1CA33" w14:textId="77777777" w:rsidR="00A70764" w:rsidRDefault="00A70764" w:rsidP="00100EBE">
      <w:pPr>
        <w:rPr>
          <w:lang w:eastAsia="zh-CN"/>
        </w:rPr>
      </w:pPr>
    </w:p>
    <w:p w14:paraId="4AA6BEB9" w14:textId="77777777" w:rsidR="006717F9" w:rsidRDefault="00A70764" w:rsidP="00A6126C">
      <w:pPr>
        <w:spacing w:after="120"/>
        <w:rPr>
          <w:lang w:eastAsia="zh-CN"/>
        </w:rPr>
      </w:pPr>
      <w:r>
        <w:rPr>
          <w:lang w:eastAsia="zh-CN"/>
        </w:rPr>
        <w:t>Building a truly inclusive education system is the only way to ensure i</w:t>
      </w:r>
      <w:r w:rsidRPr="00B37A48">
        <w:rPr>
          <w:lang w:eastAsia="zh-CN"/>
        </w:rPr>
        <w:t>nclusive and equitable</w:t>
      </w:r>
      <w:r w:rsidRPr="00B37A48">
        <w:t xml:space="preserve"> quality education and promote lifelong learning opportunities for </w:t>
      </w:r>
      <w:r>
        <w:rPr>
          <w:lang w:eastAsia="zh-CN"/>
        </w:rPr>
        <w:t xml:space="preserve">all children and learners, whoever they are and wherever they are. </w:t>
      </w:r>
    </w:p>
    <w:p w14:paraId="79EFA1E2" w14:textId="1A834EE4" w:rsidR="00A70764" w:rsidRPr="009E663A" w:rsidRDefault="00A70764" w:rsidP="0024381B">
      <w:pPr>
        <w:spacing w:after="120"/>
        <w:rPr>
          <w:lang w:eastAsia="zh-CN"/>
        </w:rPr>
      </w:pPr>
      <w:r>
        <w:rPr>
          <w:lang w:eastAsia="zh-CN"/>
        </w:rPr>
        <w:t xml:space="preserve">Responding to both the learning and schooling crises, inclusive education systems would contribute to </w:t>
      </w:r>
      <w:r w:rsidR="00735212">
        <w:rPr>
          <w:lang w:eastAsia="zh-CN"/>
        </w:rPr>
        <w:t xml:space="preserve">the greater ability of </w:t>
      </w:r>
      <w:r>
        <w:rPr>
          <w:lang w:eastAsia="zh-CN"/>
        </w:rPr>
        <w:t xml:space="preserve">future generations to embrace diversity and achieve gender equality, to promote sustainable development, </w:t>
      </w:r>
      <w:r w:rsidRPr="00783690">
        <w:rPr>
          <w:rFonts w:ascii="Arial" w:eastAsia="Times New Roman" w:hAnsi="Arial" w:cs="Arial"/>
          <w:color w:val="333333"/>
          <w:sz w:val="21"/>
          <w:szCs w:val="21"/>
          <w:shd w:val="clear" w:color="auto" w:fill="FFFFFF"/>
          <w:lang w:eastAsia="zh-CN"/>
        </w:rPr>
        <w:t>peace and non-violence, </w:t>
      </w:r>
      <w:r w:rsidRPr="00783690">
        <w:rPr>
          <w:lang w:eastAsia="zh-CN"/>
        </w:rPr>
        <w:t>and to develop the wider range of skills required in future econo</w:t>
      </w:r>
      <w:r>
        <w:rPr>
          <w:lang w:eastAsia="zh-CN"/>
        </w:rPr>
        <w:t>mies</w:t>
      </w:r>
      <w:r w:rsidRPr="00014269">
        <w:rPr>
          <w:lang w:eastAsia="zh-CN"/>
        </w:rPr>
        <w:t>.</w:t>
      </w:r>
    </w:p>
    <w:p w14:paraId="792263C5" w14:textId="3A76429E" w:rsidR="00A70764" w:rsidRPr="008B603B" w:rsidRDefault="00A70764" w:rsidP="00100EBE">
      <w:pPr>
        <w:spacing w:after="120"/>
      </w:pPr>
      <w:r>
        <w:t>In an inclusive education system, a</w:t>
      </w:r>
      <w:r w:rsidRPr="008B603B">
        <w:t xml:space="preserve">ll </w:t>
      </w:r>
      <w:r>
        <w:t xml:space="preserve">learners with and </w:t>
      </w:r>
      <w:r w:rsidRPr="008B603B">
        <w:t>with</w:t>
      </w:r>
      <w:r>
        <w:t>out</w:t>
      </w:r>
      <w:r w:rsidRPr="008B603B">
        <w:t xml:space="preserve"> disabilities</w:t>
      </w:r>
      <w:r>
        <w:t>,</w:t>
      </w:r>
      <w:r w:rsidRPr="008B603B">
        <w:t xml:space="preserve"> are learning </w:t>
      </w:r>
      <w:r>
        <w:t xml:space="preserve">together in classes </w:t>
      </w:r>
      <w:r w:rsidR="00735212">
        <w:t>in</w:t>
      </w:r>
      <w:r>
        <w:t xml:space="preserve"> their </w:t>
      </w:r>
      <w:r w:rsidR="00735212">
        <w:t xml:space="preserve">local </w:t>
      </w:r>
      <w:r>
        <w:t xml:space="preserve">community schools. </w:t>
      </w:r>
      <w:r w:rsidR="001F6EE5">
        <w:t>All</w:t>
      </w:r>
      <w:r>
        <w:t xml:space="preserve"> learners</w:t>
      </w:r>
      <w:r w:rsidRPr="008B603B">
        <w:t xml:space="preserve"> receive the support they need</w:t>
      </w:r>
      <w:r>
        <w:t>,</w:t>
      </w:r>
      <w:r w:rsidRPr="008B603B">
        <w:t xml:space="preserve"> from </w:t>
      </w:r>
      <w:r>
        <w:t>preschool</w:t>
      </w:r>
      <w:r w:rsidRPr="008B603B">
        <w:t xml:space="preserve"> to tertiary and vocational education</w:t>
      </w:r>
      <w:r w:rsidR="00F22977">
        <w:t>,</w:t>
      </w:r>
      <w:r w:rsidRPr="008B603B">
        <w:t xml:space="preserve"> in inclusive and accessible schools</w:t>
      </w:r>
      <w:r>
        <w:t xml:space="preserve"> and educational facilities, including </w:t>
      </w:r>
      <w:r w:rsidRPr="004632A8">
        <w:t xml:space="preserve">sign language </w:t>
      </w:r>
      <w:r>
        <w:t>bilingual schools.</w:t>
      </w:r>
      <w:r w:rsidR="0000644B">
        <w:t xml:space="preserve"> </w:t>
      </w:r>
    </w:p>
    <w:p w14:paraId="375A6265" w14:textId="5CA113DB" w:rsidR="001F6EE5" w:rsidRDefault="00A70764" w:rsidP="0024381B">
      <w:pPr>
        <w:pStyle w:val="Heading2"/>
        <w:spacing w:after="120"/>
        <w:ind w:left="0" w:firstLine="0"/>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Some learners</w:t>
      </w:r>
      <w:r w:rsidRPr="008B603B">
        <w:rPr>
          <w:rFonts w:asciiTheme="minorHAnsi" w:eastAsiaTheme="minorHAnsi" w:hAnsiTheme="minorHAnsi" w:cstheme="minorBidi"/>
          <w:color w:val="auto"/>
          <w:kern w:val="0"/>
          <w:sz w:val="24"/>
          <w:szCs w:val="24"/>
          <w:lang w:val="en-GB"/>
        </w:rPr>
        <w:t xml:space="preserve"> with and without disabilit</w:t>
      </w:r>
      <w:r w:rsidR="00B0711F">
        <w:rPr>
          <w:rFonts w:asciiTheme="minorHAnsi" w:eastAsiaTheme="minorHAnsi" w:hAnsiTheme="minorHAnsi" w:cstheme="minorBidi"/>
          <w:color w:val="auto"/>
          <w:kern w:val="0"/>
          <w:sz w:val="24"/>
          <w:szCs w:val="24"/>
          <w:lang w:val="en-GB"/>
        </w:rPr>
        <w:t>ies</w:t>
      </w:r>
      <w:r w:rsidRPr="008B603B">
        <w:rPr>
          <w:rFonts w:asciiTheme="minorHAnsi" w:eastAsiaTheme="minorHAnsi" w:hAnsiTheme="minorHAnsi" w:cstheme="minorBidi"/>
          <w:color w:val="auto"/>
          <w:kern w:val="0"/>
          <w:sz w:val="24"/>
          <w:szCs w:val="24"/>
          <w:lang w:val="en-GB"/>
        </w:rPr>
        <w:t xml:space="preserve"> may </w:t>
      </w:r>
      <w:r>
        <w:rPr>
          <w:rFonts w:asciiTheme="minorHAnsi" w:eastAsiaTheme="minorHAnsi" w:hAnsiTheme="minorHAnsi" w:cstheme="minorBidi"/>
          <w:color w:val="auto"/>
          <w:kern w:val="0"/>
          <w:sz w:val="24"/>
          <w:szCs w:val="24"/>
          <w:lang w:val="en-GB"/>
        </w:rPr>
        <w:t>choose</w:t>
      </w:r>
      <w:r w:rsidRPr="008B603B">
        <w:rPr>
          <w:rFonts w:asciiTheme="minorHAnsi" w:eastAsiaTheme="minorHAnsi" w:hAnsiTheme="minorHAnsi" w:cstheme="minorBidi"/>
          <w:color w:val="auto"/>
          <w:kern w:val="0"/>
          <w:sz w:val="24"/>
          <w:szCs w:val="24"/>
          <w:lang w:val="en-GB"/>
        </w:rPr>
        <w:t xml:space="preserve"> to</w:t>
      </w:r>
      <w:r>
        <w:rPr>
          <w:rFonts w:asciiTheme="minorHAnsi" w:eastAsiaTheme="minorHAnsi" w:hAnsiTheme="minorHAnsi" w:cstheme="minorBidi"/>
          <w:color w:val="auto"/>
          <w:kern w:val="0"/>
          <w:sz w:val="24"/>
          <w:szCs w:val="24"/>
          <w:lang w:val="en-GB"/>
        </w:rPr>
        <w:t xml:space="preserve"> attend an</w:t>
      </w:r>
      <w:r w:rsidRPr="008B603B">
        <w:rPr>
          <w:rFonts w:asciiTheme="minorHAnsi" w:eastAsiaTheme="minorHAnsi" w:hAnsiTheme="minorHAnsi" w:cstheme="minorBidi"/>
          <w:color w:val="auto"/>
          <w:kern w:val="0"/>
          <w:sz w:val="24"/>
          <w:szCs w:val="24"/>
          <w:lang w:val="en-GB"/>
        </w:rPr>
        <w:t xml:space="preserve"> inclusive school </w:t>
      </w:r>
      <w:r>
        <w:rPr>
          <w:rFonts w:asciiTheme="minorHAnsi" w:eastAsiaTheme="minorHAnsi" w:hAnsiTheme="minorHAnsi" w:cstheme="minorBidi"/>
          <w:color w:val="auto"/>
          <w:kern w:val="0"/>
          <w:sz w:val="24"/>
          <w:szCs w:val="24"/>
          <w:lang w:val="en-GB"/>
        </w:rPr>
        <w:t xml:space="preserve">or educational institution away from their community </w:t>
      </w:r>
      <w:r w:rsidRPr="008B603B">
        <w:rPr>
          <w:rFonts w:asciiTheme="minorHAnsi" w:eastAsiaTheme="minorHAnsi" w:hAnsiTheme="minorHAnsi" w:cstheme="minorBidi"/>
          <w:color w:val="auto"/>
          <w:kern w:val="0"/>
          <w:sz w:val="24"/>
          <w:szCs w:val="24"/>
          <w:lang w:val="en-GB"/>
        </w:rPr>
        <w:t xml:space="preserve">to </w:t>
      </w:r>
      <w:r w:rsidR="00735212">
        <w:rPr>
          <w:rFonts w:asciiTheme="minorHAnsi" w:eastAsiaTheme="minorHAnsi" w:hAnsiTheme="minorHAnsi" w:cstheme="minorBidi"/>
          <w:color w:val="auto"/>
          <w:kern w:val="0"/>
          <w:sz w:val="24"/>
          <w:szCs w:val="24"/>
          <w:lang w:val="en-GB"/>
        </w:rPr>
        <w:t>(</w:t>
      </w:r>
      <w:proofErr w:type="spellStart"/>
      <w:r w:rsidR="00735212">
        <w:rPr>
          <w:rFonts w:asciiTheme="minorHAnsi" w:eastAsiaTheme="minorHAnsi" w:hAnsiTheme="minorHAnsi" w:cstheme="minorBidi"/>
          <w:color w:val="auto"/>
          <w:kern w:val="0"/>
          <w:sz w:val="24"/>
          <w:szCs w:val="24"/>
          <w:lang w:val="en-GB"/>
        </w:rPr>
        <w:t>i</w:t>
      </w:r>
      <w:proofErr w:type="spellEnd"/>
      <w:r w:rsidR="00735212">
        <w:rPr>
          <w:rFonts w:asciiTheme="minorHAnsi" w:eastAsiaTheme="minorHAnsi" w:hAnsiTheme="minorHAnsi" w:cstheme="minorBidi"/>
          <w:color w:val="auto"/>
          <w:kern w:val="0"/>
          <w:sz w:val="24"/>
          <w:szCs w:val="24"/>
          <w:lang w:val="en-GB"/>
        </w:rPr>
        <w:t xml:space="preserve">) </w:t>
      </w:r>
      <w:r w:rsidRPr="008B603B">
        <w:rPr>
          <w:rFonts w:asciiTheme="minorHAnsi" w:eastAsiaTheme="minorHAnsi" w:hAnsiTheme="minorHAnsi" w:cstheme="minorBidi"/>
          <w:color w:val="auto"/>
          <w:kern w:val="0"/>
          <w:sz w:val="24"/>
          <w:szCs w:val="24"/>
          <w:lang w:val="en-GB"/>
        </w:rPr>
        <w:t>benefit from quality bilingual educ</w:t>
      </w:r>
      <w:r>
        <w:rPr>
          <w:rFonts w:asciiTheme="minorHAnsi" w:eastAsiaTheme="minorHAnsi" w:hAnsiTheme="minorHAnsi" w:cstheme="minorBidi"/>
          <w:color w:val="auto"/>
          <w:kern w:val="0"/>
          <w:sz w:val="24"/>
          <w:szCs w:val="24"/>
          <w:lang w:val="en-GB"/>
        </w:rPr>
        <w:t xml:space="preserve">ation, including sign language, and/or </w:t>
      </w:r>
      <w:r w:rsidR="00735212">
        <w:rPr>
          <w:rFonts w:asciiTheme="minorHAnsi" w:eastAsiaTheme="minorHAnsi" w:hAnsiTheme="minorHAnsi" w:cstheme="minorBidi"/>
          <w:color w:val="auto"/>
          <w:kern w:val="0"/>
          <w:sz w:val="24"/>
          <w:szCs w:val="24"/>
          <w:lang w:val="en-GB"/>
        </w:rPr>
        <w:t xml:space="preserve">(ii) </w:t>
      </w:r>
      <w:r w:rsidRPr="008B603B">
        <w:rPr>
          <w:rFonts w:asciiTheme="minorHAnsi" w:eastAsiaTheme="minorHAnsi" w:hAnsiTheme="minorHAnsi" w:cstheme="minorBidi"/>
          <w:color w:val="auto"/>
          <w:kern w:val="0"/>
          <w:sz w:val="24"/>
          <w:szCs w:val="24"/>
          <w:lang w:val="en-GB"/>
        </w:rPr>
        <w:t>acquir</w:t>
      </w:r>
      <w:r w:rsidR="00735212">
        <w:rPr>
          <w:rFonts w:asciiTheme="minorHAnsi" w:eastAsiaTheme="minorHAnsi" w:hAnsiTheme="minorHAnsi" w:cstheme="minorBidi"/>
          <w:color w:val="auto"/>
          <w:kern w:val="0"/>
          <w:sz w:val="24"/>
          <w:szCs w:val="24"/>
          <w:lang w:val="en-GB"/>
        </w:rPr>
        <w:t>e</w:t>
      </w:r>
      <w:r w:rsidRPr="008B603B">
        <w:rPr>
          <w:rFonts w:asciiTheme="minorHAnsi" w:eastAsiaTheme="minorHAnsi" w:hAnsiTheme="minorHAnsi" w:cstheme="minorBidi"/>
          <w:color w:val="auto"/>
          <w:kern w:val="0"/>
          <w:sz w:val="24"/>
          <w:szCs w:val="24"/>
          <w:lang w:val="en-GB"/>
        </w:rPr>
        <w:t xml:space="preserve"> skills and knowledge</w:t>
      </w:r>
      <w:r>
        <w:rPr>
          <w:rFonts w:asciiTheme="minorHAnsi" w:eastAsiaTheme="minorHAnsi" w:hAnsiTheme="minorHAnsi" w:cstheme="minorBidi"/>
          <w:color w:val="auto"/>
          <w:kern w:val="0"/>
          <w:sz w:val="24"/>
          <w:szCs w:val="24"/>
          <w:lang w:val="en-GB"/>
        </w:rPr>
        <w:t xml:space="preserve"> and/or </w:t>
      </w:r>
      <w:r w:rsidR="00735212">
        <w:rPr>
          <w:rFonts w:asciiTheme="minorHAnsi" w:eastAsiaTheme="minorHAnsi" w:hAnsiTheme="minorHAnsi" w:cstheme="minorBidi"/>
          <w:color w:val="auto"/>
          <w:kern w:val="0"/>
          <w:sz w:val="24"/>
          <w:szCs w:val="24"/>
          <w:lang w:val="en-GB"/>
        </w:rPr>
        <w:t xml:space="preserve">(iii) </w:t>
      </w:r>
      <w:r>
        <w:rPr>
          <w:rFonts w:asciiTheme="minorHAnsi" w:eastAsiaTheme="minorHAnsi" w:hAnsiTheme="minorHAnsi" w:cstheme="minorBidi"/>
          <w:color w:val="auto"/>
          <w:kern w:val="0"/>
          <w:sz w:val="24"/>
          <w:szCs w:val="24"/>
          <w:lang w:val="en-GB"/>
        </w:rPr>
        <w:t xml:space="preserve">get </w:t>
      </w:r>
      <w:r w:rsidR="00F22977">
        <w:rPr>
          <w:rFonts w:asciiTheme="minorHAnsi" w:eastAsiaTheme="minorHAnsi" w:hAnsiTheme="minorHAnsi" w:cstheme="minorBidi"/>
          <w:color w:val="auto"/>
          <w:kern w:val="0"/>
          <w:sz w:val="24"/>
          <w:szCs w:val="24"/>
          <w:lang w:val="en-GB"/>
        </w:rPr>
        <w:t xml:space="preserve">specific </w:t>
      </w:r>
      <w:r>
        <w:rPr>
          <w:rFonts w:asciiTheme="minorHAnsi" w:eastAsiaTheme="minorHAnsi" w:hAnsiTheme="minorHAnsi" w:cstheme="minorBidi"/>
          <w:color w:val="auto"/>
          <w:kern w:val="0"/>
          <w:sz w:val="24"/>
          <w:szCs w:val="24"/>
          <w:lang w:val="en-GB"/>
        </w:rPr>
        <w:t xml:space="preserve">support </w:t>
      </w:r>
      <w:r w:rsidR="00F22977">
        <w:rPr>
          <w:rFonts w:asciiTheme="minorHAnsi" w:eastAsiaTheme="minorHAnsi" w:hAnsiTheme="minorHAnsi" w:cstheme="minorBidi"/>
          <w:color w:val="auto"/>
          <w:kern w:val="0"/>
          <w:sz w:val="24"/>
          <w:szCs w:val="24"/>
          <w:lang w:val="en-GB"/>
        </w:rPr>
        <w:t xml:space="preserve">that </w:t>
      </w:r>
      <w:r w:rsidR="00735212">
        <w:rPr>
          <w:rFonts w:asciiTheme="minorHAnsi" w:eastAsiaTheme="minorHAnsi" w:hAnsiTheme="minorHAnsi" w:cstheme="minorBidi"/>
          <w:color w:val="auto"/>
          <w:kern w:val="0"/>
          <w:sz w:val="24"/>
          <w:szCs w:val="24"/>
          <w:lang w:val="en-GB"/>
        </w:rPr>
        <w:t>is</w:t>
      </w:r>
      <w:r w:rsidR="00194B52">
        <w:rPr>
          <w:rFonts w:asciiTheme="minorHAnsi" w:eastAsiaTheme="minorHAnsi" w:hAnsiTheme="minorHAnsi" w:cstheme="minorBidi"/>
          <w:color w:val="auto"/>
          <w:kern w:val="0"/>
          <w:sz w:val="24"/>
          <w:szCs w:val="24"/>
          <w:lang w:val="en-GB"/>
        </w:rPr>
        <w:t xml:space="preserve"> </w:t>
      </w:r>
      <w:r>
        <w:rPr>
          <w:rFonts w:asciiTheme="minorHAnsi" w:eastAsiaTheme="minorHAnsi" w:hAnsiTheme="minorHAnsi" w:cstheme="minorBidi"/>
          <w:color w:val="auto"/>
          <w:kern w:val="0"/>
          <w:sz w:val="24"/>
          <w:szCs w:val="24"/>
          <w:lang w:val="en-GB"/>
        </w:rPr>
        <w:t xml:space="preserve">not yet available in their </w:t>
      </w:r>
      <w:r w:rsidR="00735212">
        <w:rPr>
          <w:rFonts w:asciiTheme="minorHAnsi" w:eastAsiaTheme="minorHAnsi" w:hAnsiTheme="minorHAnsi" w:cstheme="minorBidi"/>
          <w:color w:val="auto"/>
          <w:kern w:val="0"/>
          <w:sz w:val="24"/>
          <w:szCs w:val="24"/>
          <w:lang w:val="en-GB"/>
        </w:rPr>
        <w:t xml:space="preserve">local </w:t>
      </w:r>
      <w:r>
        <w:rPr>
          <w:rFonts w:asciiTheme="minorHAnsi" w:eastAsiaTheme="minorHAnsi" w:hAnsiTheme="minorHAnsi" w:cstheme="minorBidi"/>
          <w:color w:val="auto"/>
          <w:kern w:val="0"/>
          <w:sz w:val="24"/>
          <w:szCs w:val="24"/>
          <w:lang w:val="en-GB"/>
        </w:rPr>
        <w:t xml:space="preserve">community schools. </w:t>
      </w:r>
      <w:r w:rsidR="00735212">
        <w:rPr>
          <w:rFonts w:asciiTheme="minorHAnsi" w:eastAsiaTheme="minorHAnsi" w:hAnsiTheme="minorHAnsi" w:cstheme="minorBidi"/>
          <w:color w:val="auto"/>
          <w:kern w:val="0"/>
          <w:sz w:val="24"/>
          <w:szCs w:val="24"/>
          <w:lang w:val="en-GB"/>
        </w:rPr>
        <w:t>Such</w:t>
      </w:r>
      <w:r>
        <w:rPr>
          <w:rFonts w:asciiTheme="minorHAnsi" w:eastAsiaTheme="minorHAnsi" w:hAnsiTheme="minorHAnsi" w:cstheme="minorBidi"/>
          <w:color w:val="auto"/>
          <w:kern w:val="0"/>
          <w:sz w:val="24"/>
          <w:szCs w:val="24"/>
          <w:lang w:val="en-GB"/>
        </w:rPr>
        <w:t xml:space="preserve"> skills, k</w:t>
      </w:r>
      <w:r w:rsidRPr="008B603B">
        <w:rPr>
          <w:rFonts w:asciiTheme="minorHAnsi" w:eastAsiaTheme="minorHAnsi" w:hAnsiTheme="minorHAnsi" w:cstheme="minorBidi"/>
          <w:color w:val="auto"/>
          <w:kern w:val="0"/>
          <w:sz w:val="24"/>
          <w:szCs w:val="24"/>
          <w:lang w:val="en-GB"/>
        </w:rPr>
        <w:t>nowledge</w:t>
      </w:r>
      <w:r>
        <w:rPr>
          <w:rFonts w:asciiTheme="minorHAnsi" w:eastAsiaTheme="minorHAnsi" w:hAnsiTheme="minorHAnsi" w:cstheme="minorBidi"/>
          <w:color w:val="auto"/>
          <w:kern w:val="0"/>
          <w:sz w:val="24"/>
          <w:szCs w:val="24"/>
          <w:lang w:val="en-GB"/>
        </w:rPr>
        <w:t xml:space="preserve"> and support</w:t>
      </w:r>
      <w:r w:rsidRPr="008B603B">
        <w:rPr>
          <w:rFonts w:asciiTheme="minorHAnsi" w:eastAsiaTheme="minorHAnsi" w:hAnsiTheme="minorHAnsi" w:cstheme="minorBidi"/>
          <w:color w:val="auto"/>
          <w:kern w:val="0"/>
          <w:sz w:val="24"/>
          <w:szCs w:val="24"/>
          <w:lang w:val="en-GB"/>
        </w:rPr>
        <w:t xml:space="preserve"> should be progressively available</w:t>
      </w:r>
      <w:r>
        <w:rPr>
          <w:rFonts w:asciiTheme="minorHAnsi" w:eastAsiaTheme="minorHAnsi" w:hAnsiTheme="minorHAnsi" w:cstheme="minorBidi"/>
          <w:color w:val="auto"/>
          <w:kern w:val="0"/>
          <w:sz w:val="24"/>
          <w:szCs w:val="24"/>
          <w:lang w:val="en-GB"/>
        </w:rPr>
        <w:t xml:space="preserve"> in the entire </w:t>
      </w:r>
      <w:r w:rsidR="00237574">
        <w:rPr>
          <w:rFonts w:asciiTheme="minorHAnsi" w:eastAsiaTheme="minorHAnsi" w:hAnsiTheme="minorHAnsi" w:cstheme="minorBidi"/>
          <w:color w:val="auto"/>
          <w:kern w:val="0"/>
          <w:sz w:val="24"/>
          <w:szCs w:val="24"/>
          <w:lang w:val="en-GB"/>
        </w:rPr>
        <w:t>country</w:t>
      </w:r>
      <w:r>
        <w:rPr>
          <w:rFonts w:asciiTheme="minorHAnsi" w:eastAsiaTheme="minorHAnsi" w:hAnsiTheme="minorHAnsi" w:cstheme="minorBidi"/>
          <w:color w:val="auto"/>
          <w:kern w:val="0"/>
          <w:sz w:val="24"/>
          <w:szCs w:val="24"/>
          <w:lang w:val="en-GB"/>
        </w:rPr>
        <w:t>.</w:t>
      </w:r>
      <w:r w:rsidR="00D05369">
        <w:rPr>
          <w:rFonts w:asciiTheme="minorHAnsi" w:eastAsiaTheme="minorHAnsi" w:hAnsiTheme="minorHAnsi" w:cstheme="minorBidi"/>
          <w:color w:val="auto"/>
          <w:kern w:val="0"/>
          <w:sz w:val="24"/>
          <w:szCs w:val="24"/>
          <w:lang w:val="en-GB"/>
        </w:rPr>
        <w:t xml:space="preserve"> </w:t>
      </w:r>
    </w:p>
    <w:p w14:paraId="2BB1F2F3" w14:textId="77777777" w:rsidR="00CD719E" w:rsidRDefault="00F22977" w:rsidP="00CD719E">
      <w:pPr>
        <w:pStyle w:val="Heading2"/>
        <w:spacing w:after="120"/>
        <w:ind w:left="0" w:firstLine="0"/>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 xml:space="preserve">An inclusive education </w:t>
      </w:r>
      <w:r w:rsidR="00A70764" w:rsidRPr="008B603B">
        <w:rPr>
          <w:rFonts w:asciiTheme="minorHAnsi" w:eastAsiaTheme="minorHAnsi" w:hAnsiTheme="minorHAnsi" w:cstheme="minorBidi"/>
          <w:color w:val="auto"/>
          <w:kern w:val="0"/>
          <w:sz w:val="24"/>
          <w:szCs w:val="24"/>
          <w:lang w:val="en-GB"/>
        </w:rPr>
        <w:t>system is geared to foster equity, quality and inclusion</w:t>
      </w:r>
      <w:r w:rsidR="00735212">
        <w:rPr>
          <w:rFonts w:asciiTheme="minorHAnsi" w:eastAsiaTheme="minorHAnsi" w:hAnsiTheme="minorHAnsi" w:cstheme="minorBidi"/>
          <w:color w:val="auto"/>
          <w:kern w:val="0"/>
          <w:sz w:val="24"/>
          <w:szCs w:val="24"/>
          <w:lang w:val="en-GB"/>
        </w:rPr>
        <w:t xml:space="preserve"> through the following measures</w:t>
      </w:r>
      <w:r w:rsidR="00A70764" w:rsidRPr="008B603B">
        <w:rPr>
          <w:rFonts w:asciiTheme="minorHAnsi" w:eastAsiaTheme="minorHAnsi" w:hAnsiTheme="minorHAnsi" w:cstheme="minorBidi"/>
          <w:color w:val="auto"/>
          <w:kern w:val="0"/>
          <w:sz w:val="24"/>
          <w:szCs w:val="24"/>
          <w:lang w:val="en-GB"/>
        </w:rPr>
        <w:t>:</w:t>
      </w:r>
    </w:p>
    <w:p w14:paraId="7717D663" w14:textId="6DBFFC8A" w:rsidR="00FB214F" w:rsidRPr="00CD719E" w:rsidRDefault="00FB214F" w:rsidP="00FD53C4">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sidRPr="00CD719E">
        <w:rPr>
          <w:rFonts w:asciiTheme="minorHAnsi" w:eastAsiaTheme="minorHAnsi" w:hAnsiTheme="minorHAnsi" w:cstheme="minorBidi"/>
          <w:color w:val="auto"/>
          <w:kern w:val="0"/>
          <w:sz w:val="24"/>
          <w:szCs w:val="24"/>
          <w:lang w:val="en-GB"/>
        </w:rPr>
        <w:t>All schools and education facilities are regulated by the ministries of education and higher education</w:t>
      </w:r>
      <w:r w:rsidR="00CD719E">
        <w:rPr>
          <w:rFonts w:asciiTheme="minorHAnsi" w:eastAsiaTheme="minorHAnsi" w:hAnsiTheme="minorHAnsi" w:cstheme="minorBidi"/>
          <w:color w:val="auto"/>
          <w:kern w:val="0"/>
          <w:sz w:val="24"/>
          <w:szCs w:val="24"/>
          <w:lang w:val="en-GB"/>
        </w:rPr>
        <w:t xml:space="preserve"> </w:t>
      </w:r>
      <w:r w:rsidR="00FD53C4" w:rsidRPr="00CD719E">
        <w:rPr>
          <w:rFonts w:asciiTheme="minorHAnsi" w:eastAsiaTheme="minorHAnsi" w:hAnsiTheme="minorHAnsi" w:cstheme="minorBidi"/>
          <w:color w:val="auto"/>
          <w:kern w:val="0"/>
          <w:sz w:val="24"/>
          <w:szCs w:val="24"/>
          <w:lang w:val="en-GB"/>
        </w:rPr>
        <w:t xml:space="preserve">(in collaboration with relevant ministries for </w:t>
      </w:r>
      <w:r w:rsidR="00FD53C4">
        <w:rPr>
          <w:rFonts w:asciiTheme="minorHAnsi" w:eastAsiaTheme="minorHAnsi" w:hAnsiTheme="minorHAnsi" w:cstheme="minorBidi"/>
          <w:color w:val="auto"/>
          <w:kern w:val="0"/>
          <w:sz w:val="24"/>
          <w:szCs w:val="24"/>
          <w:lang w:val="en-GB"/>
        </w:rPr>
        <w:t xml:space="preserve">inclusive </w:t>
      </w:r>
      <w:r w:rsidR="00FD53C4" w:rsidRPr="00CD719E">
        <w:rPr>
          <w:rFonts w:asciiTheme="minorHAnsi" w:eastAsiaTheme="minorHAnsi" w:hAnsiTheme="minorHAnsi" w:cstheme="minorBidi"/>
          <w:color w:val="auto"/>
          <w:kern w:val="0"/>
          <w:sz w:val="24"/>
          <w:szCs w:val="24"/>
          <w:lang w:val="en-GB"/>
        </w:rPr>
        <w:t>vocational training</w:t>
      </w:r>
      <w:r w:rsidR="00FD53C4">
        <w:rPr>
          <w:rFonts w:asciiTheme="minorHAnsi" w:eastAsiaTheme="minorHAnsi" w:hAnsiTheme="minorHAnsi" w:cstheme="minorBidi"/>
          <w:color w:val="auto"/>
          <w:kern w:val="0"/>
          <w:sz w:val="24"/>
          <w:szCs w:val="24"/>
          <w:lang w:val="en-GB"/>
        </w:rPr>
        <w:t>, e</w:t>
      </w:r>
      <w:r w:rsidR="00FD53C4" w:rsidRPr="00CD719E">
        <w:rPr>
          <w:rFonts w:asciiTheme="minorHAnsi" w:eastAsiaTheme="minorHAnsi" w:hAnsiTheme="minorHAnsi" w:cstheme="minorBidi"/>
          <w:color w:val="auto"/>
          <w:kern w:val="0"/>
          <w:sz w:val="24"/>
          <w:szCs w:val="24"/>
          <w:lang w:val="en-GB"/>
        </w:rPr>
        <w:t>arly childhood development and life-long learning)</w:t>
      </w:r>
      <w:r w:rsidR="00FD53C4">
        <w:rPr>
          <w:rFonts w:asciiTheme="minorHAnsi" w:eastAsiaTheme="minorHAnsi" w:hAnsiTheme="minorHAnsi" w:cstheme="minorBidi"/>
          <w:color w:val="auto"/>
          <w:kern w:val="0"/>
          <w:sz w:val="24"/>
          <w:szCs w:val="24"/>
          <w:lang w:val="en-GB"/>
        </w:rPr>
        <w:t xml:space="preserve"> </w:t>
      </w:r>
      <w:r w:rsidR="00CD719E">
        <w:rPr>
          <w:rFonts w:asciiTheme="minorHAnsi" w:eastAsiaTheme="minorHAnsi" w:hAnsiTheme="minorHAnsi" w:cstheme="minorBidi"/>
          <w:color w:val="auto"/>
          <w:kern w:val="0"/>
          <w:sz w:val="24"/>
          <w:szCs w:val="24"/>
          <w:lang w:val="en-GB"/>
        </w:rPr>
        <w:t>whether they are managed by the public, private or voluntary sectors</w:t>
      </w:r>
      <w:r w:rsidR="00FD53C4">
        <w:rPr>
          <w:rFonts w:asciiTheme="minorHAnsi" w:eastAsiaTheme="minorHAnsi" w:hAnsiTheme="minorHAnsi" w:cstheme="minorBidi"/>
          <w:color w:val="auto"/>
          <w:kern w:val="0"/>
          <w:sz w:val="24"/>
          <w:szCs w:val="24"/>
          <w:lang w:val="en-GB"/>
        </w:rPr>
        <w:t xml:space="preserve">. </w:t>
      </w:r>
    </w:p>
    <w:p w14:paraId="692A3AE8" w14:textId="3CF0ECDD" w:rsidR="001F6EE5" w:rsidRPr="00CD719E" w:rsidRDefault="00735212" w:rsidP="00CD719E">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sidRPr="00CD719E">
        <w:rPr>
          <w:rFonts w:asciiTheme="minorHAnsi" w:eastAsiaTheme="minorHAnsi" w:hAnsiTheme="minorHAnsi" w:cstheme="minorBidi"/>
          <w:color w:val="auto"/>
          <w:kern w:val="0"/>
          <w:sz w:val="24"/>
          <w:szCs w:val="24"/>
          <w:lang w:val="en-GB"/>
        </w:rPr>
        <w:t>Enforcement of n</w:t>
      </w:r>
      <w:r w:rsidR="00A70764" w:rsidRPr="00CD719E">
        <w:rPr>
          <w:rFonts w:asciiTheme="minorHAnsi" w:eastAsiaTheme="minorHAnsi" w:hAnsiTheme="minorHAnsi" w:cstheme="minorBidi"/>
          <w:color w:val="auto"/>
          <w:kern w:val="0"/>
          <w:sz w:val="24"/>
          <w:szCs w:val="24"/>
          <w:lang w:val="en-GB"/>
        </w:rPr>
        <w:t xml:space="preserve">on-discrimination </w:t>
      </w:r>
      <w:r w:rsidRPr="00CD719E">
        <w:rPr>
          <w:rFonts w:asciiTheme="minorHAnsi" w:eastAsiaTheme="minorHAnsi" w:hAnsiTheme="minorHAnsi" w:cstheme="minorBidi"/>
          <w:color w:val="auto"/>
          <w:kern w:val="0"/>
          <w:sz w:val="24"/>
          <w:szCs w:val="24"/>
          <w:lang w:val="en-GB"/>
        </w:rPr>
        <w:t xml:space="preserve">and </w:t>
      </w:r>
      <w:r w:rsidR="00A70764" w:rsidRPr="00CD719E">
        <w:rPr>
          <w:rFonts w:asciiTheme="minorHAnsi" w:eastAsiaTheme="minorHAnsi" w:hAnsiTheme="minorHAnsi" w:cstheme="minorBidi"/>
          <w:color w:val="auto"/>
          <w:kern w:val="0"/>
          <w:sz w:val="24"/>
          <w:szCs w:val="24"/>
          <w:lang w:val="en-GB"/>
        </w:rPr>
        <w:t xml:space="preserve">zero rejection policies including provision of reasonable accommodation, across the country </w:t>
      </w:r>
      <w:r w:rsidR="00FD5112" w:rsidRPr="00CD719E">
        <w:rPr>
          <w:rFonts w:asciiTheme="minorHAnsi" w:eastAsiaTheme="minorHAnsi" w:hAnsiTheme="minorHAnsi" w:cstheme="minorBidi"/>
          <w:color w:val="auto"/>
          <w:kern w:val="0"/>
          <w:sz w:val="24"/>
          <w:szCs w:val="24"/>
          <w:lang w:val="en-GB"/>
        </w:rPr>
        <w:t xml:space="preserve">in all </w:t>
      </w:r>
      <w:r w:rsidR="00A70764" w:rsidRPr="00CD719E">
        <w:rPr>
          <w:rFonts w:asciiTheme="minorHAnsi" w:eastAsiaTheme="minorHAnsi" w:hAnsiTheme="minorHAnsi" w:cstheme="minorBidi"/>
          <w:color w:val="auto"/>
          <w:kern w:val="0"/>
          <w:sz w:val="24"/>
          <w:szCs w:val="24"/>
          <w:lang w:val="en-GB"/>
        </w:rPr>
        <w:t xml:space="preserve">levels </w:t>
      </w:r>
      <w:r w:rsidR="00FD5112" w:rsidRPr="00CD719E">
        <w:rPr>
          <w:rFonts w:asciiTheme="minorHAnsi" w:eastAsiaTheme="minorHAnsi" w:hAnsiTheme="minorHAnsi" w:cstheme="minorBidi"/>
          <w:color w:val="auto"/>
          <w:kern w:val="0"/>
          <w:sz w:val="24"/>
          <w:szCs w:val="24"/>
          <w:lang w:val="en-GB"/>
        </w:rPr>
        <w:t xml:space="preserve">and systems </w:t>
      </w:r>
      <w:r w:rsidR="00A70764" w:rsidRPr="00CD719E">
        <w:rPr>
          <w:rFonts w:asciiTheme="minorHAnsi" w:eastAsiaTheme="minorHAnsi" w:hAnsiTheme="minorHAnsi" w:cstheme="minorBidi"/>
          <w:color w:val="auto"/>
          <w:kern w:val="0"/>
          <w:sz w:val="24"/>
          <w:szCs w:val="24"/>
          <w:lang w:val="en-GB"/>
        </w:rPr>
        <w:t xml:space="preserve">of education. </w:t>
      </w:r>
    </w:p>
    <w:p w14:paraId="1422B5F8" w14:textId="1A643101" w:rsidR="00D02A7B" w:rsidRDefault="001F6EE5" w:rsidP="00CD719E">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sidRPr="001F6EE5">
        <w:rPr>
          <w:rFonts w:asciiTheme="minorHAnsi" w:eastAsiaTheme="minorHAnsi" w:hAnsiTheme="minorHAnsi" w:cstheme="minorBidi"/>
          <w:color w:val="auto"/>
          <w:kern w:val="0"/>
          <w:sz w:val="24"/>
          <w:szCs w:val="24"/>
          <w:lang w:val="en-GB"/>
        </w:rPr>
        <w:t xml:space="preserve">Specific cognisance is given to the particular </w:t>
      </w:r>
      <w:r w:rsidR="00237574">
        <w:rPr>
          <w:rFonts w:asciiTheme="minorHAnsi" w:eastAsiaTheme="minorHAnsi" w:hAnsiTheme="minorHAnsi" w:cstheme="minorBidi"/>
          <w:color w:val="auto"/>
          <w:kern w:val="0"/>
          <w:sz w:val="24"/>
          <w:szCs w:val="24"/>
          <w:lang w:val="en-GB"/>
        </w:rPr>
        <w:t xml:space="preserve">inclusion and support requirements </w:t>
      </w:r>
      <w:r w:rsidRPr="001F6EE5">
        <w:rPr>
          <w:rFonts w:asciiTheme="minorHAnsi" w:eastAsiaTheme="minorHAnsi" w:hAnsiTheme="minorHAnsi" w:cstheme="minorBidi"/>
          <w:color w:val="auto"/>
          <w:kern w:val="0"/>
          <w:sz w:val="24"/>
          <w:szCs w:val="24"/>
          <w:lang w:val="en-GB"/>
        </w:rPr>
        <w:t xml:space="preserve">of girls with disabilities, </w:t>
      </w:r>
      <w:r w:rsidR="00194B52">
        <w:rPr>
          <w:rFonts w:asciiTheme="minorHAnsi" w:eastAsiaTheme="minorHAnsi" w:hAnsiTheme="minorHAnsi" w:cstheme="minorBidi"/>
          <w:color w:val="auto"/>
          <w:kern w:val="0"/>
          <w:sz w:val="24"/>
          <w:szCs w:val="24"/>
          <w:lang w:val="en-GB"/>
        </w:rPr>
        <w:t>students</w:t>
      </w:r>
      <w:r w:rsidRPr="001F6EE5">
        <w:rPr>
          <w:rFonts w:asciiTheme="minorHAnsi" w:eastAsiaTheme="minorHAnsi" w:hAnsiTheme="minorHAnsi" w:cstheme="minorBidi"/>
          <w:color w:val="auto"/>
          <w:kern w:val="0"/>
          <w:sz w:val="24"/>
          <w:szCs w:val="24"/>
          <w:lang w:val="en-GB"/>
        </w:rPr>
        <w:t xml:space="preserve"> with multiple disabilities and those </w:t>
      </w:r>
      <w:r w:rsidR="00194B52">
        <w:rPr>
          <w:rFonts w:asciiTheme="minorHAnsi" w:eastAsiaTheme="minorHAnsi" w:hAnsiTheme="minorHAnsi" w:cstheme="minorBidi"/>
          <w:color w:val="auto"/>
          <w:kern w:val="0"/>
          <w:sz w:val="24"/>
          <w:szCs w:val="24"/>
          <w:lang w:val="en-GB"/>
        </w:rPr>
        <w:t>students</w:t>
      </w:r>
      <w:r w:rsidRPr="001F6EE5">
        <w:rPr>
          <w:rFonts w:asciiTheme="minorHAnsi" w:eastAsiaTheme="minorHAnsi" w:hAnsiTheme="minorHAnsi" w:cstheme="minorBidi"/>
          <w:color w:val="auto"/>
          <w:kern w:val="0"/>
          <w:sz w:val="24"/>
          <w:szCs w:val="24"/>
          <w:lang w:val="en-GB"/>
        </w:rPr>
        <w:t xml:space="preserve"> who experience compounded marginalisation.</w:t>
      </w:r>
    </w:p>
    <w:p w14:paraId="670BABB4" w14:textId="77777777" w:rsidR="00FD53C4" w:rsidRDefault="00A70764" w:rsidP="00CD719E">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sidRPr="00D02A7B">
        <w:rPr>
          <w:rFonts w:asciiTheme="minorHAnsi" w:eastAsiaTheme="minorHAnsi" w:hAnsiTheme="minorHAnsi" w:cstheme="minorBidi"/>
          <w:color w:val="auto"/>
          <w:kern w:val="0"/>
          <w:sz w:val="24"/>
          <w:szCs w:val="24"/>
          <w:lang w:val="en-GB"/>
        </w:rPr>
        <w:t xml:space="preserve">Significant investments </w:t>
      </w:r>
      <w:r w:rsidR="00FD5112">
        <w:rPr>
          <w:rFonts w:asciiTheme="minorHAnsi" w:eastAsiaTheme="minorHAnsi" w:hAnsiTheme="minorHAnsi" w:cstheme="minorBidi"/>
          <w:color w:val="auto"/>
          <w:kern w:val="0"/>
          <w:sz w:val="24"/>
          <w:szCs w:val="24"/>
          <w:lang w:val="en-GB"/>
        </w:rPr>
        <w:t>are</w:t>
      </w:r>
      <w:r w:rsidRPr="00D02A7B">
        <w:rPr>
          <w:rFonts w:asciiTheme="minorHAnsi" w:eastAsiaTheme="minorHAnsi" w:hAnsiTheme="minorHAnsi" w:cstheme="minorBidi"/>
          <w:color w:val="auto"/>
          <w:kern w:val="0"/>
          <w:sz w:val="24"/>
          <w:szCs w:val="24"/>
          <w:lang w:val="en-GB"/>
        </w:rPr>
        <w:t xml:space="preserve"> made in recruiting and training sufficient numbers of teachers</w:t>
      </w:r>
      <w:r w:rsidR="00FD5112">
        <w:rPr>
          <w:rFonts w:asciiTheme="minorHAnsi" w:eastAsiaTheme="minorHAnsi" w:hAnsiTheme="minorHAnsi" w:cstheme="minorBidi"/>
          <w:color w:val="auto"/>
          <w:kern w:val="0"/>
          <w:sz w:val="24"/>
          <w:szCs w:val="24"/>
          <w:lang w:val="en-GB"/>
        </w:rPr>
        <w:t xml:space="preserve"> including teachers with disabilities</w:t>
      </w:r>
      <w:r w:rsidRPr="00D02A7B">
        <w:rPr>
          <w:rFonts w:asciiTheme="minorHAnsi" w:eastAsiaTheme="minorHAnsi" w:hAnsiTheme="minorHAnsi" w:cstheme="minorBidi"/>
          <w:color w:val="auto"/>
          <w:kern w:val="0"/>
          <w:sz w:val="24"/>
          <w:szCs w:val="24"/>
          <w:lang w:val="en-GB"/>
        </w:rPr>
        <w:t>.  Curriculum reforms and teachers</w:t>
      </w:r>
      <w:r w:rsidR="0032798C">
        <w:rPr>
          <w:rFonts w:asciiTheme="minorHAnsi" w:eastAsiaTheme="minorHAnsi" w:hAnsiTheme="minorHAnsi" w:cstheme="minorBidi"/>
          <w:color w:val="auto"/>
          <w:kern w:val="0"/>
          <w:sz w:val="24"/>
          <w:szCs w:val="24"/>
          <w:lang w:val="en-GB"/>
        </w:rPr>
        <w:t>’</w:t>
      </w:r>
      <w:r w:rsidRPr="00D02A7B">
        <w:rPr>
          <w:rFonts w:asciiTheme="minorHAnsi" w:eastAsiaTheme="minorHAnsi" w:hAnsiTheme="minorHAnsi" w:cstheme="minorBidi"/>
          <w:color w:val="auto"/>
          <w:kern w:val="0"/>
          <w:sz w:val="24"/>
          <w:szCs w:val="24"/>
          <w:lang w:val="en-GB"/>
        </w:rPr>
        <w:t xml:space="preserve"> pre-service and in-service training </w:t>
      </w:r>
      <w:r w:rsidR="00F445EF" w:rsidRPr="00D02A7B">
        <w:rPr>
          <w:rFonts w:asciiTheme="minorHAnsi" w:eastAsiaTheme="minorHAnsi" w:hAnsiTheme="minorHAnsi" w:cstheme="minorBidi"/>
          <w:color w:val="auto"/>
          <w:kern w:val="0"/>
          <w:sz w:val="24"/>
          <w:szCs w:val="24"/>
          <w:lang w:val="en-GB"/>
        </w:rPr>
        <w:t>are</w:t>
      </w:r>
      <w:r w:rsidR="002628D5" w:rsidRPr="00D02A7B">
        <w:rPr>
          <w:rFonts w:asciiTheme="minorHAnsi" w:eastAsiaTheme="minorHAnsi" w:hAnsiTheme="minorHAnsi" w:cstheme="minorBidi"/>
          <w:color w:val="auto"/>
          <w:kern w:val="0"/>
          <w:sz w:val="24"/>
          <w:szCs w:val="24"/>
          <w:lang w:val="en-GB"/>
        </w:rPr>
        <w:t xml:space="preserve"> learner centric</w:t>
      </w:r>
      <w:r w:rsidR="00F445EF" w:rsidRPr="00D02A7B">
        <w:rPr>
          <w:rFonts w:asciiTheme="minorHAnsi" w:eastAsiaTheme="minorHAnsi" w:hAnsiTheme="minorHAnsi" w:cstheme="minorBidi"/>
          <w:color w:val="auto"/>
          <w:kern w:val="0"/>
          <w:sz w:val="24"/>
          <w:szCs w:val="24"/>
          <w:lang w:val="en-GB"/>
        </w:rPr>
        <w:t xml:space="preserve"> </w:t>
      </w:r>
      <w:r w:rsidR="00D02A7B" w:rsidRPr="00D02A7B">
        <w:rPr>
          <w:rFonts w:asciiTheme="minorHAnsi" w:eastAsiaTheme="minorHAnsi" w:hAnsiTheme="minorHAnsi" w:cstheme="minorBidi"/>
          <w:color w:val="auto"/>
          <w:kern w:val="0"/>
          <w:sz w:val="24"/>
          <w:szCs w:val="24"/>
          <w:lang w:val="en-GB"/>
        </w:rPr>
        <w:t>and foster Universal Design for Learning</w:t>
      </w:r>
      <w:r w:rsidR="00D02A7B">
        <w:rPr>
          <w:rFonts w:asciiTheme="minorHAnsi" w:eastAsiaTheme="minorHAnsi" w:hAnsiTheme="minorHAnsi" w:cstheme="minorBidi"/>
          <w:color w:val="auto"/>
          <w:kern w:val="0"/>
          <w:sz w:val="24"/>
          <w:szCs w:val="24"/>
          <w:lang w:val="en-GB"/>
        </w:rPr>
        <w:t xml:space="preserve"> </w:t>
      </w:r>
      <w:r w:rsidRPr="00CD719E">
        <w:rPr>
          <w:rFonts w:asciiTheme="minorHAnsi" w:eastAsiaTheme="minorHAnsi" w:hAnsiTheme="minorHAnsi" w:cstheme="minorBidi"/>
          <w:color w:val="auto"/>
          <w:kern w:val="0"/>
          <w:sz w:val="24"/>
          <w:szCs w:val="24"/>
          <w:lang w:val="en-GB"/>
        </w:rPr>
        <w:t xml:space="preserve">to ensure that general education teachers are in the best position to provide quality learning </w:t>
      </w:r>
      <w:r w:rsidR="00FD5112" w:rsidRPr="00CD719E">
        <w:rPr>
          <w:rFonts w:asciiTheme="minorHAnsi" w:eastAsiaTheme="minorHAnsi" w:hAnsiTheme="minorHAnsi" w:cstheme="minorBidi"/>
          <w:color w:val="auto"/>
          <w:kern w:val="0"/>
          <w:sz w:val="24"/>
          <w:szCs w:val="24"/>
          <w:lang w:val="en-GB"/>
        </w:rPr>
        <w:t>for</w:t>
      </w:r>
      <w:r w:rsidRPr="00CD719E">
        <w:rPr>
          <w:rFonts w:asciiTheme="minorHAnsi" w:eastAsiaTheme="minorHAnsi" w:hAnsiTheme="minorHAnsi" w:cstheme="minorBidi"/>
          <w:color w:val="auto"/>
          <w:kern w:val="0"/>
          <w:sz w:val="24"/>
          <w:szCs w:val="24"/>
          <w:lang w:val="en-GB"/>
        </w:rPr>
        <w:t xml:space="preserve"> all learners in their classroom</w:t>
      </w:r>
      <w:r w:rsidR="00FD5112" w:rsidRPr="00CD719E">
        <w:rPr>
          <w:rFonts w:asciiTheme="minorHAnsi" w:eastAsiaTheme="minorHAnsi" w:hAnsiTheme="minorHAnsi" w:cstheme="minorBidi"/>
          <w:color w:val="auto"/>
          <w:kern w:val="0"/>
          <w:sz w:val="24"/>
          <w:szCs w:val="24"/>
          <w:lang w:val="en-GB"/>
        </w:rPr>
        <w:t>s</w:t>
      </w:r>
      <w:r w:rsidR="00CD719E">
        <w:rPr>
          <w:rStyle w:val="FootnoteReference"/>
          <w:rFonts w:asciiTheme="minorHAnsi" w:eastAsiaTheme="minorHAnsi" w:hAnsiTheme="minorHAnsi"/>
          <w:color w:val="auto"/>
          <w:kern w:val="0"/>
          <w:sz w:val="24"/>
          <w:szCs w:val="24"/>
          <w:lang w:val="en-GB"/>
        </w:rPr>
        <w:footnoteReference w:id="1"/>
      </w:r>
      <w:r w:rsidRPr="00CD719E">
        <w:rPr>
          <w:rFonts w:asciiTheme="minorHAnsi" w:eastAsiaTheme="minorHAnsi" w:hAnsiTheme="minorHAnsi" w:cstheme="minorBidi"/>
          <w:color w:val="auto"/>
          <w:kern w:val="0"/>
          <w:sz w:val="24"/>
          <w:szCs w:val="24"/>
          <w:lang w:val="en-GB"/>
        </w:rPr>
        <w:t>.</w:t>
      </w:r>
      <w:r w:rsidR="00FD5112" w:rsidRPr="00CD719E">
        <w:rPr>
          <w:rFonts w:asciiTheme="minorHAnsi" w:eastAsiaTheme="minorHAnsi" w:hAnsiTheme="minorHAnsi" w:cstheme="minorBidi"/>
          <w:color w:val="auto"/>
          <w:kern w:val="0"/>
          <w:sz w:val="24"/>
          <w:szCs w:val="24"/>
          <w:lang w:val="en-GB"/>
        </w:rPr>
        <w:t xml:space="preserve">  </w:t>
      </w:r>
    </w:p>
    <w:p w14:paraId="132C816B" w14:textId="4969D9A9" w:rsidR="00BE7C2F" w:rsidRPr="00BE7C2F" w:rsidRDefault="00BE7C2F" w:rsidP="00BE7C2F">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T</w:t>
      </w:r>
      <w:r w:rsidRPr="008B603B">
        <w:rPr>
          <w:rFonts w:asciiTheme="minorHAnsi" w:eastAsiaTheme="minorHAnsi" w:hAnsiTheme="minorHAnsi" w:cstheme="minorBidi"/>
          <w:color w:val="auto"/>
          <w:kern w:val="0"/>
          <w:sz w:val="24"/>
          <w:szCs w:val="24"/>
          <w:lang w:val="en-GB"/>
        </w:rPr>
        <w:t>eachers with disabilities have been recruited</w:t>
      </w:r>
      <w:r>
        <w:rPr>
          <w:rFonts w:asciiTheme="minorHAnsi" w:eastAsiaTheme="minorHAnsi" w:hAnsiTheme="minorHAnsi" w:cstheme="minorBidi"/>
          <w:color w:val="auto"/>
          <w:kern w:val="0"/>
          <w:sz w:val="24"/>
          <w:szCs w:val="24"/>
          <w:lang w:val="en-GB"/>
        </w:rPr>
        <w:t xml:space="preserve">, are provided with required reasonable accommodation, </w:t>
      </w:r>
      <w:r w:rsidRPr="008B603B">
        <w:rPr>
          <w:rFonts w:asciiTheme="minorHAnsi" w:eastAsiaTheme="minorHAnsi" w:hAnsiTheme="minorHAnsi" w:cstheme="minorBidi"/>
          <w:color w:val="auto"/>
          <w:kern w:val="0"/>
          <w:sz w:val="24"/>
          <w:szCs w:val="24"/>
          <w:lang w:val="en-GB"/>
        </w:rPr>
        <w:t xml:space="preserve">and teach </w:t>
      </w:r>
      <w:r>
        <w:rPr>
          <w:rFonts w:asciiTheme="minorHAnsi" w:eastAsiaTheme="minorHAnsi" w:hAnsiTheme="minorHAnsi" w:cstheme="minorBidi"/>
          <w:color w:val="auto"/>
          <w:kern w:val="0"/>
          <w:sz w:val="24"/>
          <w:szCs w:val="24"/>
          <w:lang w:val="en-GB"/>
        </w:rPr>
        <w:t xml:space="preserve">children with and without disabilities </w:t>
      </w:r>
      <w:r w:rsidRPr="008B603B">
        <w:rPr>
          <w:rFonts w:asciiTheme="minorHAnsi" w:eastAsiaTheme="minorHAnsi" w:hAnsiTheme="minorHAnsi" w:cstheme="minorBidi"/>
          <w:color w:val="auto"/>
          <w:kern w:val="0"/>
          <w:sz w:val="24"/>
          <w:szCs w:val="24"/>
          <w:lang w:val="en-GB"/>
        </w:rPr>
        <w:t xml:space="preserve">across </w:t>
      </w:r>
      <w:r>
        <w:rPr>
          <w:rFonts w:asciiTheme="minorHAnsi" w:eastAsiaTheme="minorHAnsi" w:hAnsiTheme="minorHAnsi" w:cstheme="minorBidi"/>
          <w:color w:val="auto"/>
          <w:kern w:val="0"/>
          <w:sz w:val="24"/>
          <w:szCs w:val="24"/>
          <w:lang w:val="en-GB"/>
        </w:rPr>
        <w:t xml:space="preserve">all levels and system of education. </w:t>
      </w:r>
    </w:p>
    <w:p w14:paraId="12AB9CD9" w14:textId="2AFB9D3D" w:rsidR="00A70764" w:rsidRDefault="00FD5112" w:rsidP="0085414A">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sidRPr="00CD719E">
        <w:rPr>
          <w:rFonts w:asciiTheme="minorHAnsi" w:eastAsiaTheme="minorHAnsi" w:hAnsiTheme="minorHAnsi" w:cstheme="minorBidi"/>
          <w:color w:val="auto"/>
          <w:kern w:val="0"/>
          <w:sz w:val="24"/>
          <w:szCs w:val="24"/>
          <w:lang w:val="en-GB"/>
        </w:rPr>
        <w:t xml:space="preserve">There </w:t>
      </w:r>
      <w:r w:rsidR="00482D78">
        <w:rPr>
          <w:rFonts w:asciiTheme="minorHAnsi" w:eastAsiaTheme="minorHAnsi" w:hAnsiTheme="minorHAnsi" w:cstheme="minorBidi"/>
          <w:color w:val="auto"/>
          <w:kern w:val="0"/>
          <w:sz w:val="24"/>
          <w:szCs w:val="24"/>
          <w:lang w:val="en-GB"/>
        </w:rPr>
        <w:t xml:space="preserve">is an emphasis on the </w:t>
      </w:r>
      <w:r w:rsidRPr="00CD719E">
        <w:rPr>
          <w:rFonts w:asciiTheme="minorHAnsi" w:eastAsiaTheme="minorHAnsi" w:hAnsiTheme="minorHAnsi" w:cstheme="minorBidi"/>
          <w:color w:val="auto"/>
          <w:kern w:val="0"/>
          <w:sz w:val="24"/>
          <w:szCs w:val="24"/>
          <w:lang w:val="en-GB"/>
        </w:rPr>
        <w:t xml:space="preserve">recruitment </w:t>
      </w:r>
      <w:r w:rsidR="00482D78">
        <w:rPr>
          <w:rFonts w:asciiTheme="minorHAnsi" w:eastAsiaTheme="minorHAnsi" w:hAnsiTheme="minorHAnsi" w:cstheme="minorBidi"/>
          <w:color w:val="auto"/>
          <w:kern w:val="0"/>
          <w:sz w:val="24"/>
          <w:szCs w:val="24"/>
          <w:lang w:val="en-GB"/>
        </w:rPr>
        <w:t xml:space="preserve">and </w:t>
      </w:r>
      <w:r w:rsidR="00482D78" w:rsidRPr="00CD719E">
        <w:rPr>
          <w:rFonts w:asciiTheme="minorHAnsi" w:eastAsiaTheme="minorHAnsi" w:hAnsiTheme="minorHAnsi" w:cstheme="minorBidi"/>
          <w:color w:val="auto"/>
          <w:kern w:val="0"/>
          <w:sz w:val="24"/>
          <w:szCs w:val="24"/>
          <w:lang w:val="en-GB"/>
        </w:rPr>
        <w:t xml:space="preserve">the training </w:t>
      </w:r>
      <w:r w:rsidRPr="00CD719E">
        <w:rPr>
          <w:rFonts w:asciiTheme="minorHAnsi" w:eastAsiaTheme="minorHAnsi" w:hAnsiTheme="minorHAnsi" w:cstheme="minorBidi"/>
          <w:color w:val="auto"/>
          <w:kern w:val="0"/>
          <w:sz w:val="24"/>
          <w:szCs w:val="24"/>
          <w:lang w:val="en-GB"/>
        </w:rPr>
        <w:t>of support staff and teacher assistants who will support the inclusion of learners with disabilities in regular classes</w:t>
      </w:r>
      <w:r w:rsidR="0085414A">
        <w:rPr>
          <w:rFonts w:asciiTheme="minorHAnsi" w:eastAsiaTheme="minorHAnsi" w:hAnsiTheme="minorHAnsi" w:cstheme="minorBidi"/>
          <w:color w:val="auto"/>
          <w:kern w:val="0"/>
          <w:sz w:val="24"/>
          <w:szCs w:val="24"/>
          <w:lang w:val="en-GB"/>
        </w:rPr>
        <w:t>.</w:t>
      </w:r>
    </w:p>
    <w:p w14:paraId="6F0AFA2D" w14:textId="35ACA3F7" w:rsidR="00BE7C2F" w:rsidRPr="00BE7C2F" w:rsidRDefault="0085414A" w:rsidP="00BE7C2F">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S</w:t>
      </w:r>
      <w:r w:rsidRPr="008B603B">
        <w:rPr>
          <w:rFonts w:asciiTheme="minorHAnsi" w:eastAsiaTheme="minorHAnsi" w:hAnsiTheme="minorHAnsi" w:cstheme="minorBidi"/>
          <w:color w:val="auto"/>
          <w:kern w:val="0"/>
          <w:sz w:val="24"/>
          <w:szCs w:val="24"/>
          <w:lang w:val="en-GB"/>
        </w:rPr>
        <w:t>ignificant investment</w:t>
      </w:r>
      <w:r>
        <w:rPr>
          <w:rFonts w:asciiTheme="minorHAnsi" w:eastAsiaTheme="minorHAnsi" w:hAnsiTheme="minorHAnsi" w:cstheme="minorBidi"/>
          <w:color w:val="auto"/>
          <w:kern w:val="0"/>
          <w:sz w:val="24"/>
          <w:szCs w:val="24"/>
          <w:lang w:val="en-GB"/>
        </w:rPr>
        <w:t>s</w:t>
      </w:r>
      <w:r w:rsidRPr="008B603B">
        <w:rPr>
          <w:rFonts w:asciiTheme="minorHAnsi" w:eastAsiaTheme="minorHAnsi" w:hAnsiTheme="minorHAnsi" w:cstheme="minorBidi"/>
          <w:color w:val="auto"/>
          <w:kern w:val="0"/>
          <w:sz w:val="24"/>
          <w:szCs w:val="24"/>
          <w:lang w:val="en-GB"/>
        </w:rPr>
        <w:t xml:space="preserve"> </w:t>
      </w:r>
      <w:r>
        <w:rPr>
          <w:rFonts w:asciiTheme="minorHAnsi" w:eastAsiaTheme="minorHAnsi" w:hAnsiTheme="minorHAnsi" w:cstheme="minorBidi"/>
          <w:color w:val="auto"/>
          <w:kern w:val="0"/>
          <w:sz w:val="24"/>
          <w:szCs w:val="24"/>
          <w:lang w:val="en-GB"/>
        </w:rPr>
        <w:t xml:space="preserve">are </w:t>
      </w:r>
      <w:r w:rsidRPr="008B603B">
        <w:rPr>
          <w:rFonts w:asciiTheme="minorHAnsi" w:eastAsiaTheme="minorHAnsi" w:hAnsiTheme="minorHAnsi" w:cstheme="minorBidi"/>
          <w:color w:val="auto"/>
          <w:kern w:val="0"/>
          <w:sz w:val="24"/>
          <w:szCs w:val="24"/>
          <w:lang w:val="en-GB"/>
        </w:rPr>
        <w:t xml:space="preserve">made in </w:t>
      </w:r>
      <w:r>
        <w:rPr>
          <w:rFonts w:asciiTheme="minorHAnsi" w:eastAsiaTheme="minorHAnsi" w:hAnsiTheme="minorHAnsi" w:cstheme="minorBidi"/>
          <w:color w:val="auto"/>
          <w:kern w:val="0"/>
          <w:sz w:val="24"/>
          <w:szCs w:val="24"/>
          <w:lang w:val="en-GB"/>
        </w:rPr>
        <w:t xml:space="preserve">the </w:t>
      </w:r>
      <w:r w:rsidRPr="008B603B">
        <w:rPr>
          <w:rFonts w:asciiTheme="minorHAnsi" w:eastAsiaTheme="minorHAnsi" w:hAnsiTheme="minorHAnsi" w:cstheme="minorBidi"/>
          <w:color w:val="auto"/>
          <w:kern w:val="0"/>
          <w:sz w:val="24"/>
          <w:szCs w:val="24"/>
          <w:lang w:val="en-GB"/>
        </w:rPr>
        <w:t xml:space="preserve">accessibility of </w:t>
      </w:r>
      <w:r>
        <w:rPr>
          <w:rFonts w:asciiTheme="minorHAnsi" w:eastAsiaTheme="minorHAnsi" w:hAnsiTheme="minorHAnsi" w:cstheme="minorBidi"/>
          <w:color w:val="auto"/>
          <w:kern w:val="0"/>
          <w:sz w:val="24"/>
          <w:szCs w:val="24"/>
          <w:lang w:val="en-GB"/>
        </w:rPr>
        <w:t xml:space="preserve">all education </w:t>
      </w:r>
      <w:r w:rsidRPr="008B603B">
        <w:rPr>
          <w:rFonts w:asciiTheme="minorHAnsi" w:eastAsiaTheme="minorHAnsi" w:hAnsiTheme="minorHAnsi" w:cstheme="minorBidi"/>
          <w:color w:val="auto"/>
          <w:kern w:val="0"/>
          <w:sz w:val="24"/>
          <w:szCs w:val="24"/>
          <w:lang w:val="en-GB"/>
        </w:rPr>
        <w:t xml:space="preserve">facilities and teaching materials, </w:t>
      </w:r>
      <w:r>
        <w:rPr>
          <w:rFonts w:asciiTheme="minorHAnsi" w:eastAsiaTheme="minorHAnsi" w:hAnsiTheme="minorHAnsi" w:cstheme="minorBidi"/>
          <w:color w:val="auto"/>
          <w:kern w:val="0"/>
          <w:sz w:val="24"/>
          <w:szCs w:val="24"/>
          <w:lang w:val="en-GB"/>
        </w:rPr>
        <w:t xml:space="preserve">with </w:t>
      </w:r>
      <w:r w:rsidRPr="008B603B">
        <w:rPr>
          <w:rFonts w:asciiTheme="minorHAnsi" w:eastAsiaTheme="minorHAnsi" w:hAnsiTheme="minorHAnsi" w:cstheme="minorBidi"/>
          <w:color w:val="auto"/>
          <w:kern w:val="0"/>
          <w:sz w:val="24"/>
          <w:szCs w:val="24"/>
          <w:lang w:val="en-GB"/>
        </w:rPr>
        <w:t xml:space="preserve">access to assistive products and </w:t>
      </w:r>
      <w:r>
        <w:rPr>
          <w:rFonts w:asciiTheme="minorHAnsi" w:eastAsiaTheme="minorHAnsi" w:hAnsiTheme="minorHAnsi" w:cstheme="minorBidi"/>
          <w:color w:val="auto"/>
          <w:kern w:val="0"/>
          <w:sz w:val="24"/>
          <w:szCs w:val="24"/>
          <w:lang w:val="en-GB"/>
        </w:rPr>
        <w:t xml:space="preserve">technology, including the </w:t>
      </w:r>
      <w:r w:rsidRPr="00CD719E">
        <w:rPr>
          <w:rFonts w:asciiTheme="minorHAnsi" w:eastAsiaTheme="minorHAnsi" w:hAnsiTheme="minorHAnsi" w:cstheme="minorBidi"/>
          <w:color w:val="auto"/>
          <w:kern w:val="0"/>
          <w:sz w:val="24"/>
          <w:szCs w:val="24"/>
          <w:lang w:val="en-GB"/>
        </w:rPr>
        <w:t>provision of information in accessible formats for children with print disabilities</w:t>
      </w:r>
      <w:r>
        <w:rPr>
          <w:rFonts w:asciiTheme="minorHAnsi" w:eastAsiaTheme="minorHAnsi" w:hAnsiTheme="minorHAnsi" w:cstheme="minorBidi"/>
          <w:color w:val="auto"/>
          <w:kern w:val="0"/>
          <w:sz w:val="24"/>
          <w:szCs w:val="24"/>
          <w:lang w:val="en-GB"/>
        </w:rPr>
        <w:t xml:space="preserve"> and provision of </w:t>
      </w:r>
      <w:r w:rsidRPr="00CD719E">
        <w:rPr>
          <w:rFonts w:asciiTheme="minorHAnsi" w:eastAsiaTheme="minorHAnsi" w:hAnsiTheme="minorHAnsi" w:cstheme="minorBidi"/>
          <w:color w:val="auto"/>
          <w:kern w:val="0"/>
          <w:sz w:val="24"/>
          <w:szCs w:val="24"/>
          <w:lang w:val="en-GB"/>
        </w:rPr>
        <w:t>assistive listening systems.</w:t>
      </w:r>
    </w:p>
    <w:p w14:paraId="5CACFBAF" w14:textId="79482833" w:rsidR="00A70764" w:rsidRDefault="00A70764" w:rsidP="007F18D0">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 xml:space="preserve">There </w:t>
      </w:r>
      <w:r w:rsidR="00FD5112">
        <w:rPr>
          <w:rFonts w:asciiTheme="minorHAnsi" w:eastAsiaTheme="minorHAnsi" w:hAnsiTheme="minorHAnsi" w:cstheme="minorBidi"/>
          <w:color w:val="auto"/>
          <w:kern w:val="0"/>
          <w:sz w:val="24"/>
          <w:szCs w:val="24"/>
          <w:lang w:val="en-GB"/>
        </w:rPr>
        <w:t xml:space="preserve">are well resourced support services </w:t>
      </w:r>
      <w:r>
        <w:rPr>
          <w:rFonts w:asciiTheme="minorHAnsi" w:eastAsiaTheme="minorHAnsi" w:hAnsiTheme="minorHAnsi" w:cstheme="minorBidi"/>
          <w:color w:val="auto"/>
          <w:kern w:val="0"/>
          <w:sz w:val="24"/>
          <w:szCs w:val="24"/>
          <w:lang w:val="en-GB"/>
        </w:rPr>
        <w:t>at national, provincial</w:t>
      </w:r>
      <w:r w:rsidR="002628D5">
        <w:rPr>
          <w:rFonts w:asciiTheme="minorHAnsi" w:eastAsiaTheme="minorHAnsi" w:hAnsiTheme="minorHAnsi" w:cstheme="minorBidi"/>
          <w:color w:val="auto"/>
          <w:kern w:val="0"/>
          <w:sz w:val="24"/>
          <w:szCs w:val="24"/>
          <w:lang w:val="en-GB"/>
        </w:rPr>
        <w:t>,</w:t>
      </w:r>
      <w:r>
        <w:rPr>
          <w:rFonts w:asciiTheme="minorHAnsi" w:eastAsiaTheme="minorHAnsi" w:hAnsiTheme="minorHAnsi" w:cstheme="minorBidi"/>
          <w:color w:val="auto"/>
          <w:kern w:val="0"/>
          <w:sz w:val="24"/>
          <w:szCs w:val="24"/>
          <w:lang w:val="en-GB"/>
        </w:rPr>
        <w:t xml:space="preserve"> and local level</w:t>
      </w:r>
      <w:r w:rsidR="00FD5112">
        <w:rPr>
          <w:rFonts w:asciiTheme="minorHAnsi" w:eastAsiaTheme="minorHAnsi" w:hAnsiTheme="minorHAnsi" w:cstheme="minorBidi"/>
          <w:color w:val="auto"/>
          <w:kern w:val="0"/>
          <w:sz w:val="24"/>
          <w:szCs w:val="24"/>
          <w:lang w:val="en-GB"/>
        </w:rPr>
        <w:t>s</w:t>
      </w:r>
      <w:r w:rsidR="002628D5">
        <w:rPr>
          <w:rFonts w:asciiTheme="minorHAnsi" w:eastAsiaTheme="minorHAnsi" w:hAnsiTheme="minorHAnsi" w:cstheme="minorBidi"/>
          <w:color w:val="auto"/>
          <w:kern w:val="0"/>
          <w:sz w:val="24"/>
          <w:szCs w:val="24"/>
          <w:lang w:val="en-GB"/>
        </w:rPr>
        <w:t>,</w:t>
      </w:r>
      <w:r w:rsidRPr="008B603B">
        <w:rPr>
          <w:rFonts w:asciiTheme="minorHAnsi" w:eastAsiaTheme="minorHAnsi" w:hAnsiTheme="minorHAnsi" w:cstheme="minorBidi"/>
          <w:color w:val="auto"/>
          <w:kern w:val="0"/>
          <w:sz w:val="24"/>
          <w:szCs w:val="24"/>
          <w:lang w:val="en-GB"/>
        </w:rPr>
        <w:t xml:space="preserve"> to </w:t>
      </w:r>
      <w:r>
        <w:rPr>
          <w:rFonts w:asciiTheme="minorHAnsi" w:eastAsiaTheme="minorHAnsi" w:hAnsiTheme="minorHAnsi" w:cstheme="minorBidi"/>
          <w:color w:val="auto"/>
          <w:kern w:val="0"/>
          <w:sz w:val="24"/>
          <w:szCs w:val="24"/>
          <w:lang w:val="en-GB"/>
        </w:rPr>
        <w:t>assist</w:t>
      </w:r>
      <w:r w:rsidRPr="008B603B">
        <w:rPr>
          <w:rFonts w:asciiTheme="minorHAnsi" w:eastAsiaTheme="minorHAnsi" w:hAnsiTheme="minorHAnsi" w:cstheme="minorBidi"/>
          <w:color w:val="auto"/>
          <w:kern w:val="0"/>
          <w:sz w:val="24"/>
          <w:szCs w:val="24"/>
          <w:lang w:val="en-GB"/>
        </w:rPr>
        <w:t xml:space="preserve"> all schools and all teachers to provide i</w:t>
      </w:r>
      <w:r w:rsidR="0014487C">
        <w:rPr>
          <w:rFonts w:asciiTheme="minorHAnsi" w:eastAsiaTheme="minorHAnsi" w:hAnsiTheme="minorHAnsi" w:cstheme="minorBidi"/>
          <w:color w:val="auto"/>
          <w:kern w:val="0"/>
          <w:sz w:val="24"/>
          <w:szCs w:val="24"/>
          <w:lang w:val="en-GB"/>
        </w:rPr>
        <w:t>nclusive and effective learning</w:t>
      </w:r>
      <w:r w:rsidRPr="008B603B">
        <w:rPr>
          <w:rFonts w:asciiTheme="minorHAnsi" w:eastAsiaTheme="minorHAnsi" w:hAnsiTheme="minorHAnsi" w:cstheme="minorBidi"/>
          <w:color w:val="auto"/>
          <w:kern w:val="0"/>
          <w:sz w:val="24"/>
          <w:szCs w:val="24"/>
          <w:lang w:val="en-GB"/>
        </w:rPr>
        <w:t xml:space="preserve"> </w:t>
      </w:r>
      <w:r w:rsidR="00FD5112">
        <w:rPr>
          <w:rFonts w:asciiTheme="minorHAnsi" w:eastAsiaTheme="minorHAnsi" w:hAnsiTheme="minorHAnsi" w:cstheme="minorBidi"/>
          <w:color w:val="auto"/>
          <w:kern w:val="0"/>
          <w:sz w:val="24"/>
          <w:szCs w:val="24"/>
          <w:lang w:val="en-GB"/>
        </w:rPr>
        <w:t>for</w:t>
      </w:r>
      <w:r w:rsidRPr="008B603B">
        <w:rPr>
          <w:rFonts w:asciiTheme="minorHAnsi" w:eastAsiaTheme="minorHAnsi" w:hAnsiTheme="minorHAnsi" w:cstheme="minorBidi"/>
          <w:color w:val="auto"/>
          <w:kern w:val="0"/>
          <w:sz w:val="24"/>
          <w:szCs w:val="24"/>
          <w:lang w:val="en-GB"/>
        </w:rPr>
        <w:t xml:space="preserve"> all </w:t>
      </w:r>
      <w:r>
        <w:rPr>
          <w:rFonts w:asciiTheme="minorHAnsi" w:eastAsiaTheme="minorHAnsi" w:hAnsiTheme="minorHAnsi" w:cstheme="minorBidi"/>
          <w:color w:val="auto"/>
          <w:kern w:val="0"/>
          <w:sz w:val="24"/>
          <w:szCs w:val="24"/>
          <w:lang w:val="en-GB"/>
        </w:rPr>
        <w:t>learners</w:t>
      </w:r>
      <w:r w:rsidRPr="008B603B">
        <w:rPr>
          <w:rFonts w:asciiTheme="minorHAnsi" w:eastAsiaTheme="minorHAnsi" w:hAnsiTheme="minorHAnsi" w:cstheme="minorBidi"/>
          <w:color w:val="auto"/>
          <w:kern w:val="0"/>
          <w:sz w:val="24"/>
          <w:szCs w:val="24"/>
          <w:lang w:val="en-GB"/>
        </w:rPr>
        <w:t>, inclu</w:t>
      </w:r>
      <w:r>
        <w:rPr>
          <w:rFonts w:asciiTheme="minorHAnsi" w:eastAsiaTheme="minorHAnsi" w:hAnsiTheme="minorHAnsi" w:cstheme="minorBidi"/>
          <w:color w:val="auto"/>
          <w:kern w:val="0"/>
          <w:sz w:val="24"/>
          <w:szCs w:val="24"/>
          <w:lang w:val="en-GB"/>
        </w:rPr>
        <w:t>ding those with disabilities</w:t>
      </w:r>
      <w:r w:rsidRPr="008B603B">
        <w:rPr>
          <w:rFonts w:asciiTheme="minorHAnsi" w:eastAsiaTheme="minorHAnsi" w:hAnsiTheme="minorHAnsi" w:cstheme="minorBidi"/>
          <w:color w:val="auto"/>
          <w:kern w:val="0"/>
          <w:sz w:val="24"/>
          <w:szCs w:val="24"/>
          <w:lang w:val="en-GB"/>
        </w:rPr>
        <w:t xml:space="preserve">. </w:t>
      </w:r>
    </w:p>
    <w:p w14:paraId="73405405" w14:textId="5F3EA6D6" w:rsidR="00A70764" w:rsidRDefault="00A70764" w:rsidP="007F18D0">
      <w:pPr>
        <w:pStyle w:val="ListParagraph"/>
        <w:numPr>
          <w:ilvl w:val="0"/>
          <w:numId w:val="2"/>
        </w:numPr>
        <w:ind w:left="284" w:hanging="357"/>
        <w:rPr>
          <w:lang w:eastAsia="zh-CN"/>
        </w:rPr>
      </w:pPr>
      <w:r>
        <w:rPr>
          <w:lang w:eastAsia="zh-CN"/>
        </w:rPr>
        <w:t>A diversity of languages and mode</w:t>
      </w:r>
      <w:r w:rsidR="00FD5112">
        <w:rPr>
          <w:lang w:eastAsia="zh-CN"/>
        </w:rPr>
        <w:t>s</w:t>
      </w:r>
      <w:r>
        <w:rPr>
          <w:lang w:eastAsia="zh-CN"/>
        </w:rPr>
        <w:t xml:space="preserve"> of communication are used </w:t>
      </w:r>
      <w:r w:rsidR="0014487C">
        <w:rPr>
          <w:lang w:eastAsia="zh-CN"/>
        </w:rPr>
        <w:t>throughout the system. S</w:t>
      </w:r>
      <w:r>
        <w:rPr>
          <w:lang w:eastAsia="zh-CN"/>
        </w:rPr>
        <w:t xml:space="preserve">ign language and tactile sign language </w:t>
      </w:r>
      <w:r w:rsidR="00FD5112">
        <w:rPr>
          <w:lang w:eastAsia="zh-CN"/>
        </w:rPr>
        <w:t>are</w:t>
      </w:r>
      <w:r w:rsidR="00194B52">
        <w:rPr>
          <w:lang w:eastAsia="zh-CN"/>
        </w:rPr>
        <w:t xml:space="preserve"> </w:t>
      </w:r>
      <w:r>
        <w:rPr>
          <w:lang w:eastAsia="zh-CN"/>
        </w:rPr>
        <w:t>progressively recognized as official languages of instruction</w:t>
      </w:r>
      <w:r w:rsidR="0014487C">
        <w:rPr>
          <w:lang w:eastAsia="zh-CN"/>
        </w:rPr>
        <w:t>,</w:t>
      </w:r>
      <w:r>
        <w:rPr>
          <w:lang w:eastAsia="zh-CN"/>
        </w:rPr>
        <w:t xml:space="preserve"> with relevant standards and licensing, ensuring</w:t>
      </w:r>
      <w:r w:rsidR="002628D5">
        <w:rPr>
          <w:lang w:eastAsia="zh-CN"/>
        </w:rPr>
        <w:t xml:space="preserve"> particularly </w:t>
      </w:r>
      <w:r>
        <w:rPr>
          <w:lang w:eastAsia="zh-CN"/>
        </w:rPr>
        <w:t xml:space="preserve">that teachers have full fluency in sign language.  </w:t>
      </w:r>
    </w:p>
    <w:p w14:paraId="05E42FCB" w14:textId="2FCE5A2D" w:rsidR="00A70764" w:rsidRPr="004B584C" w:rsidRDefault="00A70764" w:rsidP="007F18D0">
      <w:pPr>
        <w:pStyle w:val="ListParagraph"/>
        <w:numPr>
          <w:ilvl w:val="0"/>
          <w:numId w:val="2"/>
        </w:numPr>
        <w:ind w:left="284"/>
        <w:rPr>
          <w:lang w:eastAsia="zh-CN"/>
        </w:rPr>
      </w:pPr>
      <w:r>
        <w:rPr>
          <w:lang w:eastAsia="zh-CN"/>
        </w:rPr>
        <w:t xml:space="preserve">Special schools and other segregated settings </w:t>
      </w:r>
      <w:r w:rsidR="00BE2860">
        <w:rPr>
          <w:lang w:eastAsia="zh-CN"/>
        </w:rPr>
        <w:t>are</w:t>
      </w:r>
      <w:r>
        <w:rPr>
          <w:lang w:eastAsia="zh-CN"/>
        </w:rPr>
        <w:t xml:space="preserve"> progressively phased out with key human resources and knowledge assets converted in</w:t>
      </w:r>
      <w:r w:rsidR="0032798C">
        <w:rPr>
          <w:lang w:eastAsia="zh-CN"/>
        </w:rPr>
        <w:t>to</w:t>
      </w:r>
      <w:r>
        <w:rPr>
          <w:lang w:eastAsia="zh-CN"/>
        </w:rPr>
        <w:t xml:space="preserve"> support</w:t>
      </w:r>
      <w:r w:rsidR="002628D5">
        <w:rPr>
          <w:lang w:eastAsia="zh-CN"/>
        </w:rPr>
        <w:t xml:space="preserve"> </w:t>
      </w:r>
      <w:r w:rsidR="00BE2860">
        <w:rPr>
          <w:lang w:eastAsia="zh-CN"/>
        </w:rPr>
        <w:t>of</w:t>
      </w:r>
      <w:r w:rsidR="0014487C" w:rsidRPr="0014487C">
        <w:rPr>
          <w:lang w:eastAsia="zh-CN"/>
        </w:rPr>
        <w:t xml:space="preserve"> </w:t>
      </w:r>
      <w:r w:rsidR="0014487C">
        <w:rPr>
          <w:lang w:eastAsia="zh-CN"/>
        </w:rPr>
        <w:t>inclusion, equal access and reasonable accommodation</w:t>
      </w:r>
      <w:r>
        <w:rPr>
          <w:lang w:eastAsia="zh-CN"/>
        </w:rPr>
        <w:t xml:space="preserve">. </w:t>
      </w:r>
      <w:r w:rsidRPr="003818D1">
        <w:rPr>
          <w:lang w:eastAsia="zh-CN"/>
        </w:rPr>
        <w:t xml:space="preserve">Because of their critical role in language acquisition for deaf children, </w:t>
      </w:r>
      <w:r w:rsidR="00BE2860">
        <w:rPr>
          <w:lang w:eastAsia="zh-CN"/>
        </w:rPr>
        <w:t xml:space="preserve">schools for the </w:t>
      </w:r>
      <w:r w:rsidRPr="003818D1">
        <w:rPr>
          <w:lang w:eastAsia="zh-CN"/>
        </w:rPr>
        <w:t xml:space="preserve">deaf </w:t>
      </w:r>
      <w:r w:rsidR="00BE2860">
        <w:rPr>
          <w:lang w:eastAsia="zh-CN"/>
        </w:rPr>
        <w:t xml:space="preserve">are </w:t>
      </w:r>
      <w:r w:rsidRPr="003818D1">
        <w:rPr>
          <w:lang w:eastAsia="zh-CN"/>
        </w:rPr>
        <w:t>supported in their transformation into inclusive bilingual sign language schools for deaf children</w:t>
      </w:r>
      <w:r>
        <w:rPr>
          <w:lang w:eastAsia="zh-CN"/>
        </w:rPr>
        <w:t xml:space="preserve"> and other sign language users. </w:t>
      </w:r>
    </w:p>
    <w:p w14:paraId="08AF4AD8" w14:textId="4F04C21C" w:rsidR="00A70764" w:rsidRPr="003E2793" w:rsidRDefault="00A70764" w:rsidP="007F18D0">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P</w:t>
      </w:r>
      <w:r w:rsidRPr="003E2793">
        <w:rPr>
          <w:rFonts w:asciiTheme="minorHAnsi" w:eastAsiaTheme="minorHAnsi" w:hAnsiTheme="minorHAnsi" w:cstheme="minorBidi"/>
          <w:color w:val="auto"/>
          <w:kern w:val="0"/>
          <w:sz w:val="24"/>
          <w:szCs w:val="24"/>
          <w:lang w:val="en-GB"/>
        </w:rPr>
        <w:t xml:space="preserve">eer support and mentoring is available to </w:t>
      </w:r>
      <w:r>
        <w:rPr>
          <w:rFonts w:asciiTheme="minorHAnsi" w:eastAsiaTheme="minorHAnsi" w:hAnsiTheme="minorHAnsi" w:cstheme="minorBidi"/>
          <w:color w:val="auto"/>
          <w:kern w:val="0"/>
          <w:sz w:val="24"/>
          <w:szCs w:val="24"/>
          <w:lang w:val="en-GB"/>
        </w:rPr>
        <w:t>learners</w:t>
      </w:r>
      <w:r w:rsidRPr="003E2793">
        <w:rPr>
          <w:rFonts w:asciiTheme="minorHAnsi" w:eastAsiaTheme="minorHAnsi" w:hAnsiTheme="minorHAnsi" w:cstheme="minorBidi"/>
          <w:color w:val="auto"/>
          <w:kern w:val="0"/>
          <w:sz w:val="24"/>
          <w:szCs w:val="24"/>
          <w:lang w:val="en-GB"/>
        </w:rPr>
        <w:t xml:space="preserve"> who want it</w:t>
      </w:r>
      <w:r w:rsidR="001F7417">
        <w:rPr>
          <w:rFonts w:asciiTheme="minorHAnsi" w:eastAsiaTheme="minorHAnsi" w:hAnsiTheme="minorHAnsi" w:cstheme="minorBidi"/>
          <w:color w:val="auto"/>
          <w:kern w:val="0"/>
          <w:sz w:val="24"/>
          <w:szCs w:val="24"/>
          <w:lang w:val="en-GB"/>
        </w:rPr>
        <w:t>.</w:t>
      </w:r>
    </w:p>
    <w:p w14:paraId="47D7045B" w14:textId="493855C7" w:rsidR="00A70764" w:rsidRDefault="00A70764" w:rsidP="007F18D0">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D</w:t>
      </w:r>
      <w:r w:rsidRPr="004F542C">
        <w:rPr>
          <w:rFonts w:asciiTheme="minorHAnsi" w:eastAsiaTheme="minorHAnsi" w:hAnsiTheme="minorHAnsi" w:cstheme="minorBidi"/>
          <w:color w:val="auto"/>
          <w:kern w:val="0"/>
          <w:sz w:val="24"/>
          <w:szCs w:val="24"/>
          <w:lang w:val="en-GB"/>
        </w:rPr>
        <w:t xml:space="preserve">ata are consistently collected, disaggregated and analysed to ensure adequate monitoring and resourcing of inclusive and </w:t>
      </w:r>
      <w:r w:rsidR="001F7417">
        <w:rPr>
          <w:rFonts w:asciiTheme="minorHAnsi" w:eastAsiaTheme="minorHAnsi" w:hAnsiTheme="minorHAnsi" w:cstheme="minorBidi"/>
          <w:color w:val="auto"/>
          <w:kern w:val="0"/>
          <w:sz w:val="24"/>
          <w:szCs w:val="24"/>
          <w:lang w:val="en-GB"/>
        </w:rPr>
        <w:t xml:space="preserve">equitable </w:t>
      </w:r>
      <w:r w:rsidRPr="004F542C">
        <w:rPr>
          <w:rFonts w:asciiTheme="minorHAnsi" w:eastAsiaTheme="minorHAnsi" w:hAnsiTheme="minorHAnsi" w:cstheme="minorBidi"/>
          <w:color w:val="auto"/>
          <w:kern w:val="0"/>
          <w:sz w:val="24"/>
          <w:szCs w:val="24"/>
          <w:lang w:val="en-GB"/>
        </w:rPr>
        <w:t>quality education.</w:t>
      </w:r>
    </w:p>
    <w:p w14:paraId="1ECEE044" w14:textId="3B7D8930" w:rsidR="00A70764" w:rsidRPr="008E3B02" w:rsidRDefault="00A70764" w:rsidP="007F18D0">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In decentralised systems, t</w:t>
      </w:r>
      <w:r w:rsidRPr="002146EE">
        <w:rPr>
          <w:rFonts w:asciiTheme="minorHAnsi" w:eastAsiaTheme="minorHAnsi" w:hAnsiTheme="minorHAnsi" w:cstheme="minorBidi"/>
          <w:color w:val="auto"/>
          <w:kern w:val="0"/>
          <w:sz w:val="24"/>
          <w:szCs w:val="24"/>
          <w:lang w:val="en-GB"/>
        </w:rPr>
        <w:t xml:space="preserve">here is </w:t>
      </w:r>
      <w:r w:rsidR="001F7417">
        <w:rPr>
          <w:rFonts w:asciiTheme="minorHAnsi" w:eastAsiaTheme="minorHAnsi" w:hAnsiTheme="minorHAnsi" w:cstheme="minorBidi"/>
          <w:color w:val="auto"/>
          <w:kern w:val="0"/>
          <w:sz w:val="24"/>
          <w:szCs w:val="24"/>
          <w:lang w:val="en-GB"/>
        </w:rPr>
        <w:t xml:space="preserve">a </w:t>
      </w:r>
      <w:r w:rsidRPr="002146EE">
        <w:rPr>
          <w:rFonts w:asciiTheme="minorHAnsi" w:eastAsiaTheme="minorHAnsi" w:hAnsiTheme="minorHAnsi" w:cstheme="minorBidi"/>
          <w:color w:val="auto"/>
          <w:kern w:val="0"/>
          <w:sz w:val="24"/>
          <w:szCs w:val="24"/>
          <w:lang w:val="en-GB"/>
        </w:rPr>
        <w:t xml:space="preserve">comprehensive and consistent </w:t>
      </w:r>
      <w:r>
        <w:rPr>
          <w:rFonts w:asciiTheme="minorHAnsi" w:eastAsiaTheme="minorHAnsi" w:hAnsiTheme="minorHAnsi" w:cstheme="minorBidi"/>
          <w:color w:val="auto"/>
          <w:kern w:val="0"/>
          <w:sz w:val="24"/>
          <w:szCs w:val="24"/>
          <w:lang w:val="en-GB"/>
        </w:rPr>
        <w:t xml:space="preserve">set of </w:t>
      </w:r>
      <w:r w:rsidRPr="002146EE">
        <w:rPr>
          <w:rFonts w:asciiTheme="minorHAnsi" w:eastAsiaTheme="minorHAnsi" w:hAnsiTheme="minorHAnsi" w:cstheme="minorBidi"/>
          <w:color w:val="auto"/>
          <w:kern w:val="0"/>
          <w:sz w:val="24"/>
          <w:szCs w:val="24"/>
          <w:lang w:val="en-GB"/>
        </w:rPr>
        <w:t xml:space="preserve">regulations and adequate resource planning for inclusive and </w:t>
      </w:r>
      <w:r w:rsidR="001F7417">
        <w:rPr>
          <w:rFonts w:asciiTheme="minorHAnsi" w:eastAsiaTheme="minorHAnsi" w:hAnsiTheme="minorHAnsi" w:cstheme="minorBidi"/>
          <w:color w:val="auto"/>
          <w:kern w:val="0"/>
          <w:sz w:val="24"/>
          <w:szCs w:val="24"/>
          <w:lang w:val="en-GB"/>
        </w:rPr>
        <w:t xml:space="preserve">equitable </w:t>
      </w:r>
      <w:r w:rsidRPr="002146EE">
        <w:rPr>
          <w:rFonts w:asciiTheme="minorHAnsi" w:eastAsiaTheme="minorHAnsi" w:hAnsiTheme="minorHAnsi" w:cstheme="minorBidi"/>
          <w:color w:val="auto"/>
          <w:kern w:val="0"/>
          <w:sz w:val="24"/>
          <w:szCs w:val="24"/>
          <w:lang w:val="en-GB"/>
        </w:rPr>
        <w:t xml:space="preserve">quality education at </w:t>
      </w:r>
      <w:r w:rsidR="001F7417">
        <w:rPr>
          <w:rFonts w:asciiTheme="minorHAnsi" w:eastAsiaTheme="minorHAnsi" w:hAnsiTheme="minorHAnsi" w:cstheme="minorBidi"/>
          <w:color w:val="auto"/>
          <w:kern w:val="0"/>
          <w:sz w:val="24"/>
          <w:szCs w:val="24"/>
          <w:lang w:val="en-GB"/>
        </w:rPr>
        <w:t xml:space="preserve">the </w:t>
      </w:r>
      <w:r>
        <w:rPr>
          <w:rFonts w:asciiTheme="minorHAnsi" w:eastAsiaTheme="minorHAnsi" w:hAnsiTheme="minorHAnsi" w:cstheme="minorBidi"/>
          <w:color w:val="auto"/>
          <w:kern w:val="0"/>
          <w:sz w:val="24"/>
          <w:szCs w:val="24"/>
          <w:lang w:val="en-GB"/>
        </w:rPr>
        <w:t>different level</w:t>
      </w:r>
      <w:r w:rsidR="00BB1EC1">
        <w:rPr>
          <w:rFonts w:asciiTheme="minorHAnsi" w:eastAsiaTheme="minorHAnsi" w:hAnsiTheme="minorHAnsi" w:cstheme="minorBidi"/>
          <w:color w:val="auto"/>
          <w:kern w:val="0"/>
          <w:sz w:val="24"/>
          <w:szCs w:val="24"/>
          <w:lang w:val="en-GB"/>
        </w:rPr>
        <w:t>s</w:t>
      </w:r>
      <w:r>
        <w:rPr>
          <w:rFonts w:asciiTheme="minorHAnsi" w:eastAsiaTheme="minorHAnsi" w:hAnsiTheme="minorHAnsi" w:cstheme="minorBidi"/>
          <w:color w:val="auto"/>
          <w:kern w:val="0"/>
          <w:sz w:val="24"/>
          <w:szCs w:val="24"/>
          <w:lang w:val="en-GB"/>
        </w:rPr>
        <w:t xml:space="preserve"> of government</w:t>
      </w:r>
      <w:r w:rsidR="001F7417">
        <w:rPr>
          <w:rFonts w:asciiTheme="minorHAnsi" w:eastAsiaTheme="minorHAnsi" w:hAnsiTheme="minorHAnsi" w:cstheme="minorBidi"/>
          <w:color w:val="auto"/>
          <w:kern w:val="0"/>
          <w:sz w:val="24"/>
          <w:szCs w:val="24"/>
          <w:lang w:val="en-GB"/>
        </w:rPr>
        <w:t>,</w:t>
      </w:r>
      <w:r>
        <w:rPr>
          <w:rFonts w:asciiTheme="minorHAnsi" w:eastAsiaTheme="minorHAnsi" w:hAnsiTheme="minorHAnsi" w:cstheme="minorBidi"/>
          <w:color w:val="auto"/>
          <w:kern w:val="0"/>
          <w:sz w:val="24"/>
          <w:szCs w:val="24"/>
          <w:lang w:val="en-GB"/>
        </w:rPr>
        <w:t xml:space="preserve"> with relevant vertical and horizontal accountability mechanisms.</w:t>
      </w:r>
    </w:p>
    <w:p w14:paraId="017E55F1" w14:textId="14C3822A" w:rsidR="00CB0990" w:rsidRPr="00CB0990" w:rsidRDefault="00CB0990" w:rsidP="007F18D0">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Pr>
          <w:rFonts w:asciiTheme="minorHAnsi" w:eastAsiaTheme="minorHAnsi" w:hAnsiTheme="minorHAnsi" w:cstheme="minorBidi"/>
          <w:color w:val="auto"/>
          <w:kern w:val="0"/>
          <w:sz w:val="24"/>
          <w:szCs w:val="24"/>
          <w:lang w:val="en-GB"/>
        </w:rPr>
        <w:t>A</w:t>
      </w:r>
      <w:r w:rsidRPr="00CB0990">
        <w:rPr>
          <w:rFonts w:asciiTheme="minorHAnsi" w:eastAsiaTheme="minorHAnsi" w:hAnsiTheme="minorHAnsi" w:cstheme="minorBidi"/>
          <w:color w:val="auto"/>
          <w:kern w:val="0"/>
          <w:sz w:val="24"/>
          <w:szCs w:val="24"/>
          <w:lang w:val="en-GB"/>
        </w:rPr>
        <w:t xml:space="preserve"> multi-sectoral approach </w:t>
      </w:r>
      <w:r w:rsidR="001F7417">
        <w:rPr>
          <w:rFonts w:asciiTheme="minorHAnsi" w:eastAsiaTheme="minorHAnsi" w:hAnsiTheme="minorHAnsi" w:cstheme="minorBidi"/>
          <w:color w:val="auto"/>
          <w:kern w:val="0"/>
          <w:sz w:val="24"/>
          <w:szCs w:val="24"/>
          <w:lang w:val="en-GB"/>
        </w:rPr>
        <w:t xml:space="preserve">is implemented </w:t>
      </w:r>
      <w:r w:rsidRPr="00CB0990">
        <w:rPr>
          <w:rFonts w:asciiTheme="minorHAnsi" w:eastAsiaTheme="minorHAnsi" w:hAnsiTheme="minorHAnsi" w:cstheme="minorBidi"/>
          <w:color w:val="auto"/>
          <w:kern w:val="0"/>
          <w:sz w:val="24"/>
          <w:szCs w:val="24"/>
          <w:lang w:val="en-GB"/>
        </w:rPr>
        <w:t xml:space="preserve">to ensure </w:t>
      </w:r>
      <w:r w:rsidR="001F7417">
        <w:rPr>
          <w:rFonts w:asciiTheme="minorHAnsi" w:eastAsiaTheme="minorHAnsi" w:hAnsiTheme="minorHAnsi" w:cstheme="minorBidi"/>
          <w:color w:val="auto"/>
          <w:kern w:val="0"/>
          <w:sz w:val="24"/>
          <w:szCs w:val="24"/>
          <w:lang w:val="en-GB"/>
        </w:rPr>
        <w:t>collaborative part</w:t>
      </w:r>
      <w:r w:rsidR="007F18D0">
        <w:rPr>
          <w:rFonts w:asciiTheme="minorHAnsi" w:eastAsiaTheme="minorHAnsi" w:hAnsiTheme="minorHAnsi" w:cstheme="minorBidi"/>
          <w:color w:val="auto"/>
          <w:kern w:val="0"/>
          <w:sz w:val="24"/>
          <w:szCs w:val="24"/>
          <w:lang w:val="en-GB"/>
        </w:rPr>
        <w:t>nerships between</w:t>
      </w:r>
      <w:r w:rsidRPr="00CB0990">
        <w:rPr>
          <w:rFonts w:asciiTheme="minorHAnsi" w:eastAsiaTheme="minorHAnsi" w:hAnsiTheme="minorHAnsi" w:cstheme="minorBidi"/>
          <w:color w:val="auto"/>
          <w:kern w:val="0"/>
          <w:sz w:val="24"/>
          <w:szCs w:val="24"/>
          <w:lang w:val="en-GB"/>
        </w:rPr>
        <w:t xml:space="preserve"> parents, families, communities, educators, </w:t>
      </w:r>
      <w:r>
        <w:rPr>
          <w:rFonts w:asciiTheme="minorHAnsi" w:eastAsiaTheme="minorHAnsi" w:hAnsiTheme="minorHAnsi" w:cstheme="minorBidi"/>
          <w:color w:val="auto"/>
          <w:kern w:val="0"/>
          <w:sz w:val="24"/>
          <w:szCs w:val="24"/>
          <w:lang w:val="en-GB"/>
        </w:rPr>
        <w:t>multi-</w:t>
      </w:r>
      <w:r w:rsidRPr="00CB0990">
        <w:rPr>
          <w:rFonts w:asciiTheme="minorHAnsi" w:eastAsiaTheme="minorHAnsi" w:hAnsiTheme="minorHAnsi" w:cstheme="minorBidi"/>
          <w:color w:val="auto"/>
          <w:kern w:val="0"/>
          <w:sz w:val="24"/>
          <w:szCs w:val="24"/>
          <w:lang w:val="en-GB"/>
        </w:rPr>
        <w:t xml:space="preserve"> disciplinary professional services, schools and ministries of education to </w:t>
      </w:r>
      <w:r w:rsidR="001F7417">
        <w:rPr>
          <w:rFonts w:asciiTheme="minorHAnsi" w:eastAsiaTheme="minorHAnsi" w:hAnsiTheme="minorHAnsi" w:cstheme="minorBidi"/>
          <w:color w:val="auto"/>
          <w:kern w:val="0"/>
          <w:sz w:val="24"/>
          <w:szCs w:val="24"/>
          <w:lang w:val="en-GB"/>
        </w:rPr>
        <w:t xml:space="preserve">ensure the provision of </w:t>
      </w:r>
      <w:r w:rsidRPr="00CB0990">
        <w:rPr>
          <w:rFonts w:asciiTheme="minorHAnsi" w:eastAsiaTheme="minorHAnsi" w:hAnsiTheme="minorHAnsi" w:cstheme="minorBidi"/>
          <w:color w:val="auto"/>
          <w:kern w:val="0"/>
          <w:sz w:val="24"/>
          <w:szCs w:val="24"/>
          <w:lang w:val="en-GB"/>
        </w:rPr>
        <w:t xml:space="preserve">access, support, reasonable accommodation and overall effective inclusion. </w:t>
      </w:r>
    </w:p>
    <w:p w14:paraId="66B3ABBB" w14:textId="730A424E" w:rsidR="00D05369" w:rsidRPr="0000644B" w:rsidRDefault="00A70764" w:rsidP="007F18D0">
      <w:pPr>
        <w:pStyle w:val="Heading3"/>
        <w:numPr>
          <w:ilvl w:val="0"/>
          <w:numId w:val="2"/>
        </w:numPr>
        <w:spacing w:after="60"/>
        <w:ind w:left="284" w:hanging="357"/>
        <w:rPr>
          <w:rFonts w:asciiTheme="minorHAnsi" w:eastAsiaTheme="minorHAnsi" w:hAnsiTheme="minorHAnsi" w:cstheme="minorBidi"/>
          <w:color w:val="auto"/>
          <w:kern w:val="0"/>
          <w:sz w:val="24"/>
          <w:szCs w:val="24"/>
          <w:lang w:val="en-GB"/>
        </w:rPr>
      </w:pPr>
      <w:r w:rsidRPr="004F542C">
        <w:rPr>
          <w:rFonts w:asciiTheme="minorHAnsi" w:eastAsiaTheme="minorHAnsi" w:hAnsiTheme="minorHAnsi" w:cstheme="minorBidi"/>
          <w:color w:val="auto"/>
          <w:kern w:val="0"/>
          <w:sz w:val="24"/>
          <w:szCs w:val="24"/>
          <w:lang w:val="en-GB"/>
        </w:rPr>
        <w:t>In coordination with the education system, a range of support</w:t>
      </w:r>
      <w:r w:rsidR="001F7417">
        <w:rPr>
          <w:rFonts w:asciiTheme="minorHAnsi" w:eastAsiaTheme="minorHAnsi" w:hAnsiTheme="minorHAnsi" w:cstheme="minorBidi"/>
          <w:color w:val="auto"/>
          <w:kern w:val="0"/>
          <w:sz w:val="24"/>
          <w:szCs w:val="24"/>
          <w:lang w:val="en-GB"/>
        </w:rPr>
        <w:t>s</w:t>
      </w:r>
      <w:r w:rsidRPr="004F542C">
        <w:rPr>
          <w:rFonts w:asciiTheme="minorHAnsi" w:eastAsiaTheme="minorHAnsi" w:hAnsiTheme="minorHAnsi" w:cstheme="minorBidi"/>
          <w:color w:val="auto"/>
          <w:kern w:val="0"/>
          <w:sz w:val="24"/>
          <w:szCs w:val="24"/>
          <w:lang w:val="en-GB"/>
        </w:rPr>
        <w:t xml:space="preserve"> </w:t>
      </w:r>
      <w:r w:rsidR="001F7417">
        <w:rPr>
          <w:rFonts w:asciiTheme="minorHAnsi" w:eastAsiaTheme="minorHAnsi" w:hAnsiTheme="minorHAnsi" w:cstheme="minorBidi"/>
          <w:color w:val="auto"/>
          <w:kern w:val="0"/>
          <w:sz w:val="24"/>
          <w:szCs w:val="24"/>
          <w:lang w:val="en-GB"/>
        </w:rPr>
        <w:t>are</w:t>
      </w:r>
      <w:r w:rsidRPr="004F542C">
        <w:rPr>
          <w:rFonts w:asciiTheme="minorHAnsi" w:eastAsiaTheme="minorHAnsi" w:hAnsiTheme="minorHAnsi" w:cstheme="minorBidi"/>
          <w:color w:val="auto"/>
          <w:kern w:val="0"/>
          <w:sz w:val="24"/>
          <w:szCs w:val="24"/>
          <w:lang w:val="en-GB"/>
        </w:rPr>
        <w:t xml:space="preserve"> available </w:t>
      </w:r>
      <w:r w:rsidR="001F7417">
        <w:rPr>
          <w:rFonts w:asciiTheme="minorHAnsi" w:eastAsiaTheme="minorHAnsi" w:hAnsiTheme="minorHAnsi" w:cstheme="minorBidi"/>
          <w:color w:val="auto"/>
          <w:kern w:val="0"/>
          <w:sz w:val="24"/>
          <w:szCs w:val="24"/>
          <w:lang w:val="en-GB"/>
        </w:rPr>
        <w:t>for</w:t>
      </w:r>
      <w:r w:rsidRPr="004F542C">
        <w:rPr>
          <w:rFonts w:asciiTheme="minorHAnsi" w:eastAsiaTheme="minorHAnsi" w:hAnsiTheme="minorHAnsi" w:cstheme="minorBidi"/>
          <w:color w:val="auto"/>
          <w:kern w:val="0"/>
          <w:sz w:val="24"/>
          <w:szCs w:val="24"/>
          <w:lang w:val="en-GB"/>
        </w:rPr>
        <w:t xml:space="preserve"> children and their parents from</w:t>
      </w:r>
      <w:r>
        <w:rPr>
          <w:rFonts w:asciiTheme="minorHAnsi" w:eastAsiaTheme="minorHAnsi" w:hAnsiTheme="minorHAnsi" w:cstheme="minorBidi"/>
          <w:color w:val="auto"/>
          <w:kern w:val="0"/>
          <w:sz w:val="24"/>
          <w:szCs w:val="24"/>
          <w:lang w:val="en-GB"/>
        </w:rPr>
        <w:t xml:space="preserve"> an</w:t>
      </w:r>
      <w:r w:rsidRPr="004F542C">
        <w:rPr>
          <w:rFonts w:asciiTheme="minorHAnsi" w:eastAsiaTheme="minorHAnsi" w:hAnsiTheme="minorHAnsi" w:cstheme="minorBidi"/>
          <w:color w:val="auto"/>
          <w:kern w:val="0"/>
          <w:sz w:val="24"/>
          <w:szCs w:val="24"/>
          <w:lang w:val="en-GB"/>
        </w:rPr>
        <w:t xml:space="preserve"> early age through early childhood </w:t>
      </w:r>
      <w:r w:rsidR="001F7417">
        <w:rPr>
          <w:rFonts w:asciiTheme="minorHAnsi" w:eastAsiaTheme="minorHAnsi" w:hAnsiTheme="minorHAnsi" w:cstheme="minorBidi"/>
          <w:color w:val="auto"/>
          <w:kern w:val="0"/>
          <w:sz w:val="24"/>
          <w:szCs w:val="24"/>
          <w:lang w:val="en-GB"/>
        </w:rPr>
        <w:t>including</w:t>
      </w:r>
      <w:r w:rsidRPr="004F542C">
        <w:rPr>
          <w:rFonts w:asciiTheme="minorHAnsi" w:eastAsiaTheme="minorHAnsi" w:hAnsiTheme="minorHAnsi" w:cstheme="minorBidi"/>
          <w:color w:val="auto"/>
          <w:kern w:val="0"/>
          <w:sz w:val="24"/>
          <w:szCs w:val="24"/>
          <w:lang w:val="en-GB"/>
        </w:rPr>
        <w:t xml:space="preserve"> </w:t>
      </w:r>
      <w:r>
        <w:rPr>
          <w:rFonts w:asciiTheme="minorHAnsi" w:eastAsiaTheme="minorHAnsi" w:hAnsiTheme="minorHAnsi" w:cstheme="minorBidi"/>
          <w:color w:val="auto"/>
          <w:kern w:val="0"/>
          <w:sz w:val="24"/>
          <w:szCs w:val="24"/>
          <w:lang w:val="en-GB"/>
        </w:rPr>
        <w:t>(re)</w:t>
      </w:r>
      <w:proofErr w:type="spellStart"/>
      <w:r w:rsidRPr="004F542C">
        <w:rPr>
          <w:rFonts w:asciiTheme="minorHAnsi" w:eastAsiaTheme="minorHAnsi" w:hAnsiTheme="minorHAnsi" w:cstheme="minorBidi"/>
          <w:color w:val="auto"/>
          <w:kern w:val="0"/>
          <w:sz w:val="24"/>
          <w:szCs w:val="24"/>
          <w:lang w:val="en-GB"/>
        </w:rPr>
        <w:t>habilitation</w:t>
      </w:r>
      <w:proofErr w:type="spellEnd"/>
      <w:r>
        <w:rPr>
          <w:rFonts w:asciiTheme="minorHAnsi" w:eastAsiaTheme="minorHAnsi" w:hAnsiTheme="minorHAnsi" w:cstheme="minorBidi"/>
          <w:color w:val="auto"/>
          <w:kern w:val="0"/>
          <w:sz w:val="24"/>
          <w:szCs w:val="24"/>
          <w:lang w:val="en-GB"/>
        </w:rPr>
        <w:t xml:space="preserve"> </w:t>
      </w:r>
      <w:r w:rsidRPr="004F542C">
        <w:rPr>
          <w:rFonts w:asciiTheme="minorHAnsi" w:eastAsiaTheme="minorHAnsi" w:hAnsiTheme="minorHAnsi" w:cstheme="minorBidi"/>
          <w:color w:val="auto"/>
          <w:kern w:val="0"/>
          <w:sz w:val="24"/>
          <w:szCs w:val="24"/>
          <w:lang w:val="en-GB"/>
        </w:rPr>
        <w:t>services</w:t>
      </w:r>
      <w:r w:rsidR="006717F9">
        <w:rPr>
          <w:rFonts w:asciiTheme="minorHAnsi" w:eastAsiaTheme="minorHAnsi" w:hAnsiTheme="minorHAnsi" w:cstheme="minorBidi"/>
          <w:color w:val="auto"/>
          <w:kern w:val="0"/>
          <w:sz w:val="24"/>
          <w:szCs w:val="24"/>
          <w:lang w:val="en-GB"/>
        </w:rPr>
        <w:t xml:space="preserve"> for </w:t>
      </w:r>
      <w:r w:rsidR="001F7417">
        <w:rPr>
          <w:rFonts w:asciiTheme="minorHAnsi" w:eastAsiaTheme="minorHAnsi" w:hAnsiTheme="minorHAnsi" w:cstheme="minorBidi"/>
          <w:color w:val="auto"/>
          <w:kern w:val="0"/>
          <w:sz w:val="24"/>
          <w:szCs w:val="24"/>
          <w:lang w:val="en-GB"/>
        </w:rPr>
        <w:t xml:space="preserve">the </w:t>
      </w:r>
      <w:r w:rsidR="006717F9">
        <w:rPr>
          <w:rFonts w:asciiTheme="minorHAnsi" w:eastAsiaTheme="minorHAnsi" w:hAnsiTheme="minorHAnsi" w:cstheme="minorBidi"/>
          <w:color w:val="auto"/>
          <w:kern w:val="0"/>
          <w:sz w:val="24"/>
          <w:szCs w:val="24"/>
          <w:lang w:val="en-GB"/>
        </w:rPr>
        <w:t>development of</w:t>
      </w:r>
      <w:r w:rsidR="00F913F9">
        <w:rPr>
          <w:rFonts w:asciiTheme="minorHAnsi" w:eastAsiaTheme="minorHAnsi" w:hAnsiTheme="minorHAnsi" w:cstheme="minorBidi"/>
          <w:color w:val="auto"/>
          <w:kern w:val="0"/>
          <w:sz w:val="24"/>
          <w:szCs w:val="24"/>
          <w:lang w:val="en-GB"/>
        </w:rPr>
        <w:t xml:space="preserve"> </w:t>
      </w:r>
      <w:r w:rsidR="00F913F9" w:rsidRPr="00F913F9">
        <w:rPr>
          <w:rFonts w:asciiTheme="minorHAnsi" w:eastAsiaTheme="minorHAnsi" w:hAnsiTheme="minorHAnsi" w:cstheme="minorBidi"/>
          <w:color w:val="auto"/>
          <w:kern w:val="0"/>
          <w:sz w:val="24"/>
          <w:szCs w:val="24"/>
          <w:lang w:val="en-GB"/>
        </w:rPr>
        <w:t>specific skills and language acquisition</w:t>
      </w:r>
      <w:r w:rsidRPr="004F542C">
        <w:rPr>
          <w:rFonts w:asciiTheme="minorHAnsi" w:eastAsiaTheme="minorHAnsi" w:hAnsiTheme="minorHAnsi" w:cstheme="minorBidi"/>
          <w:color w:val="auto"/>
          <w:kern w:val="0"/>
          <w:sz w:val="24"/>
          <w:szCs w:val="24"/>
          <w:lang w:val="en-GB"/>
        </w:rPr>
        <w:t xml:space="preserve">, social protection and </w:t>
      </w:r>
      <w:r w:rsidR="007F18D0">
        <w:rPr>
          <w:rFonts w:asciiTheme="minorHAnsi" w:eastAsiaTheme="minorHAnsi" w:hAnsiTheme="minorHAnsi" w:cstheme="minorBidi"/>
          <w:color w:val="auto"/>
          <w:kern w:val="0"/>
          <w:sz w:val="24"/>
          <w:szCs w:val="24"/>
          <w:lang w:val="en-GB"/>
        </w:rPr>
        <w:t>Community Based Inclusive Development (CBID)</w:t>
      </w:r>
      <w:r>
        <w:rPr>
          <w:rFonts w:asciiTheme="minorHAnsi" w:eastAsiaTheme="minorHAnsi" w:hAnsiTheme="minorHAnsi" w:cstheme="minorBidi"/>
          <w:color w:val="auto"/>
          <w:kern w:val="0"/>
          <w:sz w:val="24"/>
          <w:szCs w:val="24"/>
          <w:lang w:val="en-GB"/>
        </w:rPr>
        <w:t>. Such support</w:t>
      </w:r>
      <w:r w:rsidR="001F7417">
        <w:rPr>
          <w:rFonts w:asciiTheme="minorHAnsi" w:eastAsiaTheme="minorHAnsi" w:hAnsiTheme="minorHAnsi" w:cstheme="minorBidi"/>
          <w:color w:val="auto"/>
          <w:kern w:val="0"/>
          <w:sz w:val="24"/>
          <w:szCs w:val="24"/>
          <w:lang w:val="en-GB"/>
        </w:rPr>
        <w:t>s</w:t>
      </w:r>
      <w:r>
        <w:rPr>
          <w:rFonts w:asciiTheme="minorHAnsi" w:eastAsiaTheme="minorHAnsi" w:hAnsiTheme="minorHAnsi" w:cstheme="minorBidi"/>
          <w:color w:val="auto"/>
          <w:kern w:val="0"/>
          <w:sz w:val="24"/>
          <w:szCs w:val="24"/>
          <w:lang w:val="en-GB"/>
        </w:rPr>
        <w:t xml:space="preserve"> </w:t>
      </w:r>
      <w:r w:rsidR="001F7417">
        <w:rPr>
          <w:rFonts w:asciiTheme="minorHAnsi" w:eastAsiaTheme="minorHAnsi" w:hAnsiTheme="minorHAnsi" w:cstheme="minorBidi"/>
          <w:color w:val="auto"/>
          <w:kern w:val="0"/>
          <w:sz w:val="24"/>
          <w:szCs w:val="24"/>
          <w:lang w:val="en-GB"/>
        </w:rPr>
        <w:t>are</w:t>
      </w:r>
      <w:r>
        <w:rPr>
          <w:rFonts w:asciiTheme="minorHAnsi" w:eastAsiaTheme="minorHAnsi" w:hAnsiTheme="minorHAnsi" w:cstheme="minorBidi"/>
          <w:color w:val="auto"/>
          <w:kern w:val="0"/>
          <w:sz w:val="24"/>
          <w:szCs w:val="24"/>
          <w:lang w:val="en-GB"/>
        </w:rPr>
        <w:t xml:space="preserve"> available</w:t>
      </w:r>
      <w:r w:rsidR="001F7417">
        <w:rPr>
          <w:rFonts w:asciiTheme="minorHAnsi" w:eastAsiaTheme="minorHAnsi" w:hAnsiTheme="minorHAnsi" w:cstheme="minorBidi"/>
          <w:color w:val="auto"/>
          <w:kern w:val="0"/>
          <w:sz w:val="24"/>
          <w:szCs w:val="24"/>
          <w:lang w:val="en-GB"/>
        </w:rPr>
        <w:t xml:space="preserve"> during</w:t>
      </w:r>
      <w:r w:rsidRPr="004F542C">
        <w:rPr>
          <w:rFonts w:asciiTheme="minorHAnsi" w:eastAsiaTheme="minorHAnsi" w:hAnsiTheme="minorHAnsi" w:cstheme="minorBidi"/>
          <w:color w:val="auto"/>
          <w:kern w:val="0"/>
          <w:sz w:val="24"/>
          <w:szCs w:val="24"/>
          <w:lang w:val="en-GB"/>
        </w:rPr>
        <w:t xml:space="preserve"> transition period</w:t>
      </w:r>
      <w:r w:rsidR="001F7417">
        <w:rPr>
          <w:rFonts w:asciiTheme="minorHAnsi" w:eastAsiaTheme="minorHAnsi" w:hAnsiTheme="minorHAnsi" w:cstheme="minorBidi"/>
          <w:color w:val="auto"/>
          <w:kern w:val="0"/>
          <w:sz w:val="24"/>
          <w:szCs w:val="24"/>
          <w:lang w:val="en-GB"/>
        </w:rPr>
        <w:t>s</w:t>
      </w:r>
      <w:r w:rsidRPr="004F542C">
        <w:rPr>
          <w:rFonts w:asciiTheme="minorHAnsi" w:eastAsiaTheme="minorHAnsi" w:hAnsiTheme="minorHAnsi" w:cstheme="minorBidi"/>
          <w:color w:val="auto"/>
          <w:kern w:val="0"/>
          <w:sz w:val="24"/>
          <w:szCs w:val="24"/>
          <w:lang w:val="en-GB"/>
        </w:rPr>
        <w:t xml:space="preserve"> between </w:t>
      </w:r>
      <w:r w:rsidR="001F7417">
        <w:rPr>
          <w:rFonts w:asciiTheme="minorHAnsi" w:eastAsiaTheme="minorHAnsi" w:hAnsiTheme="minorHAnsi" w:cstheme="minorBidi"/>
          <w:color w:val="auto"/>
          <w:kern w:val="0"/>
          <w:sz w:val="24"/>
          <w:szCs w:val="24"/>
          <w:lang w:val="en-GB"/>
        </w:rPr>
        <w:t xml:space="preserve">home and </w:t>
      </w:r>
      <w:r w:rsidRPr="004F542C">
        <w:rPr>
          <w:rFonts w:asciiTheme="minorHAnsi" w:eastAsiaTheme="minorHAnsi" w:hAnsiTheme="minorHAnsi" w:cstheme="minorBidi"/>
          <w:color w:val="auto"/>
          <w:kern w:val="0"/>
          <w:sz w:val="24"/>
          <w:szCs w:val="24"/>
          <w:lang w:val="en-GB"/>
        </w:rPr>
        <w:t xml:space="preserve">school </w:t>
      </w:r>
      <w:r w:rsidR="001F7417">
        <w:rPr>
          <w:rFonts w:asciiTheme="minorHAnsi" w:eastAsiaTheme="minorHAnsi" w:hAnsiTheme="minorHAnsi" w:cstheme="minorBidi"/>
          <w:color w:val="auto"/>
          <w:kern w:val="0"/>
          <w:sz w:val="24"/>
          <w:szCs w:val="24"/>
          <w:lang w:val="en-GB"/>
        </w:rPr>
        <w:t xml:space="preserve">and </w:t>
      </w:r>
      <w:r w:rsidRPr="004F542C">
        <w:rPr>
          <w:rFonts w:asciiTheme="minorHAnsi" w:eastAsiaTheme="minorHAnsi" w:hAnsiTheme="minorHAnsi" w:cstheme="minorBidi"/>
          <w:color w:val="auto"/>
          <w:kern w:val="0"/>
          <w:sz w:val="24"/>
          <w:szCs w:val="24"/>
          <w:lang w:val="en-GB"/>
        </w:rPr>
        <w:t>school to work</w:t>
      </w:r>
      <w:r w:rsidR="001F7417">
        <w:rPr>
          <w:rFonts w:asciiTheme="minorHAnsi" w:eastAsiaTheme="minorHAnsi" w:hAnsiTheme="minorHAnsi" w:cstheme="minorBidi"/>
          <w:color w:val="auto"/>
          <w:kern w:val="0"/>
          <w:sz w:val="24"/>
          <w:szCs w:val="24"/>
          <w:lang w:val="en-GB"/>
        </w:rPr>
        <w:t xml:space="preserve"> or higher education.</w:t>
      </w:r>
      <w:r w:rsidRPr="004F542C">
        <w:rPr>
          <w:rFonts w:asciiTheme="minorHAnsi" w:eastAsiaTheme="minorHAnsi" w:hAnsiTheme="minorHAnsi" w:cstheme="minorBidi"/>
          <w:color w:val="auto"/>
          <w:kern w:val="0"/>
          <w:sz w:val="24"/>
          <w:szCs w:val="24"/>
          <w:lang w:val="en-GB"/>
        </w:rPr>
        <w:t xml:space="preserve"> </w:t>
      </w:r>
      <w:r w:rsidR="004D68D1">
        <w:t xml:space="preserve"> </w:t>
      </w:r>
    </w:p>
    <w:p w14:paraId="15D01315" w14:textId="77777777" w:rsidR="00D47C08" w:rsidRDefault="008F2F6E" w:rsidP="00100EBE">
      <w:pPr>
        <w:rPr>
          <w:i/>
          <w:iCs/>
          <w:lang w:eastAsia="zh-CN"/>
        </w:rPr>
      </w:pPr>
      <w:r w:rsidRPr="008F2F6E">
        <w:rPr>
          <w:i/>
          <w:iCs/>
          <w:lang w:eastAsia="zh-CN"/>
        </w:rPr>
        <w:t>A matrix showing common and specific education requirements of different groups of learners with disabilities remain to be developed</w:t>
      </w:r>
    </w:p>
    <w:p w14:paraId="6A78CC04" w14:textId="77777777" w:rsidR="0000644B" w:rsidRPr="008F2F6E" w:rsidRDefault="0000644B" w:rsidP="00155BE8">
      <w:pPr>
        <w:rPr>
          <w:i/>
          <w:iCs/>
          <w:lang w:eastAsia="zh-CN"/>
        </w:rPr>
      </w:pPr>
    </w:p>
    <w:p w14:paraId="3737A8EB" w14:textId="0F3107FA" w:rsidR="00AB659C" w:rsidRDefault="00DC3348" w:rsidP="00155BE8">
      <w:pPr>
        <w:pStyle w:val="ListParagraph"/>
        <w:rPr>
          <w:b/>
          <w:bCs/>
          <w:lang w:eastAsia="zh-CN"/>
        </w:rPr>
      </w:pPr>
      <w:r>
        <w:rPr>
          <w:b/>
          <w:bCs/>
          <w:lang w:eastAsia="zh-CN"/>
        </w:rPr>
        <w:t xml:space="preserve">B. Elements of the </w:t>
      </w:r>
      <w:r w:rsidR="001F7417">
        <w:rPr>
          <w:b/>
          <w:bCs/>
          <w:lang w:eastAsia="zh-CN"/>
        </w:rPr>
        <w:t>D</w:t>
      </w:r>
      <w:r>
        <w:rPr>
          <w:b/>
          <w:bCs/>
          <w:lang w:eastAsia="zh-CN"/>
        </w:rPr>
        <w:t xml:space="preserve">ialogue </w:t>
      </w:r>
      <w:r w:rsidR="001F7417">
        <w:rPr>
          <w:b/>
          <w:bCs/>
          <w:lang w:eastAsia="zh-CN"/>
        </w:rPr>
        <w:t>L</w:t>
      </w:r>
      <w:r w:rsidR="00D47C08">
        <w:rPr>
          <w:b/>
          <w:bCs/>
          <w:lang w:eastAsia="zh-CN"/>
        </w:rPr>
        <w:t xml:space="preserve">eading to the </w:t>
      </w:r>
      <w:r w:rsidR="001F7417">
        <w:rPr>
          <w:b/>
          <w:bCs/>
          <w:lang w:eastAsia="zh-CN"/>
        </w:rPr>
        <w:t>C</w:t>
      </w:r>
      <w:r w:rsidR="00D47C08">
        <w:rPr>
          <w:b/>
          <w:bCs/>
          <w:lang w:eastAsia="zh-CN"/>
        </w:rPr>
        <w:t>onsensus</w:t>
      </w:r>
      <w:r w:rsidR="001F7417">
        <w:rPr>
          <w:b/>
          <w:bCs/>
          <w:lang w:eastAsia="zh-CN"/>
        </w:rPr>
        <w:t xml:space="preserve"> of the IDA Inclusive Education Task Team</w:t>
      </w:r>
    </w:p>
    <w:p w14:paraId="6D5815B0" w14:textId="77777777" w:rsidR="00DC3348" w:rsidRPr="00F539B7" w:rsidRDefault="00DC3348" w:rsidP="00155BE8">
      <w:pPr>
        <w:pStyle w:val="ListParagraph"/>
        <w:rPr>
          <w:lang w:eastAsia="zh-CN"/>
        </w:rPr>
      </w:pPr>
    </w:p>
    <w:p w14:paraId="6744E45E" w14:textId="6A2F19D2" w:rsidR="00AB659C" w:rsidRDefault="001F7417" w:rsidP="00D65F7F">
      <w:pPr>
        <w:spacing w:after="120"/>
        <w:rPr>
          <w:lang w:eastAsia="zh-CN"/>
        </w:rPr>
      </w:pPr>
      <w:r>
        <w:rPr>
          <w:lang w:eastAsia="zh-CN"/>
        </w:rPr>
        <w:t>The following</w:t>
      </w:r>
      <w:r w:rsidR="009E62DC">
        <w:rPr>
          <w:lang w:eastAsia="zh-CN"/>
        </w:rPr>
        <w:t xml:space="preserve"> parameters</w:t>
      </w:r>
      <w:r w:rsidR="00AB659C">
        <w:rPr>
          <w:lang w:eastAsia="zh-CN"/>
        </w:rPr>
        <w:t xml:space="preserve"> defined the</w:t>
      </w:r>
      <w:r w:rsidR="009E62DC">
        <w:rPr>
          <w:lang w:eastAsia="zh-CN"/>
        </w:rPr>
        <w:t xml:space="preserve"> work on country </w:t>
      </w:r>
      <w:r w:rsidR="00AB659C">
        <w:rPr>
          <w:lang w:eastAsia="zh-CN"/>
        </w:rPr>
        <w:t xml:space="preserve">policy scenarios </w:t>
      </w:r>
      <w:r>
        <w:rPr>
          <w:lang w:eastAsia="zh-CN"/>
        </w:rPr>
        <w:t xml:space="preserve">and </w:t>
      </w:r>
      <w:r w:rsidR="00AB659C">
        <w:rPr>
          <w:lang w:eastAsia="zh-CN"/>
        </w:rPr>
        <w:t>helped to frame the overall discussion:</w:t>
      </w:r>
    </w:p>
    <w:p w14:paraId="58F9C57C" w14:textId="6D63B642" w:rsidR="00AB659C" w:rsidRDefault="00AB659C" w:rsidP="00D65F7F">
      <w:pPr>
        <w:spacing w:after="120"/>
        <w:ind w:left="720"/>
        <w:rPr>
          <w:lang w:eastAsia="zh-CN"/>
        </w:rPr>
      </w:pPr>
      <w:r>
        <w:rPr>
          <w:lang w:eastAsia="zh-CN"/>
        </w:rPr>
        <w:t xml:space="preserve">1.    As both SDGs and CRPD imply universality, all policy scenarios considered should positively impact </w:t>
      </w:r>
      <w:r w:rsidR="00002D5F">
        <w:rPr>
          <w:lang w:eastAsia="zh-CN"/>
        </w:rPr>
        <w:t xml:space="preserve">on </w:t>
      </w:r>
      <w:r w:rsidR="00600326">
        <w:rPr>
          <w:lang w:eastAsia="zh-CN"/>
        </w:rPr>
        <w:t xml:space="preserve">all learners, including all learners with disabilities across any given </w:t>
      </w:r>
      <w:r>
        <w:rPr>
          <w:lang w:eastAsia="zh-CN"/>
        </w:rPr>
        <w:t>country</w:t>
      </w:r>
      <w:r w:rsidR="00002D5F">
        <w:rPr>
          <w:lang w:eastAsia="zh-CN"/>
        </w:rPr>
        <w:t>,</w:t>
      </w:r>
      <w:r>
        <w:rPr>
          <w:lang w:eastAsia="zh-CN"/>
        </w:rPr>
        <w:t xml:space="preserve"> whoever and wherever they are</w:t>
      </w:r>
      <w:r w:rsidR="00002D5F">
        <w:rPr>
          <w:lang w:eastAsia="zh-CN"/>
        </w:rPr>
        <w:t xml:space="preserve"> located</w:t>
      </w:r>
      <w:r>
        <w:rPr>
          <w:lang w:eastAsia="zh-CN"/>
        </w:rPr>
        <w:t xml:space="preserve">, to ensure that no </w:t>
      </w:r>
      <w:r w:rsidR="00600326">
        <w:rPr>
          <w:lang w:eastAsia="zh-CN"/>
        </w:rPr>
        <w:t>one</w:t>
      </w:r>
      <w:r>
        <w:rPr>
          <w:lang w:eastAsia="zh-CN"/>
        </w:rPr>
        <w:t xml:space="preserve"> is left behind. </w:t>
      </w:r>
    </w:p>
    <w:p w14:paraId="5813841D" w14:textId="77777777" w:rsidR="00EA3822" w:rsidRDefault="00AB659C" w:rsidP="00D65F7F">
      <w:pPr>
        <w:spacing w:after="120"/>
        <w:ind w:left="720"/>
        <w:rPr>
          <w:lang w:eastAsia="zh-CN"/>
        </w:rPr>
      </w:pPr>
      <w:r>
        <w:rPr>
          <w:lang w:eastAsia="zh-CN"/>
        </w:rPr>
        <w:t xml:space="preserve">2.   </w:t>
      </w:r>
      <w:r w:rsidR="00D55E9E">
        <w:rPr>
          <w:lang w:eastAsia="zh-CN"/>
        </w:rPr>
        <w:t xml:space="preserve"> </w:t>
      </w:r>
      <w:r>
        <w:rPr>
          <w:lang w:eastAsia="zh-CN"/>
        </w:rPr>
        <w:t xml:space="preserve"> All efforts and steps towards achieving SDG 4 should be compliant with </w:t>
      </w:r>
      <w:r w:rsidR="007E76D8">
        <w:rPr>
          <w:lang w:eastAsia="zh-CN"/>
        </w:rPr>
        <w:t xml:space="preserve">the </w:t>
      </w:r>
      <w:r>
        <w:rPr>
          <w:lang w:eastAsia="zh-CN"/>
        </w:rPr>
        <w:t xml:space="preserve">CRPD and </w:t>
      </w:r>
    </w:p>
    <w:p w14:paraId="441077F2" w14:textId="77777777" w:rsidR="00E85B8F" w:rsidRDefault="00AB659C" w:rsidP="00D65F7F">
      <w:pPr>
        <w:spacing w:after="120"/>
        <w:ind w:left="720"/>
        <w:rPr>
          <w:lang w:eastAsia="zh-CN"/>
        </w:rPr>
      </w:pPr>
      <w:r>
        <w:rPr>
          <w:lang w:eastAsia="zh-CN"/>
        </w:rPr>
        <w:t>at all time</w:t>
      </w:r>
      <w:r w:rsidR="007E76D8">
        <w:rPr>
          <w:lang w:eastAsia="zh-CN"/>
        </w:rPr>
        <w:t>s</w:t>
      </w:r>
      <w:r>
        <w:rPr>
          <w:lang w:eastAsia="zh-CN"/>
        </w:rPr>
        <w:t xml:space="preserve"> imply a </w:t>
      </w:r>
      <w:r w:rsidR="00002D5F">
        <w:rPr>
          <w:lang w:eastAsia="zh-CN"/>
        </w:rPr>
        <w:t xml:space="preserve">concurrent </w:t>
      </w:r>
      <w:r>
        <w:rPr>
          <w:lang w:eastAsia="zh-CN"/>
        </w:rPr>
        <w:t xml:space="preserve">double duty </w:t>
      </w:r>
      <w:r w:rsidR="00002D5F">
        <w:rPr>
          <w:lang w:eastAsia="zh-CN"/>
        </w:rPr>
        <w:t>which means:</w:t>
      </w:r>
    </w:p>
    <w:p w14:paraId="619C82EA" w14:textId="4DCC5796" w:rsidR="00D65F7F" w:rsidRDefault="00E85B8F" w:rsidP="00E85B8F">
      <w:pPr>
        <w:pStyle w:val="ListParagraph"/>
        <w:numPr>
          <w:ilvl w:val="0"/>
          <w:numId w:val="14"/>
        </w:numPr>
        <w:spacing w:after="120"/>
        <w:rPr>
          <w:lang w:eastAsia="zh-CN"/>
        </w:rPr>
      </w:pPr>
      <w:r>
        <w:rPr>
          <w:lang w:eastAsia="zh-CN"/>
        </w:rPr>
        <w:t>(</w:t>
      </w:r>
      <w:proofErr w:type="spellStart"/>
      <w:r>
        <w:rPr>
          <w:lang w:eastAsia="zh-CN"/>
        </w:rPr>
        <w:t>i</w:t>
      </w:r>
      <w:proofErr w:type="spellEnd"/>
      <w:r>
        <w:rPr>
          <w:lang w:eastAsia="zh-CN"/>
        </w:rPr>
        <w:t xml:space="preserve">) </w:t>
      </w:r>
      <w:r w:rsidR="00AB659C">
        <w:rPr>
          <w:lang w:eastAsia="zh-CN"/>
        </w:rPr>
        <w:t xml:space="preserve">Immediate and continuous improvement </w:t>
      </w:r>
      <w:r w:rsidR="00002D5F">
        <w:rPr>
          <w:lang w:eastAsia="zh-CN"/>
        </w:rPr>
        <w:t xml:space="preserve">and enforcement </w:t>
      </w:r>
      <w:r w:rsidR="00AB659C">
        <w:rPr>
          <w:lang w:eastAsia="zh-CN"/>
        </w:rPr>
        <w:t xml:space="preserve">of non-discrimination </w:t>
      </w:r>
      <w:r w:rsidR="00002D5F">
        <w:rPr>
          <w:lang w:eastAsia="zh-CN"/>
        </w:rPr>
        <w:t>laws, policies and standards</w:t>
      </w:r>
      <w:r w:rsidR="00AB659C">
        <w:rPr>
          <w:lang w:eastAsia="zh-CN"/>
        </w:rPr>
        <w:t xml:space="preserve">, </w:t>
      </w:r>
      <w:r w:rsidR="00002D5F">
        <w:rPr>
          <w:lang w:eastAsia="zh-CN"/>
        </w:rPr>
        <w:t xml:space="preserve">and </w:t>
      </w:r>
      <w:r>
        <w:rPr>
          <w:lang w:eastAsia="zh-CN"/>
        </w:rPr>
        <w:t>(ii)</w:t>
      </w:r>
      <w:r w:rsidR="00002D5F">
        <w:rPr>
          <w:lang w:eastAsia="zh-CN"/>
        </w:rPr>
        <w:t xml:space="preserve"> </w:t>
      </w:r>
      <w:r w:rsidR="00AB659C">
        <w:rPr>
          <w:lang w:eastAsia="zh-CN"/>
        </w:rPr>
        <w:t xml:space="preserve">the provision of reasonable accommodation </w:t>
      </w:r>
      <w:r w:rsidR="00002D5F">
        <w:rPr>
          <w:lang w:eastAsia="zh-CN"/>
        </w:rPr>
        <w:t xml:space="preserve">and support </w:t>
      </w:r>
      <w:r w:rsidR="00AB659C">
        <w:rPr>
          <w:lang w:eastAsia="zh-CN"/>
        </w:rPr>
        <w:t>in access to schooling and learning at all levels and education</w:t>
      </w:r>
      <w:r w:rsidR="00EA3822">
        <w:rPr>
          <w:lang w:eastAsia="zh-CN"/>
        </w:rPr>
        <w:t>.</w:t>
      </w:r>
      <w:r w:rsidR="00AB659C">
        <w:rPr>
          <w:lang w:eastAsia="zh-CN"/>
        </w:rPr>
        <w:t xml:space="preserve"> </w:t>
      </w:r>
      <w:r w:rsidR="002F5764">
        <w:rPr>
          <w:lang w:eastAsia="zh-CN"/>
        </w:rPr>
        <w:t xml:space="preserve"> </w:t>
      </w:r>
    </w:p>
    <w:p w14:paraId="7CC8FA17" w14:textId="5308E44A" w:rsidR="00DB6299" w:rsidRDefault="00E85B8F" w:rsidP="00E85B8F">
      <w:pPr>
        <w:pStyle w:val="ListParagraph"/>
        <w:numPr>
          <w:ilvl w:val="0"/>
          <w:numId w:val="14"/>
        </w:numPr>
        <w:spacing w:after="120"/>
        <w:rPr>
          <w:lang w:eastAsia="zh-CN"/>
        </w:rPr>
      </w:pPr>
      <w:r>
        <w:rPr>
          <w:lang w:eastAsia="zh-CN"/>
        </w:rPr>
        <w:t xml:space="preserve">(iii) Progressive transformation of the entire education system towards full and effective inclusion, with comprehensive accessibility provisions and individualized support for learners with disabilities. </w:t>
      </w:r>
      <w:r w:rsidR="002F5764">
        <w:rPr>
          <w:lang w:eastAsia="zh-CN"/>
        </w:rPr>
        <w:t>Progressive realization</w:t>
      </w:r>
      <w:r>
        <w:rPr>
          <w:lang w:eastAsia="zh-CN"/>
        </w:rPr>
        <w:t xml:space="preserve"> r</w:t>
      </w:r>
      <w:r w:rsidR="002F5764">
        <w:rPr>
          <w:lang w:eastAsia="zh-CN"/>
        </w:rPr>
        <w:t>equires</w:t>
      </w:r>
      <w:r w:rsidR="00AB659C">
        <w:rPr>
          <w:lang w:eastAsia="zh-CN"/>
        </w:rPr>
        <w:t xml:space="preserve"> </w:t>
      </w:r>
      <w:r>
        <w:rPr>
          <w:lang w:eastAsia="zh-CN"/>
        </w:rPr>
        <w:t>states</w:t>
      </w:r>
      <w:r w:rsidR="00DB6299">
        <w:rPr>
          <w:lang w:eastAsia="zh-CN"/>
        </w:rPr>
        <w:t xml:space="preserve"> to realise </w:t>
      </w:r>
      <w:r w:rsidR="00EA3822">
        <w:rPr>
          <w:lang w:eastAsia="zh-CN"/>
        </w:rPr>
        <w:t xml:space="preserve">the </w:t>
      </w:r>
      <w:r w:rsidR="00DB6299">
        <w:rPr>
          <w:lang w:eastAsia="zh-CN"/>
        </w:rPr>
        <w:t xml:space="preserve">rights </w:t>
      </w:r>
      <w:r w:rsidR="00EA3822">
        <w:rPr>
          <w:lang w:eastAsia="zh-CN"/>
        </w:rPr>
        <w:t xml:space="preserve">of all children </w:t>
      </w:r>
      <w:r w:rsidR="00DB6299">
        <w:rPr>
          <w:lang w:eastAsia="zh-CN"/>
        </w:rPr>
        <w:t xml:space="preserve">as </w:t>
      </w:r>
      <w:r w:rsidR="00EA3822">
        <w:rPr>
          <w:lang w:eastAsia="zh-CN"/>
        </w:rPr>
        <w:t xml:space="preserve">quickly </w:t>
      </w:r>
      <w:r w:rsidR="00DB6299">
        <w:rPr>
          <w:lang w:eastAsia="zh-CN"/>
        </w:rPr>
        <w:t xml:space="preserve">and effectively as possible. States should report evidence </w:t>
      </w:r>
      <w:r w:rsidR="00EA3822">
        <w:rPr>
          <w:lang w:eastAsia="zh-CN"/>
        </w:rPr>
        <w:t xml:space="preserve">to the United Nations </w:t>
      </w:r>
      <w:r w:rsidR="00DB6299">
        <w:rPr>
          <w:lang w:eastAsia="zh-CN"/>
        </w:rPr>
        <w:t xml:space="preserve">of increased policy efforts and progress in terms of availability, accessibility and quality of services and actual outcomes. </w:t>
      </w:r>
    </w:p>
    <w:p w14:paraId="452F3892" w14:textId="20671E3F" w:rsidR="00AB659C" w:rsidRDefault="00AB659C" w:rsidP="00D65F7F">
      <w:pPr>
        <w:spacing w:after="120"/>
        <w:ind w:left="720"/>
        <w:rPr>
          <w:lang w:eastAsia="zh-CN"/>
        </w:rPr>
      </w:pPr>
      <w:r>
        <w:rPr>
          <w:lang w:eastAsia="zh-CN"/>
        </w:rPr>
        <w:t xml:space="preserve">3.    All schools and education facilities are </w:t>
      </w:r>
      <w:r w:rsidR="00D65F7F">
        <w:rPr>
          <w:lang w:eastAsia="zh-CN"/>
        </w:rPr>
        <w:t xml:space="preserve">regulated </w:t>
      </w:r>
      <w:r w:rsidR="005F0FF5">
        <w:rPr>
          <w:lang w:eastAsia="zh-CN"/>
        </w:rPr>
        <w:t>by the ministries</w:t>
      </w:r>
      <w:r>
        <w:rPr>
          <w:lang w:eastAsia="zh-CN"/>
        </w:rPr>
        <w:t xml:space="preserve"> of education</w:t>
      </w:r>
      <w:r w:rsidR="005F0FF5">
        <w:rPr>
          <w:lang w:eastAsia="zh-CN"/>
        </w:rPr>
        <w:t xml:space="preserve"> and higher education</w:t>
      </w:r>
      <w:r>
        <w:rPr>
          <w:lang w:eastAsia="zh-CN"/>
        </w:rPr>
        <w:t xml:space="preserve"> (</w:t>
      </w:r>
      <w:r w:rsidR="005F0FF5">
        <w:rPr>
          <w:lang w:eastAsia="zh-CN"/>
        </w:rPr>
        <w:t xml:space="preserve">in collaboration with relevant ministries </w:t>
      </w:r>
      <w:r w:rsidR="00600326">
        <w:rPr>
          <w:lang w:eastAsia="zh-CN"/>
        </w:rPr>
        <w:t xml:space="preserve">for </w:t>
      </w:r>
      <w:r w:rsidR="005F0FF5">
        <w:rPr>
          <w:lang w:eastAsia="zh-CN"/>
        </w:rPr>
        <w:t>v</w:t>
      </w:r>
      <w:r w:rsidR="00F878B7">
        <w:rPr>
          <w:lang w:eastAsia="zh-CN"/>
        </w:rPr>
        <w:t>ocational training</w:t>
      </w:r>
      <w:r w:rsidR="00600326">
        <w:rPr>
          <w:lang w:eastAsia="zh-CN"/>
        </w:rPr>
        <w:t>, Early childhood development</w:t>
      </w:r>
      <w:r w:rsidR="005F0FF5">
        <w:rPr>
          <w:lang w:eastAsia="zh-CN"/>
        </w:rPr>
        <w:t xml:space="preserve"> </w:t>
      </w:r>
      <w:r w:rsidR="00467844">
        <w:rPr>
          <w:lang w:eastAsia="zh-CN"/>
        </w:rPr>
        <w:t>and life-</w:t>
      </w:r>
      <w:r w:rsidR="00DB6299">
        <w:rPr>
          <w:lang w:eastAsia="zh-CN"/>
        </w:rPr>
        <w:t>long learning</w:t>
      </w:r>
      <w:r>
        <w:rPr>
          <w:lang w:eastAsia="zh-CN"/>
        </w:rPr>
        <w:t>)</w:t>
      </w:r>
    </w:p>
    <w:p w14:paraId="3F9A0863" w14:textId="2586637F" w:rsidR="00AB659C" w:rsidRDefault="009B6EED" w:rsidP="00D65F7F">
      <w:pPr>
        <w:spacing w:after="120"/>
        <w:ind w:left="720"/>
        <w:rPr>
          <w:lang w:eastAsia="zh-CN"/>
        </w:rPr>
      </w:pPr>
      <w:r>
        <w:rPr>
          <w:lang w:eastAsia="zh-CN"/>
        </w:rPr>
        <w:t>4.    A</w:t>
      </w:r>
      <w:r w:rsidR="00AB659C">
        <w:rPr>
          <w:lang w:eastAsia="zh-CN"/>
        </w:rPr>
        <w:t xml:space="preserve">dvocacy of any disability constituency </w:t>
      </w:r>
      <w:r w:rsidR="006C1E9E">
        <w:rPr>
          <w:lang w:eastAsia="zh-CN"/>
        </w:rPr>
        <w:t xml:space="preserve">(i.e. group with a particular disability) </w:t>
      </w:r>
      <w:r w:rsidR="00AB659C">
        <w:rPr>
          <w:lang w:eastAsia="zh-CN"/>
        </w:rPr>
        <w:t xml:space="preserve">should </w:t>
      </w:r>
      <w:r w:rsidR="00963D4A">
        <w:rPr>
          <w:lang w:eastAsia="zh-CN"/>
        </w:rPr>
        <w:t xml:space="preserve">be compliant with </w:t>
      </w:r>
      <w:r w:rsidR="006C1E9E">
        <w:rPr>
          <w:lang w:eastAsia="zh-CN"/>
        </w:rPr>
        <w:t xml:space="preserve">the </w:t>
      </w:r>
      <w:r w:rsidR="00963D4A">
        <w:rPr>
          <w:lang w:eastAsia="zh-CN"/>
        </w:rPr>
        <w:t xml:space="preserve">CRPD and should </w:t>
      </w:r>
      <w:r w:rsidR="00AB659C">
        <w:rPr>
          <w:lang w:eastAsia="zh-CN"/>
        </w:rPr>
        <w:t>not undermine the advocacy of any other constituency</w:t>
      </w:r>
      <w:r w:rsidR="006C1E9E">
        <w:rPr>
          <w:lang w:eastAsia="zh-CN"/>
        </w:rPr>
        <w:t>.</w:t>
      </w:r>
      <w:r w:rsidR="00AB659C">
        <w:rPr>
          <w:lang w:eastAsia="zh-CN"/>
        </w:rPr>
        <w:t xml:space="preserve"> </w:t>
      </w:r>
    </w:p>
    <w:p w14:paraId="1340A585" w14:textId="7D22E5FA" w:rsidR="00AB659C" w:rsidRDefault="00AB659C" w:rsidP="00D65F7F">
      <w:pPr>
        <w:spacing w:after="120"/>
        <w:rPr>
          <w:lang w:eastAsia="zh-CN"/>
        </w:rPr>
      </w:pPr>
      <w:r>
        <w:rPr>
          <w:lang w:eastAsia="zh-CN"/>
        </w:rPr>
        <w:t xml:space="preserve">There was also </w:t>
      </w:r>
      <w:r w:rsidRPr="009E62DC">
        <w:rPr>
          <w:b/>
          <w:bCs/>
          <w:lang w:eastAsia="zh-CN"/>
        </w:rPr>
        <w:t xml:space="preserve">consensus </w:t>
      </w:r>
      <w:r w:rsidR="006C1E9E">
        <w:rPr>
          <w:b/>
          <w:bCs/>
          <w:lang w:eastAsia="zh-CN"/>
        </w:rPr>
        <w:t xml:space="preserve">among the IDA Inclusive Education Task Team </w:t>
      </w:r>
      <w:r w:rsidRPr="009E62DC">
        <w:rPr>
          <w:b/>
          <w:bCs/>
          <w:lang w:eastAsia="zh-CN"/>
        </w:rPr>
        <w:t xml:space="preserve">on the following </w:t>
      </w:r>
      <w:r w:rsidR="009E62DC" w:rsidRPr="009E62DC">
        <w:rPr>
          <w:b/>
          <w:bCs/>
          <w:lang w:eastAsia="zh-CN"/>
        </w:rPr>
        <w:t>general</w:t>
      </w:r>
      <w:r w:rsidRPr="009E62DC">
        <w:rPr>
          <w:b/>
          <w:bCs/>
          <w:lang w:eastAsia="zh-CN"/>
        </w:rPr>
        <w:t xml:space="preserve"> elements</w:t>
      </w:r>
      <w:r>
        <w:rPr>
          <w:lang w:eastAsia="zh-CN"/>
        </w:rPr>
        <w:t>:</w:t>
      </w:r>
    </w:p>
    <w:p w14:paraId="1829AD31" w14:textId="33B39441" w:rsidR="006C1E9E" w:rsidRDefault="006C1E9E" w:rsidP="00D65F7F">
      <w:pPr>
        <w:pStyle w:val="ListParagraph"/>
        <w:numPr>
          <w:ilvl w:val="0"/>
          <w:numId w:val="6"/>
        </w:numPr>
        <w:spacing w:after="120"/>
        <w:rPr>
          <w:lang w:eastAsia="zh-CN"/>
        </w:rPr>
      </w:pPr>
      <w:r>
        <w:rPr>
          <w:lang w:eastAsia="zh-CN"/>
        </w:rPr>
        <w:t>One</w:t>
      </w:r>
      <w:r w:rsidR="00AB659C">
        <w:rPr>
          <w:lang w:eastAsia="zh-CN"/>
        </w:rPr>
        <w:t xml:space="preserve"> key to </w:t>
      </w:r>
      <w:r>
        <w:rPr>
          <w:lang w:eastAsia="zh-CN"/>
        </w:rPr>
        <w:t xml:space="preserve">equitable </w:t>
      </w:r>
      <w:r w:rsidR="00AB659C">
        <w:rPr>
          <w:lang w:eastAsia="zh-CN"/>
        </w:rPr>
        <w:t>quality</w:t>
      </w:r>
      <w:r w:rsidR="009B6EED">
        <w:rPr>
          <w:lang w:eastAsia="zh-CN"/>
        </w:rPr>
        <w:t xml:space="preserve"> inclusive education for all learners</w:t>
      </w:r>
      <w:r w:rsidR="00AB659C">
        <w:rPr>
          <w:lang w:eastAsia="zh-CN"/>
        </w:rPr>
        <w:t xml:space="preserve"> is having </w:t>
      </w:r>
      <w:r w:rsidR="00B71D82">
        <w:rPr>
          <w:lang w:eastAsia="zh-CN"/>
        </w:rPr>
        <w:t xml:space="preserve">an </w:t>
      </w:r>
      <w:r w:rsidR="00B100A2">
        <w:rPr>
          <w:lang w:eastAsia="zh-CN"/>
        </w:rPr>
        <w:t xml:space="preserve">adequate number of </w:t>
      </w:r>
      <w:r w:rsidR="00B100A2">
        <w:rPr>
          <w:b/>
          <w:bCs/>
          <w:lang w:eastAsia="zh-CN"/>
        </w:rPr>
        <w:t xml:space="preserve">fully </w:t>
      </w:r>
      <w:r w:rsidR="00AB659C">
        <w:rPr>
          <w:lang w:eastAsia="zh-CN"/>
        </w:rPr>
        <w:t>qualified teachers across the country</w:t>
      </w:r>
      <w:r>
        <w:rPr>
          <w:lang w:eastAsia="zh-CN"/>
        </w:rPr>
        <w:t xml:space="preserve"> with pre-service and in-service training in inclusive teaching of learners with disabilities</w:t>
      </w:r>
      <w:r w:rsidR="00AB659C">
        <w:rPr>
          <w:lang w:eastAsia="zh-CN"/>
        </w:rPr>
        <w:t>.</w:t>
      </w:r>
      <w:r w:rsidR="00AB659C" w:rsidRPr="001310D4">
        <w:rPr>
          <w:lang w:eastAsia="zh-CN"/>
        </w:rPr>
        <w:t xml:space="preserve"> </w:t>
      </w:r>
    </w:p>
    <w:p w14:paraId="321A93D8" w14:textId="4687F13A" w:rsidR="00AB659C" w:rsidRDefault="00AB659C" w:rsidP="00D65F7F">
      <w:pPr>
        <w:pStyle w:val="ListParagraph"/>
        <w:numPr>
          <w:ilvl w:val="0"/>
          <w:numId w:val="6"/>
        </w:numPr>
        <w:spacing w:after="120"/>
        <w:rPr>
          <w:lang w:eastAsia="zh-CN"/>
        </w:rPr>
      </w:pPr>
      <w:r>
        <w:rPr>
          <w:lang w:eastAsia="zh-CN"/>
        </w:rPr>
        <w:t xml:space="preserve">Strong investments have to be made in </w:t>
      </w:r>
      <w:r w:rsidR="00467844">
        <w:rPr>
          <w:lang w:eastAsia="zh-CN"/>
        </w:rPr>
        <w:t xml:space="preserve">overall improvement of the education system, </w:t>
      </w:r>
      <w:r w:rsidR="006A3636">
        <w:rPr>
          <w:lang w:eastAsia="zh-CN"/>
        </w:rPr>
        <w:t xml:space="preserve">to ensure </w:t>
      </w:r>
      <w:r w:rsidR="00B71D82">
        <w:rPr>
          <w:lang w:eastAsia="zh-CN"/>
        </w:rPr>
        <w:t xml:space="preserve">an </w:t>
      </w:r>
      <w:r w:rsidR="006A3636">
        <w:rPr>
          <w:lang w:eastAsia="zh-CN"/>
        </w:rPr>
        <w:t xml:space="preserve">adequate student-teacher ratio, to develop </w:t>
      </w:r>
      <w:r w:rsidR="006C1E9E">
        <w:rPr>
          <w:lang w:eastAsia="zh-CN"/>
        </w:rPr>
        <w:t xml:space="preserve">the </w:t>
      </w:r>
      <w:r>
        <w:rPr>
          <w:lang w:eastAsia="zh-CN"/>
        </w:rPr>
        <w:t>pedagog</w:t>
      </w:r>
      <w:r w:rsidR="00467844">
        <w:rPr>
          <w:lang w:eastAsia="zh-CN"/>
        </w:rPr>
        <w:t>ic</w:t>
      </w:r>
      <w:r w:rsidR="006C1E9E">
        <w:rPr>
          <w:lang w:eastAsia="zh-CN"/>
        </w:rPr>
        <w:t>al</w:t>
      </w:r>
      <w:r w:rsidR="00467844">
        <w:rPr>
          <w:lang w:eastAsia="zh-CN"/>
        </w:rPr>
        <w:t xml:space="preserve"> capacities </w:t>
      </w:r>
      <w:r w:rsidR="006C1E9E">
        <w:rPr>
          <w:lang w:eastAsia="zh-CN"/>
        </w:rPr>
        <w:t xml:space="preserve">of teachers and school leaders, </w:t>
      </w:r>
      <w:r w:rsidR="00467844">
        <w:rPr>
          <w:lang w:eastAsia="zh-CN"/>
        </w:rPr>
        <w:t>as well as curriculum development and</w:t>
      </w:r>
      <w:r>
        <w:rPr>
          <w:lang w:eastAsia="zh-CN"/>
        </w:rPr>
        <w:t xml:space="preserve"> adaptation</w:t>
      </w:r>
      <w:r w:rsidR="00963D4A">
        <w:rPr>
          <w:lang w:eastAsia="zh-CN"/>
        </w:rPr>
        <w:t>.</w:t>
      </w:r>
    </w:p>
    <w:p w14:paraId="40A6859C" w14:textId="3B1B1086" w:rsidR="00AB659C" w:rsidRDefault="006C1E9E" w:rsidP="00D65F7F">
      <w:pPr>
        <w:pStyle w:val="ListParagraph"/>
        <w:numPr>
          <w:ilvl w:val="0"/>
          <w:numId w:val="6"/>
        </w:numPr>
        <w:spacing w:after="120"/>
        <w:rPr>
          <w:lang w:eastAsia="zh-CN"/>
        </w:rPr>
      </w:pPr>
      <w:r>
        <w:rPr>
          <w:lang w:eastAsia="zh-CN"/>
        </w:rPr>
        <w:t xml:space="preserve">Qualified </w:t>
      </w:r>
      <w:r w:rsidR="00AB659C">
        <w:rPr>
          <w:lang w:eastAsia="zh-CN"/>
        </w:rPr>
        <w:t>teacher</w:t>
      </w:r>
      <w:r>
        <w:rPr>
          <w:lang w:eastAsia="zh-CN"/>
        </w:rPr>
        <w:t>s</w:t>
      </w:r>
      <w:r w:rsidR="00AB659C">
        <w:rPr>
          <w:lang w:eastAsia="zh-CN"/>
        </w:rPr>
        <w:t xml:space="preserve"> </w:t>
      </w:r>
      <w:r w:rsidR="00902F39">
        <w:rPr>
          <w:lang w:eastAsia="zh-CN"/>
        </w:rPr>
        <w:t xml:space="preserve">might </w:t>
      </w:r>
      <w:r w:rsidR="00AB659C">
        <w:rPr>
          <w:lang w:eastAsia="zh-CN"/>
        </w:rPr>
        <w:t xml:space="preserve">still require specific support on </w:t>
      </w:r>
      <w:r w:rsidR="00467844">
        <w:rPr>
          <w:lang w:eastAsia="zh-CN"/>
        </w:rPr>
        <w:t>various</w:t>
      </w:r>
      <w:r w:rsidR="00AB659C">
        <w:rPr>
          <w:lang w:eastAsia="zh-CN"/>
        </w:rPr>
        <w:t xml:space="preserve"> pedagogic</w:t>
      </w:r>
      <w:r>
        <w:rPr>
          <w:lang w:eastAsia="zh-CN"/>
        </w:rPr>
        <w:t>al</w:t>
      </w:r>
      <w:r w:rsidR="00AB659C">
        <w:rPr>
          <w:lang w:eastAsia="zh-CN"/>
        </w:rPr>
        <w:t xml:space="preserve"> issues </w:t>
      </w:r>
      <w:r w:rsidR="00467844">
        <w:rPr>
          <w:lang w:eastAsia="zh-CN"/>
        </w:rPr>
        <w:t xml:space="preserve">related to </w:t>
      </w:r>
      <w:r>
        <w:rPr>
          <w:lang w:eastAsia="zh-CN"/>
        </w:rPr>
        <w:t xml:space="preserve">the </w:t>
      </w:r>
      <w:r w:rsidR="00AB659C">
        <w:rPr>
          <w:lang w:eastAsia="zh-CN"/>
        </w:rPr>
        <w:t xml:space="preserve">diverse learning and accommodation needs of </w:t>
      </w:r>
      <w:r>
        <w:rPr>
          <w:lang w:eastAsia="zh-CN"/>
        </w:rPr>
        <w:t>individual</w:t>
      </w:r>
      <w:r w:rsidR="00AB659C">
        <w:rPr>
          <w:lang w:eastAsia="zh-CN"/>
        </w:rPr>
        <w:t xml:space="preserve"> </w:t>
      </w:r>
      <w:r w:rsidR="00963D4A">
        <w:rPr>
          <w:lang w:eastAsia="zh-CN"/>
        </w:rPr>
        <w:t>learners</w:t>
      </w:r>
      <w:r w:rsidR="00AB659C">
        <w:rPr>
          <w:lang w:eastAsia="zh-CN"/>
        </w:rPr>
        <w:t xml:space="preserve"> with disabilities, among others. Investment should be made to ensure that such quality support is made available to </w:t>
      </w:r>
      <w:r w:rsidR="00467844">
        <w:rPr>
          <w:lang w:eastAsia="zh-CN"/>
        </w:rPr>
        <w:t xml:space="preserve">all </w:t>
      </w:r>
      <w:r w:rsidR="00AB659C">
        <w:rPr>
          <w:lang w:eastAsia="zh-CN"/>
        </w:rPr>
        <w:t>teachers and school</w:t>
      </w:r>
      <w:r w:rsidR="00467844">
        <w:rPr>
          <w:lang w:eastAsia="zh-CN"/>
        </w:rPr>
        <w:t>s.</w:t>
      </w:r>
      <w:r w:rsidR="00AB659C">
        <w:rPr>
          <w:lang w:eastAsia="zh-CN"/>
        </w:rPr>
        <w:t xml:space="preserve"> </w:t>
      </w:r>
    </w:p>
    <w:p w14:paraId="4F6077BB" w14:textId="50FD46F7" w:rsidR="0000644B" w:rsidRDefault="0000644B" w:rsidP="00D65F7F">
      <w:pPr>
        <w:pStyle w:val="ListParagraph"/>
        <w:numPr>
          <w:ilvl w:val="0"/>
          <w:numId w:val="6"/>
        </w:numPr>
        <w:spacing w:after="120"/>
        <w:rPr>
          <w:lang w:eastAsia="zh-CN"/>
        </w:rPr>
      </w:pPr>
      <w:r>
        <w:rPr>
          <w:lang w:eastAsia="zh-CN"/>
        </w:rPr>
        <w:t>An inclusive education system should be learner centric and ensure that support is brought to the individual learner in their community school rather than the learner being required to leave their community to receive requisite support</w:t>
      </w:r>
      <w:r w:rsidR="006C1E9E">
        <w:rPr>
          <w:lang w:eastAsia="zh-CN"/>
        </w:rPr>
        <w:t>.</w:t>
      </w:r>
    </w:p>
    <w:p w14:paraId="42DE1467" w14:textId="1855C929" w:rsidR="00AB659C" w:rsidRDefault="00AB659C" w:rsidP="00D65F7F">
      <w:pPr>
        <w:pStyle w:val="ListParagraph"/>
        <w:numPr>
          <w:ilvl w:val="0"/>
          <w:numId w:val="6"/>
        </w:numPr>
        <w:spacing w:after="120"/>
        <w:rPr>
          <w:lang w:eastAsia="zh-CN"/>
        </w:rPr>
      </w:pPr>
      <w:r>
        <w:rPr>
          <w:lang w:eastAsia="zh-CN"/>
        </w:rPr>
        <w:t xml:space="preserve">Despite concerns about </w:t>
      </w:r>
      <w:r w:rsidR="006C1E9E">
        <w:rPr>
          <w:lang w:eastAsia="zh-CN"/>
        </w:rPr>
        <w:t xml:space="preserve">the availability and </w:t>
      </w:r>
      <w:r>
        <w:rPr>
          <w:lang w:eastAsia="zh-CN"/>
        </w:rPr>
        <w:t>quality of support</w:t>
      </w:r>
      <w:r w:rsidR="002F5764">
        <w:rPr>
          <w:lang w:eastAsia="zh-CN"/>
        </w:rPr>
        <w:t xml:space="preserve"> currently available,</w:t>
      </w:r>
      <w:r>
        <w:rPr>
          <w:lang w:eastAsia="zh-CN"/>
        </w:rPr>
        <w:t xml:space="preserve"> </w:t>
      </w:r>
      <w:r w:rsidR="002F5764">
        <w:rPr>
          <w:lang w:eastAsia="zh-CN"/>
        </w:rPr>
        <w:t>i</w:t>
      </w:r>
      <w:r w:rsidR="009E1E32">
        <w:rPr>
          <w:lang w:eastAsia="zh-CN"/>
        </w:rPr>
        <w:t xml:space="preserve">t is essential </w:t>
      </w:r>
      <w:r>
        <w:rPr>
          <w:lang w:eastAsia="zh-CN"/>
        </w:rPr>
        <w:t xml:space="preserve">to tackle the vast problem of </w:t>
      </w:r>
      <w:r w:rsidR="009E1E32">
        <w:rPr>
          <w:lang w:eastAsia="zh-CN"/>
        </w:rPr>
        <w:t xml:space="preserve">out-of-school </w:t>
      </w:r>
      <w:r>
        <w:rPr>
          <w:lang w:eastAsia="zh-CN"/>
        </w:rPr>
        <w:t xml:space="preserve">children with disabilities </w:t>
      </w:r>
      <w:r w:rsidR="009E1E32">
        <w:rPr>
          <w:lang w:eastAsia="zh-CN"/>
        </w:rPr>
        <w:t xml:space="preserve">by systematically </w:t>
      </w:r>
      <w:r>
        <w:rPr>
          <w:lang w:eastAsia="zh-CN"/>
        </w:rPr>
        <w:t>enforc</w:t>
      </w:r>
      <w:r w:rsidR="009E1E32">
        <w:rPr>
          <w:lang w:eastAsia="zh-CN"/>
        </w:rPr>
        <w:t>ing</w:t>
      </w:r>
      <w:r>
        <w:rPr>
          <w:lang w:eastAsia="zh-CN"/>
        </w:rPr>
        <w:t xml:space="preserve"> non-discrimination and zero rejection policie</w:t>
      </w:r>
      <w:r w:rsidR="009E1E32">
        <w:rPr>
          <w:lang w:eastAsia="zh-CN"/>
        </w:rPr>
        <w:t>s</w:t>
      </w:r>
      <w:r>
        <w:rPr>
          <w:lang w:eastAsia="zh-CN"/>
        </w:rPr>
        <w:t xml:space="preserve">. In parallel, all the required resources that will contribute to an inclusive </w:t>
      </w:r>
      <w:r w:rsidR="009E1E32">
        <w:rPr>
          <w:lang w:eastAsia="zh-CN"/>
        </w:rPr>
        <w:t xml:space="preserve">equitable quality </w:t>
      </w:r>
      <w:r>
        <w:rPr>
          <w:lang w:eastAsia="zh-CN"/>
        </w:rPr>
        <w:t xml:space="preserve">education system have to be developed progressively. </w:t>
      </w:r>
    </w:p>
    <w:p w14:paraId="5CC19A98" w14:textId="2B69C60B" w:rsidR="00AB659C" w:rsidRDefault="00AB659C" w:rsidP="00D65F7F">
      <w:pPr>
        <w:pStyle w:val="ListParagraph"/>
        <w:numPr>
          <w:ilvl w:val="0"/>
          <w:numId w:val="6"/>
        </w:numPr>
        <w:spacing w:after="120"/>
        <w:rPr>
          <w:lang w:eastAsia="zh-CN"/>
        </w:rPr>
      </w:pPr>
      <w:r>
        <w:rPr>
          <w:lang w:eastAsia="zh-CN"/>
        </w:rPr>
        <w:t xml:space="preserve">Enforcement </w:t>
      </w:r>
      <w:r w:rsidR="00CA5662">
        <w:rPr>
          <w:lang w:eastAsia="zh-CN"/>
        </w:rPr>
        <w:t>of n</w:t>
      </w:r>
      <w:r>
        <w:rPr>
          <w:lang w:eastAsia="zh-CN"/>
        </w:rPr>
        <w:t>on-discrimination and zero rejection policies</w:t>
      </w:r>
      <w:r w:rsidR="00CA5662">
        <w:rPr>
          <w:lang w:eastAsia="zh-CN"/>
        </w:rPr>
        <w:t>,</w:t>
      </w:r>
      <w:r>
        <w:rPr>
          <w:lang w:eastAsia="zh-CN"/>
        </w:rPr>
        <w:t xml:space="preserve"> including duty to provide reasonable accommodation</w:t>
      </w:r>
      <w:r w:rsidR="009E1E32">
        <w:rPr>
          <w:lang w:eastAsia="zh-CN"/>
        </w:rPr>
        <w:t>s</w:t>
      </w:r>
      <w:r w:rsidR="00CA5662">
        <w:rPr>
          <w:lang w:eastAsia="zh-CN"/>
        </w:rPr>
        <w:t>,</w:t>
      </w:r>
      <w:r>
        <w:rPr>
          <w:lang w:eastAsia="zh-CN"/>
        </w:rPr>
        <w:t xml:space="preserve"> do not </w:t>
      </w:r>
      <w:r w:rsidR="009E1E32">
        <w:rPr>
          <w:lang w:eastAsia="zh-CN"/>
        </w:rPr>
        <w:t xml:space="preserve">alone </w:t>
      </w:r>
      <w:r>
        <w:rPr>
          <w:lang w:eastAsia="zh-CN"/>
        </w:rPr>
        <w:t xml:space="preserve">equate </w:t>
      </w:r>
      <w:r w:rsidR="009E1E32">
        <w:rPr>
          <w:lang w:eastAsia="zh-CN"/>
        </w:rPr>
        <w:t xml:space="preserve">with </w:t>
      </w:r>
      <w:r>
        <w:rPr>
          <w:lang w:eastAsia="zh-CN"/>
        </w:rPr>
        <w:t xml:space="preserve">inclusive education. They are necessary </w:t>
      </w:r>
      <w:r w:rsidR="009E1E32">
        <w:rPr>
          <w:lang w:eastAsia="zh-CN"/>
        </w:rPr>
        <w:t xml:space="preserve">but </w:t>
      </w:r>
      <w:r>
        <w:rPr>
          <w:lang w:eastAsia="zh-CN"/>
        </w:rPr>
        <w:t>no</w:t>
      </w:r>
      <w:r w:rsidR="00194B52">
        <w:rPr>
          <w:lang w:eastAsia="zh-CN"/>
        </w:rPr>
        <w:t xml:space="preserve">t </w:t>
      </w:r>
      <w:r>
        <w:rPr>
          <w:lang w:eastAsia="zh-CN"/>
        </w:rPr>
        <w:t>sufficient conditions to ensure that all out of school children access education in their community as fast as possible</w:t>
      </w:r>
      <w:r w:rsidR="00CA5662">
        <w:rPr>
          <w:lang w:eastAsia="zh-CN"/>
        </w:rPr>
        <w:t xml:space="preserve">. However, </w:t>
      </w:r>
      <w:r>
        <w:rPr>
          <w:lang w:eastAsia="zh-CN"/>
        </w:rPr>
        <w:t xml:space="preserve">they are only </w:t>
      </w:r>
      <w:r w:rsidR="009E1E32">
        <w:rPr>
          <w:lang w:eastAsia="zh-CN"/>
        </w:rPr>
        <w:t>some</w:t>
      </w:r>
      <w:r>
        <w:rPr>
          <w:lang w:eastAsia="zh-CN"/>
        </w:rPr>
        <w:t xml:space="preserve"> of the critical components leading to an effective and inclusive education for all children. </w:t>
      </w:r>
    </w:p>
    <w:p w14:paraId="0A5497A2" w14:textId="6F7C4582" w:rsidR="00AB659C" w:rsidRDefault="00AB659C" w:rsidP="00BE7C2F">
      <w:pPr>
        <w:pStyle w:val="ListParagraph"/>
        <w:numPr>
          <w:ilvl w:val="0"/>
          <w:numId w:val="6"/>
        </w:numPr>
        <w:spacing w:after="120"/>
        <w:rPr>
          <w:lang w:eastAsia="zh-CN"/>
        </w:rPr>
      </w:pPr>
      <w:r>
        <w:rPr>
          <w:lang w:eastAsia="zh-CN"/>
        </w:rPr>
        <w:t xml:space="preserve">Children </w:t>
      </w:r>
      <w:r w:rsidR="00617CBB">
        <w:rPr>
          <w:lang w:eastAsia="zh-CN"/>
        </w:rPr>
        <w:t xml:space="preserve">(in particular those that are deaf or with deafblindness) </w:t>
      </w:r>
      <w:r>
        <w:rPr>
          <w:lang w:eastAsia="zh-CN"/>
        </w:rPr>
        <w:t xml:space="preserve">should </w:t>
      </w:r>
      <w:r w:rsidR="00617CBB">
        <w:rPr>
          <w:lang w:eastAsia="zh-CN"/>
        </w:rPr>
        <w:t xml:space="preserve">have the choice </w:t>
      </w:r>
      <w:r>
        <w:rPr>
          <w:lang w:eastAsia="zh-CN"/>
        </w:rPr>
        <w:t xml:space="preserve">to learn and be educated </w:t>
      </w:r>
      <w:r w:rsidR="00CA5662">
        <w:rPr>
          <w:lang w:eastAsia="zh-CN"/>
        </w:rPr>
        <w:t>in s</w:t>
      </w:r>
      <w:r>
        <w:rPr>
          <w:lang w:eastAsia="zh-CN"/>
        </w:rPr>
        <w:t>ign language and</w:t>
      </w:r>
      <w:r w:rsidR="009E1E32">
        <w:rPr>
          <w:lang w:eastAsia="zh-CN"/>
        </w:rPr>
        <w:t>/or</w:t>
      </w:r>
      <w:r>
        <w:rPr>
          <w:lang w:eastAsia="zh-CN"/>
        </w:rPr>
        <w:t xml:space="preserve"> tactile sign language </w:t>
      </w:r>
      <w:r w:rsidR="00CA5662">
        <w:rPr>
          <w:lang w:eastAsia="zh-CN"/>
        </w:rPr>
        <w:t>which</w:t>
      </w:r>
      <w:r>
        <w:rPr>
          <w:lang w:eastAsia="zh-CN"/>
        </w:rPr>
        <w:t xml:space="preserve"> should be </w:t>
      </w:r>
      <w:r w:rsidR="00CF3A3F">
        <w:rPr>
          <w:lang w:eastAsia="zh-CN"/>
        </w:rPr>
        <w:t xml:space="preserve">both </w:t>
      </w:r>
      <w:r w:rsidR="00BE7C2F">
        <w:rPr>
          <w:lang w:eastAsia="zh-CN"/>
        </w:rPr>
        <w:t xml:space="preserve">officially </w:t>
      </w:r>
      <w:r>
        <w:rPr>
          <w:lang w:eastAsia="zh-CN"/>
        </w:rPr>
        <w:t>recognized as languages of instruction</w:t>
      </w:r>
      <w:r w:rsidR="009E1E32">
        <w:rPr>
          <w:lang w:eastAsia="zh-CN"/>
        </w:rPr>
        <w:t>.</w:t>
      </w:r>
    </w:p>
    <w:p w14:paraId="6A49D03B" w14:textId="4734A913" w:rsidR="00AB659C" w:rsidRDefault="00AB659C" w:rsidP="00DF798A">
      <w:pPr>
        <w:pStyle w:val="ListParagraph"/>
        <w:numPr>
          <w:ilvl w:val="0"/>
          <w:numId w:val="6"/>
        </w:numPr>
        <w:spacing w:after="120"/>
        <w:rPr>
          <w:lang w:eastAsia="zh-CN"/>
        </w:rPr>
      </w:pPr>
      <w:r>
        <w:rPr>
          <w:lang w:eastAsia="zh-CN"/>
        </w:rPr>
        <w:t xml:space="preserve">Access to assistive products and technology has a significant role to play for many constituencies </w:t>
      </w:r>
      <w:r w:rsidR="009E1E32">
        <w:rPr>
          <w:lang w:eastAsia="zh-CN"/>
        </w:rPr>
        <w:t xml:space="preserve">of persons with disabilities </w:t>
      </w:r>
      <w:r>
        <w:rPr>
          <w:lang w:eastAsia="zh-CN"/>
        </w:rPr>
        <w:t xml:space="preserve">and is achievable </w:t>
      </w:r>
      <w:r w:rsidR="00DF798A">
        <w:rPr>
          <w:lang w:eastAsia="zh-CN"/>
        </w:rPr>
        <w:t>within few years</w:t>
      </w:r>
      <w:r>
        <w:rPr>
          <w:lang w:eastAsia="zh-CN"/>
        </w:rPr>
        <w:t>.</w:t>
      </w:r>
      <w:r w:rsidR="009E1E32">
        <w:rPr>
          <w:lang w:eastAsia="zh-CN"/>
        </w:rPr>
        <w:t xml:space="preserve"> The introduction of assistive products and technology should involve assessment, funding provisions and training for the individuals and teachers in the use and care of the devices. </w:t>
      </w:r>
    </w:p>
    <w:p w14:paraId="2CC651FC" w14:textId="1309A9BF" w:rsidR="00AB659C" w:rsidRDefault="00AB659C" w:rsidP="00DF798A">
      <w:pPr>
        <w:pStyle w:val="ListParagraph"/>
        <w:numPr>
          <w:ilvl w:val="0"/>
          <w:numId w:val="6"/>
        </w:numPr>
        <w:spacing w:after="120"/>
        <w:rPr>
          <w:lang w:eastAsia="zh-CN"/>
        </w:rPr>
      </w:pPr>
      <w:r>
        <w:rPr>
          <w:lang w:eastAsia="zh-CN"/>
        </w:rPr>
        <w:t xml:space="preserve">Factors external to the education system itself that contribute </w:t>
      </w:r>
      <w:r w:rsidR="00FD3E4E">
        <w:rPr>
          <w:lang w:eastAsia="zh-CN"/>
        </w:rPr>
        <w:t xml:space="preserve">to </w:t>
      </w:r>
      <w:r>
        <w:rPr>
          <w:lang w:eastAsia="zh-CN"/>
        </w:rPr>
        <w:t xml:space="preserve">or undermine inclusive </w:t>
      </w:r>
      <w:r w:rsidR="009E1E32">
        <w:rPr>
          <w:lang w:eastAsia="zh-CN"/>
        </w:rPr>
        <w:t xml:space="preserve">and equitable </w:t>
      </w:r>
      <w:r>
        <w:rPr>
          <w:lang w:eastAsia="zh-CN"/>
        </w:rPr>
        <w:t>quality education in general are of significant importance for children with disabilities and their families. Th</w:t>
      </w:r>
      <w:r w:rsidR="009E1E32">
        <w:rPr>
          <w:lang w:eastAsia="zh-CN"/>
        </w:rPr>
        <w:t>ese</w:t>
      </w:r>
      <w:r>
        <w:rPr>
          <w:lang w:eastAsia="zh-CN"/>
        </w:rPr>
        <w:t xml:space="preserve"> </w:t>
      </w:r>
      <w:r w:rsidR="009E1E32">
        <w:rPr>
          <w:lang w:eastAsia="zh-CN"/>
        </w:rPr>
        <w:t xml:space="preserve">factors may </w:t>
      </w:r>
      <w:r>
        <w:rPr>
          <w:lang w:eastAsia="zh-CN"/>
        </w:rPr>
        <w:t xml:space="preserve">include </w:t>
      </w:r>
      <w:r w:rsidR="009E1E32">
        <w:rPr>
          <w:lang w:eastAsia="zh-CN"/>
        </w:rPr>
        <w:t xml:space="preserve">the level of </w:t>
      </w:r>
      <w:r>
        <w:rPr>
          <w:lang w:eastAsia="zh-CN"/>
        </w:rPr>
        <w:t>access to early childhood</w:t>
      </w:r>
      <w:r w:rsidR="00C748F6">
        <w:rPr>
          <w:lang w:eastAsia="zh-CN"/>
        </w:rPr>
        <w:t xml:space="preserve"> care and education</w:t>
      </w:r>
      <w:r>
        <w:rPr>
          <w:lang w:eastAsia="zh-CN"/>
        </w:rPr>
        <w:t>,</w:t>
      </w:r>
      <w:r w:rsidR="00C748F6">
        <w:rPr>
          <w:lang w:eastAsia="zh-CN"/>
        </w:rPr>
        <w:t xml:space="preserve"> the</w:t>
      </w:r>
      <w:r>
        <w:rPr>
          <w:lang w:eastAsia="zh-CN"/>
        </w:rPr>
        <w:t xml:space="preserve"> o</w:t>
      </w:r>
      <w:r w:rsidR="00DF798A">
        <w:rPr>
          <w:lang w:eastAsia="zh-CN"/>
        </w:rPr>
        <w:t>verall accessibility and</w:t>
      </w:r>
      <w:r>
        <w:rPr>
          <w:lang w:eastAsia="zh-CN"/>
        </w:rPr>
        <w:t xml:space="preserve"> quality </w:t>
      </w:r>
      <w:r w:rsidR="00C748F6">
        <w:rPr>
          <w:lang w:eastAsia="zh-CN"/>
        </w:rPr>
        <w:t xml:space="preserve">of </w:t>
      </w:r>
      <w:r>
        <w:rPr>
          <w:lang w:eastAsia="zh-CN"/>
        </w:rPr>
        <w:t>infrastructure (including energy, water and sanitation) and transport, inclusive social protection</w:t>
      </w:r>
      <w:r w:rsidR="00C748F6">
        <w:rPr>
          <w:lang w:eastAsia="zh-CN"/>
        </w:rPr>
        <w:t>s</w:t>
      </w:r>
      <w:r>
        <w:rPr>
          <w:lang w:eastAsia="zh-CN"/>
        </w:rPr>
        <w:t>,</w:t>
      </w:r>
      <w:r w:rsidR="00C748F6">
        <w:rPr>
          <w:lang w:eastAsia="zh-CN"/>
        </w:rPr>
        <w:t xml:space="preserve"> and level of provision of </w:t>
      </w:r>
      <w:r>
        <w:rPr>
          <w:lang w:eastAsia="zh-CN"/>
        </w:rPr>
        <w:t>(re)</w:t>
      </w:r>
      <w:proofErr w:type="spellStart"/>
      <w:r>
        <w:rPr>
          <w:lang w:eastAsia="zh-CN"/>
        </w:rPr>
        <w:t>habilitation</w:t>
      </w:r>
      <w:proofErr w:type="spellEnd"/>
      <w:r>
        <w:rPr>
          <w:lang w:eastAsia="zh-CN"/>
        </w:rPr>
        <w:t xml:space="preserve"> and assistive technology</w:t>
      </w:r>
      <w:r w:rsidR="00C748F6">
        <w:rPr>
          <w:lang w:eastAsia="zh-CN"/>
        </w:rPr>
        <w:t>.</w:t>
      </w:r>
      <w:r>
        <w:rPr>
          <w:lang w:eastAsia="zh-CN"/>
        </w:rPr>
        <w:t xml:space="preserve"> </w:t>
      </w:r>
    </w:p>
    <w:p w14:paraId="4F43EF43" w14:textId="36469DD0" w:rsidR="00FC0C08" w:rsidRDefault="00FD3E4E" w:rsidP="00DF798A">
      <w:pPr>
        <w:spacing w:after="120"/>
        <w:rPr>
          <w:lang w:eastAsia="zh-CN"/>
        </w:rPr>
      </w:pPr>
      <w:r>
        <w:rPr>
          <w:lang w:eastAsia="zh-CN"/>
        </w:rPr>
        <w:t>Consensus was rea</w:t>
      </w:r>
      <w:r w:rsidR="00194B52">
        <w:rPr>
          <w:lang w:eastAsia="zh-CN"/>
        </w:rPr>
        <w:t>dily rea</w:t>
      </w:r>
      <w:r>
        <w:rPr>
          <w:lang w:eastAsia="zh-CN"/>
        </w:rPr>
        <w:t>ched</w:t>
      </w:r>
      <w:r w:rsidR="00194B52">
        <w:rPr>
          <w:lang w:eastAsia="zh-CN"/>
        </w:rPr>
        <w:t xml:space="preserve"> </w:t>
      </w:r>
      <w:r>
        <w:rPr>
          <w:lang w:eastAsia="zh-CN"/>
        </w:rPr>
        <w:t>on the above issues.  T</w:t>
      </w:r>
      <w:r w:rsidR="00AB659C">
        <w:rPr>
          <w:lang w:eastAsia="zh-CN"/>
        </w:rPr>
        <w:t xml:space="preserve">he </w:t>
      </w:r>
      <w:r>
        <w:rPr>
          <w:lang w:eastAsia="zh-CN"/>
        </w:rPr>
        <w:t xml:space="preserve">last </w:t>
      </w:r>
      <w:r w:rsidR="00AB659C">
        <w:rPr>
          <w:lang w:eastAsia="zh-CN"/>
        </w:rPr>
        <w:t>issue of debate was reaching an agreement on “phasing out special schools”. We are summarising below some of the elements discussed which helped to unbundle the debate.</w:t>
      </w:r>
    </w:p>
    <w:p w14:paraId="7C3EB873" w14:textId="245B494F" w:rsidR="00AB659C" w:rsidRPr="00F539B7" w:rsidRDefault="00D0477A" w:rsidP="00DF798A">
      <w:pPr>
        <w:spacing w:after="120"/>
        <w:ind w:firstLine="720"/>
        <w:rPr>
          <w:b/>
          <w:bCs/>
          <w:lang w:eastAsia="zh-CN"/>
        </w:rPr>
      </w:pPr>
      <w:r>
        <w:rPr>
          <w:b/>
          <w:bCs/>
          <w:lang w:eastAsia="zh-CN"/>
        </w:rPr>
        <w:t>C</w:t>
      </w:r>
      <w:r w:rsidR="00AB659C">
        <w:rPr>
          <w:b/>
          <w:bCs/>
          <w:lang w:eastAsia="zh-CN"/>
        </w:rPr>
        <w:t xml:space="preserve">. </w:t>
      </w:r>
      <w:r w:rsidR="00386B89">
        <w:rPr>
          <w:b/>
          <w:bCs/>
          <w:lang w:eastAsia="zh-CN"/>
        </w:rPr>
        <w:t>Addressing</w:t>
      </w:r>
      <w:r w:rsidR="00AB659C" w:rsidRPr="002863A0">
        <w:rPr>
          <w:b/>
          <w:bCs/>
          <w:lang w:eastAsia="zh-CN"/>
        </w:rPr>
        <w:t xml:space="preserve"> the special school</w:t>
      </w:r>
      <w:r w:rsidR="00AB659C">
        <w:rPr>
          <w:b/>
          <w:bCs/>
          <w:lang w:eastAsia="zh-CN"/>
        </w:rPr>
        <w:t>s</w:t>
      </w:r>
      <w:r w:rsidR="00AB659C" w:rsidRPr="002863A0">
        <w:rPr>
          <w:b/>
          <w:bCs/>
          <w:lang w:eastAsia="zh-CN"/>
        </w:rPr>
        <w:t xml:space="preserve"> debate</w:t>
      </w:r>
    </w:p>
    <w:p w14:paraId="0D370F30" w14:textId="42E37F6A" w:rsidR="00C70F7E" w:rsidRDefault="009E62DC" w:rsidP="00DF798A">
      <w:pPr>
        <w:spacing w:after="120"/>
        <w:rPr>
          <w:lang w:eastAsia="zh-CN"/>
        </w:rPr>
      </w:pPr>
      <w:r>
        <w:rPr>
          <w:lang w:eastAsia="zh-CN"/>
        </w:rPr>
        <w:t>T</w:t>
      </w:r>
      <w:r w:rsidR="00AB659C">
        <w:rPr>
          <w:lang w:eastAsia="zh-CN"/>
        </w:rPr>
        <w:t xml:space="preserve">here was a consensus </w:t>
      </w:r>
      <w:r w:rsidR="00386B89">
        <w:rPr>
          <w:lang w:eastAsia="zh-CN"/>
        </w:rPr>
        <w:t xml:space="preserve">among the IDA Inclusive Education Task Team </w:t>
      </w:r>
      <w:r w:rsidR="00AB659C">
        <w:rPr>
          <w:lang w:eastAsia="zh-CN"/>
        </w:rPr>
        <w:t>that in an inclusive education system, there is no role for special schools</w:t>
      </w:r>
      <w:r>
        <w:rPr>
          <w:lang w:eastAsia="zh-CN"/>
        </w:rPr>
        <w:t xml:space="preserve"> or segregated settings (with the understanding that inclusive bilingual sign language schools are not to be considered special schools)</w:t>
      </w:r>
      <w:r w:rsidR="00AB659C">
        <w:rPr>
          <w:lang w:eastAsia="zh-CN"/>
        </w:rPr>
        <w:t xml:space="preserve">. </w:t>
      </w:r>
    </w:p>
    <w:p w14:paraId="144E5E36" w14:textId="0B2E63CF" w:rsidR="00AB659C" w:rsidRDefault="00AB659C" w:rsidP="00DF798A">
      <w:pPr>
        <w:spacing w:after="120"/>
        <w:rPr>
          <w:lang w:eastAsia="zh-CN"/>
        </w:rPr>
      </w:pPr>
      <w:r>
        <w:rPr>
          <w:lang w:eastAsia="zh-CN"/>
        </w:rPr>
        <w:t xml:space="preserve">At the core of the </w:t>
      </w:r>
      <w:r w:rsidR="00C70F7E">
        <w:rPr>
          <w:lang w:eastAsia="zh-CN"/>
        </w:rPr>
        <w:t>debates</w:t>
      </w:r>
      <w:r w:rsidR="00386B89">
        <w:rPr>
          <w:lang w:eastAsia="zh-CN"/>
        </w:rPr>
        <w:t xml:space="preserve"> within the IDA Inclusive Education Task Team </w:t>
      </w:r>
      <w:r w:rsidR="00C70F7E">
        <w:rPr>
          <w:lang w:eastAsia="zh-CN"/>
        </w:rPr>
        <w:t>there</w:t>
      </w:r>
      <w:r>
        <w:rPr>
          <w:lang w:eastAsia="zh-CN"/>
        </w:rPr>
        <w:t xml:space="preserve"> </w:t>
      </w:r>
      <w:r w:rsidR="00386B89">
        <w:rPr>
          <w:lang w:eastAsia="zh-CN"/>
        </w:rPr>
        <w:t xml:space="preserve">were </w:t>
      </w:r>
      <w:r>
        <w:rPr>
          <w:lang w:eastAsia="zh-CN"/>
        </w:rPr>
        <w:t xml:space="preserve">great </w:t>
      </w:r>
      <w:r w:rsidR="00386B89">
        <w:rPr>
          <w:lang w:eastAsia="zh-CN"/>
        </w:rPr>
        <w:t>concerns</w:t>
      </w:r>
      <w:r w:rsidR="00194B52">
        <w:rPr>
          <w:lang w:eastAsia="zh-CN"/>
        </w:rPr>
        <w:t xml:space="preserve"> </w:t>
      </w:r>
      <w:r w:rsidR="00C70F7E">
        <w:rPr>
          <w:lang w:eastAsia="zh-CN"/>
        </w:rPr>
        <w:t xml:space="preserve">of </w:t>
      </w:r>
      <w:r>
        <w:rPr>
          <w:lang w:eastAsia="zh-CN"/>
        </w:rPr>
        <w:t xml:space="preserve">loss of existing support, </w:t>
      </w:r>
      <w:r w:rsidR="00C70F7E">
        <w:rPr>
          <w:lang w:eastAsia="zh-CN"/>
        </w:rPr>
        <w:t>or perpetual segregation or</w:t>
      </w:r>
      <w:r>
        <w:rPr>
          <w:lang w:eastAsia="zh-CN"/>
        </w:rPr>
        <w:t xml:space="preserve"> cultural </w:t>
      </w:r>
      <w:r w:rsidR="00C70F7E">
        <w:rPr>
          <w:lang w:eastAsia="zh-CN"/>
        </w:rPr>
        <w:t>existential threat</w:t>
      </w:r>
      <w:r>
        <w:rPr>
          <w:lang w:eastAsia="zh-CN"/>
        </w:rPr>
        <w:t>:</w:t>
      </w:r>
    </w:p>
    <w:p w14:paraId="1D80F2D2" w14:textId="100A2461" w:rsidR="00AB659C" w:rsidRDefault="00AB659C" w:rsidP="00DF798A">
      <w:pPr>
        <w:pStyle w:val="ListParagraph"/>
        <w:numPr>
          <w:ilvl w:val="0"/>
          <w:numId w:val="4"/>
        </w:numPr>
        <w:spacing w:after="120"/>
        <w:rPr>
          <w:lang w:eastAsia="zh-CN"/>
        </w:rPr>
      </w:pPr>
      <w:r>
        <w:rPr>
          <w:lang w:eastAsia="zh-CN"/>
        </w:rPr>
        <w:t>Some members fear</w:t>
      </w:r>
      <w:r w:rsidR="00386B89">
        <w:rPr>
          <w:lang w:eastAsia="zh-CN"/>
        </w:rPr>
        <w:t>ed</w:t>
      </w:r>
      <w:r>
        <w:rPr>
          <w:lang w:eastAsia="zh-CN"/>
        </w:rPr>
        <w:t xml:space="preserve"> that </w:t>
      </w:r>
      <w:r w:rsidR="00386B89">
        <w:rPr>
          <w:lang w:eastAsia="zh-CN"/>
        </w:rPr>
        <w:t xml:space="preserve">the </w:t>
      </w:r>
      <w:r>
        <w:rPr>
          <w:lang w:eastAsia="zh-CN"/>
        </w:rPr>
        <w:t>mention of phasing out special schools will lead to:</w:t>
      </w:r>
    </w:p>
    <w:p w14:paraId="76F0146A" w14:textId="37301039" w:rsidR="00AB659C" w:rsidRDefault="00AB659C" w:rsidP="00DF798A">
      <w:pPr>
        <w:pStyle w:val="ListParagraph"/>
        <w:numPr>
          <w:ilvl w:val="1"/>
          <w:numId w:val="4"/>
        </w:numPr>
        <w:spacing w:after="120"/>
        <w:rPr>
          <w:lang w:eastAsia="zh-CN"/>
        </w:rPr>
      </w:pPr>
      <w:r>
        <w:rPr>
          <w:lang w:eastAsia="zh-CN"/>
        </w:rPr>
        <w:t xml:space="preserve">Loss of knowledge, specific skills and human resources that have been developed for education </w:t>
      </w:r>
      <w:r w:rsidR="00386B89">
        <w:rPr>
          <w:lang w:eastAsia="zh-CN"/>
        </w:rPr>
        <w:t xml:space="preserve">of persons with particular disabilities, for example, the teaching </w:t>
      </w:r>
      <w:r>
        <w:rPr>
          <w:lang w:eastAsia="zh-CN"/>
        </w:rPr>
        <w:t xml:space="preserve">of </w:t>
      </w:r>
      <w:r w:rsidR="00386B89">
        <w:rPr>
          <w:lang w:eastAsia="zh-CN"/>
        </w:rPr>
        <w:t xml:space="preserve">the expanded core curriculum for </w:t>
      </w:r>
      <w:r>
        <w:rPr>
          <w:lang w:eastAsia="zh-CN"/>
        </w:rPr>
        <w:t>blind</w:t>
      </w:r>
      <w:r w:rsidR="00386B89">
        <w:rPr>
          <w:lang w:eastAsia="zh-CN"/>
        </w:rPr>
        <w:t xml:space="preserve"> children and young people (for example, braille, orientation and mobility, assistive technology, social and independent living skills).</w:t>
      </w:r>
      <w:r>
        <w:rPr>
          <w:lang w:eastAsia="zh-CN"/>
        </w:rPr>
        <w:t xml:space="preserve"> </w:t>
      </w:r>
    </w:p>
    <w:p w14:paraId="734C1433" w14:textId="5C17834B" w:rsidR="00AB659C" w:rsidRDefault="00AB659C" w:rsidP="00DF798A">
      <w:pPr>
        <w:pStyle w:val="ListParagraph"/>
        <w:numPr>
          <w:ilvl w:val="1"/>
          <w:numId w:val="4"/>
        </w:numPr>
        <w:spacing w:after="120"/>
        <w:rPr>
          <w:lang w:eastAsia="zh-CN"/>
        </w:rPr>
      </w:pPr>
      <w:r>
        <w:rPr>
          <w:lang w:eastAsia="zh-CN"/>
        </w:rPr>
        <w:t xml:space="preserve">Inability for some groups to find peer support and </w:t>
      </w:r>
      <w:r w:rsidR="00386B89">
        <w:rPr>
          <w:lang w:eastAsia="zh-CN"/>
        </w:rPr>
        <w:t>a sense of</w:t>
      </w:r>
      <w:r w:rsidR="00D3302B">
        <w:rPr>
          <w:lang w:eastAsia="zh-CN"/>
        </w:rPr>
        <w:t xml:space="preserve"> identity</w:t>
      </w:r>
      <w:r w:rsidR="00386B89">
        <w:rPr>
          <w:lang w:eastAsia="zh-CN"/>
        </w:rPr>
        <w:t>.</w:t>
      </w:r>
    </w:p>
    <w:p w14:paraId="48AFE5BB" w14:textId="0D14B4AF" w:rsidR="00AB659C" w:rsidRDefault="00AB659C" w:rsidP="00DF798A">
      <w:pPr>
        <w:pStyle w:val="ListParagraph"/>
        <w:numPr>
          <w:ilvl w:val="1"/>
          <w:numId w:val="4"/>
        </w:numPr>
        <w:spacing w:after="120"/>
        <w:rPr>
          <w:lang w:eastAsia="zh-CN"/>
        </w:rPr>
      </w:pPr>
      <w:r>
        <w:rPr>
          <w:lang w:eastAsia="zh-CN"/>
        </w:rPr>
        <w:t xml:space="preserve">Closure of </w:t>
      </w:r>
      <w:r w:rsidR="00386B89">
        <w:rPr>
          <w:lang w:eastAsia="zh-CN"/>
        </w:rPr>
        <w:t xml:space="preserve">schools for </w:t>
      </w:r>
      <w:r>
        <w:rPr>
          <w:lang w:eastAsia="zh-CN"/>
        </w:rPr>
        <w:t xml:space="preserve">deaf </w:t>
      </w:r>
      <w:r w:rsidR="00386B89">
        <w:rPr>
          <w:lang w:eastAsia="zh-CN"/>
        </w:rPr>
        <w:t xml:space="preserve">children </w:t>
      </w:r>
      <w:r>
        <w:rPr>
          <w:lang w:eastAsia="zh-CN"/>
        </w:rPr>
        <w:t xml:space="preserve">with fear that it would lead to further isolation </w:t>
      </w:r>
      <w:r w:rsidR="00C70F7E">
        <w:rPr>
          <w:lang w:eastAsia="zh-CN"/>
        </w:rPr>
        <w:t xml:space="preserve">and </w:t>
      </w:r>
      <w:r w:rsidR="00C70F7E" w:rsidRPr="00C70F7E">
        <w:rPr>
          <w:lang w:eastAsia="zh-CN"/>
        </w:rPr>
        <w:t xml:space="preserve">language deprivation </w:t>
      </w:r>
      <w:r>
        <w:rPr>
          <w:lang w:eastAsia="zh-CN"/>
        </w:rPr>
        <w:t>of deaf children</w:t>
      </w:r>
      <w:r w:rsidR="00DA38E8">
        <w:rPr>
          <w:lang w:eastAsia="zh-CN"/>
        </w:rPr>
        <w:t>,</w:t>
      </w:r>
      <w:r w:rsidRPr="00C70F7E">
        <w:rPr>
          <w:lang w:eastAsia="zh-CN"/>
        </w:rPr>
        <w:t xml:space="preserve"> significantly undermin</w:t>
      </w:r>
      <w:r w:rsidR="00386B89">
        <w:rPr>
          <w:lang w:eastAsia="zh-CN"/>
        </w:rPr>
        <w:t xml:space="preserve">ing access and use of </w:t>
      </w:r>
      <w:r w:rsidRPr="00C70F7E">
        <w:rPr>
          <w:lang w:eastAsia="zh-CN"/>
        </w:rPr>
        <w:t>sign</w:t>
      </w:r>
      <w:r w:rsidR="00C70F7E">
        <w:rPr>
          <w:lang w:eastAsia="zh-CN"/>
        </w:rPr>
        <w:t xml:space="preserve"> language and the deaf culture.</w:t>
      </w:r>
    </w:p>
    <w:p w14:paraId="1F0D24DB" w14:textId="1835E087" w:rsidR="00AB659C" w:rsidRDefault="00AB659C" w:rsidP="00DF798A">
      <w:pPr>
        <w:pStyle w:val="ListParagraph"/>
        <w:numPr>
          <w:ilvl w:val="0"/>
          <w:numId w:val="4"/>
        </w:numPr>
        <w:spacing w:after="120"/>
        <w:rPr>
          <w:lang w:eastAsia="zh-CN"/>
        </w:rPr>
      </w:pPr>
      <w:r>
        <w:rPr>
          <w:lang w:eastAsia="zh-CN"/>
        </w:rPr>
        <w:t xml:space="preserve">Some members </w:t>
      </w:r>
      <w:r w:rsidR="00386B89">
        <w:rPr>
          <w:lang w:eastAsia="zh-CN"/>
        </w:rPr>
        <w:t xml:space="preserve">expressed </w:t>
      </w:r>
      <w:r>
        <w:rPr>
          <w:lang w:eastAsia="zh-CN"/>
        </w:rPr>
        <w:t xml:space="preserve">fear that the </w:t>
      </w:r>
      <w:r w:rsidR="00FC0C08">
        <w:rPr>
          <w:lang w:eastAsia="zh-CN"/>
        </w:rPr>
        <w:t>defence</w:t>
      </w:r>
      <w:r>
        <w:rPr>
          <w:lang w:eastAsia="zh-CN"/>
        </w:rPr>
        <w:t xml:space="preserve"> of the status quo on special school</w:t>
      </w:r>
      <w:r w:rsidR="00F6382F">
        <w:rPr>
          <w:lang w:eastAsia="zh-CN"/>
        </w:rPr>
        <w:t>s</w:t>
      </w:r>
      <w:r>
        <w:rPr>
          <w:lang w:eastAsia="zh-CN"/>
        </w:rPr>
        <w:t xml:space="preserve"> or boarding facilit</w:t>
      </w:r>
      <w:r w:rsidR="00386B89">
        <w:rPr>
          <w:lang w:eastAsia="zh-CN"/>
        </w:rPr>
        <w:t>ies</w:t>
      </w:r>
      <w:r>
        <w:rPr>
          <w:lang w:eastAsia="zh-CN"/>
        </w:rPr>
        <w:t xml:space="preserve"> for some </w:t>
      </w:r>
      <w:r w:rsidR="00386B89">
        <w:rPr>
          <w:lang w:eastAsia="zh-CN"/>
        </w:rPr>
        <w:t xml:space="preserve">disability </w:t>
      </w:r>
      <w:r>
        <w:rPr>
          <w:lang w:eastAsia="zh-CN"/>
        </w:rPr>
        <w:t>groups will contribute to perpetuat</w:t>
      </w:r>
      <w:r w:rsidR="00386B89">
        <w:rPr>
          <w:lang w:eastAsia="zh-CN"/>
        </w:rPr>
        <w:t>ing</w:t>
      </w:r>
      <w:r>
        <w:rPr>
          <w:lang w:eastAsia="zh-CN"/>
        </w:rPr>
        <w:t xml:space="preserve"> segregation of</w:t>
      </w:r>
      <w:r w:rsidR="0083659C">
        <w:rPr>
          <w:lang w:eastAsia="zh-CN"/>
        </w:rPr>
        <w:t xml:space="preserve"> </w:t>
      </w:r>
      <w:r w:rsidR="00386B89">
        <w:rPr>
          <w:lang w:eastAsia="zh-CN"/>
        </w:rPr>
        <w:t>these groups and others with disabilities</w:t>
      </w:r>
      <w:r w:rsidR="00612332">
        <w:rPr>
          <w:lang w:eastAsia="zh-CN"/>
        </w:rPr>
        <w:t xml:space="preserve">. </w:t>
      </w:r>
      <w:r w:rsidR="00386B89">
        <w:rPr>
          <w:lang w:eastAsia="zh-CN"/>
        </w:rPr>
        <w:t xml:space="preserve">Defending the status quo </w:t>
      </w:r>
      <w:r w:rsidR="00612332">
        <w:rPr>
          <w:lang w:eastAsia="zh-CN"/>
        </w:rPr>
        <w:t xml:space="preserve">might also lead to the understanding that </w:t>
      </w:r>
      <w:r>
        <w:rPr>
          <w:lang w:eastAsia="zh-CN"/>
        </w:rPr>
        <w:t xml:space="preserve">inclusive education </w:t>
      </w:r>
      <w:r w:rsidR="00122850">
        <w:rPr>
          <w:lang w:eastAsia="zh-CN"/>
        </w:rPr>
        <w:t>appl</w:t>
      </w:r>
      <w:r w:rsidR="00386B89">
        <w:rPr>
          <w:lang w:eastAsia="zh-CN"/>
        </w:rPr>
        <w:t>ies</w:t>
      </w:r>
      <w:r w:rsidR="00122850">
        <w:rPr>
          <w:lang w:eastAsia="zh-CN"/>
        </w:rPr>
        <w:t xml:space="preserve"> only to</w:t>
      </w:r>
      <w:r w:rsidR="00612332">
        <w:rPr>
          <w:lang w:eastAsia="zh-CN"/>
        </w:rPr>
        <w:t xml:space="preserve"> some children but exclude</w:t>
      </w:r>
      <w:r w:rsidR="00386B89">
        <w:rPr>
          <w:lang w:eastAsia="zh-CN"/>
        </w:rPr>
        <w:t>s</w:t>
      </w:r>
      <w:r w:rsidR="00612332">
        <w:rPr>
          <w:lang w:eastAsia="zh-CN"/>
        </w:rPr>
        <w:t xml:space="preserve"> others</w:t>
      </w:r>
      <w:r w:rsidR="00386B89">
        <w:rPr>
          <w:lang w:eastAsia="zh-CN"/>
        </w:rPr>
        <w:t xml:space="preserve"> (for example children in rural and remote communities)</w:t>
      </w:r>
      <w:r w:rsidR="00612332">
        <w:rPr>
          <w:lang w:eastAsia="zh-CN"/>
        </w:rPr>
        <w:t>.</w:t>
      </w:r>
      <w:r>
        <w:rPr>
          <w:lang w:eastAsia="zh-CN"/>
        </w:rPr>
        <w:t xml:space="preserve"> </w:t>
      </w:r>
    </w:p>
    <w:p w14:paraId="564BAAF1" w14:textId="74B10BAE" w:rsidR="00AB659C" w:rsidRDefault="00AB659C" w:rsidP="00DF798A">
      <w:pPr>
        <w:pStyle w:val="ListParagraph"/>
        <w:numPr>
          <w:ilvl w:val="0"/>
          <w:numId w:val="4"/>
        </w:numPr>
        <w:spacing w:after="120"/>
        <w:rPr>
          <w:lang w:eastAsia="zh-CN"/>
        </w:rPr>
      </w:pPr>
      <w:r>
        <w:rPr>
          <w:lang w:eastAsia="zh-CN"/>
        </w:rPr>
        <w:t xml:space="preserve">With regards to deaf persons, </w:t>
      </w:r>
      <w:r w:rsidR="000B2A28">
        <w:rPr>
          <w:lang w:eastAsia="zh-CN"/>
        </w:rPr>
        <w:t xml:space="preserve">the following </w:t>
      </w:r>
      <w:r>
        <w:rPr>
          <w:lang w:eastAsia="zh-CN"/>
        </w:rPr>
        <w:t>three imperatives have to be taken into consideration:</w:t>
      </w:r>
    </w:p>
    <w:p w14:paraId="2FE9C109" w14:textId="3723D966" w:rsidR="00AB659C" w:rsidRDefault="00AB659C" w:rsidP="00D3302B">
      <w:pPr>
        <w:pStyle w:val="ListParagraph"/>
        <w:numPr>
          <w:ilvl w:val="1"/>
          <w:numId w:val="4"/>
        </w:numPr>
        <w:spacing w:after="120"/>
        <w:rPr>
          <w:lang w:eastAsia="zh-CN"/>
        </w:rPr>
      </w:pPr>
      <w:r>
        <w:rPr>
          <w:lang w:eastAsia="zh-CN"/>
        </w:rPr>
        <w:t>The right to have a quality bilin</w:t>
      </w:r>
      <w:r w:rsidR="00D3302B">
        <w:rPr>
          <w:lang w:eastAsia="zh-CN"/>
        </w:rPr>
        <w:t>gual education</w:t>
      </w:r>
      <w:r w:rsidR="00893BF9">
        <w:rPr>
          <w:lang w:eastAsia="zh-CN"/>
        </w:rPr>
        <w:t xml:space="preserve"> with teachers that are fully qualified in </w:t>
      </w:r>
      <w:r w:rsidR="000B2A28">
        <w:rPr>
          <w:lang w:eastAsia="zh-CN"/>
        </w:rPr>
        <w:t xml:space="preserve">sign and/or tactile sign </w:t>
      </w:r>
      <w:r w:rsidR="00893BF9">
        <w:rPr>
          <w:lang w:eastAsia="zh-CN"/>
        </w:rPr>
        <w:t>language</w:t>
      </w:r>
      <w:r w:rsidR="000B2A28">
        <w:rPr>
          <w:lang w:eastAsia="zh-CN"/>
        </w:rPr>
        <w:t>;</w:t>
      </w:r>
      <w:r w:rsidR="00652D77">
        <w:rPr>
          <w:lang w:eastAsia="zh-CN"/>
        </w:rPr>
        <w:t xml:space="preserve"> </w:t>
      </w:r>
    </w:p>
    <w:p w14:paraId="359F35CF" w14:textId="2B99639B" w:rsidR="00AB659C" w:rsidRDefault="00AB659C" w:rsidP="00DF798A">
      <w:pPr>
        <w:pStyle w:val="ListParagraph"/>
        <w:numPr>
          <w:ilvl w:val="1"/>
          <w:numId w:val="4"/>
        </w:numPr>
        <w:spacing w:after="120"/>
        <w:rPr>
          <w:lang w:eastAsia="zh-CN"/>
        </w:rPr>
      </w:pPr>
      <w:r>
        <w:rPr>
          <w:lang w:eastAsia="zh-CN"/>
        </w:rPr>
        <w:t xml:space="preserve">The right to be educated and </w:t>
      </w:r>
      <w:r w:rsidR="000B2A28">
        <w:rPr>
          <w:lang w:eastAsia="zh-CN"/>
        </w:rPr>
        <w:t xml:space="preserve">to </w:t>
      </w:r>
      <w:r>
        <w:rPr>
          <w:lang w:eastAsia="zh-CN"/>
        </w:rPr>
        <w:t xml:space="preserve">socialise with </w:t>
      </w:r>
      <w:r w:rsidR="00C70F7E">
        <w:rPr>
          <w:lang w:eastAsia="zh-CN"/>
        </w:rPr>
        <w:t>other deaf children with</w:t>
      </w:r>
      <w:r w:rsidR="00F913F9">
        <w:rPr>
          <w:lang w:eastAsia="zh-CN"/>
        </w:rPr>
        <w:t>in</w:t>
      </w:r>
      <w:r>
        <w:rPr>
          <w:lang w:eastAsia="zh-CN"/>
        </w:rPr>
        <w:t xml:space="preserve"> </w:t>
      </w:r>
      <w:r w:rsidR="00F913F9">
        <w:rPr>
          <w:lang w:eastAsia="zh-CN"/>
        </w:rPr>
        <w:t>a</w:t>
      </w:r>
      <w:r>
        <w:rPr>
          <w:lang w:eastAsia="zh-CN"/>
        </w:rPr>
        <w:t xml:space="preserve"> cultural and ling</w:t>
      </w:r>
      <w:r w:rsidR="00612332">
        <w:rPr>
          <w:lang w:eastAsia="zh-CN"/>
        </w:rPr>
        <w:t xml:space="preserve">uistic community, among others, </w:t>
      </w:r>
      <w:r w:rsidR="00652D77">
        <w:rPr>
          <w:lang w:eastAsia="zh-CN"/>
        </w:rPr>
        <w:t>is essential for</w:t>
      </w:r>
      <w:r w:rsidR="00612332">
        <w:rPr>
          <w:lang w:eastAsia="zh-CN"/>
        </w:rPr>
        <w:t xml:space="preserve"> language acquisition</w:t>
      </w:r>
      <w:r w:rsidR="000B2A28">
        <w:rPr>
          <w:lang w:eastAsia="zh-CN"/>
        </w:rPr>
        <w:t xml:space="preserve">; and </w:t>
      </w:r>
    </w:p>
    <w:p w14:paraId="37E0213D" w14:textId="7236CB8D" w:rsidR="00AB659C" w:rsidRDefault="000B2A28" w:rsidP="00DF798A">
      <w:pPr>
        <w:pStyle w:val="ListParagraph"/>
        <w:numPr>
          <w:ilvl w:val="1"/>
          <w:numId w:val="4"/>
        </w:numPr>
        <w:spacing w:after="120"/>
        <w:rPr>
          <w:lang w:eastAsia="zh-CN"/>
        </w:rPr>
      </w:pPr>
      <w:r>
        <w:rPr>
          <w:lang w:eastAsia="zh-CN"/>
        </w:rPr>
        <w:t>Schools for d</w:t>
      </w:r>
      <w:r w:rsidR="00AB659C">
        <w:rPr>
          <w:lang w:eastAsia="zh-CN"/>
        </w:rPr>
        <w:t xml:space="preserve">eaf </w:t>
      </w:r>
      <w:r>
        <w:rPr>
          <w:lang w:eastAsia="zh-CN"/>
        </w:rPr>
        <w:t xml:space="preserve">children </w:t>
      </w:r>
      <w:r w:rsidR="00AB659C">
        <w:rPr>
          <w:lang w:eastAsia="zh-CN"/>
        </w:rPr>
        <w:t>are not only educational institution</w:t>
      </w:r>
      <w:r w:rsidR="00F6382F">
        <w:rPr>
          <w:lang w:eastAsia="zh-CN"/>
        </w:rPr>
        <w:t>s</w:t>
      </w:r>
      <w:r w:rsidR="00AB659C">
        <w:rPr>
          <w:lang w:eastAsia="zh-CN"/>
        </w:rPr>
        <w:t xml:space="preserve">, </w:t>
      </w:r>
      <w:r>
        <w:rPr>
          <w:lang w:eastAsia="zh-CN"/>
        </w:rPr>
        <w:t xml:space="preserve">but </w:t>
      </w:r>
      <w:r w:rsidR="00FD3E4E">
        <w:rPr>
          <w:lang w:eastAsia="zh-CN"/>
        </w:rPr>
        <w:t>have been</w:t>
      </w:r>
      <w:r w:rsidR="0083659C">
        <w:rPr>
          <w:lang w:eastAsia="zh-CN"/>
        </w:rPr>
        <w:t xml:space="preserve"> </w:t>
      </w:r>
      <w:r w:rsidR="00AB659C">
        <w:rPr>
          <w:lang w:eastAsia="zh-CN"/>
        </w:rPr>
        <w:t>pillar</w:t>
      </w:r>
      <w:r>
        <w:rPr>
          <w:lang w:eastAsia="zh-CN"/>
        </w:rPr>
        <w:t>s</w:t>
      </w:r>
      <w:r w:rsidR="00AB659C">
        <w:rPr>
          <w:lang w:eastAsia="zh-CN"/>
        </w:rPr>
        <w:t xml:space="preserve"> </w:t>
      </w:r>
      <w:r>
        <w:rPr>
          <w:lang w:eastAsia="zh-CN"/>
        </w:rPr>
        <w:t>for</w:t>
      </w:r>
      <w:r w:rsidR="00AB659C">
        <w:rPr>
          <w:lang w:eastAsia="zh-CN"/>
        </w:rPr>
        <w:t xml:space="preserve"> the development and evolution of deaf culture</w:t>
      </w:r>
      <w:r>
        <w:rPr>
          <w:lang w:eastAsia="zh-CN"/>
        </w:rPr>
        <w:t>.</w:t>
      </w:r>
      <w:r w:rsidR="00AB659C">
        <w:rPr>
          <w:lang w:eastAsia="zh-CN"/>
        </w:rPr>
        <w:t xml:space="preserve"> </w:t>
      </w:r>
    </w:p>
    <w:p w14:paraId="2C67EF3D" w14:textId="08A91519" w:rsidR="00AB659C" w:rsidRDefault="00AB659C" w:rsidP="00DF798A">
      <w:pPr>
        <w:pStyle w:val="ListParagraph"/>
        <w:numPr>
          <w:ilvl w:val="0"/>
          <w:numId w:val="3"/>
        </w:numPr>
        <w:spacing w:after="120"/>
        <w:rPr>
          <w:lang w:eastAsia="zh-CN"/>
        </w:rPr>
      </w:pPr>
      <w:r w:rsidRPr="00284874">
        <w:rPr>
          <w:lang w:eastAsia="zh-CN"/>
        </w:rPr>
        <w:t xml:space="preserve">At a different level, </w:t>
      </w:r>
      <w:r w:rsidR="000B2A28">
        <w:rPr>
          <w:lang w:eastAsia="zh-CN"/>
        </w:rPr>
        <w:t xml:space="preserve">some disability organisations for example, the World Blind Union, the World Federation of the Deaf and the International Federation of Hard of Hearing) </w:t>
      </w:r>
      <w:r w:rsidRPr="00284874">
        <w:rPr>
          <w:lang w:eastAsia="zh-CN"/>
        </w:rPr>
        <w:t xml:space="preserve">have voiced the importance for their constituencies </w:t>
      </w:r>
      <w:r w:rsidR="000B2A28">
        <w:rPr>
          <w:lang w:eastAsia="zh-CN"/>
        </w:rPr>
        <w:t xml:space="preserve">of </w:t>
      </w:r>
      <w:r w:rsidR="00612332">
        <w:rPr>
          <w:lang w:eastAsia="zh-CN"/>
        </w:rPr>
        <w:t>access</w:t>
      </w:r>
      <w:r w:rsidR="000B2A28">
        <w:rPr>
          <w:lang w:eastAsia="zh-CN"/>
        </w:rPr>
        <w:t>ing</w:t>
      </w:r>
      <w:r w:rsidR="00612332">
        <w:rPr>
          <w:lang w:eastAsia="zh-CN"/>
        </w:rPr>
        <w:t xml:space="preserve"> specific skills</w:t>
      </w:r>
      <w:r w:rsidR="00DC38EF">
        <w:rPr>
          <w:lang w:eastAsia="zh-CN"/>
        </w:rPr>
        <w:t xml:space="preserve"> and </w:t>
      </w:r>
      <w:r w:rsidR="00612332">
        <w:rPr>
          <w:lang w:eastAsia="zh-CN"/>
        </w:rPr>
        <w:t>develop</w:t>
      </w:r>
      <w:r w:rsidR="000B2A28">
        <w:rPr>
          <w:lang w:eastAsia="zh-CN"/>
        </w:rPr>
        <w:t>ing</w:t>
      </w:r>
      <w:r w:rsidR="00612332">
        <w:rPr>
          <w:lang w:eastAsia="zh-CN"/>
        </w:rPr>
        <w:t xml:space="preserve"> </w:t>
      </w:r>
      <w:r w:rsidR="000B2A28">
        <w:rPr>
          <w:lang w:eastAsia="zh-CN"/>
        </w:rPr>
        <w:t xml:space="preserve">language </w:t>
      </w:r>
      <w:r w:rsidR="00612332">
        <w:rPr>
          <w:lang w:eastAsia="zh-CN"/>
        </w:rPr>
        <w:t>at early age</w:t>
      </w:r>
      <w:r w:rsidR="00652D77">
        <w:rPr>
          <w:lang w:eastAsia="zh-CN"/>
        </w:rPr>
        <w:t xml:space="preserve"> and throughout </w:t>
      </w:r>
      <w:r w:rsidR="000B2A28">
        <w:rPr>
          <w:lang w:eastAsia="zh-CN"/>
        </w:rPr>
        <w:t xml:space="preserve">their </w:t>
      </w:r>
      <w:r w:rsidR="00652D77">
        <w:rPr>
          <w:lang w:eastAsia="zh-CN"/>
        </w:rPr>
        <w:t>school years</w:t>
      </w:r>
      <w:r w:rsidR="00612332">
        <w:rPr>
          <w:lang w:eastAsia="zh-CN"/>
        </w:rPr>
        <w:t xml:space="preserve">. </w:t>
      </w:r>
      <w:r w:rsidR="000B2A28">
        <w:rPr>
          <w:lang w:eastAsia="zh-CN"/>
        </w:rPr>
        <w:t xml:space="preserve">The organisations </w:t>
      </w:r>
      <w:r w:rsidR="00612332">
        <w:rPr>
          <w:lang w:eastAsia="zh-CN"/>
        </w:rPr>
        <w:t xml:space="preserve">also highlighted the importance of </w:t>
      </w:r>
      <w:r w:rsidR="000B2A28">
        <w:rPr>
          <w:lang w:eastAsia="zh-CN"/>
        </w:rPr>
        <w:t xml:space="preserve">persons </w:t>
      </w:r>
      <w:r w:rsidR="00612332">
        <w:rPr>
          <w:lang w:eastAsia="zh-CN"/>
        </w:rPr>
        <w:t>having</w:t>
      </w:r>
      <w:r w:rsidRPr="00284874">
        <w:rPr>
          <w:lang w:eastAsia="zh-CN"/>
        </w:rPr>
        <w:t xml:space="preserve"> moments </w:t>
      </w:r>
      <w:r w:rsidR="00122850">
        <w:rPr>
          <w:lang w:eastAsia="zh-CN"/>
        </w:rPr>
        <w:t>during</w:t>
      </w:r>
      <w:r w:rsidRPr="00284874">
        <w:rPr>
          <w:lang w:eastAsia="zh-CN"/>
        </w:rPr>
        <w:t xml:space="preserve"> </w:t>
      </w:r>
      <w:r w:rsidR="00DC38EF">
        <w:rPr>
          <w:lang w:eastAsia="zh-CN"/>
        </w:rPr>
        <w:t xml:space="preserve">their learning years </w:t>
      </w:r>
      <w:r w:rsidRPr="00284874">
        <w:rPr>
          <w:lang w:eastAsia="zh-CN"/>
        </w:rPr>
        <w:t xml:space="preserve">to meet peers with similar disability. Such opportunities are needed so that </w:t>
      </w:r>
      <w:r w:rsidR="000B2A28">
        <w:rPr>
          <w:lang w:eastAsia="zh-CN"/>
        </w:rPr>
        <w:t xml:space="preserve">children and young people </w:t>
      </w:r>
      <w:r w:rsidRPr="00284874">
        <w:rPr>
          <w:lang w:eastAsia="zh-CN"/>
        </w:rPr>
        <w:t>can enjoy peer support, exchange experience</w:t>
      </w:r>
      <w:r w:rsidR="000B2A28">
        <w:rPr>
          <w:lang w:eastAsia="zh-CN"/>
        </w:rPr>
        <w:t>s</w:t>
      </w:r>
      <w:r w:rsidRPr="00284874">
        <w:rPr>
          <w:lang w:eastAsia="zh-CN"/>
        </w:rPr>
        <w:t xml:space="preserve"> and strengthen </w:t>
      </w:r>
      <w:r w:rsidR="000B2A28">
        <w:rPr>
          <w:lang w:eastAsia="zh-CN"/>
        </w:rPr>
        <w:t xml:space="preserve">their </w:t>
      </w:r>
      <w:r w:rsidRPr="00284874">
        <w:rPr>
          <w:lang w:eastAsia="zh-CN"/>
        </w:rPr>
        <w:t>self-confidence and identity.</w:t>
      </w:r>
    </w:p>
    <w:p w14:paraId="2A51B4FA" w14:textId="0D837EDF" w:rsidR="00AB659C" w:rsidRPr="00F913F9" w:rsidRDefault="00AB659C" w:rsidP="00100EBE">
      <w:pPr>
        <w:spacing w:after="120"/>
        <w:rPr>
          <w:b/>
          <w:bCs/>
          <w:lang w:eastAsia="zh-CN"/>
        </w:rPr>
      </w:pPr>
      <w:r>
        <w:rPr>
          <w:lang w:eastAsia="zh-CN"/>
        </w:rPr>
        <w:t>Based on th</w:t>
      </w:r>
      <w:r w:rsidR="00D3147F">
        <w:rPr>
          <w:lang w:eastAsia="zh-CN"/>
        </w:rPr>
        <w:t>e above</w:t>
      </w:r>
      <w:r>
        <w:rPr>
          <w:lang w:eastAsia="zh-CN"/>
        </w:rPr>
        <w:t xml:space="preserve"> consideration</w:t>
      </w:r>
      <w:r w:rsidR="00DC38EF">
        <w:rPr>
          <w:lang w:eastAsia="zh-CN"/>
        </w:rPr>
        <w:t>s</w:t>
      </w:r>
      <w:r w:rsidR="00F913F9">
        <w:rPr>
          <w:lang w:eastAsia="zh-CN"/>
        </w:rPr>
        <w:t>,</w:t>
      </w:r>
      <w:r>
        <w:rPr>
          <w:lang w:eastAsia="zh-CN"/>
        </w:rPr>
        <w:t xml:space="preserve"> the </w:t>
      </w:r>
      <w:r w:rsidRPr="00F913F9">
        <w:rPr>
          <w:b/>
          <w:bCs/>
          <w:lang w:eastAsia="zh-CN"/>
        </w:rPr>
        <w:t>following element</w:t>
      </w:r>
      <w:r w:rsidR="00DC38EF" w:rsidRPr="00F913F9">
        <w:rPr>
          <w:b/>
          <w:bCs/>
          <w:lang w:eastAsia="zh-CN"/>
        </w:rPr>
        <w:t>s</w:t>
      </w:r>
      <w:r w:rsidRPr="00F913F9">
        <w:rPr>
          <w:b/>
          <w:bCs/>
          <w:lang w:eastAsia="zh-CN"/>
        </w:rPr>
        <w:t xml:space="preserve"> of consensus on </w:t>
      </w:r>
      <w:r w:rsidR="00D3147F">
        <w:rPr>
          <w:b/>
          <w:bCs/>
          <w:lang w:eastAsia="zh-CN"/>
        </w:rPr>
        <w:t xml:space="preserve">issues relating to </w:t>
      </w:r>
      <w:r w:rsidRPr="00F913F9">
        <w:rPr>
          <w:b/>
          <w:bCs/>
          <w:lang w:eastAsia="zh-CN"/>
        </w:rPr>
        <w:t>special school</w:t>
      </w:r>
      <w:r w:rsidR="00D3147F">
        <w:rPr>
          <w:b/>
          <w:bCs/>
          <w:lang w:eastAsia="zh-CN"/>
        </w:rPr>
        <w:t>s</w:t>
      </w:r>
      <w:r w:rsidRPr="00F913F9">
        <w:rPr>
          <w:b/>
          <w:bCs/>
          <w:lang w:eastAsia="zh-CN"/>
        </w:rPr>
        <w:t xml:space="preserve"> were discussed:</w:t>
      </w:r>
    </w:p>
    <w:p w14:paraId="1B98AF0B" w14:textId="13DE5207" w:rsidR="00AB659C" w:rsidRDefault="00AB659C" w:rsidP="00155BE8">
      <w:pPr>
        <w:pStyle w:val="ListParagraph"/>
        <w:numPr>
          <w:ilvl w:val="0"/>
          <w:numId w:val="1"/>
        </w:numPr>
        <w:spacing w:after="120"/>
        <w:rPr>
          <w:lang w:eastAsia="zh-CN"/>
        </w:rPr>
      </w:pPr>
      <w:r>
        <w:rPr>
          <w:lang w:eastAsia="zh-CN"/>
        </w:rPr>
        <w:t xml:space="preserve">The </w:t>
      </w:r>
      <w:r w:rsidR="004A5169">
        <w:rPr>
          <w:lang w:eastAsia="zh-CN"/>
        </w:rPr>
        <w:t xml:space="preserve">group agreed that the </w:t>
      </w:r>
      <w:r>
        <w:rPr>
          <w:lang w:eastAsia="zh-CN"/>
        </w:rPr>
        <w:t>emphasis on special education policies and schools has failed to deliver</w:t>
      </w:r>
      <w:r w:rsidR="00EE7178">
        <w:rPr>
          <w:lang w:eastAsia="zh-CN"/>
        </w:rPr>
        <w:t xml:space="preserve"> quality</w:t>
      </w:r>
      <w:r>
        <w:rPr>
          <w:lang w:eastAsia="zh-CN"/>
        </w:rPr>
        <w:t xml:space="preserve"> education and inclusion for the vast majority of children with disabilities</w:t>
      </w:r>
      <w:r w:rsidR="000B1516">
        <w:rPr>
          <w:lang w:eastAsia="zh-CN"/>
        </w:rPr>
        <w:t>,</w:t>
      </w:r>
      <w:r>
        <w:rPr>
          <w:lang w:eastAsia="zh-CN"/>
        </w:rPr>
        <w:t xml:space="preserve"> </w:t>
      </w:r>
      <w:r w:rsidR="00122850">
        <w:rPr>
          <w:lang w:eastAsia="zh-CN"/>
        </w:rPr>
        <w:t xml:space="preserve">of whom </w:t>
      </w:r>
      <w:r>
        <w:rPr>
          <w:lang w:eastAsia="zh-CN"/>
        </w:rPr>
        <w:t xml:space="preserve">half </w:t>
      </w:r>
      <w:r w:rsidR="00122850">
        <w:rPr>
          <w:lang w:eastAsia="zh-CN"/>
        </w:rPr>
        <w:t>remain</w:t>
      </w:r>
      <w:r>
        <w:rPr>
          <w:lang w:eastAsia="zh-CN"/>
        </w:rPr>
        <w:t xml:space="preserve"> out of school</w:t>
      </w:r>
      <w:r w:rsidR="00D307CD">
        <w:rPr>
          <w:lang w:eastAsia="zh-CN"/>
        </w:rPr>
        <w:t xml:space="preserve"> globally</w:t>
      </w:r>
      <w:r w:rsidR="00155BE8">
        <w:rPr>
          <w:rStyle w:val="FootnoteReference"/>
          <w:lang w:eastAsia="zh-CN"/>
        </w:rPr>
        <w:footnoteReference w:id="2"/>
      </w:r>
      <w:r>
        <w:rPr>
          <w:lang w:eastAsia="zh-CN"/>
        </w:rPr>
        <w:t xml:space="preserve">. </w:t>
      </w:r>
      <w:r w:rsidR="00D3147F">
        <w:rPr>
          <w:lang w:eastAsia="zh-CN"/>
        </w:rPr>
        <w:t xml:space="preserve">Special education </w:t>
      </w:r>
      <w:r>
        <w:rPr>
          <w:lang w:eastAsia="zh-CN"/>
        </w:rPr>
        <w:t xml:space="preserve">policies have </w:t>
      </w:r>
      <w:r w:rsidR="00D3147F">
        <w:rPr>
          <w:lang w:eastAsia="zh-CN"/>
        </w:rPr>
        <w:t xml:space="preserve">often </w:t>
      </w:r>
      <w:r>
        <w:rPr>
          <w:lang w:eastAsia="zh-CN"/>
        </w:rPr>
        <w:t xml:space="preserve">diverted attention, efforts and resources </w:t>
      </w:r>
      <w:r w:rsidR="00D3147F">
        <w:rPr>
          <w:lang w:eastAsia="zh-CN"/>
        </w:rPr>
        <w:t xml:space="preserve">away </w:t>
      </w:r>
      <w:r>
        <w:rPr>
          <w:lang w:eastAsia="zh-CN"/>
        </w:rPr>
        <w:t xml:space="preserve">from required investment in improving </w:t>
      </w:r>
      <w:r w:rsidR="00D3147F">
        <w:rPr>
          <w:lang w:eastAsia="zh-CN"/>
        </w:rPr>
        <w:t xml:space="preserve">the </w:t>
      </w:r>
      <w:r>
        <w:rPr>
          <w:lang w:eastAsia="zh-CN"/>
        </w:rPr>
        <w:t xml:space="preserve">overall quality of teachers, reforming </w:t>
      </w:r>
      <w:r w:rsidR="00D3147F">
        <w:rPr>
          <w:lang w:eastAsia="zh-CN"/>
        </w:rPr>
        <w:t xml:space="preserve">the </w:t>
      </w:r>
      <w:r>
        <w:rPr>
          <w:lang w:eastAsia="zh-CN"/>
        </w:rPr>
        <w:t>curriculum and teaching methods</w:t>
      </w:r>
      <w:r w:rsidR="00D3147F">
        <w:rPr>
          <w:lang w:eastAsia="zh-CN"/>
        </w:rPr>
        <w:t>,</w:t>
      </w:r>
      <w:r>
        <w:rPr>
          <w:lang w:eastAsia="zh-CN"/>
        </w:rPr>
        <w:t xml:space="preserve"> and providing </w:t>
      </w:r>
      <w:r w:rsidR="00D3147F">
        <w:rPr>
          <w:lang w:eastAsia="zh-CN"/>
        </w:rPr>
        <w:t xml:space="preserve">required </w:t>
      </w:r>
      <w:r>
        <w:rPr>
          <w:lang w:eastAsia="zh-CN"/>
        </w:rPr>
        <w:t xml:space="preserve">support to </w:t>
      </w:r>
      <w:r w:rsidR="00D307CD">
        <w:rPr>
          <w:lang w:eastAsia="zh-CN"/>
        </w:rPr>
        <w:t>learners</w:t>
      </w:r>
      <w:r>
        <w:rPr>
          <w:lang w:eastAsia="zh-CN"/>
        </w:rPr>
        <w:t xml:space="preserve"> in school</w:t>
      </w:r>
      <w:r w:rsidR="00D3147F">
        <w:rPr>
          <w:lang w:eastAsia="zh-CN"/>
        </w:rPr>
        <w:t>s</w:t>
      </w:r>
      <w:r>
        <w:rPr>
          <w:lang w:eastAsia="zh-CN"/>
        </w:rPr>
        <w:t xml:space="preserve"> of their communit</w:t>
      </w:r>
      <w:r w:rsidR="00D3147F">
        <w:rPr>
          <w:lang w:eastAsia="zh-CN"/>
        </w:rPr>
        <w:t>ies</w:t>
      </w:r>
      <w:r>
        <w:rPr>
          <w:lang w:eastAsia="zh-CN"/>
        </w:rPr>
        <w:t xml:space="preserve">. </w:t>
      </w:r>
      <w:r w:rsidR="00D3147F">
        <w:rPr>
          <w:lang w:eastAsia="zh-CN"/>
        </w:rPr>
        <w:t xml:space="preserve">Special education policies and schools </w:t>
      </w:r>
      <w:r>
        <w:rPr>
          <w:lang w:eastAsia="zh-CN"/>
        </w:rPr>
        <w:t xml:space="preserve">have </w:t>
      </w:r>
      <w:r w:rsidR="00D3147F">
        <w:rPr>
          <w:lang w:eastAsia="zh-CN"/>
        </w:rPr>
        <w:t xml:space="preserve">also resulted in </w:t>
      </w:r>
      <w:r>
        <w:rPr>
          <w:lang w:eastAsia="zh-CN"/>
        </w:rPr>
        <w:t xml:space="preserve">legacies that undermine effective transformation towards inclusive education systems.  </w:t>
      </w:r>
    </w:p>
    <w:p w14:paraId="4B7FF2C4" w14:textId="40E5D6E7" w:rsidR="00AB659C" w:rsidRDefault="00AB659C" w:rsidP="00D3302B">
      <w:pPr>
        <w:numPr>
          <w:ilvl w:val="0"/>
          <w:numId w:val="1"/>
        </w:numPr>
        <w:spacing w:after="120"/>
        <w:rPr>
          <w:lang w:eastAsia="zh-CN"/>
        </w:rPr>
      </w:pPr>
      <w:r>
        <w:rPr>
          <w:lang w:eastAsia="zh-CN"/>
        </w:rPr>
        <w:t>The inevitable challenges and pitfall</w:t>
      </w:r>
      <w:r w:rsidR="00F6382F">
        <w:rPr>
          <w:lang w:eastAsia="zh-CN"/>
        </w:rPr>
        <w:t>s</w:t>
      </w:r>
      <w:r>
        <w:rPr>
          <w:lang w:eastAsia="zh-CN"/>
        </w:rPr>
        <w:t xml:space="preserve"> of transforming </w:t>
      </w:r>
      <w:r w:rsidR="00D3147F">
        <w:rPr>
          <w:lang w:eastAsia="zh-CN"/>
        </w:rPr>
        <w:t xml:space="preserve">an </w:t>
      </w:r>
      <w:r>
        <w:rPr>
          <w:lang w:eastAsia="zh-CN"/>
        </w:rPr>
        <w:t xml:space="preserve">education system towards </w:t>
      </w:r>
      <w:r w:rsidR="00D3147F">
        <w:rPr>
          <w:lang w:eastAsia="zh-CN"/>
        </w:rPr>
        <w:t xml:space="preserve">inclusive and equitable </w:t>
      </w:r>
      <w:r w:rsidR="00D307CD">
        <w:rPr>
          <w:lang w:eastAsia="zh-CN"/>
        </w:rPr>
        <w:t xml:space="preserve">quality education </w:t>
      </w:r>
      <w:r>
        <w:rPr>
          <w:lang w:eastAsia="zh-CN"/>
        </w:rPr>
        <w:t xml:space="preserve">should not be used as evidence of failure </w:t>
      </w:r>
      <w:r w:rsidR="00D3147F">
        <w:rPr>
          <w:lang w:eastAsia="zh-CN"/>
        </w:rPr>
        <w:t xml:space="preserve">or </w:t>
      </w:r>
      <w:r w:rsidR="000B1516">
        <w:rPr>
          <w:lang w:eastAsia="zh-CN"/>
        </w:rPr>
        <w:t xml:space="preserve">as </w:t>
      </w:r>
      <w:r>
        <w:rPr>
          <w:lang w:eastAsia="zh-CN"/>
        </w:rPr>
        <w:t>reasons to maintain the status quo</w:t>
      </w:r>
      <w:r w:rsidR="00D3147F">
        <w:rPr>
          <w:lang w:eastAsia="zh-CN"/>
        </w:rPr>
        <w:t xml:space="preserve"> of special schools and segregated education for children with disabilities</w:t>
      </w:r>
      <w:r>
        <w:rPr>
          <w:lang w:eastAsia="zh-CN"/>
        </w:rPr>
        <w:t>. Fear of losing existing services</w:t>
      </w:r>
      <w:r w:rsidR="000B1516">
        <w:rPr>
          <w:lang w:eastAsia="zh-CN"/>
        </w:rPr>
        <w:t>,</w:t>
      </w:r>
      <w:r>
        <w:rPr>
          <w:lang w:eastAsia="zh-CN"/>
        </w:rPr>
        <w:t xml:space="preserve"> </w:t>
      </w:r>
      <w:r w:rsidR="000B1516">
        <w:rPr>
          <w:lang w:eastAsia="zh-CN"/>
        </w:rPr>
        <w:t xml:space="preserve">including those of low </w:t>
      </w:r>
      <w:r>
        <w:rPr>
          <w:lang w:eastAsia="zh-CN"/>
        </w:rPr>
        <w:t>quality</w:t>
      </w:r>
      <w:r w:rsidR="000B1516">
        <w:rPr>
          <w:lang w:eastAsia="zh-CN"/>
        </w:rPr>
        <w:t>,</w:t>
      </w:r>
      <w:r>
        <w:rPr>
          <w:lang w:eastAsia="zh-CN"/>
        </w:rPr>
        <w:t xml:space="preserve"> for comparatively very few </w:t>
      </w:r>
      <w:r w:rsidR="00D307CD">
        <w:rPr>
          <w:lang w:eastAsia="zh-CN"/>
        </w:rPr>
        <w:t>learner</w:t>
      </w:r>
      <w:r w:rsidR="004D2F80">
        <w:rPr>
          <w:lang w:eastAsia="zh-CN"/>
        </w:rPr>
        <w:t>s</w:t>
      </w:r>
      <w:r>
        <w:rPr>
          <w:lang w:eastAsia="zh-CN"/>
        </w:rPr>
        <w:t xml:space="preserve"> with disabilities should not undermine the true effort towards inclusion for all </w:t>
      </w:r>
      <w:r w:rsidR="00D307CD">
        <w:rPr>
          <w:lang w:eastAsia="zh-CN"/>
        </w:rPr>
        <w:t>learner</w:t>
      </w:r>
      <w:r w:rsidR="00F6382F">
        <w:rPr>
          <w:lang w:eastAsia="zh-CN"/>
        </w:rPr>
        <w:t>s</w:t>
      </w:r>
      <w:r w:rsidR="00D3147F">
        <w:rPr>
          <w:lang w:eastAsia="zh-CN"/>
        </w:rPr>
        <w:t>, including learners</w:t>
      </w:r>
      <w:r>
        <w:rPr>
          <w:lang w:eastAsia="zh-CN"/>
        </w:rPr>
        <w:t xml:space="preserve"> with disabilities</w:t>
      </w:r>
      <w:r w:rsidR="00D3147F">
        <w:rPr>
          <w:lang w:eastAsia="zh-CN"/>
        </w:rPr>
        <w:t>.</w:t>
      </w:r>
      <w:r w:rsidR="004A5169" w:rsidRPr="004A5169">
        <w:rPr>
          <w:lang w:eastAsia="zh-CN"/>
        </w:rPr>
        <w:t xml:space="preserve"> </w:t>
      </w:r>
      <w:r w:rsidR="004A5169">
        <w:rPr>
          <w:lang w:eastAsia="zh-CN"/>
        </w:rPr>
        <w:t>Similarly, poor outcomes for students with disabilities in regular classes with poorly trained teachers and no reasonable accommodation or individualized supports should not be considered a failure of inclusion – rather it is a failure of peer integration.</w:t>
      </w:r>
    </w:p>
    <w:p w14:paraId="069124C5" w14:textId="77777777" w:rsidR="00AB659C" w:rsidRDefault="00AB659C" w:rsidP="00D3302B">
      <w:pPr>
        <w:numPr>
          <w:ilvl w:val="0"/>
          <w:numId w:val="1"/>
        </w:numPr>
        <w:spacing w:after="120"/>
        <w:rPr>
          <w:lang w:eastAsia="zh-CN"/>
        </w:rPr>
      </w:pPr>
      <w:r>
        <w:rPr>
          <w:lang w:eastAsia="zh-CN"/>
        </w:rPr>
        <w:t xml:space="preserve">IDA would oppose </w:t>
      </w:r>
      <w:r w:rsidR="006F66AB">
        <w:rPr>
          <w:lang w:eastAsia="zh-CN"/>
        </w:rPr>
        <w:t xml:space="preserve">any </w:t>
      </w:r>
      <w:r w:rsidR="009435CD">
        <w:rPr>
          <w:lang w:eastAsia="zh-CN"/>
        </w:rPr>
        <w:t>education settings</w:t>
      </w:r>
      <w:r>
        <w:rPr>
          <w:lang w:eastAsia="zh-CN"/>
        </w:rPr>
        <w:t>:</w:t>
      </w:r>
    </w:p>
    <w:p w14:paraId="093C4BB2" w14:textId="7F0D2510" w:rsidR="00AB659C" w:rsidRDefault="00AB659C" w:rsidP="00D3302B">
      <w:pPr>
        <w:numPr>
          <w:ilvl w:val="1"/>
          <w:numId w:val="1"/>
        </w:numPr>
        <w:spacing w:after="120"/>
        <w:ind w:left="1077" w:hanging="357"/>
        <w:contextualSpacing/>
        <w:rPr>
          <w:lang w:eastAsia="zh-CN"/>
        </w:rPr>
      </w:pPr>
      <w:r>
        <w:rPr>
          <w:lang w:eastAsia="zh-CN"/>
        </w:rPr>
        <w:t>whose attenda</w:t>
      </w:r>
      <w:r w:rsidR="00E776E4">
        <w:rPr>
          <w:lang w:eastAsia="zh-CN"/>
        </w:rPr>
        <w:t>nce is solely based on having a disability and would be exclusive of others</w:t>
      </w:r>
      <w:r w:rsidR="00D3147F">
        <w:rPr>
          <w:lang w:eastAsia="zh-CN"/>
        </w:rPr>
        <w:t>,</w:t>
      </w:r>
      <w:r w:rsidR="00E776E4">
        <w:rPr>
          <w:lang w:eastAsia="zh-CN"/>
        </w:rPr>
        <w:t xml:space="preserve"> and/or</w:t>
      </w:r>
    </w:p>
    <w:p w14:paraId="6930B2FE" w14:textId="169EB57F" w:rsidR="00AB659C" w:rsidRDefault="00AB659C" w:rsidP="00D3302B">
      <w:pPr>
        <w:numPr>
          <w:ilvl w:val="1"/>
          <w:numId w:val="1"/>
        </w:numPr>
        <w:spacing w:after="120"/>
        <w:ind w:left="1077" w:hanging="357"/>
        <w:contextualSpacing/>
        <w:rPr>
          <w:lang w:eastAsia="zh-CN"/>
        </w:rPr>
      </w:pPr>
      <w:r>
        <w:rPr>
          <w:lang w:eastAsia="zh-CN"/>
        </w:rPr>
        <w:t>provides subpar education standards compared with the general education system</w:t>
      </w:r>
      <w:r w:rsidR="00D3147F">
        <w:rPr>
          <w:lang w:eastAsia="zh-CN"/>
        </w:rPr>
        <w:t>,</w:t>
      </w:r>
      <w:r>
        <w:rPr>
          <w:lang w:eastAsia="zh-CN"/>
        </w:rPr>
        <w:t xml:space="preserve"> and/or</w:t>
      </w:r>
    </w:p>
    <w:p w14:paraId="0C4FB77B" w14:textId="1EE20914" w:rsidR="00AB659C" w:rsidRDefault="00AB659C" w:rsidP="00D3302B">
      <w:pPr>
        <w:numPr>
          <w:ilvl w:val="1"/>
          <w:numId w:val="1"/>
        </w:numPr>
        <w:spacing w:after="120"/>
        <w:ind w:left="1077" w:hanging="357"/>
        <w:contextualSpacing/>
        <w:rPr>
          <w:lang w:eastAsia="zh-CN"/>
        </w:rPr>
      </w:pPr>
      <w:r>
        <w:rPr>
          <w:lang w:eastAsia="zh-CN"/>
        </w:rPr>
        <w:t>does not lead to equal qualification</w:t>
      </w:r>
      <w:r w:rsidR="00D3147F">
        <w:rPr>
          <w:lang w:eastAsia="zh-CN"/>
        </w:rPr>
        <w:t>,</w:t>
      </w:r>
      <w:r>
        <w:rPr>
          <w:lang w:eastAsia="zh-CN"/>
        </w:rPr>
        <w:t xml:space="preserve"> and/or</w:t>
      </w:r>
    </w:p>
    <w:p w14:paraId="693EB12A" w14:textId="4266EF50" w:rsidR="00AB659C" w:rsidRDefault="00AB659C" w:rsidP="00285390">
      <w:pPr>
        <w:numPr>
          <w:ilvl w:val="1"/>
          <w:numId w:val="1"/>
        </w:numPr>
        <w:spacing w:after="120"/>
        <w:ind w:left="1077" w:hanging="357"/>
        <w:contextualSpacing/>
        <w:rPr>
          <w:lang w:eastAsia="zh-CN"/>
        </w:rPr>
      </w:pPr>
      <w:r>
        <w:rPr>
          <w:lang w:eastAsia="zh-CN"/>
        </w:rPr>
        <w:t xml:space="preserve">is not </w:t>
      </w:r>
      <w:r w:rsidR="00FB214F">
        <w:rPr>
          <w:lang w:eastAsia="zh-CN"/>
        </w:rPr>
        <w:t>regulated</w:t>
      </w:r>
      <w:r>
        <w:rPr>
          <w:lang w:eastAsia="zh-CN"/>
        </w:rPr>
        <w:t xml:space="preserve"> by the </w:t>
      </w:r>
      <w:r w:rsidR="004A5169">
        <w:rPr>
          <w:lang w:eastAsia="zh-CN"/>
        </w:rPr>
        <w:t>same ministry responsible for students who do not have a disability</w:t>
      </w:r>
      <w:r w:rsidR="0083659C">
        <w:rPr>
          <w:lang w:eastAsia="zh-CN"/>
        </w:rPr>
        <w:t xml:space="preserve"> (M</w:t>
      </w:r>
      <w:r>
        <w:rPr>
          <w:lang w:eastAsia="zh-CN"/>
        </w:rPr>
        <w:t xml:space="preserve">inistry of </w:t>
      </w:r>
      <w:r w:rsidR="0083659C">
        <w:rPr>
          <w:lang w:eastAsia="zh-CN"/>
        </w:rPr>
        <w:t xml:space="preserve">Education </w:t>
      </w:r>
      <w:r w:rsidR="009435CD">
        <w:rPr>
          <w:lang w:eastAsia="zh-CN"/>
        </w:rPr>
        <w:t xml:space="preserve">or </w:t>
      </w:r>
      <w:r w:rsidR="0083659C">
        <w:rPr>
          <w:lang w:eastAsia="zh-CN"/>
        </w:rPr>
        <w:t>H</w:t>
      </w:r>
      <w:r w:rsidR="009435CD">
        <w:rPr>
          <w:lang w:eastAsia="zh-CN"/>
        </w:rPr>
        <w:t xml:space="preserve">igher </w:t>
      </w:r>
      <w:r w:rsidR="0083659C">
        <w:rPr>
          <w:lang w:eastAsia="zh-CN"/>
        </w:rPr>
        <w:t>E</w:t>
      </w:r>
      <w:r w:rsidR="009435CD">
        <w:rPr>
          <w:lang w:eastAsia="zh-CN"/>
        </w:rPr>
        <w:t>ducation</w:t>
      </w:r>
      <w:r w:rsidR="0083659C">
        <w:rPr>
          <w:lang w:eastAsia="zh-CN"/>
        </w:rPr>
        <w:t>)</w:t>
      </w:r>
      <w:r w:rsidR="00285390">
        <w:rPr>
          <w:rStyle w:val="FootnoteReference"/>
          <w:lang w:eastAsia="zh-CN"/>
        </w:rPr>
        <w:footnoteReference w:id="3"/>
      </w:r>
      <w:r w:rsidR="00285390">
        <w:rPr>
          <w:lang w:eastAsia="zh-CN"/>
        </w:rPr>
        <w:t xml:space="preserve"> whether it is managed by the they are managed by the public, private or voluntary sectors. </w:t>
      </w:r>
    </w:p>
    <w:p w14:paraId="251F7D0A" w14:textId="772A2FF0" w:rsidR="003818D1" w:rsidRDefault="00AB659C" w:rsidP="00D3302B">
      <w:pPr>
        <w:pStyle w:val="ListParagraph"/>
        <w:numPr>
          <w:ilvl w:val="0"/>
          <w:numId w:val="1"/>
        </w:numPr>
        <w:spacing w:after="120"/>
        <w:ind w:left="363" w:hanging="357"/>
        <w:contextualSpacing w:val="0"/>
        <w:rPr>
          <w:lang w:eastAsia="zh-CN"/>
        </w:rPr>
      </w:pPr>
      <w:r>
        <w:rPr>
          <w:lang w:eastAsia="zh-CN"/>
        </w:rPr>
        <w:t xml:space="preserve">IDA would agree that such </w:t>
      </w:r>
      <w:r w:rsidR="000A4C53">
        <w:rPr>
          <w:lang w:eastAsia="zh-CN"/>
        </w:rPr>
        <w:t xml:space="preserve">education settings as listed above </w:t>
      </w:r>
      <w:r>
        <w:rPr>
          <w:lang w:eastAsia="zh-CN"/>
        </w:rPr>
        <w:t>should be phased out</w:t>
      </w:r>
      <w:r w:rsidR="000A4C53">
        <w:rPr>
          <w:lang w:eastAsia="zh-CN"/>
        </w:rPr>
        <w:t>,</w:t>
      </w:r>
      <w:r>
        <w:rPr>
          <w:lang w:eastAsia="zh-CN"/>
        </w:rPr>
        <w:t xml:space="preserve"> with transformation and conversion of key human resources and knowledge assets to </w:t>
      </w:r>
      <w:r w:rsidR="00E776E4">
        <w:rPr>
          <w:lang w:eastAsia="zh-CN"/>
        </w:rPr>
        <w:t xml:space="preserve">support inclusion, </w:t>
      </w:r>
      <w:r w:rsidR="000A4C53">
        <w:rPr>
          <w:lang w:eastAsia="zh-CN"/>
        </w:rPr>
        <w:t xml:space="preserve">equitable </w:t>
      </w:r>
      <w:r w:rsidR="00E776E4">
        <w:rPr>
          <w:lang w:eastAsia="zh-CN"/>
        </w:rPr>
        <w:t>access and reasonable accommodation</w:t>
      </w:r>
      <w:r w:rsidR="000A4C53">
        <w:rPr>
          <w:lang w:eastAsia="zh-CN"/>
        </w:rPr>
        <w:t xml:space="preserve"> in local community schools</w:t>
      </w:r>
      <w:r w:rsidR="00E776E4">
        <w:rPr>
          <w:lang w:eastAsia="zh-CN"/>
        </w:rPr>
        <w:t xml:space="preserve">. </w:t>
      </w:r>
      <w:r w:rsidR="0014487C">
        <w:rPr>
          <w:lang w:eastAsia="zh-CN"/>
        </w:rPr>
        <w:t>B</w:t>
      </w:r>
      <w:r w:rsidR="00E776E4" w:rsidRPr="003818D1">
        <w:rPr>
          <w:lang w:eastAsia="zh-CN"/>
        </w:rPr>
        <w:t xml:space="preserve">ecause of their critical role in language acquisition for deaf children, </w:t>
      </w:r>
      <w:r w:rsidR="000A4C53">
        <w:rPr>
          <w:lang w:eastAsia="zh-CN"/>
        </w:rPr>
        <w:t xml:space="preserve">schools for the </w:t>
      </w:r>
      <w:r w:rsidR="00E776E4" w:rsidRPr="003818D1">
        <w:rPr>
          <w:lang w:eastAsia="zh-CN"/>
        </w:rPr>
        <w:t xml:space="preserve">deaf </w:t>
      </w:r>
      <w:r w:rsidR="00E776E4">
        <w:rPr>
          <w:lang w:eastAsia="zh-CN"/>
        </w:rPr>
        <w:t>(that are in such situation</w:t>
      </w:r>
      <w:r w:rsidR="00F6382F">
        <w:rPr>
          <w:lang w:eastAsia="zh-CN"/>
        </w:rPr>
        <w:t>s</w:t>
      </w:r>
      <w:r w:rsidR="00E776E4">
        <w:rPr>
          <w:lang w:eastAsia="zh-CN"/>
        </w:rPr>
        <w:t>)</w:t>
      </w:r>
      <w:r w:rsidR="00E776E4" w:rsidRPr="003818D1">
        <w:rPr>
          <w:lang w:eastAsia="zh-CN"/>
        </w:rPr>
        <w:t xml:space="preserve"> should be supported in their transformation into inclusive bilingual sign language schools for deaf children</w:t>
      </w:r>
      <w:r w:rsidR="00E776E4">
        <w:rPr>
          <w:lang w:eastAsia="zh-CN"/>
        </w:rPr>
        <w:t xml:space="preserve"> and</w:t>
      </w:r>
      <w:r w:rsidR="00E776E4" w:rsidRPr="003818D1">
        <w:rPr>
          <w:lang w:eastAsia="zh-CN"/>
        </w:rPr>
        <w:t xml:space="preserve"> other sign language users.  </w:t>
      </w:r>
    </w:p>
    <w:p w14:paraId="440CA7DF" w14:textId="11655566" w:rsidR="00AB659C" w:rsidRDefault="00421183" w:rsidP="00D3302B">
      <w:pPr>
        <w:pStyle w:val="ListParagraph"/>
        <w:numPr>
          <w:ilvl w:val="0"/>
          <w:numId w:val="1"/>
        </w:numPr>
        <w:spacing w:after="120"/>
        <w:ind w:left="363" w:hanging="357"/>
        <w:contextualSpacing w:val="0"/>
        <w:rPr>
          <w:lang w:eastAsia="zh-CN"/>
        </w:rPr>
      </w:pPr>
      <w:r>
        <w:rPr>
          <w:lang w:eastAsia="zh-CN"/>
        </w:rPr>
        <w:t xml:space="preserve">As per the CRPD, IDA emphasises that children should be educated within their </w:t>
      </w:r>
      <w:r w:rsidR="000A4C53">
        <w:rPr>
          <w:lang w:eastAsia="zh-CN"/>
        </w:rPr>
        <w:t xml:space="preserve">local </w:t>
      </w:r>
      <w:r>
        <w:rPr>
          <w:lang w:eastAsia="zh-CN"/>
        </w:rPr>
        <w:t>communit</w:t>
      </w:r>
      <w:r w:rsidR="000A4C53">
        <w:rPr>
          <w:lang w:eastAsia="zh-CN"/>
        </w:rPr>
        <w:t>ies</w:t>
      </w:r>
      <w:r>
        <w:rPr>
          <w:lang w:eastAsia="zh-CN"/>
        </w:rPr>
        <w:t xml:space="preserve"> as a </w:t>
      </w:r>
      <w:r w:rsidR="000A4C53">
        <w:rPr>
          <w:lang w:eastAsia="zh-CN"/>
        </w:rPr>
        <w:t xml:space="preserve">general </w:t>
      </w:r>
      <w:r>
        <w:rPr>
          <w:lang w:eastAsia="zh-CN"/>
        </w:rPr>
        <w:t xml:space="preserve">rule and being away is the exception and should be duly justified.  </w:t>
      </w:r>
      <w:r w:rsidR="009E663A">
        <w:rPr>
          <w:lang w:eastAsia="zh-CN"/>
        </w:rPr>
        <w:t>IDA</w:t>
      </w:r>
      <w:r w:rsidR="00E776E4">
        <w:rPr>
          <w:lang w:eastAsia="zh-CN"/>
        </w:rPr>
        <w:t xml:space="preserve"> agree</w:t>
      </w:r>
      <w:r w:rsidR="000A4C53">
        <w:rPr>
          <w:lang w:eastAsia="zh-CN"/>
        </w:rPr>
        <w:t>s</w:t>
      </w:r>
      <w:r w:rsidR="00E776E4">
        <w:rPr>
          <w:lang w:eastAsia="zh-CN"/>
        </w:rPr>
        <w:t xml:space="preserve"> </w:t>
      </w:r>
      <w:r w:rsidR="000A4C53">
        <w:rPr>
          <w:lang w:eastAsia="zh-CN"/>
        </w:rPr>
        <w:t xml:space="preserve">with the CRPD </w:t>
      </w:r>
      <w:r w:rsidR="00E776E4">
        <w:rPr>
          <w:lang w:eastAsia="zh-CN"/>
        </w:rPr>
        <w:t xml:space="preserve">that an inclusive education system does not exclude </w:t>
      </w:r>
      <w:r w:rsidR="000A4C53">
        <w:rPr>
          <w:lang w:eastAsia="zh-CN"/>
        </w:rPr>
        <w:t xml:space="preserve">the right of </w:t>
      </w:r>
      <w:r w:rsidR="00E776E4">
        <w:rPr>
          <w:lang w:eastAsia="zh-CN"/>
        </w:rPr>
        <w:t xml:space="preserve">children </w:t>
      </w:r>
      <w:r w:rsidR="000A4C53">
        <w:rPr>
          <w:lang w:eastAsia="zh-CN"/>
        </w:rPr>
        <w:t xml:space="preserve">and parents to </w:t>
      </w:r>
      <w:r w:rsidR="00E776E4">
        <w:rPr>
          <w:lang w:eastAsia="zh-CN"/>
        </w:rPr>
        <w:t xml:space="preserve">choose to attend an inclusive school, </w:t>
      </w:r>
      <w:r w:rsidR="00285390">
        <w:rPr>
          <w:lang w:eastAsia="zh-CN"/>
        </w:rPr>
        <w:t xml:space="preserve">that is </w:t>
      </w:r>
      <w:r w:rsidR="000A4C53">
        <w:rPr>
          <w:lang w:eastAsia="zh-CN"/>
        </w:rPr>
        <w:t xml:space="preserve">for example, a </w:t>
      </w:r>
      <w:r w:rsidR="00E776E4">
        <w:rPr>
          <w:lang w:eastAsia="zh-CN"/>
        </w:rPr>
        <w:t xml:space="preserve">boarding </w:t>
      </w:r>
      <w:r w:rsidR="000A4C53">
        <w:rPr>
          <w:lang w:eastAsia="zh-CN"/>
        </w:rPr>
        <w:t xml:space="preserve">school or </w:t>
      </w:r>
      <w:r w:rsidR="00E776E4">
        <w:rPr>
          <w:lang w:eastAsia="zh-CN"/>
        </w:rPr>
        <w:t>other accommodation options</w:t>
      </w:r>
      <w:r w:rsidR="000A4C53">
        <w:rPr>
          <w:lang w:eastAsia="zh-CN"/>
        </w:rPr>
        <w:t xml:space="preserve"> that is</w:t>
      </w:r>
      <w:r w:rsidR="00E776E4">
        <w:rPr>
          <w:lang w:eastAsia="zh-CN"/>
        </w:rPr>
        <w:t>, outside of their community</w:t>
      </w:r>
      <w:r w:rsidR="000A4C53">
        <w:rPr>
          <w:lang w:eastAsia="zh-CN"/>
        </w:rPr>
        <w:t xml:space="preserve"> in the following circumstances</w:t>
      </w:r>
      <w:r w:rsidR="004D0EDA">
        <w:rPr>
          <w:lang w:eastAsia="zh-CN"/>
        </w:rPr>
        <w:t>:</w:t>
      </w:r>
    </w:p>
    <w:p w14:paraId="3490FB8A" w14:textId="15073E5A" w:rsidR="00AB659C" w:rsidRDefault="000A4C53" w:rsidP="00100EBE">
      <w:pPr>
        <w:numPr>
          <w:ilvl w:val="1"/>
          <w:numId w:val="1"/>
        </w:numPr>
        <w:spacing w:after="120"/>
        <w:ind w:left="1083" w:hanging="357"/>
        <w:contextualSpacing/>
        <w:rPr>
          <w:lang w:eastAsia="zh-CN"/>
        </w:rPr>
      </w:pPr>
      <w:r>
        <w:rPr>
          <w:lang w:eastAsia="zh-CN"/>
        </w:rPr>
        <w:t>To g</w:t>
      </w:r>
      <w:r w:rsidR="00AB659C">
        <w:rPr>
          <w:lang w:eastAsia="zh-CN"/>
        </w:rPr>
        <w:t xml:space="preserve">et a quality bilingual education (with teachers that are native speakers/signers), including in sign language </w:t>
      </w:r>
    </w:p>
    <w:p w14:paraId="390EBBB1" w14:textId="58345549" w:rsidR="00AB659C" w:rsidRDefault="000A4C53" w:rsidP="00155BE8">
      <w:pPr>
        <w:numPr>
          <w:ilvl w:val="1"/>
          <w:numId w:val="1"/>
        </w:numPr>
        <w:spacing w:after="120"/>
        <w:ind w:left="1083" w:hanging="357"/>
        <w:contextualSpacing/>
        <w:rPr>
          <w:lang w:eastAsia="zh-CN"/>
        </w:rPr>
      </w:pPr>
      <w:r>
        <w:rPr>
          <w:lang w:eastAsia="zh-CN"/>
        </w:rPr>
        <w:t xml:space="preserve">To </w:t>
      </w:r>
      <w:r w:rsidR="00AB659C">
        <w:rPr>
          <w:lang w:eastAsia="zh-CN"/>
        </w:rPr>
        <w:t xml:space="preserve">be educated and grow among peers using </w:t>
      </w:r>
      <w:r>
        <w:rPr>
          <w:lang w:eastAsia="zh-CN"/>
        </w:rPr>
        <w:t xml:space="preserve">a </w:t>
      </w:r>
      <w:r w:rsidR="00AB659C">
        <w:rPr>
          <w:lang w:eastAsia="zh-CN"/>
        </w:rPr>
        <w:t xml:space="preserve">similar </w:t>
      </w:r>
      <w:r>
        <w:rPr>
          <w:lang w:eastAsia="zh-CN"/>
        </w:rPr>
        <w:t xml:space="preserve">sign </w:t>
      </w:r>
      <w:r w:rsidR="00AB659C">
        <w:rPr>
          <w:lang w:eastAsia="zh-CN"/>
        </w:rPr>
        <w:t xml:space="preserve">language </w:t>
      </w:r>
    </w:p>
    <w:p w14:paraId="054357FC" w14:textId="51EFBCC4" w:rsidR="00AB659C" w:rsidRDefault="000A4C53" w:rsidP="00155BE8">
      <w:pPr>
        <w:numPr>
          <w:ilvl w:val="1"/>
          <w:numId w:val="1"/>
        </w:numPr>
        <w:spacing w:after="120"/>
        <w:ind w:left="1083" w:hanging="357"/>
        <w:contextualSpacing/>
        <w:rPr>
          <w:lang w:eastAsia="zh-CN"/>
        </w:rPr>
      </w:pPr>
      <w:r>
        <w:rPr>
          <w:lang w:eastAsia="zh-CN"/>
        </w:rPr>
        <w:t xml:space="preserve">To </w:t>
      </w:r>
      <w:r w:rsidR="007458C5">
        <w:rPr>
          <w:lang w:eastAsia="zh-CN"/>
        </w:rPr>
        <w:t xml:space="preserve">benefit from subjects, </w:t>
      </w:r>
      <w:r>
        <w:rPr>
          <w:lang w:eastAsia="zh-CN"/>
        </w:rPr>
        <w:t xml:space="preserve">or </w:t>
      </w:r>
      <w:r w:rsidR="007458C5">
        <w:rPr>
          <w:lang w:eastAsia="zh-CN"/>
        </w:rPr>
        <w:t>specialisation (</w:t>
      </w:r>
      <w:r>
        <w:rPr>
          <w:lang w:eastAsia="zh-CN"/>
        </w:rPr>
        <w:t xml:space="preserve">for example, </w:t>
      </w:r>
      <w:r w:rsidR="007458C5">
        <w:rPr>
          <w:lang w:eastAsia="zh-CN"/>
        </w:rPr>
        <w:t xml:space="preserve">arts, sports) </w:t>
      </w:r>
      <w:r>
        <w:rPr>
          <w:lang w:eastAsia="zh-CN"/>
        </w:rPr>
        <w:t xml:space="preserve">that are </w:t>
      </w:r>
      <w:r w:rsidR="007458C5">
        <w:rPr>
          <w:lang w:eastAsia="zh-CN"/>
        </w:rPr>
        <w:t xml:space="preserve">unavailable in their </w:t>
      </w:r>
      <w:r>
        <w:rPr>
          <w:lang w:eastAsia="zh-CN"/>
        </w:rPr>
        <w:t xml:space="preserve">local </w:t>
      </w:r>
      <w:r w:rsidR="007458C5">
        <w:rPr>
          <w:lang w:eastAsia="zh-CN"/>
        </w:rPr>
        <w:t>community school</w:t>
      </w:r>
      <w:r>
        <w:rPr>
          <w:lang w:eastAsia="zh-CN"/>
        </w:rPr>
        <w:t xml:space="preserve">; or </w:t>
      </w:r>
      <w:r w:rsidR="007458C5">
        <w:rPr>
          <w:lang w:eastAsia="zh-CN"/>
        </w:rPr>
        <w:t xml:space="preserve"> </w:t>
      </w:r>
    </w:p>
    <w:p w14:paraId="03931A7E" w14:textId="0EADBC62" w:rsidR="004D01A5" w:rsidRDefault="000A4C53" w:rsidP="00285390">
      <w:pPr>
        <w:numPr>
          <w:ilvl w:val="1"/>
          <w:numId w:val="1"/>
        </w:numPr>
        <w:spacing w:after="120"/>
        <w:ind w:left="1083" w:hanging="357"/>
        <w:rPr>
          <w:lang w:eastAsia="zh-CN"/>
        </w:rPr>
      </w:pPr>
      <w:r>
        <w:rPr>
          <w:lang w:eastAsia="zh-CN"/>
        </w:rPr>
        <w:t xml:space="preserve">To </w:t>
      </w:r>
      <w:r w:rsidR="00E776E4">
        <w:rPr>
          <w:lang w:eastAsia="zh-CN"/>
        </w:rPr>
        <w:t>benefit f</w:t>
      </w:r>
      <w:r>
        <w:rPr>
          <w:lang w:eastAsia="zh-CN"/>
        </w:rPr>
        <w:t>rom</w:t>
      </w:r>
      <w:r w:rsidR="00E776E4">
        <w:rPr>
          <w:lang w:eastAsia="zh-CN"/>
        </w:rPr>
        <w:t xml:space="preserve"> specific support </w:t>
      </w:r>
      <w:r>
        <w:rPr>
          <w:lang w:eastAsia="zh-CN"/>
        </w:rPr>
        <w:t xml:space="preserve">that is </w:t>
      </w:r>
      <w:r w:rsidR="00E776E4">
        <w:rPr>
          <w:lang w:eastAsia="zh-CN"/>
        </w:rPr>
        <w:t xml:space="preserve">not yet available in their community school due to geographical remoteness and/or lack of human resources </w:t>
      </w:r>
    </w:p>
    <w:p w14:paraId="3D6C133D" w14:textId="30F56249" w:rsidR="00AB659C" w:rsidRDefault="00E776E4" w:rsidP="00A6126C">
      <w:pPr>
        <w:numPr>
          <w:ilvl w:val="0"/>
          <w:numId w:val="1"/>
        </w:numPr>
        <w:spacing w:after="120"/>
        <w:rPr>
          <w:lang w:eastAsia="zh-CN"/>
        </w:rPr>
      </w:pPr>
      <w:r>
        <w:rPr>
          <w:lang w:eastAsia="zh-CN"/>
        </w:rPr>
        <w:t xml:space="preserve">As per </w:t>
      </w:r>
      <w:r w:rsidR="00A92AAA">
        <w:rPr>
          <w:lang w:eastAsia="zh-CN"/>
        </w:rPr>
        <w:t xml:space="preserve">the </w:t>
      </w:r>
      <w:r>
        <w:rPr>
          <w:lang w:eastAsia="zh-CN"/>
        </w:rPr>
        <w:t>CRPD, support services and (re)</w:t>
      </w:r>
      <w:proofErr w:type="spellStart"/>
      <w:r>
        <w:rPr>
          <w:lang w:eastAsia="zh-CN"/>
        </w:rPr>
        <w:t>habilitation</w:t>
      </w:r>
      <w:proofErr w:type="spellEnd"/>
      <w:r>
        <w:rPr>
          <w:lang w:eastAsia="zh-CN"/>
        </w:rPr>
        <w:t xml:space="preserve"> services </w:t>
      </w:r>
      <w:r w:rsidR="00A92AAA">
        <w:rPr>
          <w:lang w:eastAsia="zh-CN"/>
        </w:rPr>
        <w:t xml:space="preserve">that are required </w:t>
      </w:r>
      <w:r>
        <w:rPr>
          <w:lang w:eastAsia="zh-CN"/>
        </w:rPr>
        <w:t xml:space="preserve">to develop specific skills and language acquisition should be available at the community level.  </w:t>
      </w:r>
      <w:r w:rsidR="00A92AAA">
        <w:rPr>
          <w:lang w:eastAsia="zh-CN"/>
        </w:rPr>
        <w:t>W</w:t>
      </w:r>
      <w:r>
        <w:rPr>
          <w:lang w:eastAsia="zh-CN"/>
        </w:rPr>
        <w:t xml:space="preserve">hile investments are made to ensure effective national coverage, some children and their families may have to attend, for </w:t>
      </w:r>
      <w:r w:rsidR="00C60B71">
        <w:rPr>
          <w:lang w:eastAsia="zh-CN"/>
        </w:rPr>
        <w:t xml:space="preserve">a </w:t>
      </w:r>
      <w:r>
        <w:rPr>
          <w:lang w:eastAsia="zh-CN"/>
        </w:rPr>
        <w:t xml:space="preserve">time limited period, facilities away from their home. </w:t>
      </w:r>
      <w:r w:rsidR="00A92AAA">
        <w:rPr>
          <w:lang w:eastAsia="zh-CN"/>
        </w:rPr>
        <w:t>S</w:t>
      </w:r>
      <w:r>
        <w:rPr>
          <w:lang w:eastAsia="zh-CN"/>
        </w:rPr>
        <w:t xml:space="preserve">uch occurrence should never lead to </w:t>
      </w:r>
      <w:r w:rsidR="00A92AAA">
        <w:rPr>
          <w:lang w:eastAsia="zh-CN"/>
        </w:rPr>
        <w:t xml:space="preserve">long-term </w:t>
      </w:r>
      <w:r>
        <w:rPr>
          <w:lang w:eastAsia="zh-CN"/>
        </w:rPr>
        <w:t xml:space="preserve">segregation and should always contribute to enabling children and their families to live and be included in their communities.  </w:t>
      </w:r>
    </w:p>
    <w:p w14:paraId="762ADF3A" w14:textId="7BB8DFE6" w:rsidR="00AB659C" w:rsidRPr="006717F9" w:rsidRDefault="00AB659C" w:rsidP="00A6126C">
      <w:pPr>
        <w:numPr>
          <w:ilvl w:val="0"/>
          <w:numId w:val="1"/>
        </w:numPr>
        <w:spacing w:after="120"/>
        <w:rPr>
          <w:lang w:eastAsia="zh-CN"/>
        </w:rPr>
      </w:pPr>
      <w:r>
        <w:rPr>
          <w:lang w:eastAsia="zh-CN"/>
        </w:rPr>
        <w:t xml:space="preserve">IDA also </w:t>
      </w:r>
      <w:r w:rsidR="00E776E4">
        <w:rPr>
          <w:lang w:eastAsia="zh-CN"/>
        </w:rPr>
        <w:t>emphasizes that for some learners with disabilities, it may be beneficial during school years to have moments, such as summer camps, to meet with their peers with similar disability</w:t>
      </w:r>
      <w:r w:rsidR="00A92AAA">
        <w:rPr>
          <w:lang w:eastAsia="zh-CN"/>
        </w:rPr>
        <w:t xml:space="preserve"> or to acquire specific skills (for example, orientation and mobility skills). </w:t>
      </w:r>
      <w:r w:rsidR="00E776E4">
        <w:rPr>
          <w:lang w:eastAsia="zh-CN"/>
        </w:rPr>
        <w:t xml:space="preserve"> </w:t>
      </w:r>
      <w:r w:rsidR="00A92AAA">
        <w:rPr>
          <w:lang w:eastAsia="zh-CN"/>
        </w:rPr>
        <w:t>S</w:t>
      </w:r>
      <w:r w:rsidR="00E776E4">
        <w:rPr>
          <w:lang w:eastAsia="zh-CN"/>
        </w:rPr>
        <w:t xml:space="preserve">uch opportunities are needed so they can enjoy peer support, exchange of experience and strengthening of self-confidence </w:t>
      </w:r>
      <w:r>
        <w:rPr>
          <w:lang w:eastAsia="zh-CN"/>
        </w:rPr>
        <w:t>and identity.</w:t>
      </w:r>
    </w:p>
    <w:sectPr w:rsidR="00AB659C" w:rsidRPr="006717F9" w:rsidSect="008F2F6E">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24F6" w14:textId="77777777" w:rsidR="00901262" w:rsidRDefault="00901262" w:rsidP="00AB659C">
      <w:r>
        <w:separator/>
      </w:r>
    </w:p>
  </w:endnote>
  <w:endnote w:type="continuationSeparator" w:id="0">
    <w:p w14:paraId="7E57FF47" w14:textId="77777777" w:rsidR="00901262" w:rsidRDefault="00901262" w:rsidP="00AB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9BA8" w14:textId="77777777" w:rsidR="00A6126C" w:rsidRDefault="00A6126C" w:rsidP="00786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0E585" w14:textId="77777777" w:rsidR="00D3147F" w:rsidRDefault="00D3147F" w:rsidP="00A61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3ED8" w14:textId="77777777" w:rsidR="00A6126C" w:rsidRDefault="00A6126C" w:rsidP="00786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6518F" w14:textId="77777777" w:rsidR="00D3147F" w:rsidRDefault="00D3147F" w:rsidP="00A612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0DC7" w14:textId="77777777" w:rsidR="00D3147F" w:rsidRDefault="00D3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FF3A" w14:textId="77777777" w:rsidR="00901262" w:rsidRDefault="00901262" w:rsidP="00AB659C">
      <w:r>
        <w:separator/>
      </w:r>
    </w:p>
  </w:footnote>
  <w:footnote w:type="continuationSeparator" w:id="0">
    <w:p w14:paraId="2D116125" w14:textId="77777777" w:rsidR="00901262" w:rsidRDefault="00901262" w:rsidP="00AB659C">
      <w:r>
        <w:continuationSeparator/>
      </w:r>
    </w:p>
  </w:footnote>
  <w:footnote w:id="1">
    <w:p w14:paraId="0667E81D" w14:textId="67170393" w:rsidR="00CD719E" w:rsidRPr="00CD719E" w:rsidRDefault="00CD719E">
      <w:pPr>
        <w:pStyle w:val="FootnoteText"/>
      </w:pPr>
      <w:r>
        <w:rPr>
          <w:rStyle w:val="FootnoteReference"/>
        </w:rPr>
        <w:footnoteRef/>
      </w:r>
      <w:r>
        <w:t xml:space="preserve"> </w:t>
      </w:r>
      <w:r>
        <w:rPr>
          <w:sz w:val="20"/>
          <w:szCs w:val="20"/>
        </w:rPr>
        <w:t xml:space="preserve">Curriculum reforms and teacher training </w:t>
      </w:r>
      <w:r w:rsidRPr="00F445EF">
        <w:rPr>
          <w:sz w:val="20"/>
          <w:szCs w:val="20"/>
        </w:rPr>
        <w:t xml:space="preserve">include among others: </w:t>
      </w:r>
      <w:r w:rsidRPr="00F445EF">
        <w:rPr>
          <w:sz w:val="20"/>
          <w:szCs w:val="20"/>
          <w:lang w:eastAsia="zh-CN"/>
        </w:rPr>
        <w:t xml:space="preserve">differentiated curriculum, multi-level teaching, flexible classroom management and basic knowledge </w:t>
      </w:r>
      <w:r>
        <w:rPr>
          <w:sz w:val="20"/>
          <w:szCs w:val="20"/>
          <w:lang w:eastAsia="zh-CN"/>
        </w:rPr>
        <w:t>about the</w:t>
      </w:r>
      <w:r w:rsidRPr="00F445EF">
        <w:rPr>
          <w:sz w:val="20"/>
          <w:szCs w:val="20"/>
          <w:lang w:eastAsia="zh-CN"/>
        </w:rPr>
        <w:t xml:space="preserve"> diversity</w:t>
      </w:r>
      <w:r>
        <w:rPr>
          <w:sz w:val="20"/>
          <w:szCs w:val="20"/>
          <w:lang w:eastAsia="zh-CN"/>
        </w:rPr>
        <w:t>, needs and capabilities</w:t>
      </w:r>
      <w:r w:rsidRPr="00F445EF">
        <w:rPr>
          <w:sz w:val="20"/>
          <w:szCs w:val="20"/>
          <w:lang w:eastAsia="zh-CN"/>
        </w:rPr>
        <w:t xml:space="preserve"> of learners with disabilities</w:t>
      </w:r>
      <w:r>
        <w:rPr>
          <w:sz w:val="20"/>
          <w:szCs w:val="20"/>
          <w:lang w:eastAsia="zh-CN"/>
        </w:rPr>
        <w:t>.</w:t>
      </w:r>
    </w:p>
  </w:footnote>
  <w:footnote w:id="2">
    <w:p w14:paraId="5A75585A" w14:textId="240A289C" w:rsidR="00155BE8" w:rsidRPr="00155BE8" w:rsidRDefault="00155BE8">
      <w:pPr>
        <w:pStyle w:val="FootnoteText"/>
      </w:pPr>
      <w:r>
        <w:rPr>
          <w:rStyle w:val="FootnoteReference"/>
        </w:rPr>
        <w:footnoteRef/>
      </w:r>
      <w:r>
        <w:t xml:space="preserve"> </w:t>
      </w:r>
      <w:r w:rsidRPr="00155BE8">
        <w:rPr>
          <w:sz w:val="20"/>
          <w:szCs w:val="20"/>
        </w:rPr>
        <w:t>Education commission report, 2016</w:t>
      </w:r>
    </w:p>
  </w:footnote>
  <w:footnote w:id="3">
    <w:p w14:paraId="6B28CFE9" w14:textId="77777777" w:rsidR="00285390" w:rsidRPr="00A6126C" w:rsidRDefault="00285390" w:rsidP="00285390">
      <w:pPr>
        <w:pStyle w:val="FootnoteText"/>
        <w:rPr>
          <w:sz w:val="20"/>
          <w:szCs w:val="20"/>
          <w:lang w:eastAsia="zh-CN"/>
        </w:rPr>
      </w:pPr>
      <w:r>
        <w:rPr>
          <w:rStyle w:val="FootnoteReference"/>
        </w:rPr>
        <w:footnoteRef/>
      </w:r>
      <w:r>
        <w:t xml:space="preserve"> </w:t>
      </w:r>
      <w:r w:rsidRPr="00A6126C">
        <w:rPr>
          <w:sz w:val="20"/>
          <w:szCs w:val="20"/>
          <w:lang w:eastAsia="zh-CN"/>
        </w:rPr>
        <w:t>For vocational training, early childhood development or life-long learning, other relevant government ministries might be in charge depending on the country context</w:t>
      </w:r>
    </w:p>
    <w:p w14:paraId="01F79992" w14:textId="181B5216" w:rsidR="00285390" w:rsidRPr="00A6126C" w:rsidRDefault="00285390">
      <w:pPr>
        <w:pStyle w:val="FootnoteTex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4A23" w14:textId="77777777" w:rsidR="00D3147F" w:rsidRDefault="00D31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1F29" w14:textId="77777777" w:rsidR="00D3147F" w:rsidRDefault="00D31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E3FC" w14:textId="77777777" w:rsidR="00D3147F" w:rsidRDefault="00D3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63D"/>
    <w:multiLevelType w:val="hybridMultilevel"/>
    <w:tmpl w:val="FE8CF274"/>
    <w:lvl w:ilvl="0" w:tplc="E422A30E">
      <w:start w:val="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AA5A66"/>
    <w:multiLevelType w:val="hybridMultilevel"/>
    <w:tmpl w:val="AC861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06058"/>
    <w:multiLevelType w:val="hybridMultilevel"/>
    <w:tmpl w:val="0F163988"/>
    <w:lvl w:ilvl="0" w:tplc="E422A30E">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68A9"/>
    <w:multiLevelType w:val="multilevel"/>
    <w:tmpl w:val="45B0CD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36838E2"/>
    <w:multiLevelType w:val="hybridMultilevel"/>
    <w:tmpl w:val="F8CAF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D5A3D"/>
    <w:multiLevelType w:val="hybridMultilevel"/>
    <w:tmpl w:val="7F3C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B0B7F"/>
    <w:multiLevelType w:val="hybridMultilevel"/>
    <w:tmpl w:val="91748B22"/>
    <w:lvl w:ilvl="0" w:tplc="826AC0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6D4EF0"/>
    <w:multiLevelType w:val="hybridMultilevel"/>
    <w:tmpl w:val="3DAC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231019"/>
    <w:multiLevelType w:val="multilevel"/>
    <w:tmpl w:val="8B76B9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13124A8"/>
    <w:multiLevelType w:val="hybridMultilevel"/>
    <w:tmpl w:val="7F58CC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64C02"/>
    <w:multiLevelType w:val="hybridMultilevel"/>
    <w:tmpl w:val="3476E12E"/>
    <w:lvl w:ilvl="0" w:tplc="08A60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B6795F"/>
    <w:multiLevelType w:val="hybridMultilevel"/>
    <w:tmpl w:val="3F5E861A"/>
    <w:lvl w:ilvl="0" w:tplc="141E1C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E86AC7"/>
    <w:multiLevelType w:val="hybridMultilevel"/>
    <w:tmpl w:val="5672CD4E"/>
    <w:lvl w:ilvl="0" w:tplc="04C0AAB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461F8"/>
    <w:multiLevelType w:val="hybridMultilevel"/>
    <w:tmpl w:val="5A140C0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D17053"/>
    <w:multiLevelType w:val="hybridMultilevel"/>
    <w:tmpl w:val="ED06A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8"/>
  </w:num>
  <w:num w:numId="7">
    <w:abstractNumId w:val="9"/>
  </w:num>
  <w:num w:numId="8">
    <w:abstractNumId w:val="12"/>
  </w:num>
  <w:num w:numId="9">
    <w:abstractNumId w:val="2"/>
  </w:num>
  <w:num w:numId="10">
    <w:abstractNumId w:val="10"/>
  </w:num>
  <w:num w:numId="11">
    <w:abstractNumId w:val="13"/>
  </w:num>
  <w:num w:numId="12">
    <w:abstractNumId w:val="11"/>
  </w:num>
  <w:num w:numId="13">
    <w:abstractNumId w:val="7"/>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9C"/>
    <w:rsid w:val="00002D5F"/>
    <w:rsid w:val="00002DD6"/>
    <w:rsid w:val="0000644B"/>
    <w:rsid w:val="00014269"/>
    <w:rsid w:val="0002636C"/>
    <w:rsid w:val="00097F4D"/>
    <w:rsid w:val="000A4C53"/>
    <w:rsid w:val="000B1516"/>
    <w:rsid w:val="000B2A28"/>
    <w:rsid w:val="000C25D8"/>
    <w:rsid w:val="00100EBE"/>
    <w:rsid w:val="00120CF5"/>
    <w:rsid w:val="00122850"/>
    <w:rsid w:val="0014487C"/>
    <w:rsid w:val="00155BE8"/>
    <w:rsid w:val="00194B52"/>
    <w:rsid w:val="001C6E94"/>
    <w:rsid w:val="001F6EE5"/>
    <w:rsid w:val="001F7417"/>
    <w:rsid w:val="002064AB"/>
    <w:rsid w:val="00213B97"/>
    <w:rsid w:val="002146EE"/>
    <w:rsid w:val="00237574"/>
    <w:rsid w:val="0024381B"/>
    <w:rsid w:val="0024750E"/>
    <w:rsid w:val="002628D5"/>
    <w:rsid w:val="00285390"/>
    <w:rsid w:val="002A7492"/>
    <w:rsid w:val="002B0B80"/>
    <w:rsid w:val="002C3AF0"/>
    <w:rsid w:val="002D118A"/>
    <w:rsid w:val="002F5764"/>
    <w:rsid w:val="00321384"/>
    <w:rsid w:val="0032798C"/>
    <w:rsid w:val="00332283"/>
    <w:rsid w:val="00350679"/>
    <w:rsid w:val="0035656F"/>
    <w:rsid w:val="003818D1"/>
    <w:rsid w:val="00386B89"/>
    <w:rsid w:val="00393555"/>
    <w:rsid w:val="003A3161"/>
    <w:rsid w:val="003B532E"/>
    <w:rsid w:val="003C7B95"/>
    <w:rsid w:val="003D5A59"/>
    <w:rsid w:val="00421183"/>
    <w:rsid w:val="0046408D"/>
    <w:rsid w:val="00467844"/>
    <w:rsid w:val="004720C2"/>
    <w:rsid w:val="00482A73"/>
    <w:rsid w:val="00482D78"/>
    <w:rsid w:val="004A5169"/>
    <w:rsid w:val="004B584C"/>
    <w:rsid w:val="004D01A5"/>
    <w:rsid w:val="004D0EDA"/>
    <w:rsid w:val="004D2F80"/>
    <w:rsid w:val="004D47AD"/>
    <w:rsid w:val="004D68D1"/>
    <w:rsid w:val="004F7B28"/>
    <w:rsid w:val="005222F9"/>
    <w:rsid w:val="00525ABF"/>
    <w:rsid w:val="00540AA0"/>
    <w:rsid w:val="00597738"/>
    <w:rsid w:val="005A1724"/>
    <w:rsid w:val="005B79A7"/>
    <w:rsid w:val="005D60E8"/>
    <w:rsid w:val="005D7DB5"/>
    <w:rsid w:val="005F0FF5"/>
    <w:rsid w:val="005F3675"/>
    <w:rsid w:val="00600326"/>
    <w:rsid w:val="00604CFD"/>
    <w:rsid w:val="00612332"/>
    <w:rsid w:val="00617CBB"/>
    <w:rsid w:val="00640484"/>
    <w:rsid w:val="00647D81"/>
    <w:rsid w:val="00652D77"/>
    <w:rsid w:val="00653B5D"/>
    <w:rsid w:val="006717F9"/>
    <w:rsid w:val="00674F1E"/>
    <w:rsid w:val="0067543C"/>
    <w:rsid w:val="006A1708"/>
    <w:rsid w:val="006A3636"/>
    <w:rsid w:val="006C1E9E"/>
    <w:rsid w:val="006F5EC9"/>
    <w:rsid w:val="006F66AB"/>
    <w:rsid w:val="006F752D"/>
    <w:rsid w:val="00727F8D"/>
    <w:rsid w:val="00735212"/>
    <w:rsid w:val="007458C5"/>
    <w:rsid w:val="0075754F"/>
    <w:rsid w:val="0077447D"/>
    <w:rsid w:val="00783690"/>
    <w:rsid w:val="00797653"/>
    <w:rsid w:val="007B3174"/>
    <w:rsid w:val="007C22A4"/>
    <w:rsid w:val="007E0A8C"/>
    <w:rsid w:val="007E76D8"/>
    <w:rsid w:val="007F18D0"/>
    <w:rsid w:val="00805C0E"/>
    <w:rsid w:val="008227AA"/>
    <w:rsid w:val="0083082F"/>
    <w:rsid w:val="0083659C"/>
    <w:rsid w:val="0085414A"/>
    <w:rsid w:val="00883B5B"/>
    <w:rsid w:val="00893BF9"/>
    <w:rsid w:val="008B1F0A"/>
    <w:rsid w:val="008C131B"/>
    <w:rsid w:val="008C3262"/>
    <w:rsid w:val="008C32F1"/>
    <w:rsid w:val="008C52F9"/>
    <w:rsid w:val="008E3AEC"/>
    <w:rsid w:val="008E3B02"/>
    <w:rsid w:val="008F2F6E"/>
    <w:rsid w:val="009002A2"/>
    <w:rsid w:val="00901262"/>
    <w:rsid w:val="00902F39"/>
    <w:rsid w:val="00914FE2"/>
    <w:rsid w:val="00915CCE"/>
    <w:rsid w:val="009435CD"/>
    <w:rsid w:val="00963D4A"/>
    <w:rsid w:val="00971AE3"/>
    <w:rsid w:val="009B6EED"/>
    <w:rsid w:val="009C331C"/>
    <w:rsid w:val="009E1E32"/>
    <w:rsid w:val="009E62A4"/>
    <w:rsid w:val="009E62DC"/>
    <w:rsid w:val="009E663A"/>
    <w:rsid w:val="00A33780"/>
    <w:rsid w:val="00A33DBC"/>
    <w:rsid w:val="00A6126C"/>
    <w:rsid w:val="00A70764"/>
    <w:rsid w:val="00A92AAA"/>
    <w:rsid w:val="00AA100A"/>
    <w:rsid w:val="00AB5EB9"/>
    <w:rsid w:val="00AB659C"/>
    <w:rsid w:val="00B0711F"/>
    <w:rsid w:val="00B100A2"/>
    <w:rsid w:val="00B37A48"/>
    <w:rsid w:val="00B42D6A"/>
    <w:rsid w:val="00B71D82"/>
    <w:rsid w:val="00B82C11"/>
    <w:rsid w:val="00B8315A"/>
    <w:rsid w:val="00BB1EC1"/>
    <w:rsid w:val="00BE2860"/>
    <w:rsid w:val="00BE7C2F"/>
    <w:rsid w:val="00BF55C9"/>
    <w:rsid w:val="00C0286E"/>
    <w:rsid w:val="00C11A24"/>
    <w:rsid w:val="00C13B00"/>
    <w:rsid w:val="00C34179"/>
    <w:rsid w:val="00C60B71"/>
    <w:rsid w:val="00C62447"/>
    <w:rsid w:val="00C70F7E"/>
    <w:rsid w:val="00C748F6"/>
    <w:rsid w:val="00CA5662"/>
    <w:rsid w:val="00CB0990"/>
    <w:rsid w:val="00CD719E"/>
    <w:rsid w:val="00CF3A3F"/>
    <w:rsid w:val="00CF79AA"/>
    <w:rsid w:val="00D02A7B"/>
    <w:rsid w:val="00D0477A"/>
    <w:rsid w:val="00D05369"/>
    <w:rsid w:val="00D307CD"/>
    <w:rsid w:val="00D3147F"/>
    <w:rsid w:val="00D3302B"/>
    <w:rsid w:val="00D47C08"/>
    <w:rsid w:val="00D55E9E"/>
    <w:rsid w:val="00D65F7F"/>
    <w:rsid w:val="00D75311"/>
    <w:rsid w:val="00D7554D"/>
    <w:rsid w:val="00DA38E8"/>
    <w:rsid w:val="00DB6299"/>
    <w:rsid w:val="00DC3348"/>
    <w:rsid w:val="00DC38EF"/>
    <w:rsid w:val="00DF798A"/>
    <w:rsid w:val="00E011D2"/>
    <w:rsid w:val="00E05174"/>
    <w:rsid w:val="00E156A1"/>
    <w:rsid w:val="00E15DF5"/>
    <w:rsid w:val="00E52B21"/>
    <w:rsid w:val="00E776E4"/>
    <w:rsid w:val="00E85B8F"/>
    <w:rsid w:val="00EA3822"/>
    <w:rsid w:val="00EB2D67"/>
    <w:rsid w:val="00EC410C"/>
    <w:rsid w:val="00EE215B"/>
    <w:rsid w:val="00EE7178"/>
    <w:rsid w:val="00EF7199"/>
    <w:rsid w:val="00F20BD2"/>
    <w:rsid w:val="00F22977"/>
    <w:rsid w:val="00F22C6B"/>
    <w:rsid w:val="00F445EF"/>
    <w:rsid w:val="00F6382F"/>
    <w:rsid w:val="00F878B7"/>
    <w:rsid w:val="00F913F9"/>
    <w:rsid w:val="00FA1DA8"/>
    <w:rsid w:val="00FB214F"/>
    <w:rsid w:val="00FC0C08"/>
    <w:rsid w:val="00FD3E4E"/>
    <w:rsid w:val="00FD5112"/>
    <w:rsid w:val="00FD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87D2"/>
  <w14:defaultImageDpi w14:val="32767"/>
  <w15:docId w15:val="{38C86D50-E484-4AFD-A04A-D856134B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59C"/>
  </w:style>
  <w:style w:type="paragraph" w:styleId="Heading1">
    <w:name w:val="heading 1"/>
    <w:basedOn w:val="Normal"/>
    <w:next w:val="Normal"/>
    <w:link w:val="Heading1Char"/>
    <w:uiPriority w:val="9"/>
    <w:qFormat/>
    <w:rsid w:val="00AB659C"/>
    <w:pPr>
      <w:widowControl w:val="0"/>
      <w:autoSpaceDE w:val="0"/>
      <w:autoSpaceDN w:val="0"/>
      <w:adjustRightInd w:val="0"/>
      <w:ind w:left="360" w:hanging="360"/>
      <w:outlineLvl w:val="0"/>
    </w:pPr>
    <w:rPr>
      <w:rFonts w:ascii="Times New Roman" w:eastAsia="Times New Roman" w:hAnsi="Times New Roman" w:cs="Times New Roman"/>
      <w:color w:val="000000"/>
      <w:kern w:val="24"/>
      <w:sz w:val="56"/>
      <w:szCs w:val="56"/>
      <w:lang w:val="en-US" w:eastAsia="zh-CN"/>
    </w:rPr>
  </w:style>
  <w:style w:type="paragraph" w:styleId="Heading2">
    <w:name w:val="heading 2"/>
    <w:basedOn w:val="Normal"/>
    <w:next w:val="Normal"/>
    <w:link w:val="Heading2Char"/>
    <w:uiPriority w:val="99"/>
    <w:qFormat/>
    <w:rsid w:val="00AB659C"/>
    <w:pPr>
      <w:widowControl w:val="0"/>
      <w:autoSpaceDE w:val="0"/>
      <w:autoSpaceDN w:val="0"/>
      <w:adjustRightInd w:val="0"/>
      <w:ind w:left="1080" w:hanging="360"/>
      <w:outlineLvl w:val="1"/>
    </w:pPr>
    <w:rPr>
      <w:rFonts w:ascii="Times New Roman" w:eastAsia="Times New Roman" w:hAnsi="Times New Roman" w:cs="Times New Roman"/>
      <w:color w:val="000000"/>
      <w:kern w:val="24"/>
      <w:sz w:val="48"/>
      <w:szCs w:val="48"/>
      <w:lang w:val="en-US" w:eastAsia="zh-CN"/>
    </w:rPr>
  </w:style>
  <w:style w:type="paragraph" w:styleId="Heading3">
    <w:name w:val="heading 3"/>
    <w:basedOn w:val="Normal"/>
    <w:next w:val="Normal"/>
    <w:link w:val="Heading3Char"/>
    <w:uiPriority w:val="99"/>
    <w:qFormat/>
    <w:rsid w:val="00AB659C"/>
    <w:pPr>
      <w:widowControl w:val="0"/>
      <w:autoSpaceDE w:val="0"/>
      <w:autoSpaceDN w:val="0"/>
      <w:adjustRightInd w:val="0"/>
      <w:ind w:left="1800" w:hanging="360"/>
      <w:outlineLvl w:val="2"/>
    </w:pPr>
    <w:rPr>
      <w:rFonts w:ascii="Times New Roman" w:eastAsia="Times New Roman" w:hAnsi="Times New Roman" w:cs="Times New Roman"/>
      <w:color w:val="000000"/>
      <w:kern w:val="24"/>
      <w:sz w:val="40"/>
      <w:szCs w:val="4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59C"/>
    <w:rPr>
      <w:rFonts w:ascii="Times New Roman" w:eastAsia="Times New Roman" w:hAnsi="Times New Roman" w:cs="Times New Roman"/>
      <w:color w:val="000000"/>
      <w:kern w:val="24"/>
      <w:sz w:val="56"/>
      <w:szCs w:val="56"/>
      <w:lang w:val="en-US" w:eastAsia="zh-CN"/>
    </w:rPr>
  </w:style>
  <w:style w:type="character" w:customStyle="1" w:styleId="Heading2Char">
    <w:name w:val="Heading 2 Char"/>
    <w:basedOn w:val="DefaultParagraphFont"/>
    <w:link w:val="Heading2"/>
    <w:uiPriority w:val="99"/>
    <w:rsid w:val="00AB659C"/>
    <w:rPr>
      <w:rFonts w:ascii="Times New Roman" w:eastAsia="Times New Roman" w:hAnsi="Times New Roman" w:cs="Times New Roman"/>
      <w:color w:val="000000"/>
      <w:kern w:val="24"/>
      <w:sz w:val="48"/>
      <w:szCs w:val="48"/>
      <w:lang w:val="en-US" w:eastAsia="zh-CN"/>
    </w:rPr>
  </w:style>
  <w:style w:type="character" w:customStyle="1" w:styleId="Heading3Char">
    <w:name w:val="Heading 3 Char"/>
    <w:basedOn w:val="DefaultParagraphFont"/>
    <w:link w:val="Heading3"/>
    <w:uiPriority w:val="99"/>
    <w:rsid w:val="00AB659C"/>
    <w:rPr>
      <w:rFonts w:ascii="Times New Roman" w:eastAsia="Times New Roman" w:hAnsi="Times New Roman" w:cs="Times New Roman"/>
      <w:color w:val="000000"/>
      <w:kern w:val="24"/>
      <w:sz w:val="40"/>
      <w:szCs w:val="40"/>
      <w:lang w:val="en-US" w:eastAsia="zh-CN"/>
    </w:rPr>
  </w:style>
  <w:style w:type="paragraph" w:styleId="FootnoteText">
    <w:name w:val="footnote text"/>
    <w:basedOn w:val="Normal"/>
    <w:link w:val="FootnoteTextChar"/>
    <w:uiPriority w:val="99"/>
    <w:unhideWhenUsed/>
    <w:rsid w:val="00AB659C"/>
    <w:rPr>
      <w:rFonts w:eastAsiaTheme="minorEastAsia" w:cs="Times New Roman"/>
      <w:lang w:eastAsia="en-GB"/>
    </w:rPr>
  </w:style>
  <w:style w:type="character" w:customStyle="1" w:styleId="FootnoteTextChar">
    <w:name w:val="Footnote Text Char"/>
    <w:basedOn w:val="DefaultParagraphFont"/>
    <w:link w:val="FootnoteText"/>
    <w:uiPriority w:val="99"/>
    <w:rsid w:val="00AB659C"/>
    <w:rPr>
      <w:rFonts w:eastAsiaTheme="minorEastAsia" w:cs="Times New Roman"/>
      <w:lang w:eastAsia="en-GB"/>
    </w:rPr>
  </w:style>
  <w:style w:type="character" w:styleId="FootnoteReference">
    <w:name w:val="footnote reference"/>
    <w:basedOn w:val="DefaultParagraphFont"/>
    <w:uiPriority w:val="99"/>
    <w:unhideWhenUsed/>
    <w:rsid w:val="00AB659C"/>
    <w:rPr>
      <w:rFonts w:cs="Times New Roman"/>
      <w:vertAlign w:val="superscript"/>
    </w:rPr>
  </w:style>
  <w:style w:type="paragraph" w:styleId="ListParagraph">
    <w:name w:val="List Paragraph"/>
    <w:basedOn w:val="Normal"/>
    <w:uiPriority w:val="34"/>
    <w:qFormat/>
    <w:rsid w:val="00AB659C"/>
    <w:pPr>
      <w:ind w:left="720"/>
      <w:contextualSpacing/>
    </w:pPr>
  </w:style>
  <w:style w:type="character" w:styleId="Strong">
    <w:name w:val="Strong"/>
    <w:basedOn w:val="DefaultParagraphFont"/>
    <w:uiPriority w:val="22"/>
    <w:qFormat/>
    <w:rsid w:val="00E52B21"/>
    <w:rPr>
      <w:b/>
      <w:bCs/>
    </w:rPr>
  </w:style>
  <w:style w:type="paragraph" w:styleId="Header">
    <w:name w:val="header"/>
    <w:basedOn w:val="Normal"/>
    <w:link w:val="HeaderChar"/>
    <w:uiPriority w:val="99"/>
    <w:unhideWhenUsed/>
    <w:rsid w:val="00AB5EB9"/>
    <w:pPr>
      <w:tabs>
        <w:tab w:val="center" w:pos="4680"/>
        <w:tab w:val="right" w:pos="9360"/>
      </w:tabs>
    </w:pPr>
  </w:style>
  <w:style w:type="character" w:customStyle="1" w:styleId="HeaderChar">
    <w:name w:val="Header Char"/>
    <w:basedOn w:val="DefaultParagraphFont"/>
    <w:link w:val="Header"/>
    <w:uiPriority w:val="99"/>
    <w:rsid w:val="00AB5EB9"/>
  </w:style>
  <w:style w:type="paragraph" w:styleId="Footer">
    <w:name w:val="footer"/>
    <w:basedOn w:val="Normal"/>
    <w:link w:val="FooterChar"/>
    <w:uiPriority w:val="99"/>
    <w:unhideWhenUsed/>
    <w:rsid w:val="00AB5EB9"/>
    <w:pPr>
      <w:tabs>
        <w:tab w:val="center" w:pos="4680"/>
        <w:tab w:val="right" w:pos="9360"/>
      </w:tabs>
    </w:pPr>
  </w:style>
  <w:style w:type="character" w:customStyle="1" w:styleId="FooterChar">
    <w:name w:val="Footer Char"/>
    <w:basedOn w:val="DefaultParagraphFont"/>
    <w:link w:val="Footer"/>
    <w:uiPriority w:val="99"/>
    <w:rsid w:val="00AB5EB9"/>
  </w:style>
  <w:style w:type="paragraph" w:styleId="BalloonText">
    <w:name w:val="Balloon Text"/>
    <w:basedOn w:val="Normal"/>
    <w:link w:val="BalloonTextChar"/>
    <w:uiPriority w:val="99"/>
    <w:semiHidden/>
    <w:unhideWhenUsed/>
    <w:rsid w:val="00D05369"/>
    <w:rPr>
      <w:rFonts w:ascii="Tahoma" w:hAnsi="Tahoma" w:cs="Tahoma"/>
      <w:sz w:val="16"/>
      <w:szCs w:val="16"/>
    </w:rPr>
  </w:style>
  <w:style w:type="character" w:customStyle="1" w:styleId="BalloonTextChar">
    <w:name w:val="Balloon Text Char"/>
    <w:basedOn w:val="DefaultParagraphFont"/>
    <w:link w:val="BalloonText"/>
    <w:uiPriority w:val="99"/>
    <w:semiHidden/>
    <w:rsid w:val="00D05369"/>
    <w:rPr>
      <w:rFonts w:ascii="Tahoma" w:hAnsi="Tahoma" w:cs="Tahoma"/>
      <w:sz w:val="16"/>
      <w:szCs w:val="16"/>
    </w:rPr>
  </w:style>
  <w:style w:type="character" w:styleId="CommentReference">
    <w:name w:val="annotation reference"/>
    <w:basedOn w:val="DefaultParagraphFont"/>
    <w:uiPriority w:val="99"/>
    <w:semiHidden/>
    <w:unhideWhenUsed/>
    <w:rsid w:val="008C131B"/>
    <w:rPr>
      <w:sz w:val="16"/>
      <w:szCs w:val="16"/>
    </w:rPr>
  </w:style>
  <w:style w:type="paragraph" w:styleId="CommentText">
    <w:name w:val="annotation text"/>
    <w:basedOn w:val="Normal"/>
    <w:link w:val="CommentTextChar"/>
    <w:uiPriority w:val="99"/>
    <w:semiHidden/>
    <w:unhideWhenUsed/>
    <w:rsid w:val="008C131B"/>
    <w:rPr>
      <w:sz w:val="20"/>
      <w:szCs w:val="20"/>
    </w:rPr>
  </w:style>
  <w:style w:type="character" w:customStyle="1" w:styleId="CommentTextChar">
    <w:name w:val="Comment Text Char"/>
    <w:basedOn w:val="DefaultParagraphFont"/>
    <w:link w:val="CommentText"/>
    <w:uiPriority w:val="99"/>
    <w:semiHidden/>
    <w:rsid w:val="008C131B"/>
    <w:rPr>
      <w:sz w:val="20"/>
      <w:szCs w:val="20"/>
    </w:rPr>
  </w:style>
  <w:style w:type="paragraph" w:styleId="CommentSubject">
    <w:name w:val="annotation subject"/>
    <w:basedOn w:val="CommentText"/>
    <w:next w:val="CommentText"/>
    <w:link w:val="CommentSubjectChar"/>
    <w:uiPriority w:val="99"/>
    <w:semiHidden/>
    <w:unhideWhenUsed/>
    <w:rsid w:val="008C131B"/>
    <w:rPr>
      <w:b/>
      <w:bCs/>
    </w:rPr>
  </w:style>
  <w:style w:type="character" w:customStyle="1" w:styleId="CommentSubjectChar">
    <w:name w:val="Comment Subject Char"/>
    <w:basedOn w:val="CommentTextChar"/>
    <w:link w:val="CommentSubject"/>
    <w:uiPriority w:val="99"/>
    <w:semiHidden/>
    <w:rsid w:val="008C131B"/>
    <w:rPr>
      <w:b/>
      <w:bCs/>
      <w:sz w:val="20"/>
      <w:szCs w:val="20"/>
    </w:rPr>
  </w:style>
  <w:style w:type="character" w:styleId="PageNumber">
    <w:name w:val="page number"/>
    <w:basedOn w:val="DefaultParagraphFont"/>
    <w:uiPriority w:val="99"/>
    <w:semiHidden/>
    <w:unhideWhenUsed/>
    <w:rsid w:val="00A6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462">
      <w:bodyDiv w:val="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96601530">
      <w:bodyDiv w:val="1"/>
      <w:marLeft w:val="0"/>
      <w:marRight w:val="0"/>
      <w:marTop w:val="0"/>
      <w:marBottom w:val="0"/>
      <w:divBdr>
        <w:top w:val="none" w:sz="0" w:space="0" w:color="auto"/>
        <w:left w:val="none" w:sz="0" w:space="0" w:color="auto"/>
        <w:bottom w:val="none" w:sz="0" w:space="0" w:color="auto"/>
        <w:right w:val="none" w:sz="0" w:space="0" w:color="auto"/>
      </w:divBdr>
    </w:div>
    <w:div w:id="1316186552">
      <w:bodyDiv w:val="1"/>
      <w:marLeft w:val="0"/>
      <w:marRight w:val="0"/>
      <w:marTop w:val="0"/>
      <w:marBottom w:val="0"/>
      <w:divBdr>
        <w:top w:val="none" w:sz="0" w:space="0" w:color="auto"/>
        <w:left w:val="none" w:sz="0" w:space="0" w:color="auto"/>
        <w:bottom w:val="none" w:sz="0" w:space="0" w:color="auto"/>
        <w:right w:val="none" w:sz="0" w:space="0" w:color="auto"/>
      </w:divBdr>
    </w:div>
    <w:div w:id="1413087649">
      <w:bodyDiv w:val="1"/>
      <w:marLeft w:val="0"/>
      <w:marRight w:val="0"/>
      <w:marTop w:val="0"/>
      <w:marBottom w:val="0"/>
      <w:divBdr>
        <w:top w:val="none" w:sz="0" w:space="0" w:color="auto"/>
        <w:left w:val="none" w:sz="0" w:space="0" w:color="auto"/>
        <w:bottom w:val="none" w:sz="0" w:space="0" w:color="auto"/>
        <w:right w:val="none" w:sz="0" w:space="0" w:color="auto"/>
      </w:divBdr>
    </w:div>
    <w:div w:id="1592622130">
      <w:bodyDiv w:val="1"/>
      <w:marLeft w:val="0"/>
      <w:marRight w:val="0"/>
      <w:marTop w:val="0"/>
      <w:marBottom w:val="0"/>
      <w:divBdr>
        <w:top w:val="none" w:sz="0" w:space="0" w:color="auto"/>
        <w:left w:val="none" w:sz="0" w:space="0" w:color="auto"/>
        <w:bottom w:val="none" w:sz="0" w:space="0" w:color="auto"/>
        <w:right w:val="none" w:sz="0" w:space="0" w:color="auto"/>
      </w:divBdr>
    </w:div>
    <w:div w:id="184060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F9FFC6-D7B1-413D-B6F8-B9DFCE39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3089</Words>
  <Characters>16991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COTE</dc:creator>
  <cp:lastModifiedBy>Priscille Geiser</cp:lastModifiedBy>
  <cp:revision>2</cp:revision>
  <dcterms:created xsi:type="dcterms:W3CDTF">2019-12-09T17:49:00Z</dcterms:created>
  <dcterms:modified xsi:type="dcterms:W3CDTF">2019-12-09T17:49:00Z</dcterms:modified>
</cp:coreProperties>
</file>