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E5" w:rsidRDefault="00945CE5" w:rsidP="00945CE5">
      <w:pPr>
        <w:jc w:val="center"/>
        <w:rPr>
          <w:rFonts w:ascii="Verdana" w:eastAsia="Times New Roman" w:hAnsi="Verdana" w:cs="Times New Roman"/>
          <w:b/>
          <w:bCs/>
          <w:color w:val="000000"/>
          <w:sz w:val="22"/>
          <w:szCs w:val="22"/>
        </w:rPr>
      </w:pPr>
      <w:r>
        <w:rPr>
          <w:noProof/>
        </w:rPr>
        <w:drawing>
          <wp:inline distT="0" distB="0" distL="0" distR="0" wp14:anchorId="6F711A37" wp14:editId="6107B4AD">
            <wp:extent cx="3686175" cy="1670050"/>
            <wp:effectExtent l="0" t="0" r="9525" b="6350"/>
            <wp:docPr id="1" name="Picture 1" descr="/Users/idacommunications/Dropbox/IDA Comms folder/2) Activity Comms/2.2) 2030 Agenda/HLPF 2017/SG logo/SGPwD_rev3-01.png"/>
            <wp:cNvGraphicFramePr/>
            <a:graphic xmlns:a="http://schemas.openxmlformats.org/drawingml/2006/main">
              <a:graphicData uri="http://schemas.openxmlformats.org/drawingml/2006/picture">
                <pic:pic xmlns:pic="http://schemas.openxmlformats.org/drawingml/2006/picture">
                  <pic:nvPicPr>
                    <pic:cNvPr id="1" name="Picture 1" descr="/Users/idacommunications/Dropbox/IDA Comms folder/2) Activity Comms/2.2) 2030 Agenda/HLPF 2017/SG logo/SGPwD_rev3-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1670050"/>
                    </a:xfrm>
                    <a:prstGeom prst="rect">
                      <a:avLst/>
                    </a:prstGeom>
                    <a:noFill/>
                    <a:ln>
                      <a:noFill/>
                    </a:ln>
                  </pic:spPr>
                </pic:pic>
              </a:graphicData>
            </a:graphic>
          </wp:inline>
        </w:drawing>
      </w:r>
    </w:p>
    <w:p w:rsidR="00945CE5" w:rsidRDefault="00945CE5" w:rsidP="00945CE5">
      <w:pPr>
        <w:jc w:val="center"/>
        <w:rPr>
          <w:rFonts w:ascii="Verdana" w:eastAsia="Times New Roman" w:hAnsi="Verdana" w:cs="Times New Roman"/>
          <w:b/>
          <w:bCs/>
          <w:color w:val="000000"/>
          <w:sz w:val="22"/>
          <w:szCs w:val="22"/>
        </w:rPr>
      </w:pPr>
    </w:p>
    <w:p w:rsidR="00945CE5" w:rsidRDefault="00945CE5" w:rsidP="00945CE5">
      <w:pPr>
        <w:jc w:val="center"/>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HLPF 2019</w:t>
      </w:r>
    </w:p>
    <w:p w:rsidR="00945CE5" w:rsidRDefault="00945CE5" w:rsidP="00945CE5">
      <w:pPr>
        <w:jc w:val="center"/>
        <w:rPr>
          <w:rFonts w:ascii="Verdana" w:eastAsia="Times New Roman" w:hAnsi="Verdana" w:cs="Times New Roman"/>
          <w:b/>
          <w:bCs/>
          <w:color w:val="000000"/>
          <w:sz w:val="22"/>
          <w:szCs w:val="22"/>
        </w:rPr>
      </w:pPr>
    </w:p>
    <w:p w:rsidR="00945CE5" w:rsidRDefault="00945CE5" w:rsidP="00945CE5">
      <w:pPr>
        <w:jc w:val="center"/>
        <w:rPr>
          <w:rFonts w:ascii="Verdana" w:eastAsia="Times New Roman" w:hAnsi="Verdana" w:cs="Arial"/>
          <w:b/>
          <w:bCs/>
          <w:color w:val="000000"/>
          <w:sz w:val="22"/>
          <w:szCs w:val="22"/>
        </w:rPr>
      </w:pPr>
      <w:r w:rsidRPr="00945CE5">
        <w:rPr>
          <w:rFonts w:ascii="Verdana" w:eastAsia="Times New Roman" w:hAnsi="Verdana" w:cs="Times New Roman"/>
          <w:b/>
          <w:bCs/>
          <w:color w:val="000000"/>
          <w:sz w:val="22"/>
          <w:szCs w:val="22"/>
        </w:rPr>
        <w:t xml:space="preserve">Official session: </w:t>
      </w:r>
      <w:r w:rsidRPr="00945CE5">
        <w:rPr>
          <w:rFonts w:ascii="Verdana" w:eastAsia="Times New Roman" w:hAnsi="Verdana" w:cs="Arial"/>
          <w:b/>
          <w:bCs/>
          <w:color w:val="000000"/>
          <w:sz w:val="22"/>
          <w:szCs w:val="22"/>
        </w:rPr>
        <w:t>Discussion on SDG 8 - Decent work and economic growth</w:t>
      </w:r>
    </w:p>
    <w:p w:rsidR="00945CE5" w:rsidRDefault="00945CE5" w:rsidP="00945CE5">
      <w:pPr>
        <w:jc w:val="center"/>
        <w:rPr>
          <w:rFonts w:ascii="Verdana" w:eastAsia="Times New Roman" w:hAnsi="Verdana" w:cs="Arial"/>
          <w:b/>
          <w:bCs/>
          <w:color w:val="000000"/>
          <w:sz w:val="22"/>
          <w:szCs w:val="22"/>
        </w:rPr>
      </w:pPr>
      <w:r>
        <w:rPr>
          <w:rFonts w:ascii="Verdana" w:eastAsia="Times New Roman" w:hAnsi="Verdana" w:cs="Arial"/>
          <w:b/>
          <w:bCs/>
          <w:color w:val="000000"/>
          <w:sz w:val="22"/>
          <w:szCs w:val="22"/>
        </w:rPr>
        <w:t>Wednesday, July 10</w:t>
      </w:r>
      <w:r w:rsidRPr="00945CE5">
        <w:rPr>
          <w:rFonts w:ascii="Verdana" w:eastAsia="Times New Roman" w:hAnsi="Verdana" w:cs="Arial"/>
          <w:b/>
          <w:bCs/>
          <w:color w:val="000000"/>
          <w:sz w:val="22"/>
          <w:szCs w:val="22"/>
          <w:vertAlign w:val="superscript"/>
        </w:rPr>
        <w:t>th</w:t>
      </w:r>
    </w:p>
    <w:p w:rsidR="00945CE5" w:rsidRDefault="00945CE5" w:rsidP="00945CE5">
      <w:pPr>
        <w:jc w:val="center"/>
        <w:rPr>
          <w:rFonts w:ascii="Verdana" w:eastAsia="Times New Roman" w:hAnsi="Verdana" w:cs="Arial"/>
          <w:b/>
          <w:bCs/>
          <w:color w:val="000000"/>
          <w:sz w:val="22"/>
          <w:szCs w:val="22"/>
        </w:rPr>
      </w:pPr>
      <w:r>
        <w:rPr>
          <w:rFonts w:ascii="Verdana" w:eastAsia="Times New Roman" w:hAnsi="Verdana" w:cs="Arial"/>
          <w:b/>
          <w:bCs/>
          <w:color w:val="000000"/>
          <w:sz w:val="22"/>
          <w:szCs w:val="22"/>
        </w:rPr>
        <w:t>3:00 PM – 6:00 PM</w:t>
      </w:r>
    </w:p>
    <w:p w:rsidR="00945CE5" w:rsidRDefault="00945CE5" w:rsidP="00945CE5">
      <w:pPr>
        <w:jc w:val="center"/>
        <w:rPr>
          <w:rFonts w:ascii="Verdana" w:eastAsia="Times New Roman" w:hAnsi="Verdana" w:cs="Arial"/>
          <w:b/>
          <w:bCs/>
          <w:color w:val="000000"/>
          <w:sz w:val="22"/>
          <w:szCs w:val="22"/>
        </w:rPr>
      </w:pPr>
    </w:p>
    <w:p w:rsidR="00945CE5" w:rsidRPr="00CA13F8" w:rsidRDefault="00945CE5" w:rsidP="00CA13F8">
      <w:pPr>
        <w:jc w:val="center"/>
        <w:rPr>
          <w:rFonts w:ascii="Verdana" w:eastAsia="Times New Roman" w:hAnsi="Verdana" w:cs="Times New Roman"/>
        </w:rPr>
      </w:pPr>
      <w:r>
        <w:rPr>
          <w:rFonts w:ascii="Verdana" w:eastAsia="Times New Roman" w:hAnsi="Verdana" w:cs="Arial"/>
          <w:b/>
          <w:bCs/>
          <w:color w:val="000000"/>
          <w:sz w:val="22"/>
          <w:szCs w:val="22"/>
        </w:rPr>
        <w:t xml:space="preserve">Jose </w:t>
      </w:r>
      <w:proofErr w:type="spellStart"/>
      <w:r>
        <w:rPr>
          <w:rFonts w:ascii="Verdana" w:eastAsia="Times New Roman" w:hAnsi="Verdana" w:cs="Arial"/>
          <w:b/>
          <w:bCs/>
          <w:color w:val="000000"/>
          <w:sz w:val="22"/>
          <w:szCs w:val="22"/>
        </w:rPr>
        <w:t>Ranola</w:t>
      </w:r>
      <w:bookmarkStart w:id="0" w:name="_GoBack"/>
      <w:bookmarkEnd w:id="0"/>
      <w:proofErr w:type="spellEnd"/>
    </w:p>
    <w:p w:rsidR="00945CE5" w:rsidRDefault="00945CE5" w:rsidP="00945CE5">
      <w:pPr>
        <w:jc w:val="both"/>
        <w:rPr>
          <w:rFonts w:ascii="Verdana" w:eastAsia="Times New Roman" w:hAnsi="Verdana" w:cs="Times New Roman"/>
          <w:color w:val="000000"/>
          <w:sz w:val="22"/>
          <w:szCs w:val="22"/>
        </w:rPr>
      </w:pPr>
    </w:p>
    <w:p w:rsidR="00945CE5" w:rsidRPr="00945CE5" w:rsidRDefault="00945CE5" w:rsidP="00945CE5">
      <w:pPr>
        <w:jc w:val="both"/>
        <w:rPr>
          <w:rFonts w:ascii="Times New Roman" w:eastAsia="Times New Roman" w:hAnsi="Times New Roman" w:cs="Times New Roman"/>
        </w:rPr>
      </w:pPr>
      <w:r w:rsidRPr="00945CE5">
        <w:rPr>
          <w:rFonts w:ascii="Verdana" w:eastAsia="Times New Roman" w:hAnsi="Verdana" w:cs="Times New Roman"/>
          <w:color w:val="000000"/>
          <w:sz w:val="22"/>
          <w:szCs w:val="22"/>
        </w:rPr>
        <w:t>Persons with disabilities have disproportionately high levels of underemployment and unemployment as well as lower wages and are more likely to be in vulnerable forms of employment, including being self-employed or in part-time jobs. There are multiple intersecting factors that restrict persons with disabilities’ access to decent work and employment, including lack of access to education, training, resources, and technology; and lack of reasonable accommodations and adapted supports. In addition, stigma and discrimination by employers are major factors that contribute to exclusion.</w:t>
      </w:r>
    </w:p>
    <w:p w:rsidR="00945CE5" w:rsidRPr="00945CE5" w:rsidRDefault="00945CE5" w:rsidP="00945CE5">
      <w:pPr>
        <w:rPr>
          <w:rFonts w:ascii="Times New Roman" w:eastAsia="Times New Roman" w:hAnsi="Times New Roman" w:cs="Times New Roman"/>
        </w:rPr>
      </w:pPr>
    </w:p>
    <w:p w:rsidR="00945CE5" w:rsidRPr="00945CE5" w:rsidRDefault="00945CE5" w:rsidP="00945CE5">
      <w:pPr>
        <w:rPr>
          <w:rFonts w:ascii="Times New Roman" w:eastAsia="Times New Roman" w:hAnsi="Times New Roman" w:cs="Times New Roman"/>
        </w:rPr>
      </w:pPr>
      <w:r w:rsidRPr="00945CE5">
        <w:rPr>
          <w:rFonts w:ascii="Verdana" w:eastAsia="Times New Roman" w:hAnsi="Verdana" w:cs="Times New Roman"/>
          <w:color w:val="000000"/>
          <w:sz w:val="22"/>
          <w:szCs w:val="22"/>
        </w:rPr>
        <w:t>To address this, we recommend that:</w:t>
      </w:r>
    </w:p>
    <w:p w:rsidR="00945CE5" w:rsidRPr="00945CE5" w:rsidRDefault="00945CE5" w:rsidP="00945CE5">
      <w:pPr>
        <w:numPr>
          <w:ilvl w:val="0"/>
          <w:numId w:val="1"/>
        </w:numPr>
        <w:textAlignment w:val="baseline"/>
        <w:rPr>
          <w:rFonts w:ascii="Verdana" w:eastAsia="Times New Roman" w:hAnsi="Verdana" w:cs="Times New Roman"/>
          <w:color w:val="000000"/>
          <w:sz w:val="22"/>
          <w:szCs w:val="22"/>
        </w:rPr>
      </w:pPr>
      <w:r w:rsidRPr="00945CE5">
        <w:rPr>
          <w:rFonts w:ascii="Verdana" w:eastAsia="Times New Roman" w:hAnsi="Verdana" w:cs="Times New Roman"/>
          <w:color w:val="000000"/>
          <w:sz w:val="22"/>
          <w:szCs w:val="22"/>
        </w:rPr>
        <w:t>equality, human rights, sustainability, participation, inclusion and accessibility</w:t>
      </w:r>
      <w:r w:rsidRPr="00945CE5">
        <w:rPr>
          <w:rFonts w:ascii="Verdana" w:eastAsia="Times New Roman" w:hAnsi="Verdana" w:cs="Times New Roman"/>
          <w:b/>
          <w:bCs/>
          <w:color w:val="000000"/>
          <w:sz w:val="22"/>
          <w:szCs w:val="22"/>
        </w:rPr>
        <w:t xml:space="preserve"> </w:t>
      </w:r>
      <w:r w:rsidRPr="00945CE5">
        <w:rPr>
          <w:rFonts w:ascii="Verdana" w:eastAsia="Times New Roman" w:hAnsi="Verdana" w:cs="Times New Roman"/>
          <w:color w:val="000000"/>
          <w:sz w:val="22"/>
          <w:szCs w:val="22"/>
        </w:rPr>
        <w:t>be the core principles in line with Article 27 of the CRPD, the 2030 Agenda for Sustainable Development, and ILO Convention 159 to promote full and productive employment and decent employment for all persons with disabilities;</w:t>
      </w:r>
    </w:p>
    <w:p w:rsidR="00945CE5" w:rsidRPr="00945CE5" w:rsidRDefault="00945CE5" w:rsidP="00945CE5">
      <w:pPr>
        <w:numPr>
          <w:ilvl w:val="0"/>
          <w:numId w:val="2"/>
        </w:numPr>
        <w:textAlignment w:val="baseline"/>
        <w:rPr>
          <w:rFonts w:ascii="Verdana" w:eastAsia="Times New Roman" w:hAnsi="Verdana" w:cs="Times New Roman"/>
          <w:color w:val="000000"/>
          <w:sz w:val="22"/>
          <w:szCs w:val="22"/>
        </w:rPr>
      </w:pPr>
      <w:r w:rsidRPr="00945CE5">
        <w:rPr>
          <w:rFonts w:ascii="Verdana" w:eastAsia="Times New Roman" w:hAnsi="Verdana" w:cs="Times New Roman"/>
          <w:color w:val="000000"/>
          <w:sz w:val="22"/>
          <w:szCs w:val="22"/>
        </w:rPr>
        <w:t xml:space="preserve">employment of persons with disabilities is included as part of mainstream employment promotion </w:t>
      </w:r>
      <w:proofErr w:type="spellStart"/>
      <w:r w:rsidRPr="00945CE5">
        <w:rPr>
          <w:rFonts w:ascii="Verdana" w:eastAsia="Times New Roman" w:hAnsi="Verdana" w:cs="Times New Roman"/>
          <w:color w:val="000000"/>
          <w:sz w:val="22"/>
          <w:szCs w:val="22"/>
        </w:rPr>
        <w:t>programmes</w:t>
      </w:r>
      <w:proofErr w:type="spellEnd"/>
      <w:r w:rsidRPr="00945CE5">
        <w:rPr>
          <w:rFonts w:ascii="Verdana" w:eastAsia="Times New Roman" w:hAnsi="Verdana" w:cs="Times New Roman"/>
          <w:color w:val="000000"/>
          <w:sz w:val="22"/>
          <w:szCs w:val="22"/>
        </w:rPr>
        <w:t xml:space="preserve"> or those targeted at specific populations, such as youth and women with disabilities;</w:t>
      </w:r>
    </w:p>
    <w:p w:rsidR="00945CE5" w:rsidRPr="00945CE5" w:rsidRDefault="00945CE5" w:rsidP="00945CE5">
      <w:pPr>
        <w:numPr>
          <w:ilvl w:val="0"/>
          <w:numId w:val="2"/>
        </w:numPr>
        <w:textAlignment w:val="baseline"/>
        <w:rPr>
          <w:rFonts w:ascii="Verdana" w:eastAsia="Times New Roman" w:hAnsi="Verdana" w:cs="Times New Roman"/>
          <w:color w:val="000000"/>
          <w:sz w:val="22"/>
          <w:szCs w:val="22"/>
        </w:rPr>
      </w:pPr>
      <w:r w:rsidRPr="00945CE5">
        <w:rPr>
          <w:rFonts w:ascii="Verdana" w:eastAsia="Times New Roman" w:hAnsi="Verdana" w:cs="Times New Roman"/>
          <w:color w:val="000000"/>
          <w:sz w:val="22"/>
          <w:szCs w:val="22"/>
        </w:rPr>
        <w:t>States ensure that national legislation protects persons with disabilities from discrimination on the basis of disability in all matters of employment and that it includes the denial of reasonable accommodation as a form of discrimination; and</w:t>
      </w:r>
    </w:p>
    <w:p w:rsidR="00945CE5" w:rsidRPr="00945CE5" w:rsidRDefault="00945CE5" w:rsidP="00945CE5">
      <w:pPr>
        <w:numPr>
          <w:ilvl w:val="0"/>
          <w:numId w:val="2"/>
        </w:numPr>
        <w:textAlignment w:val="baseline"/>
        <w:rPr>
          <w:rFonts w:ascii="Verdana" w:eastAsia="Times New Roman" w:hAnsi="Verdana" w:cs="Times New Roman"/>
          <w:color w:val="000000"/>
          <w:sz w:val="22"/>
          <w:szCs w:val="22"/>
        </w:rPr>
      </w:pPr>
      <w:r w:rsidRPr="00945CE5">
        <w:rPr>
          <w:rFonts w:ascii="Verdana" w:eastAsia="Times New Roman" w:hAnsi="Verdana" w:cs="Times New Roman"/>
          <w:color w:val="000000"/>
          <w:sz w:val="22"/>
          <w:szCs w:val="22"/>
        </w:rPr>
        <w:t>more attention is given to the situation of youth with disabilities in the context of transition from school to work, including job placement and ongoing job coaching.</w:t>
      </w:r>
    </w:p>
    <w:p w:rsidR="00582AFB" w:rsidRDefault="00CA13F8"/>
    <w:sectPr w:rsidR="00582AFB" w:rsidSect="004F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338"/>
    <w:multiLevelType w:val="multilevel"/>
    <w:tmpl w:val="763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33C86"/>
    <w:multiLevelType w:val="multilevel"/>
    <w:tmpl w:val="3B5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BB"/>
    <w:rsid w:val="00120ABB"/>
    <w:rsid w:val="004F7757"/>
    <w:rsid w:val="00945CE5"/>
    <w:rsid w:val="00CA13F8"/>
    <w:rsid w:val="00DB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FA8D6"/>
  <w14:defaultImageDpi w14:val="32767"/>
  <w15:chartTrackingRefBased/>
  <w15:docId w15:val="{D9F86172-584C-CC48-B602-55ECB4EB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C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5967">
      <w:bodyDiv w:val="1"/>
      <w:marLeft w:val="0"/>
      <w:marRight w:val="0"/>
      <w:marTop w:val="0"/>
      <w:marBottom w:val="0"/>
      <w:divBdr>
        <w:top w:val="none" w:sz="0" w:space="0" w:color="auto"/>
        <w:left w:val="none" w:sz="0" w:space="0" w:color="auto"/>
        <w:bottom w:val="none" w:sz="0" w:space="0" w:color="auto"/>
        <w:right w:val="none" w:sz="0" w:space="0" w:color="auto"/>
      </w:divBdr>
    </w:div>
    <w:div w:id="16265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Chiara</dc:creator>
  <cp:keywords/>
  <dc:description/>
  <cp:lastModifiedBy>Jordan Chiara</cp:lastModifiedBy>
  <cp:revision>3</cp:revision>
  <dcterms:created xsi:type="dcterms:W3CDTF">2019-07-11T13:36:00Z</dcterms:created>
  <dcterms:modified xsi:type="dcterms:W3CDTF">2019-07-11T13:38:00Z</dcterms:modified>
</cp:coreProperties>
</file>