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913" w:rsidRDefault="00ED1913" w:rsidP="00EE41A1">
      <w:pPr>
        <w:jc w:val="center"/>
        <w:rPr>
          <w:rFonts w:ascii="Helvetica" w:hAnsi="Helvetica" w:cs="Arial"/>
          <w:b/>
        </w:rPr>
      </w:pPr>
      <w:r>
        <w:rPr>
          <w:rFonts w:ascii="Helvetica" w:hAnsi="Helvetica" w:cs="Arial"/>
          <w:b/>
        </w:rPr>
        <w:t>S</w:t>
      </w:r>
      <w:r w:rsidR="003B0D58" w:rsidRPr="00EE41A1">
        <w:rPr>
          <w:rFonts w:ascii="Helvetica" w:hAnsi="Helvetica" w:cs="Arial"/>
          <w:b/>
        </w:rPr>
        <w:t xml:space="preserve">ide event on Legal Capacity </w:t>
      </w:r>
      <w:proofErr w:type="spellStart"/>
      <w:r>
        <w:rPr>
          <w:rFonts w:ascii="Helvetica" w:hAnsi="Helvetica" w:cs="Arial"/>
          <w:b/>
        </w:rPr>
        <w:t>organised</w:t>
      </w:r>
      <w:proofErr w:type="spellEnd"/>
      <w:r>
        <w:rPr>
          <w:rFonts w:ascii="Helvetica" w:hAnsi="Helvetica" w:cs="Arial"/>
          <w:b/>
        </w:rPr>
        <w:t xml:space="preserve"> by the </w:t>
      </w:r>
    </w:p>
    <w:p w:rsidR="00ED1913" w:rsidRPr="00ED1913" w:rsidRDefault="00ED1913" w:rsidP="00ED1913">
      <w:pPr>
        <w:jc w:val="center"/>
        <w:rPr>
          <w:rFonts w:ascii="Helvetica" w:hAnsi="Helvetica" w:cs="Arial"/>
          <w:b/>
        </w:rPr>
      </w:pPr>
      <w:r>
        <w:rPr>
          <w:rFonts w:ascii="Helvetica" w:hAnsi="Helvetica" w:cs="Arial"/>
          <w:b/>
        </w:rPr>
        <w:t xml:space="preserve">World Network of Users and Survivors of Psychiatry </w:t>
      </w:r>
    </w:p>
    <w:p w:rsidR="00ED1913" w:rsidRDefault="00ED1913" w:rsidP="00EE41A1">
      <w:pPr>
        <w:jc w:val="center"/>
        <w:rPr>
          <w:rFonts w:ascii="Helvetica" w:hAnsi="Helvetica" w:cs="Arial"/>
        </w:rPr>
      </w:pPr>
      <w:r>
        <w:rPr>
          <w:rFonts w:ascii="Helvetica" w:hAnsi="Helvetica" w:cs="Arial"/>
        </w:rPr>
        <w:t>11</w:t>
      </w:r>
      <w:r w:rsidRPr="00ED1913">
        <w:rPr>
          <w:rFonts w:ascii="Helvetica" w:hAnsi="Helvetica" w:cs="Arial"/>
          <w:vertAlign w:val="superscript"/>
        </w:rPr>
        <w:t>th</w:t>
      </w:r>
      <w:r>
        <w:rPr>
          <w:rFonts w:ascii="Helvetica" w:hAnsi="Helvetica" w:cs="Arial"/>
        </w:rPr>
        <w:t xml:space="preserve"> session of the CRPD Committee</w:t>
      </w:r>
    </w:p>
    <w:p w:rsidR="003B0D58" w:rsidRPr="00EE41A1" w:rsidRDefault="00ED1913" w:rsidP="00EE41A1">
      <w:pPr>
        <w:jc w:val="center"/>
        <w:rPr>
          <w:rFonts w:ascii="Helvetica" w:hAnsi="Helvetica" w:cs="Arial"/>
        </w:rPr>
      </w:pPr>
      <w:r>
        <w:rPr>
          <w:rFonts w:ascii="Helvetica" w:hAnsi="Helvetica" w:cs="Arial"/>
        </w:rPr>
        <w:t>9 – 10am, 8</w:t>
      </w:r>
      <w:r w:rsidRPr="00EE41A1">
        <w:rPr>
          <w:rFonts w:ascii="Helvetica" w:hAnsi="Helvetica" w:cs="Arial"/>
          <w:vertAlign w:val="superscript"/>
        </w:rPr>
        <w:t xml:space="preserve"> </w:t>
      </w:r>
      <w:r w:rsidRPr="00EE41A1">
        <w:rPr>
          <w:rFonts w:ascii="Helvetica" w:hAnsi="Helvetica" w:cs="Arial"/>
        </w:rPr>
        <w:t>April 2014</w:t>
      </w:r>
    </w:p>
    <w:p w:rsidR="00692ACD" w:rsidRDefault="00692ACD" w:rsidP="00EE41A1">
      <w:pPr>
        <w:jc w:val="both"/>
        <w:rPr>
          <w:rFonts w:ascii="Helvetica" w:hAnsi="Helvetica" w:cs="Arial"/>
        </w:rPr>
      </w:pPr>
    </w:p>
    <w:p w:rsidR="003B0D58" w:rsidRPr="00EE41A1" w:rsidRDefault="003B0D58" w:rsidP="00EE41A1">
      <w:pPr>
        <w:jc w:val="both"/>
        <w:rPr>
          <w:rFonts w:ascii="Helvetica" w:hAnsi="Helvetica" w:cs="Arial"/>
        </w:rPr>
      </w:pPr>
    </w:p>
    <w:p w:rsidR="003B0D58" w:rsidRPr="00692ACD" w:rsidRDefault="003B0D58" w:rsidP="00EE41A1">
      <w:pPr>
        <w:tabs>
          <w:tab w:val="left" w:pos="1843"/>
        </w:tabs>
        <w:ind w:left="1840" w:hanging="1840"/>
        <w:jc w:val="both"/>
        <w:rPr>
          <w:rFonts w:ascii="Arial" w:hAnsi="Arial" w:cs="Arial"/>
          <w:sz w:val="22"/>
        </w:rPr>
      </w:pPr>
      <w:r w:rsidRPr="00692ACD">
        <w:rPr>
          <w:rFonts w:ascii="Arial" w:hAnsi="Arial" w:cs="Arial"/>
          <w:sz w:val="22"/>
        </w:rPr>
        <w:t xml:space="preserve">Chair: </w:t>
      </w:r>
      <w:r w:rsidRPr="00692ACD">
        <w:rPr>
          <w:rFonts w:ascii="Arial" w:hAnsi="Arial" w:cs="Arial"/>
          <w:sz w:val="22"/>
        </w:rPr>
        <w:tab/>
      </w:r>
      <w:r w:rsidRPr="00692ACD">
        <w:rPr>
          <w:rFonts w:ascii="Arial" w:hAnsi="Arial" w:cs="Arial"/>
          <w:sz w:val="22"/>
        </w:rPr>
        <w:tab/>
        <w:t xml:space="preserve">Tina </w:t>
      </w:r>
      <w:proofErr w:type="spellStart"/>
      <w:r w:rsidRPr="00692ACD">
        <w:rPr>
          <w:rFonts w:ascii="Arial" w:hAnsi="Arial" w:cs="Arial"/>
          <w:sz w:val="22"/>
        </w:rPr>
        <w:t>Minkowitz</w:t>
      </w:r>
      <w:proofErr w:type="spellEnd"/>
      <w:r w:rsidRPr="00692ACD">
        <w:rPr>
          <w:rFonts w:ascii="Arial" w:hAnsi="Arial" w:cs="Arial"/>
          <w:sz w:val="22"/>
        </w:rPr>
        <w:t>, World Network of Users and Survivors of Psychiatry</w:t>
      </w:r>
    </w:p>
    <w:p w:rsidR="003B0D58" w:rsidRPr="00692ACD" w:rsidRDefault="003B0D58" w:rsidP="00EE41A1">
      <w:pPr>
        <w:tabs>
          <w:tab w:val="left" w:pos="1843"/>
        </w:tabs>
        <w:jc w:val="both"/>
        <w:rPr>
          <w:rFonts w:ascii="Arial" w:hAnsi="Arial" w:cs="Arial"/>
          <w:sz w:val="22"/>
        </w:rPr>
      </w:pPr>
      <w:r w:rsidRPr="00692ACD">
        <w:rPr>
          <w:rFonts w:ascii="Arial" w:hAnsi="Arial" w:cs="Arial"/>
          <w:sz w:val="22"/>
        </w:rPr>
        <w:t xml:space="preserve">Speakers: </w:t>
      </w:r>
      <w:r w:rsidRPr="00692ACD">
        <w:rPr>
          <w:rFonts w:ascii="Arial" w:hAnsi="Arial" w:cs="Arial"/>
          <w:sz w:val="22"/>
        </w:rPr>
        <w:tab/>
        <w:t xml:space="preserve">Tina </w:t>
      </w:r>
      <w:proofErr w:type="spellStart"/>
      <w:r w:rsidRPr="00692ACD">
        <w:rPr>
          <w:rFonts w:ascii="Arial" w:hAnsi="Arial" w:cs="Arial"/>
          <w:sz w:val="22"/>
        </w:rPr>
        <w:t>Minkowitz</w:t>
      </w:r>
      <w:proofErr w:type="spellEnd"/>
      <w:r w:rsidRPr="00692ACD">
        <w:rPr>
          <w:rFonts w:ascii="Arial" w:hAnsi="Arial" w:cs="Arial"/>
          <w:sz w:val="22"/>
        </w:rPr>
        <w:t xml:space="preserve"> </w:t>
      </w:r>
    </w:p>
    <w:p w:rsidR="003B0D58" w:rsidRPr="00692ACD" w:rsidRDefault="003B0D58" w:rsidP="00EE41A1">
      <w:pPr>
        <w:tabs>
          <w:tab w:val="left" w:pos="1843"/>
        </w:tabs>
        <w:jc w:val="both"/>
        <w:rPr>
          <w:rFonts w:ascii="Arial" w:hAnsi="Arial" w:cs="Arial"/>
          <w:sz w:val="22"/>
        </w:rPr>
      </w:pPr>
      <w:r w:rsidRPr="00692ACD">
        <w:rPr>
          <w:rFonts w:ascii="Arial" w:hAnsi="Arial" w:cs="Arial"/>
          <w:sz w:val="22"/>
        </w:rPr>
        <w:tab/>
        <w:t xml:space="preserve">Alberto Vasquez </w:t>
      </w:r>
    </w:p>
    <w:p w:rsidR="003B0D58" w:rsidRPr="00EE41A1" w:rsidRDefault="003B0D58" w:rsidP="00EE41A1">
      <w:pPr>
        <w:rPr>
          <w:rFonts w:ascii="Helvetica" w:hAnsi="Helvetica" w:cs="Arial"/>
        </w:rPr>
      </w:pPr>
    </w:p>
    <w:p w:rsidR="003B0D58" w:rsidRPr="00ED1913" w:rsidRDefault="003B0D58" w:rsidP="00EE41A1">
      <w:pPr>
        <w:jc w:val="both"/>
        <w:rPr>
          <w:rFonts w:ascii="Arial" w:hAnsi="Arial" w:cs="Arial"/>
          <w:sz w:val="22"/>
        </w:rPr>
      </w:pPr>
    </w:p>
    <w:p w:rsidR="004E6905" w:rsidRPr="00ED1913" w:rsidRDefault="00ED1913" w:rsidP="00EE41A1">
      <w:pPr>
        <w:jc w:val="both"/>
        <w:rPr>
          <w:rFonts w:ascii="Arial" w:hAnsi="Arial" w:cs="Arial"/>
          <w:sz w:val="22"/>
        </w:rPr>
      </w:pPr>
      <w:r w:rsidRPr="00ED1913">
        <w:rPr>
          <w:rFonts w:ascii="Arial" w:hAnsi="Arial" w:cs="Arial"/>
          <w:sz w:val="22"/>
        </w:rPr>
        <w:t>On 8 April 2014, a side event on legal c</w:t>
      </w:r>
      <w:r w:rsidR="00A02938" w:rsidRPr="00ED1913">
        <w:rPr>
          <w:rFonts w:ascii="Arial" w:hAnsi="Arial" w:cs="Arial"/>
          <w:sz w:val="22"/>
        </w:rPr>
        <w:t>apacity was held during the 11</w:t>
      </w:r>
      <w:r w:rsidR="00A02938" w:rsidRPr="00ED1913">
        <w:rPr>
          <w:rFonts w:ascii="Arial" w:hAnsi="Arial" w:cs="Arial"/>
          <w:sz w:val="22"/>
          <w:vertAlign w:val="superscript"/>
        </w:rPr>
        <w:t>th</w:t>
      </w:r>
      <w:r w:rsidR="00A02938" w:rsidRPr="00ED1913">
        <w:rPr>
          <w:rFonts w:ascii="Arial" w:hAnsi="Arial" w:cs="Arial"/>
          <w:sz w:val="22"/>
        </w:rPr>
        <w:t xml:space="preserve"> session of the Committee on the Rights of Persons with Disabilities.</w:t>
      </w:r>
      <w:r w:rsidR="00692ACD" w:rsidRPr="00387A8F">
        <w:rPr>
          <w:rStyle w:val="Marquenotebasdepage"/>
          <w:rFonts w:ascii="Arial" w:hAnsi="Arial"/>
          <w:b/>
          <w:lang w:val="en-GB"/>
        </w:rPr>
        <w:footnoteReference w:customMarkFollows="1" w:id="1"/>
        <w:t>*</w:t>
      </w:r>
      <w:r w:rsidR="00A02938" w:rsidRPr="00ED1913">
        <w:rPr>
          <w:rFonts w:ascii="Arial" w:hAnsi="Arial" w:cs="Arial"/>
          <w:sz w:val="22"/>
        </w:rPr>
        <w:t xml:space="preserve"> </w:t>
      </w:r>
    </w:p>
    <w:p w:rsidR="004E6905" w:rsidRPr="00ED1913" w:rsidRDefault="004E6905" w:rsidP="00EE41A1">
      <w:pPr>
        <w:jc w:val="both"/>
        <w:rPr>
          <w:rFonts w:ascii="Arial" w:hAnsi="Arial" w:cs="Arial"/>
          <w:sz w:val="22"/>
        </w:rPr>
      </w:pPr>
    </w:p>
    <w:p w:rsidR="00D20E2A" w:rsidRPr="00ED1913" w:rsidRDefault="00A02938" w:rsidP="00EE41A1">
      <w:pPr>
        <w:jc w:val="both"/>
        <w:rPr>
          <w:rFonts w:ascii="Arial" w:hAnsi="Arial" w:cs="Arial"/>
          <w:sz w:val="22"/>
          <w:lang w:val="en-GB"/>
        </w:rPr>
      </w:pPr>
      <w:r w:rsidRPr="00ED1913">
        <w:rPr>
          <w:rFonts w:ascii="Arial" w:hAnsi="Arial" w:cs="Arial"/>
          <w:sz w:val="22"/>
          <w:u w:val="single"/>
        </w:rPr>
        <w:t xml:space="preserve">Tina </w:t>
      </w:r>
      <w:proofErr w:type="spellStart"/>
      <w:r w:rsidRPr="00ED1913">
        <w:rPr>
          <w:rFonts w:ascii="Arial" w:hAnsi="Arial" w:cs="Arial"/>
          <w:sz w:val="22"/>
          <w:u w:val="single"/>
        </w:rPr>
        <w:t>Minkowitz</w:t>
      </w:r>
      <w:proofErr w:type="spellEnd"/>
      <w:r w:rsidRPr="00ED1913">
        <w:rPr>
          <w:rFonts w:ascii="Arial" w:hAnsi="Arial" w:cs="Arial"/>
          <w:sz w:val="22"/>
          <w:u w:val="single"/>
        </w:rPr>
        <w:t xml:space="preserve"> from the World Network of Users and Survivors of Psychiatry</w:t>
      </w:r>
      <w:r w:rsidR="00F26547" w:rsidRPr="00ED1913">
        <w:rPr>
          <w:rFonts w:ascii="Arial" w:hAnsi="Arial" w:cs="Arial"/>
          <w:sz w:val="22"/>
          <w:u w:val="single"/>
        </w:rPr>
        <w:t xml:space="preserve"> (WNUSP)</w:t>
      </w:r>
      <w:r w:rsidRPr="00ED1913">
        <w:rPr>
          <w:rFonts w:ascii="Arial" w:hAnsi="Arial" w:cs="Arial"/>
          <w:sz w:val="22"/>
        </w:rPr>
        <w:t xml:space="preserve"> op</w:t>
      </w:r>
      <w:r w:rsidR="00D20E2A" w:rsidRPr="00ED1913">
        <w:rPr>
          <w:rFonts w:ascii="Arial" w:hAnsi="Arial" w:cs="Arial"/>
          <w:sz w:val="22"/>
        </w:rPr>
        <w:t xml:space="preserve">ened the floor with her </w:t>
      </w:r>
      <w:r w:rsidR="004E6905" w:rsidRPr="00ED1913">
        <w:rPr>
          <w:rFonts w:ascii="Arial" w:hAnsi="Arial" w:cs="Arial"/>
          <w:sz w:val="22"/>
        </w:rPr>
        <w:t xml:space="preserve">statement. </w:t>
      </w:r>
      <w:r w:rsidR="00A75565" w:rsidRPr="00ED1913">
        <w:rPr>
          <w:rFonts w:ascii="Arial" w:hAnsi="Arial" w:cs="Arial"/>
          <w:sz w:val="22"/>
        </w:rPr>
        <w:t xml:space="preserve">She first expressed her satisfaction to see that the General Comments approach </w:t>
      </w:r>
      <w:r w:rsidR="00CD3C1E">
        <w:rPr>
          <w:rFonts w:ascii="Arial" w:hAnsi="Arial" w:cs="Arial"/>
          <w:sz w:val="22"/>
        </w:rPr>
        <w:t>legal c</w:t>
      </w:r>
      <w:r w:rsidR="00A75565" w:rsidRPr="00ED1913">
        <w:rPr>
          <w:rFonts w:ascii="Arial" w:hAnsi="Arial" w:cs="Arial"/>
          <w:sz w:val="22"/>
        </w:rPr>
        <w:t>apacity from an equality approach.</w:t>
      </w:r>
      <w:r w:rsidR="00CD3C1E">
        <w:rPr>
          <w:rFonts w:ascii="Arial" w:hAnsi="Arial" w:cs="Arial"/>
          <w:sz w:val="22"/>
        </w:rPr>
        <w:t xml:space="preserve"> </w:t>
      </w:r>
      <w:r w:rsidR="00A75565" w:rsidRPr="00ED1913">
        <w:rPr>
          <w:rFonts w:ascii="Arial" w:hAnsi="Arial" w:cs="Arial"/>
          <w:sz w:val="22"/>
        </w:rPr>
        <w:t xml:space="preserve"> She then discussed different points; first, the importance of promoting awareness of legal capacity in everyday life, </w:t>
      </w:r>
      <w:r w:rsidR="00D32F17" w:rsidRPr="00ED1913">
        <w:rPr>
          <w:rFonts w:ascii="Arial" w:hAnsi="Arial" w:cs="Arial"/>
          <w:sz w:val="22"/>
        </w:rPr>
        <w:t>that need</w:t>
      </w:r>
      <w:r w:rsidR="00CD3C1E">
        <w:rPr>
          <w:rFonts w:ascii="Arial" w:hAnsi="Arial" w:cs="Arial"/>
          <w:sz w:val="22"/>
        </w:rPr>
        <w:t>s</w:t>
      </w:r>
      <w:r w:rsidR="00D32F17" w:rsidRPr="00ED1913">
        <w:rPr>
          <w:rFonts w:ascii="Arial" w:hAnsi="Arial" w:cs="Arial"/>
          <w:sz w:val="22"/>
        </w:rPr>
        <w:t xml:space="preserve"> to be distinguished from</w:t>
      </w:r>
      <w:r w:rsidR="00A75565" w:rsidRPr="00ED1913">
        <w:rPr>
          <w:rFonts w:ascii="Arial" w:hAnsi="Arial" w:cs="Arial"/>
          <w:sz w:val="22"/>
        </w:rPr>
        <w:t xml:space="preserve"> mental capacity. </w:t>
      </w:r>
      <w:r w:rsidR="00CD3C1E">
        <w:rPr>
          <w:rFonts w:ascii="Arial" w:hAnsi="Arial" w:cs="Arial"/>
          <w:sz w:val="22"/>
        </w:rPr>
        <w:t xml:space="preserve"> Second</w:t>
      </w:r>
      <w:r w:rsidR="00A75565" w:rsidRPr="00ED1913">
        <w:rPr>
          <w:rFonts w:ascii="Arial" w:hAnsi="Arial" w:cs="Arial"/>
          <w:sz w:val="22"/>
        </w:rPr>
        <w:t>, she advocated for the elimination of legal provisions and legal doctrines that discriminate based on disability with regard to legal capacity, including the provisions on guardians</w:t>
      </w:r>
      <w:r w:rsidR="00CD3C1E">
        <w:rPr>
          <w:rFonts w:ascii="Arial" w:hAnsi="Arial" w:cs="Arial"/>
          <w:sz w:val="22"/>
        </w:rPr>
        <w:t>hip, voting rights, etc. Third</w:t>
      </w:r>
      <w:r w:rsidR="00A75565" w:rsidRPr="00ED1913">
        <w:rPr>
          <w:rFonts w:ascii="Arial" w:hAnsi="Arial" w:cs="Arial"/>
          <w:sz w:val="22"/>
        </w:rPr>
        <w:t xml:space="preserve">, she pointed out the need to ensure that public and private actors involved in the exercise of legal capacity are prohibited from using a status-based approach to invalidate decisions made by persons with disabilities. </w:t>
      </w:r>
      <w:r w:rsidR="00CD3C1E">
        <w:rPr>
          <w:rFonts w:ascii="Arial" w:hAnsi="Arial" w:cs="Arial"/>
          <w:sz w:val="22"/>
        </w:rPr>
        <w:t>Fourth</w:t>
      </w:r>
      <w:r w:rsidR="00F27EB4" w:rsidRPr="00ED1913">
        <w:rPr>
          <w:rFonts w:ascii="Arial" w:hAnsi="Arial" w:cs="Arial"/>
          <w:sz w:val="22"/>
        </w:rPr>
        <w:t>, establish</w:t>
      </w:r>
      <w:r w:rsidR="00CD3C1E">
        <w:rPr>
          <w:rFonts w:ascii="Arial" w:hAnsi="Arial" w:cs="Arial"/>
          <w:sz w:val="22"/>
        </w:rPr>
        <w:t>ing</w:t>
      </w:r>
      <w:r w:rsidR="00F27EB4" w:rsidRPr="00ED1913">
        <w:rPr>
          <w:rFonts w:ascii="Arial" w:hAnsi="Arial" w:cs="Arial"/>
          <w:sz w:val="22"/>
        </w:rPr>
        <w:t xml:space="preserve"> mechanisms to provide access to formal and informal support and to establish and enforce the duties of supporters. </w:t>
      </w:r>
      <w:r w:rsidR="006A54A4" w:rsidRPr="00ED1913">
        <w:rPr>
          <w:rFonts w:ascii="Arial" w:hAnsi="Arial" w:cs="Arial"/>
          <w:sz w:val="22"/>
        </w:rPr>
        <w:t>Fifth, she pointed out that measure</w:t>
      </w:r>
      <w:r w:rsidR="00CD3C1E">
        <w:rPr>
          <w:rFonts w:ascii="Arial" w:hAnsi="Arial" w:cs="Arial"/>
          <w:sz w:val="22"/>
        </w:rPr>
        <w:t>s</w:t>
      </w:r>
      <w:r w:rsidR="006A54A4" w:rsidRPr="00ED1913">
        <w:rPr>
          <w:rFonts w:ascii="Arial" w:hAnsi="Arial" w:cs="Arial"/>
          <w:sz w:val="22"/>
        </w:rPr>
        <w:t xml:space="preserve"> to prevent abuse and exploitation should not be under the Article 12 but under the framework of the Article 16. Sixth</w:t>
      </w:r>
      <w:r w:rsidR="00F27EB4" w:rsidRPr="00ED1913">
        <w:rPr>
          <w:rFonts w:ascii="Arial" w:hAnsi="Arial" w:cs="Arial"/>
          <w:sz w:val="22"/>
        </w:rPr>
        <w:t>, the support for the exercise of legal capacity should not be directed by health professionals and should not be subject to an assessment by health professional</w:t>
      </w:r>
      <w:r w:rsidR="00CD3C1E">
        <w:rPr>
          <w:rFonts w:ascii="Arial" w:hAnsi="Arial" w:cs="Arial"/>
          <w:sz w:val="22"/>
        </w:rPr>
        <w:t>s. She stressed</w:t>
      </w:r>
      <w:r w:rsidR="00F27EB4" w:rsidRPr="00ED1913">
        <w:rPr>
          <w:rFonts w:ascii="Arial" w:hAnsi="Arial" w:cs="Arial"/>
          <w:sz w:val="22"/>
        </w:rPr>
        <w:t xml:space="preserve"> the importance to move away from the medical and social we</w:t>
      </w:r>
      <w:r w:rsidR="00CD3C1E">
        <w:rPr>
          <w:rFonts w:ascii="Arial" w:hAnsi="Arial" w:cs="Arial"/>
          <w:sz w:val="22"/>
        </w:rPr>
        <w:t xml:space="preserve">lfare models of disability to proceed </w:t>
      </w:r>
      <w:r w:rsidR="00F27EB4" w:rsidRPr="00ED1913">
        <w:rPr>
          <w:rFonts w:ascii="Arial" w:hAnsi="Arial" w:cs="Arial"/>
          <w:sz w:val="22"/>
        </w:rPr>
        <w:t xml:space="preserve">to a human rights and non-discrimination model. </w:t>
      </w:r>
      <w:r w:rsidR="00A577A1" w:rsidRPr="00ED1913">
        <w:rPr>
          <w:rFonts w:ascii="Arial" w:hAnsi="Arial" w:cs="Arial"/>
          <w:sz w:val="22"/>
        </w:rPr>
        <w:t>She further enumerate</w:t>
      </w:r>
      <w:r w:rsidR="00CD3C1E">
        <w:rPr>
          <w:rFonts w:ascii="Arial" w:hAnsi="Arial" w:cs="Arial"/>
          <w:sz w:val="22"/>
        </w:rPr>
        <w:t>d</w:t>
      </w:r>
      <w:r w:rsidR="00A577A1" w:rsidRPr="00ED1913">
        <w:rPr>
          <w:rFonts w:ascii="Arial" w:hAnsi="Arial" w:cs="Arial"/>
          <w:sz w:val="22"/>
        </w:rPr>
        <w:t xml:space="preserve"> some of the </w:t>
      </w:r>
      <w:r w:rsidR="00A577A1" w:rsidRPr="00ED1913">
        <w:rPr>
          <w:rFonts w:ascii="Arial" w:hAnsi="Arial"/>
          <w:sz w:val="22"/>
        </w:rPr>
        <w:t>priority issues reflected in the WNUSP submission</w:t>
      </w:r>
      <w:bookmarkStart w:id="0" w:name="_GoBack"/>
      <w:bookmarkEnd w:id="0"/>
      <w:r w:rsidR="00A577A1" w:rsidRPr="00ED1913">
        <w:rPr>
          <w:rFonts w:ascii="Arial" w:hAnsi="Arial"/>
          <w:sz w:val="22"/>
        </w:rPr>
        <w:t>.</w:t>
      </w:r>
      <w:r w:rsidR="00A577A1" w:rsidRPr="00ED1913">
        <w:rPr>
          <w:rFonts w:ascii="Arial" w:hAnsi="Arial"/>
          <w:b/>
          <w:sz w:val="22"/>
        </w:rPr>
        <w:t xml:space="preserve"> </w:t>
      </w:r>
      <w:r w:rsidR="00CD3C1E">
        <w:rPr>
          <w:rFonts w:ascii="Arial" w:hAnsi="Arial"/>
          <w:b/>
          <w:sz w:val="22"/>
        </w:rPr>
        <w:t xml:space="preserve"> </w:t>
      </w:r>
      <w:r w:rsidR="00F27EB4" w:rsidRPr="00ED1913">
        <w:rPr>
          <w:rFonts w:ascii="Arial" w:hAnsi="Arial" w:cs="Arial"/>
          <w:sz w:val="22"/>
        </w:rPr>
        <w:t xml:space="preserve">She finished her statement by highlighting the fact that the answer is to center persons with disabilities in the legal </w:t>
      </w:r>
      <w:r w:rsidR="00F27EB4" w:rsidRPr="00ED1913">
        <w:rPr>
          <w:rFonts w:ascii="Arial" w:hAnsi="Arial" w:cs="Arial"/>
          <w:sz w:val="22"/>
          <w:lang w:val="en-GB"/>
        </w:rPr>
        <w:t xml:space="preserve">system with full and equal rights and freedoms, and to change the laws and the culture so that discrimination and abuse are no longer tolerated.  </w:t>
      </w:r>
    </w:p>
    <w:p w:rsidR="00A76706" w:rsidRPr="00ED1913" w:rsidRDefault="00A76706" w:rsidP="00EE41A1">
      <w:pPr>
        <w:jc w:val="both"/>
        <w:rPr>
          <w:rFonts w:ascii="Arial" w:hAnsi="Arial" w:cs="Arial"/>
          <w:sz w:val="22"/>
          <w:lang w:val="en-GB"/>
        </w:rPr>
      </w:pPr>
    </w:p>
    <w:p w:rsidR="00AB50C5" w:rsidRDefault="00892886" w:rsidP="00EE41A1">
      <w:pPr>
        <w:jc w:val="both"/>
        <w:rPr>
          <w:rFonts w:ascii="Arial" w:hAnsi="Arial" w:cs="Times New Roman"/>
          <w:sz w:val="22"/>
          <w:lang w:val="en-GB"/>
        </w:rPr>
      </w:pPr>
      <w:r w:rsidRPr="00ED1913">
        <w:rPr>
          <w:rFonts w:ascii="Arial" w:hAnsi="Arial" w:cs="Arial"/>
          <w:sz w:val="22"/>
          <w:u w:val="single"/>
          <w:lang w:val="en-GB"/>
        </w:rPr>
        <w:t xml:space="preserve">Alberto Vasquez a member of the </w:t>
      </w:r>
      <w:r w:rsidR="00B0612E" w:rsidRPr="00ED1913">
        <w:rPr>
          <w:rFonts w:ascii="Arial" w:hAnsi="Arial" w:cs="Arial"/>
          <w:sz w:val="22"/>
          <w:u w:val="single"/>
          <w:lang w:val="en-GB"/>
        </w:rPr>
        <w:t>World Network of Users and Survivors of Psychiatry (WNUSP)</w:t>
      </w:r>
      <w:r w:rsidR="00EE41A1" w:rsidRPr="00ED1913">
        <w:rPr>
          <w:rFonts w:ascii="Arial" w:hAnsi="Arial" w:cs="Arial"/>
          <w:sz w:val="22"/>
          <w:lang w:val="en-GB"/>
        </w:rPr>
        <w:t xml:space="preserve"> opened</w:t>
      </w:r>
      <w:r w:rsidR="00CD3C1E">
        <w:rPr>
          <w:rFonts w:ascii="Arial" w:hAnsi="Arial" w:cs="Arial"/>
          <w:sz w:val="22"/>
          <w:lang w:val="en-GB"/>
        </w:rPr>
        <w:t xml:space="preserve"> his intervention</w:t>
      </w:r>
      <w:r w:rsidR="00EE41A1" w:rsidRPr="00ED1913">
        <w:rPr>
          <w:rFonts w:ascii="Arial" w:hAnsi="Arial" w:cs="Arial"/>
          <w:sz w:val="22"/>
          <w:lang w:val="en-GB"/>
        </w:rPr>
        <w:t xml:space="preserve"> </w:t>
      </w:r>
      <w:r w:rsidR="00CD3C1E">
        <w:rPr>
          <w:rFonts w:ascii="Arial" w:hAnsi="Arial" w:cs="Arial"/>
          <w:sz w:val="22"/>
          <w:lang w:val="en-GB"/>
        </w:rPr>
        <w:t xml:space="preserve">by </w:t>
      </w:r>
      <w:r w:rsidR="00EE41A1" w:rsidRPr="00ED1913">
        <w:rPr>
          <w:rFonts w:ascii="Arial" w:hAnsi="Arial" w:cs="Helvetica"/>
          <w:sz w:val="22"/>
          <w:lang w:val="en-GB"/>
        </w:rPr>
        <w:t>highlighting that</w:t>
      </w:r>
      <w:r w:rsidR="00CD3C1E">
        <w:rPr>
          <w:rFonts w:ascii="Arial" w:hAnsi="Arial" w:cs="Helvetica"/>
          <w:sz w:val="22"/>
          <w:lang w:val="en-GB"/>
        </w:rPr>
        <w:t xml:space="preserve"> legal harmonis</w:t>
      </w:r>
      <w:r w:rsidR="00EE41A1" w:rsidRPr="00ED1913">
        <w:rPr>
          <w:rFonts w:ascii="Arial" w:hAnsi="Arial" w:cs="Helvetica"/>
          <w:sz w:val="22"/>
          <w:lang w:val="en-GB"/>
        </w:rPr>
        <w:t xml:space="preserve">ation is a fundamental aspect of the implementation of Article 12. He mentions that thanks to the efforts of civil society, </w:t>
      </w:r>
      <w:r w:rsidR="00EE41A1" w:rsidRPr="00ED1913">
        <w:rPr>
          <w:rFonts w:ascii="Arial" w:hAnsi="Arial"/>
          <w:sz w:val="22"/>
          <w:lang w:val="en-GB"/>
        </w:rPr>
        <w:t>many countries have started law reform processes for</w:t>
      </w:r>
      <w:r w:rsidR="00EE41A1" w:rsidRPr="00ED1913">
        <w:rPr>
          <w:rFonts w:ascii="Arial" w:hAnsi="Arial"/>
          <w:sz w:val="22"/>
        </w:rPr>
        <w:t xml:space="preserve"> reviewing their guardianship laws and civil </w:t>
      </w:r>
      <w:r w:rsidR="00EE41A1" w:rsidRPr="00ED1913">
        <w:rPr>
          <w:rFonts w:ascii="Arial" w:hAnsi="Arial"/>
          <w:sz w:val="22"/>
          <w:lang w:val="en-GB"/>
        </w:rPr>
        <w:t xml:space="preserve">codes. </w:t>
      </w:r>
      <w:r w:rsidR="00EE41A1" w:rsidRPr="00ED1913">
        <w:rPr>
          <w:rFonts w:ascii="Arial" w:hAnsi="Arial" w:cs="Helvetica"/>
          <w:sz w:val="22"/>
          <w:lang w:val="en-GB"/>
        </w:rPr>
        <w:t>In the case of Peru, the State</w:t>
      </w:r>
      <w:r w:rsidR="00EE41A1" w:rsidRPr="00ED1913">
        <w:rPr>
          <w:rFonts w:ascii="Arial" w:hAnsi="Arial" w:cs="Times New Roman"/>
          <w:sz w:val="22"/>
          <w:lang w:val="en-GB"/>
        </w:rPr>
        <w:t xml:space="preserve"> passed </w:t>
      </w:r>
      <w:r w:rsidR="00EE41A1" w:rsidRPr="00ED1913">
        <w:rPr>
          <w:rFonts w:ascii="Arial" w:hAnsi="Arial" w:cs="Times New Roman"/>
          <w:sz w:val="22"/>
        </w:rPr>
        <w:t xml:space="preserve">a </w:t>
      </w:r>
      <w:r w:rsidR="00EE41A1" w:rsidRPr="00ED1913">
        <w:rPr>
          <w:rFonts w:ascii="Arial" w:hAnsi="Arial" w:cs="Times New Roman"/>
          <w:sz w:val="22"/>
          <w:lang w:val="en-GB"/>
        </w:rPr>
        <w:t xml:space="preserve">new General Disability Act in 2012, </w:t>
      </w:r>
      <w:r w:rsidR="00EE41A1" w:rsidRPr="00ED1913">
        <w:rPr>
          <w:rFonts w:ascii="Arial" w:hAnsi="Arial"/>
          <w:sz w:val="22"/>
        </w:rPr>
        <w:t>which reaffirms that all persons with disabilities have legal capacity, and establishes that the Civil Code must be amended to regulate the access to support systems and reasonable accommodation required for decision-making.</w:t>
      </w:r>
      <w:r w:rsidR="00EE41A1" w:rsidRPr="00ED1913">
        <w:rPr>
          <w:rFonts w:ascii="Arial" w:hAnsi="Arial"/>
          <w:sz w:val="22"/>
          <w:lang w:val="en-GB"/>
        </w:rPr>
        <w:t xml:space="preserve"> T</w:t>
      </w:r>
      <w:r w:rsidR="00EE41A1" w:rsidRPr="00ED1913">
        <w:rPr>
          <w:rFonts w:ascii="Arial" w:hAnsi="Arial" w:cs="Times New Roman"/>
          <w:sz w:val="22"/>
          <w:lang w:val="en-GB"/>
        </w:rPr>
        <w:t xml:space="preserve">herefore, a new act ordered the creation of a Special Committee within the Peruvian </w:t>
      </w:r>
      <w:proofErr w:type="gramStart"/>
      <w:r w:rsidR="00EE41A1" w:rsidRPr="00ED1913">
        <w:rPr>
          <w:rFonts w:ascii="Arial" w:hAnsi="Arial" w:cs="Times New Roman"/>
          <w:sz w:val="22"/>
          <w:lang w:val="en-GB"/>
        </w:rPr>
        <w:t>C</w:t>
      </w:r>
      <w:r w:rsidR="00AB50C5">
        <w:rPr>
          <w:rFonts w:ascii="Arial" w:hAnsi="Arial" w:cs="Times New Roman"/>
          <w:sz w:val="22"/>
          <w:lang w:val="en-GB"/>
        </w:rPr>
        <w:t>ongress</w:t>
      </w:r>
      <w:r w:rsidR="00EE41A1" w:rsidRPr="00ED1913">
        <w:rPr>
          <w:rFonts w:ascii="Arial" w:hAnsi="Arial" w:cs="Times New Roman"/>
          <w:sz w:val="22"/>
          <w:lang w:val="en-GB"/>
        </w:rPr>
        <w:t xml:space="preserve"> which</w:t>
      </w:r>
      <w:proofErr w:type="gramEnd"/>
      <w:r w:rsidR="00EE41A1" w:rsidRPr="00ED1913">
        <w:rPr>
          <w:rFonts w:ascii="Arial" w:hAnsi="Arial" w:cs="Times New Roman"/>
          <w:sz w:val="22"/>
          <w:lang w:val="en-GB"/>
        </w:rPr>
        <w:t xml:space="preserve"> </w:t>
      </w:r>
      <w:r w:rsidR="00AB50C5">
        <w:rPr>
          <w:rFonts w:ascii="Arial" w:hAnsi="Arial" w:cs="Times New Roman"/>
          <w:sz w:val="22"/>
          <w:lang w:val="en-GB"/>
        </w:rPr>
        <w:t>was</w:t>
      </w:r>
      <w:r w:rsidR="00EE41A1" w:rsidRPr="00ED1913">
        <w:rPr>
          <w:rFonts w:ascii="Arial" w:hAnsi="Arial" w:cs="Times New Roman"/>
          <w:sz w:val="22"/>
          <w:lang w:val="en-GB"/>
        </w:rPr>
        <w:t xml:space="preserve"> </w:t>
      </w:r>
      <w:r w:rsidR="00AB50C5">
        <w:rPr>
          <w:rFonts w:ascii="Arial" w:hAnsi="Arial" w:cs="Times New Roman"/>
          <w:sz w:val="22"/>
          <w:lang w:val="en-GB"/>
        </w:rPr>
        <w:t>established</w:t>
      </w:r>
      <w:r w:rsidR="00EE41A1" w:rsidRPr="00ED1913">
        <w:rPr>
          <w:rFonts w:ascii="Arial" w:hAnsi="Arial" w:cs="Times New Roman"/>
          <w:sz w:val="22"/>
          <w:lang w:val="en-GB"/>
        </w:rPr>
        <w:t xml:space="preserve"> earlier this year. The Committee includes representatives from </w:t>
      </w:r>
      <w:proofErr w:type="spellStart"/>
      <w:r w:rsidR="00EE41A1" w:rsidRPr="00ED1913">
        <w:rPr>
          <w:rFonts w:ascii="Arial" w:hAnsi="Arial" w:cs="Times New Roman"/>
          <w:sz w:val="22"/>
          <w:lang w:val="en-GB"/>
        </w:rPr>
        <w:t>DPOs</w:t>
      </w:r>
      <w:proofErr w:type="spellEnd"/>
      <w:r w:rsidR="00EE41A1" w:rsidRPr="00ED1913">
        <w:rPr>
          <w:rFonts w:ascii="Arial" w:hAnsi="Arial" w:cs="Times New Roman"/>
          <w:sz w:val="22"/>
          <w:lang w:val="en-GB"/>
        </w:rPr>
        <w:t xml:space="preserve">. </w:t>
      </w:r>
      <w:r w:rsidR="00AB50C5">
        <w:rPr>
          <w:rFonts w:ascii="Arial" w:hAnsi="Arial" w:cs="Times New Roman"/>
          <w:sz w:val="22"/>
          <w:lang w:val="en-GB"/>
        </w:rPr>
        <w:t xml:space="preserve"> </w:t>
      </w:r>
    </w:p>
    <w:p w:rsidR="00EE41A1" w:rsidRPr="00ED1913" w:rsidRDefault="00EE41A1" w:rsidP="00EE41A1">
      <w:pPr>
        <w:jc w:val="both"/>
        <w:rPr>
          <w:rFonts w:ascii="Arial" w:hAnsi="Arial" w:cs="Times New Roman"/>
          <w:sz w:val="22"/>
          <w:lang w:val="en-GB"/>
        </w:rPr>
      </w:pPr>
      <w:r w:rsidRPr="00ED1913">
        <w:rPr>
          <w:rFonts w:ascii="Arial" w:hAnsi="Arial"/>
          <w:sz w:val="22"/>
        </w:rPr>
        <w:t xml:space="preserve">He stressed the challenges for implementing a </w:t>
      </w:r>
      <w:r w:rsidR="00AB50C5">
        <w:rPr>
          <w:rFonts w:ascii="Arial" w:hAnsi="Arial"/>
          <w:sz w:val="22"/>
        </w:rPr>
        <w:t>successful</w:t>
      </w:r>
      <w:r w:rsidRPr="00ED1913">
        <w:rPr>
          <w:rFonts w:ascii="Arial" w:hAnsi="Arial"/>
          <w:sz w:val="22"/>
        </w:rPr>
        <w:t xml:space="preserve"> reform</w:t>
      </w:r>
      <w:r w:rsidRPr="00ED1913">
        <w:rPr>
          <w:rFonts w:ascii="Arial" w:hAnsi="Arial"/>
          <w:sz w:val="22"/>
          <w:lang w:val="en-GB"/>
        </w:rPr>
        <w:t>.</w:t>
      </w:r>
      <w:r w:rsidRPr="00ED1913">
        <w:rPr>
          <w:rFonts w:ascii="Arial" w:hAnsi="Arial" w:cs="Arial"/>
          <w:sz w:val="22"/>
          <w:lang w:val="en-GB"/>
        </w:rPr>
        <w:t xml:space="preserve"> First</w:t>
      </w:r>
      <w:r w:rsidR="0058775E" w:rsidRPr="00ED1913">
        <w:rPr>
          <w:rFonts w:ascii="Arial" w:hAnsi="Arial" w:cs="Arial"/>
          <w:sz w:val="22"/>
          <w:lang w:val="en-GB"/>
        </w:rPr>
        <w:t xml:space="preserve">, </w:t>
      </w:r>
      <w:r w:rsidRPr="00ED1913">
        <w:rPr>
          <w:rFonts w:ascii="Arial" w:hAnsi="Arial" w:cs="Arial"/>
          <w:sz w:val="22"/>
          <w:lang w:val="en-GB"/>
        </w:rPr>
        <w:t xml:space="preserve">legal capacity </w:t>
      </w:r>
      <w:r w:rsidR="00AB50C5">
        <w:rPr>
          <w:rFonts w:ascii="Arial" w:hAnsi="Arial" w:cs="Arial"/>
          <w:sz w:val="22"/>
          <w:lang w:val="en-GB"/>
        </w:rPr>
        <w:t>is informally denied</w:t>
      </w:r>
      <w:r w:rsidR="0058775E" w:rsidRPr="00ED1913">
        <w:rPr>
          <w:rFonts w:ascii="Arial" w:hAnsi="Arial" w:cs="Arial"/>
          <w:sz w:val="22"/>
          <w:lang w:val="en-GB"/>
        </w:rPr>
        <w:t xml:space="preserve"> </w:t>
      </w:r>
      <w:r w:rsidRPr="00ED1913">
        <w:rPr>
          <w:rFonts w:ascii="Arial" w:hAnsi="Arial" w:cs="Arial"/>
          <w:sz w:val="22"/>
          <w:lang w:val="en-GB"/>
        </w:rPr>
        <w:t>within families and communitie</w:t>
      </w:r>
      <w:r w:rsidR="00AB50C5">
        <w:rPr>
          <w:rFonts w:ascii="Arial" w:hAnsi="Arial" w:cs="Arial"/>
          <w:sz w:val="22"/>
          <w:lang w:val="en-GB"/>
        </w:rPr>
        <w:t>s and</w:t>
      </w:r>
      <w:r w:rsidR="0058775E" w:rsidRPr="00ED1913">
        <w:rPr>
          <w:rFonts w:ascii="Arial" w:hAnsi="Arial" w:cs="Arial"/>
          <w:sz w:val="22"/>
          <w:lang w:val="en-GB"/>
        </w:rPr>
        <w:t xml:space="preserve"> second</w:t>
      </w:r>
      <w:r w:rsidRPr="00ED1913">
        <w:rPr>
          <w:rFonts w:ascii="Arial" w:hAnsi="Arial" w:cs="Arial"/>
          <w:sz w:val="22"/>
          <w:lang w:val="en-GB"/>
        </w:rPr>
        <w:t>, the</w:t>
      </w:r>
      <w:r w:rsidR="0058775E" w:rsidRPr="00ED1913">
        <w:rPr>
          <w:rFonts w:ascii="Arial" w:hAnsi="Arial" w:cs="Arial"/>
          <w:sz w:val="22"/>
          <w:lang w:val="en-GB"/>
        </w:rPr>
        <w:t>re is a</w:t>
      </w:r>
      <w:r w:rsidRPr="00ED1913">
        <w:rPr>
          <w:rFonts w:ascii="Arial" w:hAnsi="Arial" w:cs="Times New Roman"/>
          <w:sz w:val="22"/>
          <w:lang w:val="en-GB"/>
        </w:rPr>
        <w:t xml:space="preserve"> </w:t>
      </w:r>
      <w:r w:rsidRPr="00ED1913">
        <w:rPr>
          <w:rFonts w:ascii="Arial" w:hAnsi="Arial"/>
          <w:sz w:val="22"/>
          <w:lang w:val="en-GB"/>
        </w:rPr>
        <w:t xml:space="preserve">lack of specific guidelines on how </w:t>
      </w:r>
      <w:r w:rsidRPr="00ED1913">
        <w:rPr>
          <w:rFonts w:ascii="Arial" w:hAnsi="Arial" w:cs="Times New Roman"/>
          <w:sz w:val="22"/>
          <w:lang w:val="en-GB"/>
        </w:rPr>
        <w:t>to implement a supported decision-making regime</w:t>
      </w:r>
      <w:r w:rsidR="0058775E" w:rsidRPr="00ED1913">
        <w:rPr>
          <w:rFonts w:ascii="Arial" w:hAnsi="Arial" w:cs="Times New Roman"/>
          <w:sz w:val="22"/>
          <w:lang w:val="en-GB"/>
        </w:rPr>
        <w:t xml:space="preserve">. </w:t>
      </w:r>
      <w:r w:rsidR="00AB50C5">
        <w:rPr>
          <w:rFonts w:ascii="Arial" w:hAnsi="Arial" w:cs="Helvetica"/>
          <w:sz w:val="22"/>
          <w:lang w:val="en-GB"/>
        </w:rPr>
        <w:t>In this context, the</w:t>
      </w:r>
      <w:r w:rsidRPr="00ED1913">
        <w:rPr>
          <w:rFonts w:ascii="Arial" w:hAnsi="Arial" w:cs="Helvetica"/>
          <w:sz w:val="22"/>
          <w:lang w:val="en-GB"/>
        </w:rPr>
        <w:t xml:space="preserve"> draft G</w:t>
      </w:r>
      <w:r w:rsidR="00AB50C5">
        <w:rPr>
          <w:rFonts w:ascii="Arial" w:hAnsi="Arial" w:cs="Helvetica"/>
          <w:sz w:val="22"/>
          <w:lang w:val="en-GB"/>
        </w:rPr>
        <w:t xml:space="preserve">eneral </w:t>
      </w:r>
      <w:r w:rsidRPr="00ED1913">
        <w:rPr>
          <w:rFonts w:ascii="Arial" w:hAnsi="Arial" w:cs="Helvetica"/>
          <w:sz w:val="22"/>
          <w:lang w:val="en-GB"/>
        </w:rPr>
        <w:t>C</w:t>
      </w:r>
      <w:r w:rsidR="00AB50C5">
        <w:rPr>
          <w:rFonts w:ascii="Arial" w:hAnsi="Arial" w:cs="Helvetica"/>
          <w:sz w:val="22"/>
          <w:lang w:val="en-GB"/>
        </w:rPr>
        <w:t>omment on Article</w:t>
      </w:r>
      <w:r w:rsidRPr="00ED1913">
        <w:rPr>
          <w:rFonts w:ascii="Arial" w:hAnsi="Arial" w:cs="Helvetica"/>
          <w:sz w:val="22"/>
          <w:lang w:val="en-GB"/>
        </w:rPr>
        <w:t xml:space="preserve"> 12 </w:t>
      </w:r>
      <w:r w:rsidR="00AB50C5">
        <w:rPr>
          <w:rFonts w:ascii="Arial" w:hAnsi="Arial" w:cs="Helvetica"/>
          <w:sz w:val="22"/>
          <w:lang w:val="en-GB"/>
        </w:rPr>
        <w:t xml:space="preserve">is </w:t>
      </w:r>
      <w:r w:rsidRPr="00ED1913">
        <w:rPr>
          <w:rFonts w:ascii="Arial" w:hAnsi="Arial" w:cs="Helvetica"/>
          <w:sz w:val="22"/>
          <w:lang w:val="en-GB"/>
        </w:rPr>
        <w:t xml:space="preserve">welcome. Firstly, it provides continuity and support to the work </w:t>
      </w:r>
      <w:r w:rsidR="0058775E" w:rsidRPr="00ED1913">
        <w:rPr>
          <w:rFonts w:ascii="Arial" w:hAnsi="Arial" w:cs="Helvetica"/>
          <w:sz w:val="22"/>
          <w:lang w:val="en-GB"/>
        </w:rPr>
        <w:t xml:space="preserve">undertaken by many </w:t>
      </w:r>
      <w:proofErr w:type="spellStart"/>
      <w:r w:rsidR="0058775E" w:rsidRPr="00ED1913">
        <w:rPr>
          <w:rFonts w:ascii="Arial" w:hAnsi="Arial" w:cs="Helvetica"/>
          <w:sz w:val="22"/>
          <w:lang w:val="en-GB"/>
        </w:rPr>
        <w:t>DPOs</w:t>
      </w:r>
      <w:proofErr w:type="spellEnd"/>
      <w:r w:rsidRPr="00ED1913">
        <w:rPr>
          <w:rFonts w:ascii="Arial" w:hAnsi="Arial" w:cs="Helvetica"/>
          <w:sz w:val="22"/>
          <w:lang w:val="en-GB"/>
        </w:rPr>
        <w:t xml:space="preserve"> based on the Committee’</w:t>
      </w:r>
      <w:r w:rsidR="00AB50C5">
        <w:rPr>
          <w:rFonts w:ascii="Arial" w:hAnsi="Arial" w:cs="Helvetica"/>
          <w:sz w:val="22"/>
          <w:lang w:val="en-GB"/>
        </w:rPr>
        <w:t>s first Concluding O</w:t>
      </w:r>
      <w:r w:rsidRPr="00ED1913">
        <w:rPr>
          <w:rFonts w:ascii="Arial" w:hAnsi="Arial" w:cs="Helvetica"/>
          <w:sz w:val="22"/>
          <w:lang w:val="en-GB"/>
        </w:rPr>
        <w:t xml:space="preserve">bservations. </w:t>
      </w:r>
      <w:r w:rsidRPr="00ED1913">
        <w:rPr>
          <w:rFonts w:ascii="Arial" w:eastAsia="Times New Roman" w:hAnsi="Arial" w:cs="Arial"/>
          <w:sz w:val="22"/>
          <w:lang w:val="en-GB"/>
        </w:rPr>
        <w:t xml:space="preserve">Secondly, </w:t>
      </w:r>
      <w:r w:rsidR="0058775E" w:rsidRPr="00ED1913">
        <w:rPr>
          <w:rFonts w:ascii="Arial" w:eastAsia="Times New Roman" w:hAnsi="Arial" w:cs="Arial"/>
          <w:sz w:val="22"/>
          <w:lang w:val="en-GB"/>
        </w:rPr>
        <w:t>it</w:t>
      </w:r>
      <w:r w:rsidRPr="00ED1913">
        <w:rPr>
          <w:rFonts w:ascii="Arial" w:eastAsia="Times New Roman" w:hAnsi="Arial" w:cs="Arial"/>
          <w:sz w:val="22"/>
          <w:lang w:val="en-GB"/>
        </w:rPr>
        <w:t xml:space="preserve"> represents an endorsement to countries that have already initiated a law reform process of guardianship regimes, as well as an opportunity to provide them </w:t>
      </w:r>
      <w:r w:rsidR="00AB50C5">
        <w:rPr>
          <w:rFonts w:ascii="Arial" w:eastAsia="Times New Roman" w:hAnsi="Arial" w:cs="Arial"/>
          <w:sz w:val="22"/>
          <w:lang w:val="en-GB"/>
        </w:rPr>
        <w:t xml:space="preserve">with </w:t>
      </w:r>
      <w:r w:rsidRPr="00ED1913">
        <w:rPr>
          <w:rFonts w:ascii="Arial" w:eastAsia="Times New Roman" w:hAnsi="Arial" w:cs="Arial"/>
          <w:sz w:val="22"/>
          <w:lang w:val="en-GB"/>
        </w:rPr>
        <w:t xml:space="preserve">technical orientation and support for addressing the more complex aspects of the paradigm shift. Thirdly, </w:t>
      </w:r>
      <w:r w:rsidR="0058775E" w:rsidRPr="00ED1913">
        <w:rPr>
          <w:rFonts w:ascii="Arial" w:eastAsia="Times New Roman" w:hAnsi="Arial" w:cs="Arial"/>
          <w:sz w:val="22"/>
          <w:lang w:val="en-GB"/>
        </w:rPr>
        <w:t>it</w:t>
      </w:r>
      <w:r w:rsidRPr="00ED1913">
        <w:rPr>
          <w:rFonts w:ascii="Arial" w:eastAsia="Times New Roman" w:hAnsi="Arial" w:cs="Arial"/>
          <w:sz w:val="22"/>
          <w:lang w:val="en-GB"/>
        </w:rPr>
        <w:t xml:space="preserve"> is needed in order to clarify </w:t>
      </w:r>
      <w:r w:rsidRPr="00ED1913">
        <w:rPr>
          <w:rFonts w:ascii="Arial" w:hAnsi="Arial"/>
          <w:sz w:val="22"/>
        </w:rPr>
        <w:t>general obligations derived from the different compone</w:t>
      </w:r>
      <w:r w:rsidR="00AB50C5">
        <w:rPr>
          <w:rFonts w:ascii="Arial" w:hAnsi="Arial"/>
          <w:sz w:val="22"/>
        </w:rPr>
        <w:t>nts of Article 12 and its connect</w:t>
      </w:r>
      <w:r w:rsidRPr="00ED1913">
        <w:rPr>
          <w:rFonts w:ascii="Arial" w:hAnsi="Arial"/>
          <w:sz w:val="22"/>
        </w:rPr>
        <w:t xml:space="preserve">ions with other articles of the CRPD. </w:t>
      </w:r>
      <w:r w:rsidR="00AB50C5">
        <w:rPr>
          <w:rFonts w:ascii="Arial" w:hAnsi="Arial"/>
          <w:sz w:val="22"/>
        </w:rPr>
        <w:t xml:space="preserve"> In this context</w:t>
      </w:r>
      <w:r w:rsidRPr="00ED1913">
        <w:rPr>
          <w:rFonts w:ascii="Arial" w:hAnsi="Arial"/>
          <w:sz w:val="22"/>
        </w:rPr>
        <w:t xml:space="preserve">, </w:t>
      </w:r>
      <w:r w:rsidR="0058775E" w:rsidRPr="00ED1913">
        <w:rPr>
          <w:rFonts w:ascii="Arial" w:hAnsi="Arial"/>
          <w:sz w:val="22"/>
        </w:rPr>
        <w:t>he expressed support to</w:t>
      </w:r>
      <w:r w:rsidRPr="00ED1913">
        <w:rPr>
          <w:rFonts w:ascii="Arial" w:eastAsia="Times New Roman" w:hAnsi="Arial" w:cs="Arial"/>
          <w:sz w:val="22"/>
          <w:lang w:val="en-GB"/>
        </w:rPr>
        <w:t xml:space="preserve"> the approach taken by the Committee on the synergy between Article 12 and 19. </w:t>
      </w:r>
      <w:r w:rsidR="0058775E" w:rsidRPr="00ED1913">
        <w:rPr>
          <w:rFonts w:ascii="Arial" w:eastAsia="Times New Roman" w:hAnsi="Arial" w:cs="Arial"/>
          <w:sz w:val="22"/>
          <w:lang w:val="en-GB"/>
        </w:rPr>
        <w:t>He</w:t>
      </w:r>
      <w:r w:rsidRPr="00ED1913">
        <w:rPr>
          <w:rFonts w:ascii="Arial" w:eastAsia="Times New Roman" w:hAnsi="Arial" w:cs="Arial"/>
          <w:sz w:val="22"/>
          <w:lang w:val="en-GB"/>
        </w:rPr>
        <w:t xml:space="preserve"> </w:t>
      </w:r>
      <w:r w:rsidR="00AB50C5">
        <w:rPr>
          <w:rFonts w:ascii="Arial" w:eastAsia="Times New Roman" w:hAnsi="Arial" w:cs="Arial"/>
          <w:sz w:val="22"/>
          <w:lang w:val="en-GB"/>
        </w:rPr>
        <w:t>expressed his belief</w:t>
      </w:r>
      <w:r w:rsidRPr="00ED1913">
        <w:rPr>
          <w:rFonts w:ascii="Arial" w:eastAsia="Times New Roman" w:hAnsi="Arial" w:cs="Arial"/>
          <w:sz w:val="22"/>
          <w:lang w:val="en-GB"/>
        </w:rPr>
        <w:t xml:space="preserve"> that ‘community-based support regimes’ should be favoured, encouraged and </w:t>
      </w:r>
      <w:r w:rsidR="00AB50C5">
        <w:rPr>
          <w:rFonts w:ascii="Arial" w:eastAsia="Times New Roman" w:hAnsi="Arial" w:cs="Arial"/>
          <w:sz w:val="22"/>
          <w:lang w:val="en-GB"/>
        </w:rPr>
        <w:t>recognis</w:t>
      </w:r>
      <w:r w:rsidR="0058775E" w:rsidRPr="00ED1913">
        <w:rPr>
          <w:rFonts w:ascii="Arial" w:eastAsia="Times New Roman" w:hAnsi="Arial" w:cs="Arial"/>
          <w:sz w:val="22"/>
          <w:lang w:val="en-GB"/>
        </w:rPr>
        <w:t>ed.</w:t>
      </w:r>
    </w:p>
    <w:p w:rsidR="00892886" w:rsidRPr="00ED1913" w:rsidRDefault="00892886" w:rsidP="00EE41A1">
      <w:pPr>
        <w:jc w:val="both"/>
        <w:rPr>
          <w:rFonts w:ascii="Arial" w:hAnsi="Arial" w:cs="Arial"/>
          <w:sz w:val="22"/>
          <w:lang w:val="en-GB"/>
        </w:rPr>
      </w:pPr>
    </w:p>
    <w:p w:rsidR="00D32F17" w:rsidRPr="00ED1913" w:rsidRDefault="00D32F17" w:rsidP="00EE41A1">
      <w:pPr>
        <w:jc w:val="both"/>
        <w:rPr>
          <w:rFonts w:ascii="Arial" w:hAnsi="Arial" w:cs="Arial"/>
          <w:b/>
          <w:sz w:val="22"/>
          <w:lang w:val="en-GB"/>
        </w:rPr>
      </w:pPr>
      <w:r w:rsidRPr="00ED1913">
        <w:rPr>
          <w:rFonts w:ascii="Arial" w:hAnsi="Arial" w:cs="Arial"/>
          <w:b/>
          <w:sz w:val="22"/>
          <w:lang w:val="en-GB"/>
        </w:rPr>
        <w:t>Questions and remarks from the Committee members</w:t>
      </w:r>
    </w:p>
    <w:p w:rsidR="00D32F17" w:rsidRPr="00ED1913" w:rsidRDefault="00D32F17" w:rsidP="00EE41A1">
      <w:pPr>
        <w:jc w:val="both"/>
        <w:rPr>
          <w:rFonts w:ascii="Arial" w:hAnsi="Arial" w:cs="Arial"/>
          <w:sz w:val="22"/>
          <w:lang w:val="en-GB"/>
        </w:rPr>
      </w:pPr>
    </w:p>
    <w:p w:rsidR="00892886" w:rsidRPr="00ED1913" w:rsidRDefault="00892886" w:rsidP="00EE41A1">
      <w:pPr>
        <w:jc w:val="both"/>
        <w:rPr>
          <w:rFonts w:ascii="Arial" w:hAnsi="Arial" w:cs="Arial"/>
          <w:sz w:val="22"/>
        </w:rPr>
      </w:pPr>
      <w:r w:rsidRPr="00ED1913">
        <w:rPr>
          <w:rFonts w:ascii="Arial" w:hAnsi="Arial" w:cs="Arial"/>
          <w:sz w:val="22"/>
          <w:u w:val="single"/>
        </w:rPr>
        <w:t xml:space="preserve">Carlos Rios Espinosa </w:t>
      </w:r>
      <w:r w:rsidRPr="00ED1913">
        <w:rPr>
          <w:rFonts w:ascii="Arial" w:hAnsi="Arial" w:cs="Arial"/>
          <w:sz w:val="22"/>
        </w:rPr>
        <w:t>pointed out the importance to link Article 12 with Article 8 and also that it is important to continue with th</w:t>
      </w:r>
      <w:r w:rsidR="00251B02" w:rsidRPr="00ED1913">
        <w:rPr>
          <w:rFonts w:ascii="Arial" w:hAnsi="Arial" w:cs="Arial"/>
          <w:sz w:val="22"/>
        </w:rPr>
        <w:t>e discussion on legal capacity</w:t>
      </w:r>
      <w:r w:rsidR="0058775E" w:rsidRPr="00ED1913">
        <w:rPr>
          <w:rFonts w:ascii="Arial" w:hAnsi="Arial" w:cs="Arial"/>
          <w:sz w:val="22"/>
        </w:rPr>
        <w:t xml:space="preserve"> in </w:t>
      </w:r>
      <w:r w:rsidR="00AB50C5">
        <w:rPr>
          <w:rFonts w:ascii="Arial" w:hAnsi="Arial" w:cs="Arial"/>
          <w:sz w:val="22"/>
        </w:rPr>
        <w:t xml:space="preserve">the </w:t>
      </w:r>
      <w:r w:rsidR="0058775E" w:rsidRPr="00ED1913">
        <w:rPr>
          <w:rFonts w:ascii="Arial" w:hAnsi="Arial" w:cs="Arial"/>
          <w:sz w:val="22"/>
        </w:rPr>
        <w:t>criminal context</w:t>
      </w:r>
      <w:r w:rsidR="00251B02" w:rsidRPr="00ED1913">
        <w:rPr>
          <w:rFonts w:ascii="Arial" w:hAnsi="Arial" w:cs="Arial"/>
          <w:sz w:val="22"/>
        </w:rPr>
        <w:t xml:space="preserve">, because </w:t>
      </w:r>
      <w:r w:rsidR="0058775E" w:rsidRPr="00ED1913">
        <w:rPr>
          <w:rFonts w:ascii="Arial" w:hAnsi="Arial" w:cs="Arial"/>
          <w:sz w:val="22"/>
        </w:rPr>
        <w:t>it</w:t>
      </w:r>
      <w:r w:rsidR="00251B02" w:rsidRPr="00ED1913">
        <w:rPr>
          <w:rFonts w:ascii="Arial" w:hAnsi="Arial" w:cs="Arial"/>
          <w:sz w:val="22"/>
        </w:rPr>
        <w:t xml:space="preserve"> is very complex and has not been implemented in all countries in all its scope</w:t>
      </w:r>
      <w:r w:rsidR="0058775E" w:rsidRPr="00ED1913">
        <w:rPr>
          <w:rFonts w:ascii="Arial" w:hAnsi="Arial" w:cs="Arial"/>
          <w:sz w:val="22"/>
        </w:rPr>
        <w:t>.</w:t>
      </w:r>
    </w:p>
    <w:p w:rsidR="00892886" w:rsidRPr="00ED1913" w:rsidRDefault="00892886" w:rsidP="00EE41A1">
      <w:pPr>
        <w:jc w:val="both"/>
        <w:rPr>
          <w:rFonts w:ascii="Arial" w:hAnsi="Arial" w:cs="Arial"/>
          <w:sz w:val="22"/>
        </w:rPr>
      </w:pPr>
    </w:p>
    <w:p w:rsidR="00892886" w:rsidRPr="00ED1913" w:rsidRDefault="00892886" w:rsidP="00EE41A1">
      <w:pPr>
        <w:jc w:val="both"/>
        <w:rPr>
          <w:rFonts w:ascii="Arial" w:hAnsi="Arial" w:cs="Arial"/>
          <w:sz w:val="22"/>
        </w:rPr>
      </w:pPr>
      <w:proofErr w:type="spellStart"/>
      <w:r w:rsidRPr="00ED1913">
        <w:rPr>
          <w:rFonts w:ascii="Arial" w:hAnsi="Arial" w:cs="Arial"/>
          <w:sz w:val="22"/>
          <w:u w:val="single"/>
        </w:rPr>
        <w:t>Theresia</w:t>
      </w:r>
      <w:proofErr w:type="spellEnd"/>
      <w:r w:rsidRPr="00ED1913">
        <w:rPr>
          <w:rFonts w:ascii="Arial" w:hAnsi="Arial" w:cs="Arial"/>
          <w:sz w:val="22"/>
          <w:u w:val="single"/>
        </w:rPr>
        <w:t xml:space="preserve"> </w:t>
      </w:r>
      <w:proofErr w:type="spellStart"/>
      <w:r w:rsidRPr="00ED1913">
        <w:rPr>
          <w:rFonts w:ascii="Arial" w:hAnsi="Arial" w:cs="Arial"/>
          <w:sz w:val="22"/>
          <w:u w:val="single"/>
        </w:rPr>
        <w:t>Deneger</w:t>
      </w:r>
      <w:proofErr w:type="spellEnd"/>
      <w:r w:rsidRPr="00ED1913">
        <w:rPr>
          <w:rFonts w:ascii="Arial" w:hAnsi="Arial" w:cs="Arial"/>
          <w:sz w:val="22"/>
        </w:rPr>
        <w:t xml:space="preserve"> thanked </w:t>
      </w:r>
      <w:r w:rsidR="00AB50C5">
        <w:rPr>
          <w:rFonts w:ascii="Arial" w:hAnsi="Arial" w:cs="Arial"/>
          <w:sz w:val="22"/>
        </w:rPr>
        <w:t xml:space="preserve">the </w:t>
      </w:r>
      <w:r w:rsidRPr="00ED1913">
        <w:rPr>
          <w:rFonts w:ascii="Arial" w:hAnsi="Arial" w:cs="Arial"/>
          <w:sz w:val="22"/>
        </w:rPr>
        <w:t>WNUSP for the submi</w:t>
      </w:r>
      <w:r w:rsidR="0058775E" w:rsidRPr="00ED1913">
        <w:rPr>
          <w:rFonts w:ascii="Arial" w:hAnsi="Arial" w:cs="Arial"/>
          <w:sz w:val="22"/>
        </w:rPr>
        <w:t>ssions to the General Comments, in particular the work carried out by Tina</w:t>
      </w:r>
      <w:r w:rsidR="00AB50C5">
        <w:rPr>
          <w:rFonts w:ascii="Arial" w:hAnsi="Arial" w:cs="Arial"/>
          <w:sz w:val="22"/>
        </w:rPr>
        <w:t xml:space="preserve"> </w:t>
      </w:r>
      <w:proofErr w:type="spellStart"/>
      <w:r w:rsidR="00AB50C5">
        <w:rPr>
          <w:rFonts w:ascii="Arial" w:hAnsi="Arial" w:cs="Arial"/>
          <w:sz w:val="22"/>
        </w:rPr>
        <w:t>Minkowitz</w:t>
      </w:r>
      <w:proofErr w:type="spellEnd"/>
      <w:r w:rsidR="0058775E" w:rsidRPr="00ED1913">
        <w:rPr>
          <w:rFonts w:ascii="Arial" w:hAnsi="Arial" w:cs="Arial"/>
          <w:sz w:val="22"/>
        </w:rPr>
        <w:t>.</w:t>
      </w:r>
    </w:p>
    <w:p w:rsidR="00892886" w:rsidRPr="00ED1913" w:rsidRDefault="00892886" w:rsidP="00EE41A1">
      <w:pPr>
        <w:jc w:val="both"/>
        <w:rPr>
          <w:rFonts w:ascii="Arial" w:hAnsi="Arial" w:cs="Arial"/>
          <w:sz w:val="22"/>
        </w:rPr>
      </w:pPr>
    </w:p>
    <w:p w:rsidR="00892886" w:rsidRPr="00ED1913" w:rsidRDefault="00892886" w:rsidP="00EE41A1">
      <w:pPr>
        <w:jc w:val="both"/>
        <w:rPr>
          <w:rFonts w:ascii="Arial" w:hAnsi="Arial" w:cs="Arial"/>
          <w:sz w:val="22"/>
        </w:rPr>
      </w:pPr>
      <w:r w:rsidRPr="00ED1913">
        <w:rPr>
          <w:rFonts w:ascii="Arial" w:hAnsi="Arial" w:cs="Arial"/>
          <w:sz w:val="22"/>
          <w:u w:val="single"/>
        </w:rPr>
        <w:t>Diane Mulligan</w:t>
      </w:r>
      <w:r w:rsidRPr="00ED1913">
        <w:rPr>
          <w:rFonts w:ascii="Arial" w:hAnsi="Arial" w:cs="Arial"/>
          <w:sz w:val="22"/>
        </w:rPr>
        <w:t xml:space="preserve"> </w:t>
      </w:r>
      <w:r w:rsidR="00251B02" w:rsidRPr="00ED1913">
        <w:rPr>
          <w:rFonts w:ascii="Arial" w:hAnsi="Arial" w:cs="Arial"/>
          <w:sz w:val="22"/>
        </w:rPr>
        <w:t xml:space="preserve">highlighted the need to change the mindset of people in order to implement Article 12. She </w:t>
      </w:r>
      <w:r w:rsidRPr="00ED1913">
        <w:rPr>
          <w:rFonts w:ascii="Arial" w:hAnsi="Arial" w:cs="Arial"/>
          <w:sz w:val="22"/>
        </w:rPr>
        <w:t xml:space="preserve">was </w:t>
      </w:r>
      <w:r w:rsidR="00251B02" w:rsidRPr="00ED1913">
        <w:rPr>
          <w:rFonts w:ascii="Arial" w:hAnsi="Arial" w:cs="Arial"/>
          <w:sz w:val="22"/>
        </w:rPr>
        <w:t xml:space="preserve">also </w:t>
      </w:r>
      <w:r w:rsidRPr="00ED1913">
        <w:rPr>
          <w:rFonts w:ascii="Arial" w:hAnsi="Arial" w:cs="Arial"/>
          <w:sz w:val="22"/>
        </w:rPr>
        <w:t xml:space="preserve">interested to know how they anticipate </w:t>
      </w:r>
      <w:r w:rsidR="00AB50C5">
        <w:rPr>
          <w:rFonts w:ascii="Arial" w:hAnsi="Arial" w:cs="Arial"/>
          <w:sz w:val="22"/>
        </w:rPr>
        <w:t xml:space="preserve">using Article 12 in </w:t>
      </w:r>
      <w:r w:rsidRPr="00ED1913">
        <w:rPr>
          <w:rFonts w:ascii="Arial" w:hAnsi="Arial" w:cs="Arial"/>
          <w:sz w:val="22"/>
        </w:rPr>
        <w:t>daily life in social setting</w:t>
      </w:r>
      <w:r w:rsidR="00AB50C5">
        <w:rPr>
          <w:rFonts w:ascii="Arial" w:hAnsi="Arial" w:cs="Arial"/>
          <w:sz w:val="22"/>
        </w:rPr>
        <w:t>s</w:t>
      </w:r>
      <w:r w:rsidRPr="00ED1913">
        <w:rPr>
          <w:rFonts w:ascii="Arial" w:hAnsi="Arial" w:cs="Arial"/>
          <w:sz w:val="22"/>
        </w:rPr>
        <w:t xml:space="preserve"> and awareness raising. She a</w:t>
      </w:r>
      <w:r w:rsidR="00AB50C5">
        <w:rPr>
          <w:rFonts w:ascii="Arial" w:hAnsi="Arial" w:cs="Arial"/>
          <w:sz w:val="22"/>
        </w:rPr>
        <w:t>lso asked how we could use A</w:t>
      </w:r>
      <w:r w:rsidRPr="00ED1913">
        <w:rPr>
          <w:rFonts w:ascii="Arial" w:hAnsi="Arial" w:cs="Arial"/>
          <w:sz w:val="22"/>
        </w:rPr>
        <w:t>rticle 12 to reach those voiceless people who are not users and survivors of psychiatry because</w:t>
      </w:r>
      <w:r w:rsidR="00AB50C5">
        <w:rPr>
          <w:rFonts w:ascii="Arial" w:hAnsi="Arial" w:cs="Arial"/>
          <w:sz w:val="22"/>
        </w:rPr>
        <w:t xml:space="preserve"> they</w:t>
      </w:r>
      <w:r w:rsidRPr="00ED1913">
        <w:rPr>
          <w:rFonts w:ascii="Arial" w:hAnsi="Arial" w:cs="Arial"/>
          <w:sz w:val="22"/>
        </w:rPr>
        <w:t xml:space="preserve"> do not have access to these services. </w:t>
      </w:r>
    </w:p>
    <w:p w:rsidR="00892886" w:rsidRPr="00ED1913" w:rsidRDefault="00892886" w:rsidP="00EE41A1">
      <w:pPr>
        <w:jc w:val="both"/>
        <w:rPr>
          <w:rFonts w:ascii="Arial" w:hAnsi="Arial" w:cs="Arial"/>
          <w:sz w:val="22"/>
        </w:rPr>
      </w:pPr>
    </w:p>
    <w:p w:rsidR="00892886" w:rsidRPr="00ED1913" w:rsidRDefault="00892886" w:rsidP="00EE41A1">
      <w:pPr>
        <w:jc w:val="both"/>
        <w:rPr>
          <w:rFonts w:ascii="Arial" w:hAnsi="Arial" w:cs="Arial"/>
          <w:sz w:val="22"/>
        </w:rPr>
      </w:pPr>
      <w:proofErr w:type="spellStart"/>
      <w:r w:rsidRPr="00ED1913">
        <w:rPr>
          <w:rFonts w:ascii="Arial" w:hAnsi="Arial" w:cs="Arial"/>
          <w:sz w:val="22"/>
          <w:u w:val="single"/>
        </w:rPr>
        <w:t>Edah</w:t>
      </w:r>
      <w:proofErr w:type="spellEnd"/>
      <w:r w:rsidRPr="00ED1913">
        <w:rPr>
          <w:rFonts w:ascii="Arial" w:hAnsi="Arial" w:cs="Arial"/>
          <w:sz w:val="22"/>
          <w:u w:val="single"/>
        </w:rPr>
        <w:t xml:space="preserve"> </w:t>
      </w:r>
      <w:proofErr w:type="spellStart"/>
      <w:r w:rsidRPr="00ED1913">
        <w:rPr>
          <w:rFonts w:ascii="Arial" w:hAnsi="Arial" w:cs="Arial"/>
          <w:sz w:val="22"/>
          <w:u w:val="single"/>
        </w:rPr>
        <w:t>Maina</w:t>
      </w:r>
      <w:proofErr w:type="spellEnd"/>
      <w:r w:rsidRPr="00ED1913">
        <w:rPr>
          <w:rFonts w:ascii="Arial" w:hAnsi="Arial" w:cs="Arial"/>
          <w:sz w:val="22"/>
        </w:rPr>
        <w:t xml:space="preserve"> </w:t>
      </w:r>
      <w:r w:rsidR="004F18CF" w:rsidRPr="00ED1913">
        <w:rPr>
          <w:rFonts w:ascii="Arial" w:hAnsi="Arial" w:cs="Arial"/>
          <w:sz w:val="22"/>
        </w:rPr>
        <w:t xml:space="preserve">pointed out that when we talk about these violations, it is in the rehabilitation institutions of persons with psychosocial disabilities and adults with intellectual </w:t>
      </w:r>
      <w:r w:rsidR="00AB50C5">
        <w:rPr>
          <w:rFonts w:ascii="Arial" w:hAnsi="Arial" w:cs="Arial"/>
          <w:sz w:val="22"/>
        </w:rPr>
        <w:t xml:space="preserve">disabilities </w:t>
      </w:r>
      <w:r w:rsidR="004F18CF" w:rsidRPr="00ED1913">
        <w:rPr>
          <w:rFonts w:ascii="Arial" w:hAnsi="Arial" w:cs="Arial"/>
          <w:sz w:val="22"/>
        </w:rPr>
        <w:t>w</w:t>
      </w:r>
      <w:r w:rsidR="00AB50C5">
        <w:rPr>
          <w:rFonts w:ascii="Arial" w:hAnsi="Arial" w:cs="Arial"/>
          <w:sz w:val="22"/>
        </w:rPr>
        <w:t>h</w:t>
      </w:r>
      <w:r w:rsidR="004F18CF" w:rsidRPr="00ED1913">
        <w:rPr>
          <w:rFonts w:ascii="Arial" w:hAnsi="Arial" w:cs="Arial"/>
          <w:sz w:val="22"/>
        </w:rPr>
        <w:t>ere the violations take place.</w:t>
      </w:r>
      <w:r w:rsidR="00AB50C5">
        <w:rPr>
          <w:rFonts w:ascii="Arial" w:hAnsi="Arial" w:cs="Arial"/>
          <w:sz w:val="22"/>
        </w:rPr>
        <w:t xml:space="preserve"> </w:t>
      </w:r>
      <w:r w:rsidR="004F18CF" w:rsidRPr="00ED1913">
        <w:rPr>
          <w:rFonts w:ascii="Arial" w:hAnsi="Arial" w:cs="Arial"/>
          <w:sz w:val="22"/>
        </w:rPr>
        <w:t xml:space="preserve"> She thus </w:t>
      </w:r>
      <w:r w:rsidR="00AB50C5">
        <w:rPr>
          <w:rFonts w:ascii="Arial" w:hAnsi="Arial" w:cs="Arial"/>
          <w:sz w:val="22"/>
        </w:rPr>
        <w:t>asked to what extent</w:t>
      </w:r>
      <w:r w:rsidRPr="00ED1913">
        <w:rPr>
          <w:rFonts w:ascii="Arial" w:hAnsi="Arial" w:cs="Arial"/>
          <w:sz w:val="22"/>
        </w:rPr>
        <w:t xml:space="preserve"> they are planning to include that particular group</w:t>
      </w:r>
      <w:r w:rsidR="004F18CF" w:rsidRPr="00ED1913">
        <w:rPr>
          <w:rFonts w:ascii="Arial" w:hAnsi="Arial" w:cs="Arial"/>
          <w:sz w:val="22"/>
        </w:rPr>
        <w:t xml:space="preserve"> of people on board. She also asked </w:t>
      </w:r>
      <w:r w:rsidRPr="00ED1913">
        <w:rPr>
          <w:rFonts w:ascii="Arial" w:hAnsi="Arial" w:cs="Arial"/>
          <w:sz w:val="22"/>
        </w:rPr>
        <w:t>if they were targeting p</w:t>
      </w:r>
      <w:r w:rsidR="004F18CF" w:rsidRPr="00ED1913">
        <w:rPr>
          <w:rFonts w:ascii="Arial" w:hAnsi="Arial" w:cs="Arial"/>
          <w:sz w:val="22"/>
        </w:rPr>
        <w:t xml:space="preserve">eople in universities, because this is the place where people have money to invest in different approach? </w:t>
      </w:r>
    </w:p>
    <w:p w:rsidR="00892886" w:rsidRPr="00ED1913" w:rsidRDefault="00892886" w:rsidP="00EE41A1">
      <w:pPr>
        <w:jc w:val="both"/>
        <w:rPr>
          <w:rFonts w:ascii="Arial" w:hAnsi="Arial" w:cs="Arial"/>
          <w:sz w:val="22"/>
        </w:rPr>
      </w:pPr>
    </w:p>
    <w:p w:rsidR="004161CA" w:rsidRPr="00ED1913" w:rsidRDefault="00ED1913" w:rsidP="00EE41A1">
      <w:pPr>
        <w:jc w:val="both"/>
        <w:rPr>
          <w:rFonts w:ascii="Arial" w:hAnsi="Arial" w:cs="Arial"/>
          <w:sz w:val="22"/>
        </w:rPr>
      </w:pPr>
      <w:proofErr w:type="spellStart"/>
      <w:r w:rsidRPr="00ED1913">
        <w:rPr>
          <w:rFonts w:ascii="Arial" w:hAnsi="Arial" w:cs="Arial"/>
          <w:sz w:val="22"/>
          <w:u w:val="single"/>
        </w:rPr>
        <w:t>Mo</w:t>
      </w:r>
      <w:r w:rsidR="00892886" w:rsidRPr="00ED1913">
        <w:rPr>
          <w:rFonts w:ascii="Arial" w:hAnsi="Arial" w:cs="Arial"/>
          <w:sz w:val="22"/>
          <w:u w:val="single"/>
        </w:rPr>
        <w:t>nthian</w:t>
      </w:r>
      <w:proofErr w:type="spellEnd"/>
      <w:r w:rsidR="00892886" w:rsidRPr="00ED1913">
        <w:rPr>
          <w:rFonts w:ascii="Arial" w:hAnsi="Arial" w:cs="Arial"/>
          <w:sz w:val="22"/>
          <w:u w:val="single"/>
        </w:rPr>
        <w:t xml:space="preserve"> </w:t>
      </w:r>
      <w:proofErr w:type="spellStart"/>
      <w:r w:rsidR="00892886" w:rsidRPr="00ED1913">
        <w:rPr>
          <w:rFonts w:ascii="Arial" w:hAnsi="Arial" w:cs="Arial"/>
          <w:sz w:val="22"/>
          <w:u w:val="single"/>
        </w:rPr>
        <w:t>Buntan</w:t>
      </w:r>
      <w:proofErr w:type="spellEnd"/>
      <w:r w:rsidR="00892886" w:rsidRPr="00ED1913">
        <w:rPr>
          <w:rFonts w:ascii="Arial" w:hAnsi="Arial" w:cs="Arial"/>
          <w:sz w:val="22"/>
        </w:rPr>
        <w:t xml:space="preserve"> asked why the measures to saf</w:t>
      </w:r>
      <w:r w:rsidR="00AB50C5">
        <w:rPr>
          <w:rFonts w:ascii="Arial" w:hAnsi="Arial" w:cs="Arial"/>
          <w:sz w:val="22"/>
        </w:rPr>
        <w:t>eguard should be treated under A</w:t>
      </w:r>
      <w:r w:rsidR="00892886" w:rsidRPr="00ED1913">
        <w:rPr>
          <w:rFonts w:ascii="Arial" w:hAnsi="Arial" w:cs="Arial"/>
          <w:sz w:val="22"/>
        </w:rPr>
        <w:t xml:space="preserve">rticle 16 rather than </w:t>
      </w:r>
      <w:r w:rsidR="00AB50C5">
        <w:rPr>
          <w:rFonts w:ascii="Arial" w:hAnsi="Arial" w:cs="Arial"/>
          <w:sz w:val="22"/>
        </w:rPr>
        <w:t xml:space="preserve">Article </w:t>
      </w:r>
      <w:r w:rsidR="00892886" w:rsidRPr="00ED1913">
        <w:rPr>
          <w:rFonts w:ascii="Arial" w:hAnsi="Arial" w:cs="Arial"/>
          <w:sz w:val="22"/>
        </w:rPr>
        <w:t>12 of the Conve</w:t>
      </w:r>
      <w:r w:rsidR="004161CA" w:rsidRPr="00ED1913">
        <w:rPr>
          <w:rFonts w:ascii="Arial" w:hAnsi="Arial" w:cs="Arial"/>
          <w:sz w:val="22"/>
        </w:rPr>
        <w:t>ntion? It appeared to him that</w:t>
      </w:r>
      <w:r w:rsidR="00AB50C5">
        <w:rPr>
          <w:rFonts w:ascii="Arial" w:hAnsi="Arial" w:cs="Arial"/>
          <w:sz w:val="22"/>
        </w:rPr>
        <w:t xml:space="preserve"> the A</w:t>
      </w:r>
      <w:r w:rsidR="00892886" w:rsidRPr="00ED1913">
        <w:rPr>
          <w:rFonts w:ascii="Arial" w:hAnsi="Arial" w:cs="Arial"/>
          <w:sz w:val="22"/>
        </w:rPr>
        <w:t xml:space="preserve">rticle 12 (4) </w:t>
      </w:r>
      <w:r w:rsidR="004161CA" w:rsidRPr="00ED1913">
        <w:rPr>
          <w:rFonts w:ascii="Arial" w:hAnsi="Arial" w:cs="Arial"/>
          <w:sz w:val="22"/>
        </w:rPr>
        <w:t>discusses the measure</w:t>
      </w:r>
      <w:r w:rsidR="00AB50C5">
        <w:rPr>
          <w:rFonts w:ascii="Arial" w:hAnsi="Arial" w:cs="Arial"/>
          <w:sz w:val="22"/>
        </w:rPr>
        <w:t>s to safeguards. In that regard, he would like to ask the p</w:t>
      </w:r>
      <w:r w:rsidR="004161CA" w:rsidRPr="00ED1913">
        <w:rPr>
          <w:rFonts w:ascii="Arial" w:hAnsi="Arial" w:cs="Arial"/>
          <w:sz w:val="22"/>
        </w:rPr>
        <w:t>anelist</w:t>
      </w:r>
      <w:r w:rsidR="00AB50C5">
        <w:rPr>
          <w:rFonts w:ascii="Arial" w:hAnsi="Arial" w:cs="Arial"/>
          <w:sz w:val="22"/>
        </w:rPr>
        <w:t>s</w:t>
      </w:r>
      <w:r w:rsidR="004161CA" w:rsidRPr="00ED1913">
        <w:rPr>
          <w:rFonts w:ascii="Arial" w:hAnsi="Arial" w:cs="Arial"/>
          <w:sz w:val="22"/>
        </w:rPr>
        <w:t xml:space="preserve"> to make a distinction between the Article 12(4) and the Article 16. He additionally asked if there were any good example of </w:t>
      </w:r>
      <w:r w:rsidR="004F18CF" w:rsidRPr="00ED1913">
        <w:rPr>
          <w:rFonts w:ascii="Arial" w:hAnsi="Arial" w:cs="Arial"/>
          <w:sz w:val="22"/>
        </w:rPr>
        <w:t>step-by-step</w:t>
      </w:r>
      <w:r w:rsidR="004161CA" w:rsidRPr="00ED1913">
        <w:rPr>
          <w:rFonts w:ascii="Arial" w:hAnsi="Arial" w:cs="Arial"/>
          <w:sz w:val="22"/>
        </w:rPr>
        <w:t xml:space="preserve"> processes to remove </w:t>
      </w:r>
      <w:r w:rsidR="00AB50C5">
        <w:rPr>
          <w:rFonts w:ascii="Arial" w:hAnsi="Arial" w:cs="Arial"/>
          <w:sz w:val="22"/>
        </w:rPr>
        <w:t xml:space="preserve">the </w:t>
      </w:r>
      <w:r w:rsidR="004161CA" w:rsidRPr="00ED1913">
        <w:rPr>
          <w:rFonts w:ascii="Arial" w:hAnsi="Arial" w:cs="Arial"/>
          <w:sz w:val="22"/>
        </w:rPr>
        <w:t xml:space="preserve">guardianship system? </w:t>
      </w:r>
    </w:p>
    <w:p w:rsidR="004161CA" w:rsidRPr="00ED1913" w:rsidRDefault="004161CA" w:rsidP="00EE41A1">
      <w:pPr>
        <w:jc w:val="both"/>
        <w:rPr>
          <w:rFonts w:ascii="Arial" w:hAnsi="Arial" w:cs="Arial"/>
          <w:sz w:val="22"/>
        </w:rPr>
      </w:pPr>
    </w:p>
    <w:p w:rsidR="00A76706" w:rsidRPr="00ED1913" w:rsidRDefault="00A76706" w:rsidP="00EE41A1">
      <w:pPr>
        <w:jc w:val="both"/>
        <w:rPr>
          <w:rFonts w:ascii="Arial" w:hAnsi="Arial" w:cs="Arial"/>
          <w:sz w:val="22"/>
        </w:rPr>
      </w:pPr>
      <w:r w:rsidRPr="00ED1913">
        <w:rPr>
          <w:rFonts w:ascii="Arial" w:hAnsi="Arial" w:cs="Arial"/>
          <w:sz w:val="22"/>
        </w:rPr>
        <w:t>Alberto Vasquez replied to Diane Mulligan’s question</w:t>
      </w:r>
      <w:r w:rsidR="008F4C09" w:rsidRPr="00ED1913">
        <w:rPr>
          <w:rFonts w:ascii="Arial" w:hAnsi="Arial" w:cs="Arial"/>
          <w:sz w:val="22"/>
        </w:rPr>
        <w:t xml:space="preserve">. He pointed out that there is a lack of interest from the society and the government. He also mentioned a lack of general services, but </w:t>
      </w:r>
      <w:r w:rsidR="00AB50C5">
        <w:rPr>
          <w:rFonts w:ascii="Arial" w:hAnsi="Arial" w:cs="Arial"/>
          <w:sz w:val="22"/>
        </w:rPr>
        <w:t>pointed</w:t>
      </w:r>
      <w:r w:rsidR="0058775E" w:rsidRPr="00ED1913">
        <w:rPr>
          <w:rFonts w:ascii="Arial" w:hAnsi="Arial" w:cs="Arial"/>
          <w:sz w:val="22"/>
        </w:rPr>
        <w:t xml:space="preserve"> out that the problem is more related </w:t>
      </w:r>
      <w:r w:rsidR="00AB50C5">
        <w:rPr>
          <w:rFonts w:ascii="Arial" w:hAnsi="Arial" w:cs="Arial"/>
          <w:sz w:val="22"/>
        </w:rPr>
        <w:t>to social inclusion. He mentioned</w:t>
      </w:r>
      <w:r w:rsidR="0058775E" w:rsidRPr="00ED1913">
        <w:rPr>
          <w:rFonts w:ascii="Arial" w:hAnsi="Arial" w:cs="Arial"/>
          <w:sz w:val="22"/>
        </w:rPr>
        <w:t xml:space="preserve"> </w:t>
      </w:r>
      <w:r w:rsidR="008F4C09" w:rsidRPr="00ED1913">
        <w:rPr>
          <w:rFonts w:ascii="Arial" w:hAnsi="Arial" w:cs="Arial"/>
          <w:sz w:val="22"/>
        </w:rPr>
        <w:t xml:space="preserve">that </w:t>
      </w:r>
      <w:r w:rsidR="0058775E" w:rsidRPr="00ED1913">
        <w:rPr>
          <w:rFonts w:ascii="Arial" w:hAnsi="Arial" w:cs="Arial"/>
          <w:sz w:val="22"/>
        </w:rPr>
        <w:t xml:space="preserve">it </w:t>
      </w:r>
      <w:proofErr w:type="gramStart"/>
      <w:r w:rsidR="0058775E" w:rsidRPr="00ED1913">
        <w:rPr>
          <w:rFonts w:ascii="Arial" w:hAnsi="Arial" w:cs="Arial"/>
          <w:sz w:val="22"/>
        </w:rPr>
        <w:t>can</w:t>
      </w:r>
      <w:proofErr w:type="gramEnd"/>
      <w:r w:rsidR="0058775E" w:rsidRPr="00ED1913">
        <w:rPr>
          <w:rFonts w:ascii="Arial" w:hAnsi="Arial" w:cs="Arial"/>
          <w:sz w:val="22"/>
        </w:rPr>
        <w:t xml:space="preserve"> be seen as an opportunity</w:t>
      </w:r>
      <w:r w:rsidR="008F4C09" w:rsidRPr="00ED1913">
        <w:rPr>
          <w:rFonts w:ascii="Arial" w:hAnsi="Arial" w:cs="Arial"/>
          <w:sz w:val="22"/>
        </w:rPr>
        <w:t xml:space="preserve"> to create new services</w:t>
      </w:r>
      <w:r w:rsidR="0058775E" w:rsidRPr="00ED1913">
        <w:rPr>
          <w:rFonts w:ascii="Arial" w:hAnsi="Arial" w:cs="Arial"/>
          <w:sz w:val="22"/>
        </w:rPr>
        <w:t xml:space="preserve"> under a human rights-based approach</w:t>
      </w:r>
      <w:r w:rsidR="008F4C09" w:rsidRPr="00ED1913">
        <w:rPr>
          <w:rFonts w:ascii="Arial" w:hAnsi="Arial" w:cs="Arial"/>
          <w:sz w:val="22"/>
        </w:rPr>
        <w:t xml:space="preserve">. </w:t>
      </w:r>
    </w:p>
    <w:p w:rsidR="00A76706" w:rsidRPr="00ED1913" w:rsidRDefault="00A76706" w:rsidP="00EE41A1">
      <w:pPr>
        <w:jc w:val="both"/>
        <w:rPr>
          <w:rFonts w:ascii="Arial" w:hAnsi="Arial" w:cs="Arial"/>
          <w:sz w:val="22"/>
        </w:rPr>
      </w:pPr>
    </w:p>
    <w:p w:rsidR="00F96F5B" w:rsidRPr="00ED1913" w:rsidRDefault="00A76706" w:rsidP="00EE41A1">
      <w:pPr>
        <w:jc w:val="both"/>
        <w:rPr>
          <w:rFonts w:ascii="Arial" w:hAnsi="Arial" w:cs="Arial"/>
          <w:sz w:val="22"/>
        </w:rPr>
      </w:pPr>
      <w:r w:rsidRPr="00ED1913">
        <w:rPr>
          <w:rFonts w:ascii="Arial" w:hAnsi="Arial" w:cs="Arial"/>
          <w:sz w:val="22"/>
        </w:rPr>
        <w:t xml:space="preserve">Tina </w:t>
      </w:r>
      <w:proofErr w:type="spellStart"/>
      <w:r w:rsidRPr="00ED1913">
        <w:rPr>
          <w:rFonts w:ascii="Arial" w:hAnsi="Arial" w:cs="Arial"/>
          <w:sz w:val="22"/>
        </w:rPr>
        <w:t>Minkowitz</w:t>
      </w:r>
      <w:proofErr w:type="spellEnd"/>
      <w:r w:rsidRPr="00ED1913">
        <w:rPr>
          <w:rFonts w:ascii="Arial" w:hAnsi="Arial" w:cs="Arial"/>
          <w:sz w:val="22"/>
        </w:rPr>
        <w:t xml:space="preserve"> </w:t>
      </w:r>
      <w:r w:rsidR="00F96F5B" w:rsidRPr="00ED1913">
        <w:rPr>
          <w:rFonts w:ascii="Arial" w:hAnsi="Arial" w:cs="Arial"/>
          <w:sz w:val="22"/>
        </w:rPr>
        <w:t xml:space="preserve">explained that we should see the measure to safeguard under Article 16 when it concerns preventing abuse and exploitation; too often safeguard measures have been seen as a way to prevent and protect persons with disabilities from abuse and exploitation. </w:t>
      </w:r>
    </w:p>
    <w:p w:rsidR="00F96F5B" w:rsidRPr="00ED1913" w:rsidRDefault="00F96F5B" w:rsidP="00EE41A1">
      <w:pPr>
        <w:jc w:val="both"/>
        <w:rPr>
          <w:rFonts w:ascii="Arial" w:hAnsi="Arial" w:cs="Arial"/>
          <w:sz w:val="22"/>
        </w:rPr>
      </w:pPr>
    </w:p>
    <w:p w:rsidR="00A76706" w:rsidRPr="00ED1913" w:rsidRDefault="00ED1913" w:rsidP="00EE41A1">
      <w:pPr>
        <w:jc w:val="both"/>
        <w:rPr>
          <w:rFonts w:ascii="Arial" w:hAnsi="Arial" w:cs="Arial"/>
          <w:sz w:val="22"/>
        </w:rPr>
      </w:pPr>
      <w:r w:rsidRPr="00ED1913">
        <w:rPr>
          <w:rFonts w:ascii="Arial" w:hAnsi="Arial" w:cs="Arial"/>
          <w:sz w:val="22"/>
        </w:rPr>
        <w:t>Time ran out during the event and outstanding questions were addressed bilaterally</w:t>
      </w:r>
      <w:r w:rsidR="00F96F5B" w:rsidRPr="00ED1913">
        <w:rPr>
          <w:rFonts w:ascii="Arial" w:hAnsi="Arial" w:cs="Arial"/>
          <w:sz w:val="22"/>
        </w:rPr>
        <w:t xml:space="preserve">.  </w:t>
      </w:r>
    </w:p>
    <w:p w:rsidR="004161CA" w:rsidRPr="00EE41A1" w:rsidRDefault="004161CA" w:rsidP="00EE41A1">
      <w:pPr>
        <w:jc w:val="both"/>
        <w:rPr>
          <w:rFonts w:ascii="Helvetica" w:hAnsi="Helvetica" w:cs="Arial"/>
        </w:rPr>
      </w:pPr>
    </w:p>
    <w:sectPr w:rsidR="004161CA" w:rsidRPr="00EE41A1" w:rsidSect="00DF2D54">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75E" w:rsidRDefault="0058775E" w:rsidP="00060F83">
      <w:r>
        <w:separator/>
      </w:r>
    </w:p>
  </w:endnote>
  <w:endnote w:type="continuationSeparator" w:id="0">
    <w:p w:rsidR="0058775E" w:rsidRDefault="0058775E" w:rsidP="00060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fornian FB">
    <w:altName w:val="Helvetica Neue Bold Condensed"/>
    <w:charset w:val="00"/>
    <w:family w:val="roman"/>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5E" w:rsidRDefault="00480FC1" w:rsidP="00EE41A1">
    <w:pPr>
      <w:pStyle w:val="Pieddepage"/>
      <w:framePr w:wrap="around" w:vAnchor="text" w:hAnchor="margin" w:xAlign="right" w:y="1"/>
      <w:rPr>
        <w:rStyle w:val="Numrodepage"/>
      </w:rPr>
    </w:pPr>
    <w:r>
      <w:rPr>
        <w:rStyle w:val="Numrodepage"/>
      </w:rPr>
      <w:fldChar w:fldCharType="begin"/>
    </w:r>
    <w:r w:rsidR="0058775E">
      <w:rPr>
        <w:rStyle w:val="Numrodepage"/>
      </w:rPr>
      <w:instrText xml:space="preserve">PAGE  </w:instrText>
    </w:r>
    <w:r>
      <w:rPr>
        <w:rStyle w:val="Numrodepage"/>
      </w:rPr>
      <w:fldChar w:fldCharType="end"/>
    </w:r>
  </w:p>
  <w:p w:rsidR="0058775E" w:rsidRDefault="0058775E" w:rsidP="00060F83">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5E" w:rsidRPr="00692ACD" w:rsidRDefault="00480FC1" w:rsidP="00EE41A1">
    <w:pPr>
      <w:pStyle w:val="Pieddepage"/>
      <w:framePr w:wrap="around" w:vAnchor="text" w:hAnchor="margin" w:xAlign="right" w:y="1"/>
      <w:rPr>
        <w:rStyle w:val="Numrodepage"/>
        <w:rFonts w:ascii="Arial" w:hAnsi="Arial"/>
        <w:sz w:val="18"/>
      </w:rPr>
    </w:pPr>
    <w:r w:rsidRPr="00692ACD">
      <w:rPr>
        <w:rStyle w:val="Numrodepage"/>
        <w:rFonts w:ascii="Arial" w:hAnsi="Arial"/>
        <w:sz w:val="18"/>
      </w:rPr>
      <w:fldChar w:fldCharType="begin"/>
    </w:r>
    <w:r w:rsidR="0058775E" w:rsidRPr="00692ACD">
      <w:rPr>
        <w:rStyle w:val="Numrodepage"/>
        <w:rFonts w:ascii="Arial" w:hAnsi="Arial"/>
        <w:sz w:val="18"/>
      </w:rPr>
      <w:instrText xml:space="preserve">PAGE  </w:instrText>
    </w:r>
    <w:r w:rsidRPr="00692ACD">
      <w:rPr>
        <w:rStyle w:val="Numrodepage"/>
        <w:rFonts w:ascii="Arial" w:hAnsi="Arial"/>
        <w:sz w:val="18"/>
      </w:rPr>
      <w:fldChar w:fldCharType="separate"/>
    </w:r>
    <w:r w:rsidR="00AB50C5">
      <w:rPr>
        <w:rStyle w:val="Numrodepage"/>
        <w:rFonts w:ascii="Arial" w:hAnsi="Arial"/>
        <w:noProof/>
        <w:sz w:val="18"/>
      </w:rPr>
      <w:t>2</w:t>
    </w:r>
    <w:r w:rsidRPr="00692ACD">
      <w:rPr>
        <w:rStyle w:val="Numrodepage"/>
        <w:rFonts w:ascii="Arial" w:hAnsi="Arial"/>
        <w:sz w:val="18"/>
      </w:rPr>
      <w:fldChar w:fldCharType="end"/>
    </w:r>
  </w:p>
  <w:p w:rsidR="0058775E" w:rsidRDefault="0058775E" w:rsidP="00060F83">
    <w:pPr>
      <w:pStyle w:val="Pieddepage"/>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75E" w:rsidRDefault="0058775E" w:rsidP="00060F83">
      <w:r>
        <w:separator/>
      </w:r>
    </w:p>
  </w:footnote>
  <w:footnote w:type="continuationSeparator" w:id="0">
    <w:p w:rsidR="0058775E" w:rsidRDefault="0058775E" w:rsidP="00060F83">
      <w:r>
        <w:continuationSeparator/>
      </w:r>
    </w:p>
  </w:footnote>
  <w:footnote w:id="1">
    <w:p w:rsidR="00692ACD" w:rsidRPr="00667D64" w:rsidRDefault="00692ACD" w:rsidP="00692ACD">
      <w:pPr>
        <w:spacing w:before="120"/>
        <w:jc w:val="both"/>
        <w:rPr>
          <w:rFonts w:ascii="Arial" w:hAnsi="Arial" w:cs="Arial"/>
          <w:sz w:val="18"/>
        </w:rPr>
      </w:pPr>
      <w:r w:rsidRPr="00667D64">
        <w:rPr>
          <w:rStyle w:val="Marquenotebasdepage"/>
          <w:rFonts w:ascii="Arial" w:hAnsi="Arial" w:cs="Arial"/>
        </w:rPr>
        <w:t>*</w:t>
      </w:r>
      <w:r w:rsidRPr="00667D64">
        <w:rPr>
          <w:rFonts w:ascii="Arial" w:hAnsi="Arial" w:cs="Arial"/>
          <w:sz w:val="18"/>
          <w:szCs w:val="18"/>
        </w:rPr>
        <w:t xml:space="preserve"> </w:t>
      </w:r>
      <w:r w:rsidRPr="00667D64">
        <w:rPr>
          <w:rFonts w:ascii="Arial" w:eastAsia="Times New Roman" w:hAnsi="Arial" w:cs="Arial"/>
          <w:color w:val="000000"/>
          <w:sz w:val="18"/>
          <w:szCs w:val="18"/>
        </w:rPr>
        <w:t xml:space="preserve">This summary compilation is </w:t>
      </w:r>
      <w:r w:rsidRPr="00C77BEE">
        <w:rPr>
          <w:rFonts w:ascii="Arial" w:eastAsia="Times New Roman" w:hAnsi="Arial" w:cs="Arial"/>
          <w:color w:val="000000"/>
          <w:sz w:val="18"/>
          <w:szCs w:val="18"/>
        </w:rPr>
        <w:t xml:space="preserve">provided by the IDA secretariat and is not an official record of the proceedings.  </w:t>
      </w:r>
      <w:r w:rsidRPr="00C77BEE">
        <w:rPr>
          <w:rFonts w:ascii="Arial" w:hAnsi="Arial" w:cs="Arial"/>
          <w:sz w:val="18"/>
        </w:rPr>
        <w:t xml:space="preserve">The review was webcast live </w:t>
      </w:r>
      <w:r>
        <w:rPr>
          <w:rFonts w:ascii="Arial" w:hAnsi="Arial" w:cs="Arial"/>
          <w:sz w:val="18"/>
        </w:rPr>
        <w:t xml:space="preserve">and </w:t>
      </w:r>
      <w:hyperlink r:id="rId1" w:history="1">
        <w:r w:rsidRPr="00692ACD">
          <w:rPr>
            <w:rStyle w:val="Lienhypertexte"/>
            <w:rFonts w:ascii="Arial" w:hAnsi="Arial" w:cs="Arial"/>
            <w:sz w:val="18"/>
          </w:rPr>
          <w:t>archived</w:t>
        </w:r>
      </w:hyperlink>
      <w:r>
        <w:rPr>
          <w:rFonts w:ascii="Arial" w:hAnsi="Arial" w:cs="Arial"/>
          <w:sz w:val="18"/>
        </w:rPr>
        <w:t xml:space="preserve"> for subsequent viewing.</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04047"/>
    <w:multiLevelType w:val="hybridMultilevel"/>
    <w:tmpl w:val="258E380E"/>
    <w:lvl w:ilvl="0" w:tplc="C29EADF4">
      <w:start w:val="1"/>
      <w:numFmt w:val="decimal"/>
      <w:lvlText w:val="%1."/>
      <w:lvlJc w:val="left"/>
      <w:pPr>
        <w:ind w:left="720" w:hanging="360"/>
      </w:pPr>
      <w:rPr>
        <w:rFonts w:cs="Times New Roman" w:hint="default"/>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oNotTrackMoves/>
  <w:defaultTabStop w:val="708"/>
  <w:hyphenationZone w:val="425"/>
  <w:characterSpacingControl w:val="doNotCompress"/>
  <w:savePreviewPicture/>
  <w:footnotePr>
    <w:footnote w:id="-1"/>
    <w:footnote w:id="0"/>
  </w:footnotePr>
  <w:endnotePr>
    <w:endnote w:id="-1"/>
    <w:endnote w:id="0"/>
  </w:endnotePr>
  <w:compat>
    <w:useFELayout/>
  </w:compat>
  <w:rsids>
    <w:rsidRoot w:val="006933CB"/>
    <w:rsid w:val="000022B8"/>
    <w:rsid w:val="00060F83"/>
    <w:rsid w:val="00251B02"/>
    <w:rsid w:val="003B0D58"/>
    <w:rsid w:val="004161CA"/>
    <w:rsid w:val="00480FC1"/>
    <w:rsid w:val="004E6905"/>
    <w:rsid w:val="004F18CF"/>
    <w:rsid w:val="0058775E"/>
    <w:rsid w:val="00692ACD"/>
    <w:rsid w:val="006933CB"/>
    <w:rsid w:val="006A54A4"/>
    <w:rsid w:val="00892886"/>
    <w:rsid w:val="008D4356"/>
    <w:rsid w:val="008F4C09"/>
    <w:rsid w:val="009801C9"/>
    <w:rsid w:val="00A02938"/>
    <w:rsid w:val="00A577A1"/>
    <w:rsid w:val="00A75565"/>
    <w:rsid w:val="00A76706"/>
    <w:rsid w:val="00AB50C5"/>
    <w:rsid w:val="00B0612E"/>
    <w:rsid w:val="00CD3C1E"/>
    <w:rsid w:val="00CE441E"/>
    <w:rsid w:val="00D20E2A"/>
    <w:rsid w:val="00D32F17"/>
    <w:rsid w:val="00DF2D54"/>
    <w:rsid w:val="00ED1913"/>
    <w:rsid w:val="00EE41A1"/>
    <w:rsid w:val="00F26547"/>
    <w:rsid w:val="00F27EB4"/>
    <w:rsid w:val="00F340E8"/>
    <w:rsid w:val="00F5673C"/>
    <w:rsid w:val="00F96F5B"/>
    <w:rsid w:val="00FB795A"/>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FC1"/>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32099B"/>
    <w:rPr>
      <w:rFonts w:ascii="Lucida Grande" w:hAnsi="Lucida Grande"/>
      <w:sz w:val="18"/>
      <w:szCs w:val="18"/>
    </w:rPr>
  </w:style>
  <w:style w:type="character" w:customStyle="1" w:styleId="TextedebullesCar">
    <w:name w:val="Texte de bulles Car"/>
    <w:basedOn w:val="Policepardfaut"/>
    <w:link w:val="Textedebulles"/>
    <w:uiPriority w:val="99"/>
    <w:semiHidden/>
    <w:rsid w:val="0032099B"/>
    <w:rPr>
      <w:rFonts w:ascii="Lucida Grande" w:hAnsi="Lucida Grande"/>
      <w:sz w:val="18"/>
      <w:szCs w:val="18"/>
    </w:rPr>
  </w:style>
  <w:style w:type="paragraph" w:styleId="Sansinterligne">
    <w:name w:val="No Spacing"/>
    <w:aliases w:val="corps_du_text2"/>
    <w:uiPriority w:val="1"/>
    <w:qFormat/>
    <w:rsid w:val="00CE441E"/>
    <w:pPr>
      <w:spacing w:before="120" w:after="120" w:line="288" w:lineRule="auto"/>
      <w:jc w:val="both"/>
    </w:pPr>
    <w:rPr>
      <w:rFonts w:ascii="Arial" w:eastAsia="Times New Roman" w:hAnsi="Arial" w:cs="Times New Roman"/>
      <w:lang w:val="en-GB"/>
    </w:rPr>
  </w:style>
  <w:style w:type="paragraph" w:styleId="Pieddepage">
    <w:name w:val="footer"/>
    <w:basedOn w:val="Normal"/>
    <w:link w:val="PieddepageCar"/>
    <w:uiPriority w:val="99"/>
    <w:unhideWhenUsed/>
    <w:rsid w:val="00060F83"/>
    <w:pPr>
      <w:tabs>
        <w:tab w:val="center" w:pos="4703"/>
        <w:tab w:val="right" w:pos="9406"/>
      </w:tabs>
    </w:pPr>
  </w:style>
  <w:style w:type="character" w:customStyle="1" w:styleId="PieddepageCar">
    <w:name w:val="Pied de page Car"/>
    <w:basedOn w:val="Policepardfaut"/>
    <w:link w:val="Pieddepage"/>
    <w:uiPriority w:val="99"/>
    <w:rsid w:val="00060F83"/>
  </w:style>
  <w:style w:type="character" w:styleId="Numrodepage">
    <w:name w:val="page number"/>
    <w:basedOn w:val="Policepardfaut"/>
    <w:uiPriority w:val="99"/>
    <w:semiHidden/>
    <w:unhideWhenUsed/>
    <w:rsid w:val="00060F83"/>
  </w:style>
  <w:style w:type="paragraph" w:styleId="Paragraphedeliste">
    <w:name w:val="List Paragraph"/>
    <w:basedOn w:val="Normal"/>
    <w:uiPriority w:val="34"/>
    <w:qFormat/>
    <w:rsid w:val="00EE41A1"/>
    <w:pPr>
      <w:ind w:left="708"/>
    </w:pPr>
    <w:rPr>
      <w:rFonts w:ascii="Californian FB" w:eastAsia="Calibri" w:hAnsi="Californian FB" w:cs="Times New Roman"/>
      <w:lang w:val="es-PE" w:eastAsia="en-US"/>
    </w:rPr>
  </w:style>
  <w:style w:type="character" w:styleId="Lienhypertexte">
    <w:name w:val="Hyperlink"/>
    <w:uiPriority w:val="99"/>
    <w:unhideWhenUsed/>
    <w:rsid w:val="00692ACD"/>
    <w:rPr>
      <w:color w:val="0000FF"/>
      <w:u w:val="single"/>
    </w:rPr>
  </w:style>
  <w:style w:type="character" w:styleId="Marquenotebasdepage">
    <w:name w:val="footnote reference"/>
    <w:uiPriority w:val="99"/>
    <w:rsid w:val="00692ACD"/>
    <w:rPr>
      <w:vertAlign w:val="superscript"/>
    </w:rPr>
  </w:style>
  <w:style w:type="paragraph" w:styleId="En-tte">
    <w:name w:val="header"/>
    <w:basedOn w:val="Normal"/>
    <w:link w:val="En-tteCar"/>
    <w:uiPriority w:val="99"/>
    <w:semiHidden/>
    <w:unhideWhenUsed/>
    <w:rsid w:val="00692ACD"/>
    <w:pPr>
      <w:tabs>
        <w:tab w:val="center" w:pos="4536"/>
        <w:tab w:val="right" w:pos="9072"/>
      </w:tabs>
    </w:pPr>
  </w:style>
  <w:style w:type="character" w:customStyle="1" w:styleId="En-tteCar">
    <w:name w:val="En-tête Car"/>
    <w:basedOn w:val="Policepardfaut"/>
    <w:link w:val="En-tte"/>
    <w:uiPriority w:val="99"/>
    <w:semiHidden/>
    <w:rsid w:val="00692A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corps_du_text2"/>
    <w:uiPriority w:val="1"/>
    <w:qFormat/>
    <w:rsid w:val="00CE441E"/>
    <w:pPr>
      <w:spacing w:before="120" w:after="120" w:line="288" w:lineRule="auto"/>
      <w:jc w:val="both"/>
    </w:pPr>
    <w:rPr>
      <w:rFonts w:ascii="Arial" w:eastAsia="Times New Roman" w:hAnsi="Arial" w:cs="Times New Roman"/>
      <w:lang w:val="en-GB"/>
    </w:rPr>
  </w:style>
  <w:style w:type="paragraph" w:styleId="Piedepgina">
    <w:name w:val="footer"/>
    <w:basedOn w:val="Normal"/>
    <w:link w:val="PiedepginaCar"/>
    <w:uiPriority w:val="99"/>
    <w:unhideWhenUsed/>
    <w:rsid w:val="00060F83"/>
    <w:pPr>
      <w:tabs>
        <w:tab w:val="center" w:pos="4703"/>
        <w:tab w:val="right" w:pos="9406"/>
      </w:tabs>
    </w:pPr>
  </w:style>
  <w:style w:type="character" w:customStyle="1" w:styleId="PiedepginaCar">
    <w:name w:val="Pie de página Car"/>
    <w:basedOn w:val="Fuentedeprrafopredeter"/>
    <w:link w:val="Piedepgina"/>
    <w:uiPriority w:val="99"/>
    <w:rsid w:val="00060F83"/>
  </w:style>
  <w:style w:type="character" w:styleId="Nmerodepgina">
    <w:name w:val="page number"/>
    <w:basedOn w:val="Fuentedeprrafopredeter"/>
    <w:uiPriority w:val="99"/>
    <w:semiHidden/>
    <w:unhideWhenUsed/>
    <w:rsid w:val="00060F83"/>
  </w:style>
  <w:style w:type="paragraph" w:styleId="Prrafodelista">
    <w:name w:val="List Paragraph"/>
    <w:basedOn w:val="Normal"/>
    <w:uiPriority w:val="34"/>
    <w:qFormat/>
    <w:rsid w:val="00EE41A1"/>
    <w:pPr>
      <w:ind w:left="708"/>
    </w:pPr>
    <w:rPr>
      <w:rFonts w:ascii="Californian FB" w:eastAsia="Calibri" w:hAnsi="Californian FB" w:cs="Times New Roman"/>
      <w:lang w:val="es-PE"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treatybodywebcast.org/crpd-11-side-event-on-legal-capacity-organized-by-wnusp-english-audio/"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964</Words>
  <Characters>5498</Characters>
  <Application>Microsoft Macintosh Word</Application>
  <DocSecurity>0</DocSecurity>
  <Lines>45</Lines>
  <Paragraphs>10</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6751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Berthoud</dc:creator>
  <cp:keywords/>
  <dc:description/>
  <cp:lastModifiedBy>Victoria Lee</cp:lastModifiedBy>
  <cp:revision>3</cp:revision>
  <dcterms:created xsi:type="dcterms:W3CDTF">2014-04-10T13:39:00Z</dcterms:created>
  <dcterms:modified xsi:type="dcterms:W3CDTF">2014-04-10T13:45:00Z</dcterms:modified>
  <cp:category/>
</cp:coreProperties>
</file>