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B307A8" w14:textId="6CB6E40A" w:rsidR="002603E2" w:rsidRDefault="002603E2" w:rsidP="002D3ABF">
      <w:pPr>
        <w:jc w:val="center"/>
        <w:rPr>
          <w:rFonts w:ascii="Verdana" w:hAnsi="Verdana"/>
          <w:b/>
          <w:sz w:val="28"/>
        </w:rPr>
      </w:pPr>
      <w:r>
        <w:rPr>
          <w:rFonts w:ascii="Verdana" w:hAnsi="Verdana"/>
          <w:b/>
          <w:noProof/>
          <w:sz w:val="28"/>
        </w:rPr>
        <w:drawing>
          <wp:inline distT="0" distB="0" distL="0" distR="0" wp14:anchorId="3F574334" wp14:editId="0F9D2BFD">
            <wp:extent cx="2966484" cy="2224863"/>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638.jpeg"/>
                    <pic:cNvPicPr/>
                  </pic:nvPicPr>
                  <pic:blipFill>
                    <a:blip r:embed="rId4">
                      <a:extLst>
                        <a:ext uri="{28A0092B-C50C-407E-A947-70E740481C1C}">
                          <a14:useLocalDpi xmlns:a14="http://schemas.microsoft.com/office/drawing/2010/main" val="0"/>
                        </a:ext>
                      </a:extLst>
                    </a:blip>
                    <a:stretch>
                      <a:fillRect/>
                    </a:stretch>
                  </pic:blipFill>
                  <pic:spPr>
                    <a:xfrm>
                      <a:off x="0" y="0"/>
                      <a:ext cx="2977204" cy="2232903"/>
                    </a:xfrm>
                    <a:prstGeom prst="rect">
                      <a:avLst/>
                    </a:prstGeom>
                  </pic:spPr>
                </pic:pic>
              </a:graphicData>
            </a:graphic>
          </wp:inline>
        </w:drawing>
      </w:r>
    </w:p>
    <w:p w14:paraId="639C0EDF" w14:textId="77777777" w:rsidR="002603E2" w:rsidRDefault="002603E2" w:rsidP="002D3ABF">
      <w:pPr>
        <w:jc w:val="center"/>
        <w:rPr>
          <w:rFonts w:ascii="Verdana" w:hAnsi="Verdana"/>
          <w:b/>
          <w:sz w:val="28"/>
        </w:rPr>
      </w:pPr>
    </w:p>
    <w:p w14:paraId="3994B07A" w14:textId="77777777" w:rsidR="002603E2" w:rsidRDefault="002603E2" w:rsidP="002D3ABF">
      <w:pPr>
        <w:jc w:val="center"/>
        <w:rPr>
          <w:rFonts w:ascii="Verdana" w:hAnsi="Verdana"/>
          <w:b/>
          <w:sz w:val="28"/>
        </w:rPr>
      </w:pPr>
    </w:p>
    <w:p w14:paraId="2B7BEE9F" w14:textId="74F36C75" w:rsidR="00582AFB" w:rsidRPr="002D3ABF" w:rsidRDefault="002D3ABF" w:rsidP="002D3ABF">
      <w:pPr>
        <w:jc w:val="center"/>
        <w:rPr>
          <w:rFonts w:ascii="Verdana" w:hAnsi="Verdana"/>
          <w:b/>
          <w:sz w:val="28"/>
        </w:rPr>
      </w:pPr>
      <w:r w:rsidRPr="002D3ABF">
        <w:rPr>
          <w:rFonts w:ascii="Verdana" w:hAnsi="Verdana"/>
          <w:b/>
          <w:sz w:val="28"/>
        </w:rPr>
        <w:t xml:space="preserve">50th Session of the </w:t>
      </w:r>
      <w:r w:rsidR="0057572A">
        <w:rPr>
          <w:rFonts w:ascii="Verdana" w:hAnsi="Verdana"/>
          <w:b/>
          <w:sz w:val="28"/>
        </w:rPr>
        <w:t xml:space="preserve">United Nations </w:t>
      </w:r>
      <w:r w:rsidRPr="002D3ABF">
        <w:rPr>
          <w:rFonts w:ascii="Verdana" w:hAnsi="Verdana"/>
          <w:b/>
          <w:sz w:val="28"/>
        </w:rPr>
        <w:t>Statistical Commission</w:t>
      </w:r>
    </w:p>
    <w:p w14:paraId="4C7E228D" w14:textId="77777777" w:rsidR="002D3ABF" w:rsidRDefault="002D3ABF" w:rsidP="002D3ABF">
      <w:pPr>
        <w:jc w:val="center"/>
        <w:rPr>
          <w:rFonts w:ascii="Verdana" w:hAnsi="Verdana"/>
        </w:rPr>
      </w:pPr>
    </w:p>
    <w:p w14:paraId="1E005E6E" w14:textId="77777777" w:rsidR="002D3ABF" w:rsidRDefault="002D3ABF" w:rsidP="002D3ABF">
      <w:pPr>
        <w:jc w:val="center"/>
        <w:rPr>
          <w:rFonts w:ascii="Verdana" w:hAnsi="Verdana"/>
          <w:sz w:val="22"/>
        </w:rPr>
      </w:pPr>
      <w:r>
        <w:rPr>
          <w:rFonts w:ascii="Verdana" w:hAnsi="Verdana"/>
          <w:sz w:val="22"/>
        </w:rPr>
        <w:t>United Nations Headquarters, New York City</w:t>
      </w:r>
    </w:p>
    <w:p w14:paraId="0F336852" w14:textId="77777777" w:rsidR="002D3ABF" w:rsidRDefault="002D3ABF" w:rsidP="002D3ABF">
      <w:pPr>
        <w:jc w:val="center"/>
        <w:rPr>
          <w:rFonts w:ascii="Verdana" w:hAnsi="Verdana"/>
          <w:sz w:val="22"/>
        </w:rPr>
      </w:pPr>
      <w:r>
        <w:rPr>
          <w:rFonts w:ascii="Verdana" w:hAnsi="Verdana"/>
          <w:sz w:val="22"/>
        </w:rPr>
        <w:t>5-8 March 2019</w:t>
      </w:r>
    </w:p>
    <w:p w14:paraId="4235DAC5" w14:textId="77777777" w:rsidR="002D3ABF" w:rsidRDefault="002D3ABF" w:rsidP="002D3ABF">
      <w:pPr>
        <w:jc w:val="center"/>
        <w:rPr>
          <w:rFonts w:ascii="Verdana" w:hAnsi="Verdana"/>
          <w:sz w:val="22"/>
        </w:rPr>
      </w:pPr>
    </w:p>
    <w:p w14:paraId="27168E43" w14:textId="77777777" w:rsidR="002D3ABF" w:rsidRDefault="002D3ABF" w:rsidP="002D3ABF">
      <w:pPr>
        <w:jc w:val="center"/>
        <w:rPr>
          <w:rFonts w:ascii="Verdana" w:hAnsi="Verdana"/>
          <w:sz w:val="22"/>
        </w:rPr>
      </w:pPr>
      <w:r>
        <w:rPr>
          <w:rFonts w:ascii="Verdana" w:hAnsi="Verdana"/>
          <w:sz w:val="22"/>
        </w:rPr>
        <w:t>REPORT</w:t>
      </w:r>
    </w:p>
    <w:p w14:paraId="275C59E3" w14:textId="77777777" w:rsidR="002D3ABF" w:rsidRDefault="002D3ABF" w:rsidP="002D3ABF">
      <w:pPr>
        <w:jc w:val="center"/>
        <w:rPr>
          <w:rFonts w:ascii="Verdana" w:hAnsi="Verdana"/>
          <w:sz w:val="22"/>
        </w:rPr>
      </w:pPr>
    </w:p>
    <w:p w14:paraId="1CF12020" w14:textId="77777777" w:rsidR="002D3ABF" w:rsidRDefault="0057572A" w:rsidP="002D3ABF">
      <w:pPr>
        <w:rPr>
          <w:rFonts w:ascii="Verdana" w:hAnsi="Verdana"/>
          <w:sz w:val="22"/>
        </w:rPr>
      </w:pPr>
      <w:r>
        <w:rPr>
          <w:rFonts w:ascii="Verdana" w:hAnsi="Verdana"/>
          <w:sz w:val="22"/>
        </w:rPr>
        <w:t>The 50</w:t>
      </w:r>
      <w:r w:rsidRPr="0057572A">
        <w:rPr>
          <w:rFonts w:ascii="Verdana" w:hAnsi="Verdana"/>
          <w:sz w:val="22"/>
          <w:vertAlign w:val="superscript"/>
        </w:rPr>
        <w:t>th</w:t>
      </w:r>
      <w:r>
        <w:rPr>
          <w:rFonts w:ascii="Verdana" w:hAnsi="Verdana"/>
          <w:sz w:val="22"/>
        </w:rPr>
        <w:t xml:space="preserve"> Session of the United Nations Statistical Commission was held from 5-8 March 2019 at UN Headquarters in New York</w:t>
      </w:r>
      <w:r w:rsidR="00C07D4B">
        <w:rPr>
          <w:rFonts w:ascii="Verdana" w:hAnsi="Verdana"/>
          <w:sz w:val="22"/>
        </w:rPr>
        <w:t xml:space="preserve"> under the theme</w:t>
      </w:r>
      <w:r>
        <w:rPr>
          <w:rFonts w:ascii="Verdana" w:hAnsi="Verdana"/>
          <w:sz w:val="22"/>
        </w:rPr>
        <w:t xml:space="preserve"> “Better Data Better Lives”.</w:t>
      </w:r>
      <w:r w:rsidR="00435B27">
        <w:rPr>
          <w:rFonts w:ascii="Verdana" w:hAnsi="Verdana"/>
          <w:sz w:val="22"/>
        </w:rPr>
        <w:t xml:space="preserve"> </w:t>
      </w:r>
    </w:p>
    <w:p w14:paraId="696A2A1D" w14:textId="77777777" w:rsidR="00435B27" w:rsidRDefault="00435B27" w:rsidP="002D3ABF">
      <w:pPr>
        <w:rPr>
          <w:rFonts w:ascii="Verdana" w:hAnsi="Verdana"/>
          <w:sz w:val="22"/>
        </w:rPr>
      </w:pPr>
    </w:p>
    <w:p w14:paraId="28DE871C" w14:textId="46722BBA" w:rsidR="00435B27" w:rsidRDefault="00435B27" w:rsidP="002D3ABF">
      <w:pPr>
        <w:rPr>
          <w:rFonts w:ascii="Verdana" w:hAnsi="Verdana"/>
          <w:sz w:val="22"/>
        </w:rPr>
      </w:pPr>
      <w:r>
        <w:rPr>
          <w:rFonts w:ascii="Verdana" w:hAnsi="Verdana"/>
          <w:sz w:val="22"/>
        </w:rPr>
        <w:t xml:space="preserve">During the </w:t>
      </w:r>
      <w:r w:rsidR="00D86AB8">
        <w:rPr>
          <w:rFonts w:ascii="Verdana" w:hAnsi="Verdana"/>
          <w:sz w:val="22"/>
        </w:rPr>
        <w:t>opening</w:t>
      </w:r>
      <w:r w:rsidR="00D86AB8">
        <w:rPr>
          <w:rFonts w:ascii="Verdana" w:hAnsi="Verdana"/>
          <w:sz w:val="22"/>
        </w:rPr>
        <w:t xml:space="preserve"> </w:t>
      </w:r>
      <w:r>
        <w:rPr>
          <w:rFonts w:ascii="Verdana" w:hAnsi="Verdana"/>
          <w:sz w:val="22"/>
        </w:rPr>
        <w:t xml:space="preserve">session of the Commission, data and indicators for the 2030 Agenda for Sustainable Development were discussed. This discussion </w:t>
      </w:r>
      <w:r w:rsidR="00467905">
        <w:rPr>
          <w:rFonts w:ascii="Verdana" w:hAnsi="Verdana"/>
          <w:sz w:val="22"/>
        </w:rPr>
        <w:t>centered around the report of the Inter-Agency and Expert Group on Sustainable Development Goal Indicators (IAEG-SDGs) on the ongoing work for the implementation of the global indicator framework</w:t>
      </w:r>
      <w:r w:rsidR="008B5F1B">
        <w:rPr>
          <w:rFonts w:ascii="Verdana" w:hAnsi="Verdana"/>
          <w:sz w:val="22"/>
        </w:rPr>
        <w:t>, including</w:t>
      </w:r>
      <w:r w:rsidR="00CD3C61">
        <w:rPr>
          <w:rFonts w:ascii="Verdana" w:hAnsi="Verdana"/>
          <w:sz w:val="22"/>
        </w:rPr>
        <w:t xml:space="preserve"> a section about the Expert Group’s workstream on data disaggregation. Persons with disabilities were </w:t>
      </w:r>
      <w:r w:rsidR="007B3DF8">
        <w:rPr>
          <w:rFonts w:ascii="Verdana" w:hAnsi="Verdana"/>
          <w:sz w:val="22"/>
        </w:rPr>
        <w:t>invited to participate in this</w:t>
      </w:r>
      <w:r w:rsidR="00CD3C61">
        <w:rPr>
          <w:rFonts w:ascii="Verdana" w:hAnsi="Verdana"/>
          <w:sz w:val="22"/>
        </w:rPr>
        <w:t xml:space="preserve"> workstream </w:t>
      </w:r>
      <w:r w:rsidR="007B3DF8">
        <w:rPr>
          <w:rFonts w:ascii="Verdana" w:hAnsi="Verdana"/>
          <w:sz w:val="22"/>
        </w:rPr>
        <w:t xml:space="preserve">on disaggregation, which resulted </w:t>
      </w:r>
      <w:r w:rsidR="00CD3C61">
        <w:rPr>
          <w:rFonts w:ascii="Verdana" w:hAnsi="Verdana"/>
          <w:sz w:val="22"/>
        </w:rPr>
        <w:t xml:space="preserve">in a consultation process </w:t>
      </w:r>
      <w:r w:rsidR="00BC5BD9">
        <w:rPr>
          <w:rFonts w:ascii="Verdana" w:hAnsi="Verdana"/>
          <w:sz w:val="22"/>
        </w:rPr>
        <w:t xml:space="preserve">on priority </w:t>
      </w:r>
      <w:r w:rsidR="001F6C2D">
        <w:rPr>
          <w:rFonts w:ascii="Verdana" w:hAnsi="Verdana"/>
          <w:sz w:val="22"/>
        </w:rPr>
        <w:t xml:space="preserve">policy </w:t>
      </w:r>
      <w:bookmarkStart w:id="0" w:name="_GoBack"/>
      <w:bookmarkEnd w:id="0"/>
      <w:r w:rsidR="00BC5BD9">
        <w:rPr>
          <w:rFonts w:ascii="Verdana" w:hAnsi="Verdana"/>
          <w:sz w:val="22"/>
        </w:rPr>
        <w:t>areas for disaggregation. As such, the Stakeholder Group of Persons with Disabilities identified poverty eradication, education, employment, health and accessibility as the policy priority areas</w:t>
      </w:r>
      <w:r w:rsidR="00ED5F3E">
        <w:rPr>
          <w:rFonts w:ascii="Verdana" w:hAnsi="Verdana"/>
          <w:sz w:val="22"/>
        </w:rPr>
        <w:t>.</w:t>
      </w:r>
      <w:r w:rsidR="00BC5BD9">
        <w:rPr>
          <w:rFonts w:ascii="Verdana" w:hAnsi="Verdana"/>
          <w:sz w:val="22"/>
        </w:rPr>
        <w:t xml:space="preserve"> </w:t>
      </w:r>
      <w:r w:rsidR="00ED5F3E">
        <w:rPr>
          <w:rFonts w:ascii="Verdana" w:hAnsi="Verdana"/>
          <w:sz w:val="22"/>
        </w:rPr>
        <w:t>These policy priority areas have</w:t>
      </w:r>
      <w:r w:rsidR="00BC5BD9">
        <w:rPr>
          <w:rFonts w:ascii="Verdana" w:hAnsi="Verdana"/>
          <w:sz w:val="22"/>
        </w:rPr>
        <w:t xml:space="preserve"> been included </w:t>
      </w:r>
      <w:r w:rsidR="001C2366">
        <w:rPr>
          <w:rFonts w:ascii="Verdana" w:hAnsi="Verdana"/>
          <w:sz w:val="22"/>
        </w:rPr>
        <w:t>in</w:t>
      </w:r>
      <w:r w:rsidR="00BC5BD9">
        <w:rPr>
          <w:rFonts w:ascii="Verdana" w:hAnsi="Verdana"/>
          <w:sz w:val="22"/>
        </w:rPr>
        <w:t xml:space="preserve"> the official report which was endorsed at the Statistical Commission. </w:t>
      </w:r>
      <w:r w:rsidR="00B709D6">
        <w:rPr>
          <w:rFonts w:ascii="Verdana" w:hAnsi="Verdana"/>
          <w:sz w:val="22"/>
        </w:rPr>
        <w:t xml:space="preserve"> </w:t>
      </w:r>
      <w:r w:rsidR="00A45DF1" w:rsidRPr="00542A2F">
        <w:rPr>
          <w:rFonts w:ascii="Verdana" w:hAnsi="Verdana"/>
          <w:sz w:val="22"/>
        </w:rPr>
        <w:t xml:space="preserve">Click here to read the full report of the IAEG-SDGs in </w:t>
      </w:r>
      <w:hyperlink r:id="rId5" w:history="1">
        <w:r w:rsidR="00A45DF1" w:rsidRPr="00542A2F">
          <w:rPr>
            <w:rStyle w:val="Hyperlink"/>
            <w:rFonts w:ascii="Verdana" w:hAnsi="Verdana"/>
            <w:sz w:val="22"/>
          </w:rPr>
          <w:t>English</w:t>
        </w:r>
      </w:hyperlink>
      <w:r w:rsidR="00A45DF1">
        <w:rPr>
          <w:rFonts w:ascii="Verdana" w:hAnsi="Verdana"/>
          <w:sz w:val="22"/>
        </w:rPr>
        <w:t xml:space="preserve">, </w:t>
      </w:r>
      <w:hyperlink r:id="rId6" w:history="1">
        <w:r w:rsidR="00A45DF1" w:rsidRPr="00A45DF1">
          <w:rPr>
            <w:rStyle w:val="Hyperlink"/>
            <w:rFonts w:ascii="Verdana" w:hAnsi="Verdana"/>
            <w:sz w:val="22"/>
          </w:rPr>
          <w:t>Arabic</w:t>
        </w:r>
      </w:hyperlink>
      <w:r w:rsidR="00A45DF1">
        <w:rPr>
          <w:rFonts w:ascii="Verdana" w:hAnsi="Verdana"/>
          <w:sz w:val="22"/>
        </w:rPr>
        <w:t xml:space="preserve">, </w:t>
      </w:r>
      <w:hyperlink r:id="rId7" w:history="1">
        <w:r w:rsidR="00A45DF1" w:rsidRPr="00A45DF1">
          <w:rPr>
            <w:rStyle w:val="Hyperlink"/>
            <w:rFonts w:ascii="Verdana" w:hAnsi="Verdana"/>
            <w:sz w:val="22"/>
          </w:rPr>
          <w:t>Chinese</w:t>
        </w:r>
      </w:hyperlink>
      <w:r w:rsidR="00A45DF1">
        <w:rPr>
          <w:rFonts w:ascii="Verdana" w:hAnsi="Verdana"/>
          <w:sz w:val="22"/>
        </w:rPr>
        <w:t xml:space="preserve">, </w:t>
      </w:r>
      <w:hyperlink r:id="rId8" w:history="1">
        <w:r w:rsidR="00A45DF1" w:rsidRPr="00A45DF1">
          <w:rPr>
            <w:rStyle w:val="Hyperlink"/>
            <w:rFonts w:ascii="Verdana" w:hAnsi="Verdana"/>
            <w:sz w:val="22"/>
          </w:rPr>
          <w:t>Spanish</w:t>
        </w:r>
        <w:r w:rsidR="00A45DF1" w:rsidRPr="00542A2F">
          <w:t>,</w:t>
        </w:r>
      </w:hyperlink>
      <w:r w:rsidR="00A45DF1">
        <w:rPr>
          <w:rFonts w:ascii="Verdana" w:hAnsi="Verdana"/>
          <w:sz w:val="22"/>
        </w:rPr>
        <w:t xml:space="preserve"> </w:t>
      </w:r>
      <w:hyperlink r:id="rId9" w:history="1">
        <w:r w:rsidR="00A45DF1" w:rsidRPr="00A45DF1">
          <w:rPr>
            <w:rStyle w:val="Hyperlink"/>
            <w:rFonts w:ascii="Verdana" w:hAnsi="Verdana"/>
            <w:sz w:val="22"/>
          </w:rPr>
          <w:t>French</w:t>
        </w:r>
      </w:hyperlink>
      <w:r w:rsidR="00A45DF1">
        <w:rPr>
          <w:rFonts w:ascii="Verdana" w:hAnsi="Verdana"/>
          <w:sz w:val="22"/>
        </w:rPr>
        <w:t xml:space="preserve">, or </w:t>
      </w:r>
      <w:hyperlink r:id="rId10" w:history="1">
        <w:r w:rsidR="00A45DF1" w:rsidRPr="00A45DF1">
          <w:rPr>
            <w:rStyle w:val="Hyperlink"/>
            <w:rFonts w:ascii="Verdana" w:hAnsi="Verdana"/>
            <w:sz w:val="22"/>
          </w:rPr>
          <w:t>Russian</w:t>
        </w:r>
      </w:hyperlink>
      <w:r w:rsidR="00A45DF1" w:rsidRPr="00542A2F">
        <w:rPr>
          <w:rFonts w:ascii="Verdana" w:hAnsi="Verdana"/>
          <w:sz w:val="22"/>
        </w:rPr>
        <w:t>.</w:t>
      </w:r>
    </w:p>
    <w:p w14:paraId="07C416CA" w14:textId="08AB0373" w:rsidR="00B1539F" w:rsidRDefault="00B1539F" w:rsidP="002D3ABF">
      <w:pPr>
        <w:rPr>
          <w:rFonts w:ascii="Verdana" w:hAnsi="Verdana"/>
          <w:sz w:val="22"/>
        </w:rPr>
      </w:pPr>
    </w:p>
    <w:p w14:paraId="23B011DE" w14:textId="5357FBAA" w:rsidR="00B1539F" w:rsidRDefault="00BC5BD9" w:rsidP="002D3ABF">
      <w:pPr>
        <w:rPr>
          <w:rFonts w:ascii="Verdana" w:hAnsi="Verdana"/>
          <w:sz w:val="22"/>
        </w:rPr>
      </w:pPr>
      <w:r>
        <w:rPr>
          <w:rFonts w:ascii="Verdana" w:hAnsi="Verdana"/>
          <w:sz w:val="22"/>
        </w:rPr>
        <w:t>T</w:t>
      </w:r>
      <w:r w:rsidR="0021789B">
        <w:rPr>
          <w:rFonts w:ascii="Verdana" w:hAnsi="Verdana"/>
          <w:sz w:val="22"/>
        </w:rPr>
        <w:t xml:space="preserve">he concept of open data, or ‘data that can be freely used, re-used and redistributed by anyone’ (Open Knowledge International), was </w:t>
      </w:r>
      <w:r w:rsidR="00FB5447">
        <w:rPr>
          <w:rFonts w:ascii="Verdana" w:hAnsi="Verdana"/>
          <w:sz w:val="22"/>
        </w:rPr>
        <w:t xml:space="preserve">also </w:t>
      </w:r>
      <w:r w:rsidR="0021789B">
        <w:rPr>
          <w:rFonts w:ascii="Verdana" w:hAnsi="Verdana"/>
          <w:sz w:val="22"/>
        </w:rPr>
        <w:t>discussed</w:t>
      </w:r>
      <w:r w:rsidR="00FB5447">
        <w:rPr>
          <w:rFonts w:ascii="Verdana" w:hAnsi="Verdana"/>
          <w:sz w:val="22"/>
        </w:rPr>
        <w:t xml:space="preserve"> at the Commission</w:t>
      </w:r>
      <w:r w:rsidR="0021789B">
        <w:rPr>
          <w:rFonts w:ascii="Verdana" w:hAnsi="Verdana"/>
          <w:sz w:val="22"/>
        </w:rPr>
        <w:t>.</w:t>
      </w:r>
      <w:r w:rsidR="0011544F">
        <w:rPr>
          <w:rFonts w:ascii="Verdana" w:hAnsi="Verdana"/>
          <w:sz w:val="22"/>
        </w:rPr>
        <w:t xml:space="preserve"> The report of the Friends of the Chair group on the Fundamental Principles of Official Statistics and on open data was presented</w:t>
      </w:r>
      <w:r w:rsidR="00394DEF">
        <w:rPr>
          <w:rFonts w:ascii="Verdana" w:hAnsi="Verdana"/>
          <w:sz w:val="22"/>
        </w:rPr>
        <w:t xml:space="preserve"> during the second session of the Commission.</w:t>
      </w:r>
      <w:r w:rsidR="00A0721B">
        <w:rPr>
          <w:rFonts w:ascii="Verdana" w:hAnsi="Verdana"/>
          <w:sz w:val="22"/>
        </w:rPr>
        <w:t xml:space="preserve"> </w:t>
      </w:r>
      <w:r w:rsidR="0073667B">
        <w:rPr>
          <w:rFonts w:ascii="Verdana" w:hAnsi="Verdana"/>
          <w:sz w:val="22"/>
        </w:rPr>
        <w:t xml:space="preserve">The report mentions a background document on the implementation of open data, which provides a synthesis of existing open data work covering data interoperability, the implementation of open data practices and the </w:t>
      </w:r>
      <w:r w:rsidR="0073667B">
        <w:rPr>
          <w:rFonts w:ascii="Verdana" w:hAnsi="Verdana"/>
          <w:sz w:val="22"/>
        </w:rPr>
        <w:lastRenderedPageBreak/>
        <w:t xml:space="preserve">anonymization of data for official statistics. </w:t>
      </w:r>
      <w:hyperlink r:id="rId11" w:history="1">
        <w:r w:rsidR="00E909F0" w:rsidRPr="00E909F0">
          <w:rPr>
            <w:rStyle w:val="Hyperlink"/>
            <w:rFonts w:ascii="Verdana" w:hAnsi="Verdana"/>
            <w:sz w:val="22"/>
          </w:rPr>
          <w:t>To learn more about these concepts, please read the full background document here.</w:t>
        </w:r>
      </w:hyperlink>
      <w:r w:rsidR="00E909F0">
        <w:rPr>
          <w:rFonts w:ascii="Verdana" w:hAnsi="Verdana"/>
          <w:sz w:val="22"/>
        </w:rPr>
        <w:t xml:space="preserve"> The report also includes a section on recent global activities highlighting the Fundamental Principles and open data, including the International Open Data Conference held in Buenos Aires in 2018 and </w:t>
      </w:r>
      <w:r w:rsidR="00C67C0D">
        <w:rPr>
          <w:rFonts w:ascii="Verdana" w:hAnsi="Verdana"/>
          <w:sz w:val="22"/>
        </w:rPr>
        <w:t xml:space="preserve">the World Data Forum in Dubai in 2018. Interoperability, integration and reusability of data and data systems for the implementation and monitoring of the Sustainable Development Goals was discussed at these meetings.  </w:t>
      </w:r>
      <w:hyperlink r:id="rId12" w:history="1">
        <w:r w:rsidR="00C67C0D" w:rsidRPr="00AC4062">
          <w:rPr>
            <w:rStyle w:val="Hyperlink"/>
            <w:rFonts w:ascii="Verdana" w:hAnsi="Verdana"/>
            <w:sz w:val="22"/>
          </w:rPr>
          <w:t xml:space="preserve">Click here to read the </w:t>
        </w:r>
        <w:r w:rsidR="00EF2397" w:rsidRPr="00AC4062">
          <w:rPr>
            <w:rStyle w:val="Hyperlink"/>
            <w:rFonts w:ascii="Verdana" w:hAnsi="Verdana"/>
            <w:sz w:val="22"/>
          </w:rPr>
          <w:t>full report of the Friends of the Chair group on Principles of Official Statistics and on open data.</w:t>
        </w:r>
      </w:hyperlink>
    </w:p>
    <w:p w14:paraId="0DCAE965" w14:textId="3C688EB9" w:rsidR="004333E8" w:rsidRDefault="004333E8" w:rsidP="002D3ABF">
      <w:pPr>
        <w:rPr>
          <w:rFonts w:ascii="Verdana" w:hAnsi="Verdana"/>
          <w:sz w:val="22"/>
        </w:rPr>
      </w:pPr>
    </w:p>
    <w:p w14:paraId="4898CE09" w14:textId="79D5BAA9" w:rsidR="00AD6A6E" w:rsidRPr="00542A2F" w:rsidRDefault="004333E8" w:rsidP="00E325C2">
      <w:pPr>
        <w:rPr>
          <w:rFonts w:ascii="Verdana" w:hAnsi="Verdana"/>
          <w:color w:val="0563C1" w:themeColor="hyperlink"/>
          <w:sz w:val="22"/>
          <w:u w:val="single"/>
        </w:rPr>
      </w:pPr>
      <w:r>
        <w:rPr>
          <w:rFonts w:ascii="Verdana" w:hAnsi="Verdana"/>
          <w:sz w:val="22"/>
        </w:rPr>
        <w:t>On the second day of the Commission, the Stakeholder Group of Persons with Disabilities co-sponsored a side event on ‘Making disability visible in statistics</w:t>
      </w:r>
      <w:r w:rsidR="008E2A55">
        <w:rPr>
          <w:rFonts w:ascii="Verdana" w:hAnsi="Verdana"/>
          <w:sz w:val="22"/>
        </w:rPr>
        <w:t>.’</w:t>
      </w:r>
      <w:r>
        <w:rPr>
          <w:rFonts w:ascii="Verdana" w:hAnsi="Verdana"/>
          <w:sz w:val="22"/>
        </w:rPr>
        <w:t xml:space="preserve"> The side event focused on bridging the gap between policy makers, civil society, and statisticians, which constitutes a major obstacle and hindrance to making progress on </w:t>
      </w:r>
      <w:r w:rsidR="0044638D">
        <w:rPr>
          <w:rFonts w:ascii="Verdana" w:hAnsi="Verdana"/>
          <w:sz w:val="22"/>
        </w:rPr>
        <w:t xml:space="preserve">the </w:t>
      </w:r>
      <w:r>
        <w:rPr>
          <w:rFonts w:ascii="Verdana" w:hAnsi="Verdana"/>
          <w:sz w:val="22"/>
        </w:rPr>
        <w:t xml:space="preserve">development of </w:t>
      </w:r>
      <w:r w:rsidR="0023593D">
        <w:rPr>
          <w:rFonts w:ascii="Verdana" w:hAnsi="Verdana"/>
          <w:sz w:val="22"/>
        </w:rPr>
        <w:t xml:space="preserve">evidence-based </w:t>
      </w:r>
      <w:r>
        <w:rPr>
          <w:rFonts w:ascii="Verdana" w:hAnsi="Verdana"/>
          <w:sz w:val="22"/>
        </w:rPr>
        <w:t>policies and thus improving the lives of persons with disabilities. The event highlighted current activities undertaken by NSOs, UN agencies, development ministries, organizations of persons with disabilities and civil society to improve the collection and use of disability data to meet the requirements of the UN CRPD and the SDGs.</w:t>
      </w:r>
      <w:r w:rsidR="00D0113A">
        <w:rPr>
          <w:rFonts w:ascii="Verdana" w:hAnsi="Verdana"/>
          <w:sz w:val="22"/>
        </w:rPr>
        <w:t xml:space="preserve"> </w:t>
      </w:r>
      <w:r w:rsidR="004D540E">
        <w:rPr>
          <w:rFonts w:ascii="Verdana" w:hAnsi="Verdana"/>
          <w:sz w:val="22"/>
        </w:rPr>
        <w:fldChar w:fldCharType="begin"/>
      </w:r>
      <w:r w:rsidR="004D540E">
        <w:rPr>
          <w:rFonts w:ascii="Verdana" w:hAnsi="Verdana"/>
          <w:sz w:val="22"/>
        </w:rPr>
        <w:instrText xml:space="preserve"> HYPERLINK "http://webtv.un.org/watch/making-disability-visible-in-statistics-side-event-at-the-50th-statistical-commission/6010960670001/" </w:instrText>
      </w:r>
      <w:r w:rsidR="004D540E">
        <w:rPr>
          <w:rFonts w:ascii="Verdana" w:hAnsi="Verdana"/>
          <w:sz w:val="22"/>
        </w:rPr>
      </w:r>
      <w:r w:rsidR="004D540E">
        <w:rPr>
          <w:rFonts w:ascii="Verdana" w:hAnsi="Verdana"/>
          <w:sz w:val="22"/>
        </w:rPr>
        <w:fldChar w:fldCharType="separate"/>
      </w:r>
      <w:r w:rsidR="00AD6A6E" w:rsidRPr="004D540E">
        <w:rPr>
          <w:rStyle w:val="Hyperlink"/>
          <w:rFonts w:ascii="Verdana" w:hAnsi="Verdana"/>
          <w:sz w:val="22"/>
        </w:rPr>
        <w:t>Click here to watch a recording of the side event.</w:t>
      </w:r>
      <w:r w:rsidR="004D540E">
        <w:rPr>
          <w:rFonts w:ascii="Verdana" w:hAnsi="Verdana"/>
          <w:sz w:val="22"/>
        </w:rPr>
        <w:fldChar w:fldCharType="end"/>
      </w:r>
    </w:p>
    <w:p w14:paraId="1238308B" w14:textId="45BD234A" w:rsidR="004333E8" w:rsidRDefault="004333E8" w:rsidP="002D3ABF">
      <w:pPr>
        <w:rPr>
          <w:rFonts w:ascii="Verdana" w:hAnsi="Verdana"/>
          <w:sz w:val="22"/>
        </w:rPr>
      </w:pPr>
    </w:p>
    <w:p w14:paraId="7BF1F836" w14:textId="2F6C5905" w:rsidR="002D3ABF" w:rsidRPr="002D3ABF" w:rsidRDefault="001F6C2D" w:rsidP="00045ECE">
      <w:pPr>
        <w:rPr>
          <w:rFonts w:ascii="Verdana" w:hAnsi="Verdana"/>
          <w:sz w:val="22"/>
        </w:rPr>
      </w:pPr>
      <w:hyperlink r:id="rId13" w:history="1">
        <w:r w:rsidR="00045ECE" w:rsidRPr="00045ECE">
          <w:rPr>
            <w:rStyle w:val="Hyperlink"/>
            <w:rFonts w:ascii="Verdana" w:hAnsi="Verdana"/>
            <w:sz w:val="22"/>
          </w:rPr>
          <w:t>Click here for more information about the Statistical Commission.</w:t>
        </w:r>
      </w:hyperlink>
    </w:p>
    <w:sectPr w:rsidR="002D3ABF" w:rsidRPr="002D3ABF" w:rsidSect="004F775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5CA4"/>
    <w:rsid w:val="000210AB"/>
    <w:rsid w:val="0004150F"/>
    <w:rsid w:val="000425E2"/>
    <w:rsid w:val="00045ECE"/>
    <w:rsid w:val="00095A16"/>
    <w:rsid w:val="0011544F"/>
    <w:rsid w:val="001C2366"/>
    <w:rsid w:val="001D4900"/>
    <w:rsid w:val="001F6C2D"/>
    <w:rsid w:val="00204EB0"/>
    <w:rsid w:val="00207500"/>
    <w:rsid w:val="0021789B"/>
    <w:rsid w:val="0023593D"/>
    <w:rsid w:val="002603E2"/>
    <w:rsid w:val="002A4C64"/>
    <w:rsid w:val="002D0F9C"/>
    <w:rsid w:val="002D3ABF"/>
    <w:rsid w:val="00394DEF"/>
    <w:rsid w:val="004333E8"/>
    <w:rsid w:val="00435B27"/>
    <w:rsid w:val="0044638D"/>
    <w:rsid w:val="00467905"/>
    <w:rsid w:val="004D540E"/>
    <w:rsid w:val="004F7757"/>
    <w:rsid w:val="00506376"/>
    <w:rsid w:val="00542A2F"/>
    <w:rsid w:val="0057572A"/>
    <w:rsid w:val="005C5DD3"/>
    <w:rsid w:val="00695268"/>
    <w:rsid w:val="006965D2"/>
    <w:rsid w:val="006E45F8"/>
    <w:rsid w:val="0073667B"/>
    <w:rsid w:val="00776A3E"/>
    <w:rsid w:val="007B3DF8"/>
    <w:rsid w:val="00841CFE"/>
    <w:rsid w:val="00855CA4"/>
    <w:rsid w:val="008B5F1B"/>
    <w:rsid w:val="008E2A55"/>
    <w:rsid w:val="008F3AF0"/>
    <w:rsid w:val="008F5295"/>
    <w:rsid w:val="00921CAE"/>
    <w:rsid w:val="009D23C1"/>
    <w:rsid w:val="009F10E7"/>
    <w:rsid w:val="00A0721B"/>
    <w:rsid w:val="00A45DF1"/>
    <w:rsid w:val="00A82685"/>
    <w:rsid w:val="00AB1569"/>
    <w:rsid w:val="00AC4062"/>
    <w:rsid w:val="00AD6A6E"/>
    <w:rsid w:val="00B1539F"/>
    <w:rsid w:val="00B64E69"/>
    <w:rsid w:val="00B709D6"/>
    <w:rsid w:val="00B74334"/>
    <w:rsid w:val="00BC5BD9"/>
    <w:rsid w:val="00C0084F"/>
    <w:rsid w:val="00C07D4B"/>
    <w:rsid w:val="00C41B4B"/>
    <w:rsid w:val="00C67C0D"/>
    <w:rsid w:val="00CD3C61"/>
    <w:rsid w:val="00D0113A"/>
    <w:rsid w:val="00D86AB8"/>
    <w:rsid w:val="00D90A24"/>
    <w:rsid w:val="00DB7272"/>
    <w:rsid w:val="00DB7481"/>
    <w:rsid w:val="00DF4041"/>
    <w:rsid w:val="00E325C2"/>
    <w:rsid w:val="00E909F0"/>
    <w:rsid w:val="00ED5F3E"/>
    <w:rsid w:val="00EF2397"/>
    <w:rsid w:val="00FB54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116D43F"/>
  <w14:defaultImageDpi w14:val="32767"/>
  <w15:chartTrackingRefBased/>
  <w15:docId w15:val="{8CF705B6-7915-8E46-94D1-B3BD78C9E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07500"/>
    <w:rPr>
      <w:color w:val="0563C1" w:themeColor="hyperlink"/>
      <w:u w:val="single"/>
    </w:rPr>
  </w:style>
  <w:style w:type="character" w:customStyle="1" w:styleId="UnresolvedMention1">
    <w:name w:val="Unresolved Mention1"/>
    <w:basedOn w:val="DefaultParagraphFont"/>
    <w:uiPriority w:val="99"/>
    <w:rsid w:val="00207500"/>
    <w:rPr>
      <w:color w:val="605E5C"/>
      <w:shd w:val="clear" w:color="auto" w:fill="E1DFDD"/>
    </w:rPr>
  </w:style>
  <w:style w:type="character" w:styleId="FollowedHyperlink">
    <w:name w:val="FollowedHyperlink"/>
    <w:basedOn w:val="DefaultParagraphFont"/>
    <w:uiPriority w:val="99"/>
    <w:semiHidden/>
    <w:unhideWhenUsed/>
    <w:rsid w:val="00A0721B"/>
    <w:rPr>
      <w:color w:val="954F72" w:themeColor="followedHyperlink"/>
      <w:u w:val="single"/>
    </w:rPr>
  </w:style>
  <w:style w:type="character" w:styleId="CommentReference">
    <w:name w:val="annotation reference"/>
    <w:basedOn w:val="DefaultParagraphFont"/>
    <w:uiPriority w:val="99"/>
    <w:semiHidden/>
    <w:unhideWhenUsed/>
    <w:rsid w:val="00695268"/>
    <w:rPr>
      <w:sz w:val="18"/>
      <w:szCs w:val="18"/>
    </w:rPr>
  </w:style>
  <w:style w:type="paragraph" w:styleId="CommentText">
    <w:name w:val="annotation text"/>
    <w:basedOn w:val="Normal"/>
    <w:link w:val="CommentTextChar"/>
    <w:uiPriority w:val="99"/>
    <w:semiHidden/>
    <w:unhideWhenUsed/>
    <w:rsid w:val="00695268"/>
  </w:style>
  <w:style w:type="character" w:customStyle="1" w:styleId="CommentTextChar">
    <w:name w:val="Comment Text Char"/>
    <w:basedOn w:val="DefaultParagraphFont"/>
    <w:link w:val="CommentText"/>
    <w:uiPriority w:val="99"/>
    <w:semiHidden/>
    <w:rsid w:val="00695268"/>
  </w:style>
  <w:style w:type="paragraph" w:styleId="CommentSubject">
    <w:name w:val="annotation subject"/>
    <w:basedOn w:val="CommentText"/>
    <w:next w:val="CommentText"/>
    <w:link w:val="CommentSubjectChar"/>
    <w:uiPriority w:val="99"/>
    <w:semiHidden/>
    <w:unhideWhenUsed/>
    <w:rsid w:val="00695268"/>
    <w:rPr>
      <w:b/>
      <w:bCs/>
      <w:sz w:val="20"/>
      <w:szCs w:val="20"/>
    </w:rPr>
  </w:style>
  <w:style w:type="character" w:customStyle="1" w:styleId="CommentSubjectChar">
    <w:name w:val="Comment Subject Char"/>
    <w:basedOn w:val="CommentTextChar"/>
    <w:link w:val="CommentSubject"/>
    <w:uiPriority w:val="99"/>
    <w:semiHidden/>
    <w:rsid w:val="00695268"/>
    <w:rPr>
      <w:b/>
      <w:bCs/>
      <w:sz w:val="20"/>
      <w:szCs w:val="20"/>
    </w:rPr>
  </w:style>
  <w:style w:type="paragraph" w:styleId="BalloonText">
    <w:name w:val="Balloon Text"/>
    <w:basedOn w:val="Normal"/>
    <w:link w:val="BalloonTextChar"/>
    <w:uiPriority w:val="99"/>
    <w:semiHidden/>
    <w:unhideWhenUsed/>
    <w:rsid w:val="0069526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95268"/>
    <w:rPr>
      <w:rFonts w:ascii="Times New Roman" w:hAnsi="Times New Roman" w:cs="Times New Roman"/>
      <w:sz w:val="18"/>
      <w:szCs w:val="18"/>
    </w:rPr>
  </w:style>
  <w:style w:type="character" w:styleId="UnresolvedMention">
    <w:name w:val="Unresolved Mention"/>
    <w:basedOn w:val="DefaultParagraphFont"/>
    <w:uiPriority w:val="99"/>
    <w:rsid w:val="00B709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nstats.un.org/unsd/statcom/50th-session/documents/2019-2-IAEG-SDG-S.pdf" TargetMode="External"/><Relationship Id="rId13" Type="http://schemas.openxmlformats.org/officeDocument/2006/relationships/hyperlink" Target="https://unstats.un.org/unsd/statcom/" TargetMode="External"/><Relationship Id="rId3" Type="http://schemas.openxmlformats.org/officeDocument/2006/relationships/webSettings" Target="webSettings.xml"/><Relationship Id="rId7" Type="http://schemas.openxmlformats.org/officeDocument/2006/relationships/hyperlink" Target="https://unstats.un.org/unsd/statcom/50th-session/documents/2019-2-IAEG-SDG-C.pdf" TargetMode="External"/><Relationship Id="rId12" Type="http://schemas.openxmlformats.org/officeDocument/2006/relationships/hyperlink" Target="https://unstats.un.org/unsd/statcom/50th-session/documents/2019-5-FOC-FPOS-OpenData-E.pdf"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unstats.un.org/unsd/statcom/50th-session/documents/2019-2-IAEG-SDG-A.pdf" TargetMode="External"/><Relationship Id="rId11" Type="http://schemas.openxmlformats.org/officeDocument/2006/relationships/hyperlink" Target="https://unstats.un.org/unsd/statcom/50th-session/documents/BG-Item3c-Open-Data-guidance-and-mapping-to-FPOS-E.pdf" TargetMode="External"/><Relationship Id="rId5" Type="http://schemas.openxmlformats.org/officeDocument/2006/relationships/hyperlink" Target="https://unstats.un.org/unsd/statcom/50th-session/documents/2019-2-IAEG-SDG-E.pdf" TargetMode="External"/><Relationship Id="rId15" Type="http://schemas.openxmlformats.org/officeDocument/2006/relationships/theme" Target="theme/theme1.xml"/><Relationship Id="rId10" Type="http://schemas.openxmlformats.org/officeDocument/2006/relationships/hyperlink" Target="https://unstats.un.org/unsd/statcom/50th-session/documents/2019-2-IAEG-SDG-R.pdf" TargetMode="External"/><Relationship Id="rId4" Type="http://schemas.openxmlformats.org/officeDocument/2006/relationships/image" Target="media/image1.jpeg"/><Relationship Id="rId9" Type="http://schemas.openxmlformats.org/officeDocument/2006/relationships/hyperlink" Target="https://unstats.un.org/unsd/statcom/50th-session/documents/2019-2-IAEG-SDG-F.pdf"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2</Pages>
  <Words>652</Words>
  <Characters>3718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33</cp:revision>
  <dcterms:created xsi:type="dcterms:W3CDTF">2019-03-11T15:23:00Z</dcterms:created>
  <dcterms:modified xsi:type="dcterms:W3CDTF">2019-03-11T16:05:00Z</dcterms:modified>
</cp:coreProperties>
</file>