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465D" w14:textId="488772B2" w:rsidR="00E64838" w:rsidRPr="00D13E40" w:rsidRDefault="00E64838" w:rsidP="00D13E40">
      <w:pPr>
        <w:spacing w:line="240" w:lineRule="auto"/>
        <w:contextualSpacing/>
        <w:jc w:val="center"/>
        <w:rPr>
          <w:rFonts w:asciiTheme="majorHAnsi" w:eastAsia="Calibri" w:hAnsiTheme="majorHAnsi"/>
          <w:b/>
        </w:rPr>
      </w:pPr>
      <w:r w:rsidRPr="00D13E40">
        <w:rPr>
          <w:rFonts w:asciiTheme="majorHAnsi" w:eastAsia="Calibri" w:hAnsiTheme="majorHAnsi"/>
          <w:b/>
        </w:rPr>
        <w:t>Human Rights Council virtual informal conversation with</w:t>
      </w:r>
    </w:p>
    <w:p w14:paraId="044F442C" w14:textId="77777777" w:rsidR="00E64838" w:rsidRPr="00D13E40" w:rsidRDefault="00E64838" w:rsidP="00E64838">
      <w:pPr>
        <w:spacing w:line="240" w:lineRule="auto"/>
        <w:contextualSpacing/>
        <w:jc w:val="center"/>
        <w:rPr>
          <w:rFonts w:asciiTheme="majorHAnsi" w:eastAsia="Calibri" w:hAnsiTheme="majorHAnsi"/>
          <w:b/>
        </w:rPr>
      </w:pPr>
      <w:r w:rsidRPr="00D13E40">
        <w:rPr>
          <w:rFonts w:asciiTheme="majorHAnsi" w:eastAsia="Calibri" w:hAnsiTheme="majorHAnsi"/>
          <w:b/>
        </w:rPr>
        <w:t xml:space="preserve">the UN High Commissioner for Human Rights </w:t>
      </w:r>
    </w:p>
    <w:p w14:paraId="73CC98B2" w14:textId="76B409A8" w:rsidR="00E64838" w:rsidRPr="00D13E40" w:rsidRDefault="00E64838" w:rsidP="00E64838">
      <w:pPr>
        <w:spacing w:line="240" w:lineRule="auto"/>
        <w:contextualSpacing/>
        <w:jc w:val="center"/>
        <w:rPr>
          <w:rFonts w:asciiTheme="majorHAnsi" w:eastAsia="Calibri" w:hAnsiTheme="majorHAnsi"/>
          <w:b/>
        </w:rPr>
      </w:pPr>
      <w:r w:rsidRPr="00D13E40">
        <w:rPr>
          <w:rFonts w:asciiTheme="majorHAnsi" w:eastAsia="Calibri" w:hAnsiTheme="majorHAnsi"/>
          <w:b/>
        </w:rPr>
        <w:t xml:space="preserve">Joint NGO statement on </w:t>
      </w:r>
      <w:r w:rsidR="008C7B3C">
        <w:rPr>
          <w:rFonts w:asciiTheme="majorHAnsi" w:eastAsia="Calibri" w:hAnsiTheme="majorHAnsi"/>
          <w:b/>
        </w:rPr>
        <w:t xml:space="preserve">the </w:t>
      </w:r>
      <w:r w:rsidRPr="00D13E40">
        <w:rPr>
          <w:rFonts w:asciiTheme="majorHAnsi" w:eastAsia="Calibri" w:hAnsiTheme="majorHAnsi"/>
          <w:b/>
        </w:rPr>
        <w:t xml:space="preserve">United Nations’ COVID-19 response </w:t>
      </w:r>
    </w:p>
    <w:p w14:paraId="741E0D92" w14:textId="60994A84" w:rsidR="00E64838" w:rsidRPr="00D13E40" w:rsidRDefault="00E64838" w:rsidP="00E64838">
      <w:pPr>
        <w:spacing w:line="240" w:lineRule="auto"/>
        <w:contextualSpacing/>
        <w:jc w:val="center"/>
        <w:rPr>
          <w:rFonts w:asciiTheme="majorHAnsi" w:eastAsia="Calibri" w:hAnsiTheme="majorHAnsi"/>
          <w:b/>
        </w:rPr>
      </w:pPr>
      <w:r w:rsidRPr="00D13E40">
        <w:rPr>
          <w:rFonts w:asciiTheme="majorHAnsi" w:eastAsia="Calibri" w:hAnsiTheme="majorHAnsi"/>
          <w:b/>
        </w:rPr>
        <w:t>Thursday, 09 April 2020</w:t>
      </w:r>
    </w:p>
    <w:p w14:paraId="4F4FDD0A" w14:textId="3C54D2CD" w:rsidR="00E64838" w:rsidRDefault="00E64838" w:rsidP="00E64838">
      <w:pPr>
        <w:rPr>
          <w:rFonts w:asciiTheme="majorHAnsi" w:hAnsiTheme="majorHAnsi" w:cstheme="majorHAnsi"/>
          <w:sz w:val="20"/>
          <w:szCs w:val="20"/>
        </w:rPr>
      </w:pPr>
    </w:p>
    <w:p w14:paraId="5C1D7CCC" w14:textId="0CD4B2B0" w:rsidR="00766F2C" w:rsidRPr="005B7194" w:rsidRDefault="00B93DC3">
      <w:pPr>
        <w:rPr>
          <w:rFonts w:asciiTheme="majorHAnsi" w:hAnsiTheme="majorHAnsi" w:cstheme="majorHAnsi"/>
          <w:sz w:val="20"/>
          <w:szCs w:val="20"/>
        </w:rPr>
      </w:pPr>
      <w:r w:rsidRPr="005B7194">
        <w:rPr>
          <w:rFonts w:asciiTheme="majorHAnsi" w:hAnsiTheme="majorHAnsi" w:cstheme="majorHAnsi"/>
          <w:sz w:val="20"/>
          <w:szCs w:val="20"/>
        </w:rPr>
        <w:t xml:space="preserve">The COVID-19 crisis is powerfully demonstrating the ways in which the human rights of all people are interdependent and interrelated and that ensuring a safe and enabling environment for civil society to promote, protect and seek accountability for violations of these rights should be a universal commitment and concern. </w:t>
      </w:r>
    </w:p>
    <w:p w14:paraId="147F866C" w14:textId="7B549C3F" w:rsidR="00766F2C" w:rsidRPr="005B7194" w:rsidRDefault="00766F2C">
      <w:pPr>
        <w:rPr>
          <w:rFonts w:asciiTheme="majorHAnsi" w:hAnsiTheme="majorHAnsi" w:cstheme="majorHAnsi"/>
          <w:sz w:val="20"/>
          <w:szCs w:val="20"/>
        </w:rPr>
      </w:pPr>
    </w:p>
    <w:p w14:paraId="5E977A19" w14:textId="3F5521DA" w:rsidR="00651D24" w:rsidRPr="005B7194" w:rsidRDefault="00766F2C" w:rsidP="00904B9D">
      <w:pPr>
        <w:spacing w:after="240"/>
        <w:rPr>
          <w:rFonts w:asciiTheme="majorHAnsi" w:hAnsiTheme="majorHAnsi" w:cstheme="majorHAnsi"/>
          <w:sz w:val="20"/>
          <w:szCs w:val="20"/>
        </w:rPr>
      </w:pPr>
      <w:r w:rsidRPr="005B7194">
        <w:rPr>
          <w:rFonts w:asciiTheme="majorHAnsi" w:hAnsiTheme="majorHAnsi" w:cstheme="majorHAnsi"/>
          <w:sz w:val="20"/>
          <w:szCs w:val="20"/>
          <w:lang w:val="en-US"/>
        </w:rPr>
        <w:t>We thank the High Commissioner and the H</w:t>
      </w:r>
      <w:r w:rsidR="00AE691A">
        <w:rPr>
          <w:rFonts w:asciiTheme="majorHAnsi" w:hAnsiTheme="majorHAnsi" w:cstheme="majorHAnsi"/>
          <w:sz w:val="20"/>
          <w:szCs w:val="20"/>
          <w:lang w:val="en-US"/>
        </w:rPr>
        <w:t xml:space="preserve">uman </w:t>
      </w:r>
      <w:r w:rsidRPr="005B7194">
        <w:rPr>
          <w:rFonts w:asciiTheme="majorHAnsi" w:hAnsiTheme="majorHAnsi" w:cstheme="majorHAnsi"/>
          <w:sz w:val="20"/>
          <w:szCs w:val="20"/>
          <w:lang w:val="en-US"/>
        </w:rPr>
        <w:t>R</w:t>
      </w:r>
      <w:r w:rsidR="00AE691A">
        <w:rPr>
          <w:rFonts w:asciiTheme="majorHAnsi" w:hAnsiTheme="majorHAnsi" w:cstheme="majorHAnsi"/>
          <w:sz w:val="20"/>
          <w:szCs w:val="20"/>
          <w:lang w:val="en-US"/>
        </w:rPr>
        <w:t xml:space="preserve">ights </w:t>
      </w:r>
      <w:r w:rsidRPr="005B7194">
        <w:rPr>
          <w:rFonts w:asciiTheme="majorHAnsi" w:hAnsiTheme="majorHAnsi" w:cstheme="majorHAnsi"/>
          <w:sz w:val="20"/>
          <w:szCs w:val="20"/>
          <w:lang w:val="en-US"/>
        </w:rPr>
        <w:t>C</w:t>
      </w:r>
      <w:r w:rsidR="00AE691A">
        <w:rPr>
          <w:rFonts w:asciiTheme="majorHAnsi" w:hAnsiTheme="majorHAnsi" w:cstheme="majorHAnsi"/>
          <w:sz w:val="20"/>
          <w:szCs w:val="20"/>
          <w:lang w:val="en-US"/>
        </w:rPr>
        <w:t>ouncil</w:t>
      </w:r>
      <w:r w:rsidRPr="005B7194">
        <w:rPr>
          <w:rFonts w:asciiTheme="majorHAnsi" w:hAnsiTheme="majorHAnsi" w:cstheme="majorHAnsi"/>
          <w:sz w:val="20"/>
          <w:szCs w:val="20"/>
          <w:lang w:val="en-US"/>
        </w:rPr>
        <w:t xml:space="preserve"> President for their leadership in convening this briefing.</w:t>
      </w:r>
      <w:r w:rsidRPr="005B7194">
        <w:rPr>
          <w:rFonts w:asciiTheme="majorHAnsi" w:hAnsiTheme="majorHAnsi" w:cstheme="majorHAnsi"/>
          <w:sz w:val="20"/>
          <w:szCs w:val="20"/>
        </w:rPr>
        <w:t xml:space="preserve"> </w:t>
      </w:r>
      <w:r w:rsidR="00651D24" w:rsidRPr="005B7194">
        <w:rPr>
          <w:rFonts w:asciiTheme="majorHAnsi" w:hAnsiTheme="majorHAnsi" w:cstheme="majorHAnsi"/>
          <w:sz w:val="20"/>
          <w:szCs w:val="20"/>
        </w:rPr>
        <w:t xml:space="preserve">We hope this will be the first </w:t>
      </w:r>
      <w:r w:rsidR="00281628" w:rsidRPr="005B7194">
        <w:rPr>
          <w:rFonts w:asciiTheme="majorHAnsi" w:hAnsiTheme="majorHAnsi" w:cstheme="majorHAnsi"/>
          <w:sz w:val="20"/>
          <w:szCs w:val="20"/>
        </w:rPr>
        <w:t xml:space="preserve">opportunity </w:t>
      </w:r>
      <w:r w:rsidR="00651D24" w:rsidRPr="005B7194">
        <w:rPr>
          <w:rFonts w:asciiTheme="majorHAnsi" w:hAnsiTheme="majorHAnsi" w:cstheme="majorHAnsi"/>
          <w:sz w:val="20"/>
          <w:szCs w:val="20"/>
        </w:rPr>
        <w:t xml:space="preserve">of many – to share good practices, address violations and provide a forum for discussion. </w:t>
      </w:r>
      <w:r w:rsidR="00271189" w:rsidRPr="005B7194">
        <w:rPr>
          <w:rFonts w:asciiTheme="majorHAnsi" w:hAnsiTheme="majorHAnsi" w:cstheme="majorHAnsi"/>
          <w:sz w:val="20"/>
          <w:szCs w:val="20"/>
        </w:rPr>
        <w:t>This</w:t>
      </w:r>
      <w:r w:rsidR="00651D24" w:rsidRPr="005B7194">
        <w:rPr>
          <w:rFonts w:asciiTheme="majorHAnsi" w:hAnsiTheme="majorHAnsi" w:cstheme="majorHAnsi"/>
          <w:sz w:val="20"/>
          <w:szCs w:val="20"/>
        </w:rPr>
        <w:t xml:space="preserve"> </w:t>
      </w:r>
      <w:r w:rsidR="00271189" w:rsidRPr="005B7194">
        <w:rPr>
          <w:rFonts w:asciiTheme="majorHAnsi" w:hAnsiTheme="majorHAnsi" w:cstheme="majorHAnsi"/>
          <w:sz w:val="20"/>
          <w:szCs w:val="20"/>
        </w:rPr>
        <w:t xml:space="preserve">is a </w:t>
      </w:r>
      <w:r w:rsidR="00651D24" w:rsidRPr="005B7194">
        <w:rPr>
          <w:rFonts w:asciiTheme="majorHAnsi" w:hAnsiTheme="majorHAnsi" w:cstheme="majorHAnsi"/>
          <w:sz w:val="20"/>
          <w:szCs w:val="20"/>
        </w:rPr>
        <w:t xml:space="preserve">much-needed regular activity for the Council </w:t>
      </w:r>
      <w:r w:rsidR="00904B9D" w:rsidRPr="005B7194">
        <w:rPr>
          <w:rFonts w:asciiTheme="majorHAnsi" w:hAnsiTheme="majorHAnsi" w:cstheme="majorHAnsi"/>
          <w:sz w:val="20"/>
          <w:szCs w:val="20"/>
        </w:rPr>
        <w:t xml:space="preserve">while </w:t>
      </w:r>
      <w:r w:rsidR="00651D24" w:rsidRPr="005B7194">
        <w:rPr>
          <w:rFonts w:asciiTheme="majorHAnsi" w:hAnsiTheme="majorHAnsi" w:cstheme="majorHAnsi"/>
          <w:sz w:val="20"/>
          <w:szCs w:val="20"/>
        </w:rPr>
        <w:t>the formal session is suspended.</w:t>
      </w:r>
    </w:p>
    <w:p w14:paraId="00000003" w14:textId="1E12E89B" w:rsidR="00FB15A1" w:rsidRPr="005B7194" w:rsidRDefault="00766F2C" w:rsidP="00F03B94">
      <w:pPr>
        <w:spacing w:after="240"/>
        <w:rPr>
          <w:rFonts w:asciiTheme="majorHAnsi" w:hAnsiTheme="majorHAnsi" w:cstheme="majorHAnsi"/>
          <w:sz w:val="20"/>
          <w:szCs w:val="20"/>
        </w:rPr>
      </w:pPr>
      <w:r w:rsidRPr="005B7194">
        <w:rPr>
          <w:rFonts w:asciiTheme="majorHAnsi" w:hAnsiTheme="majorHAnsi" w:cstheme="majorHAnsi"/>
          <w:sz w:val="20"/>
          <w:szCs w:val="20"/>
          <w:lang w:val="en-US"/>
        </w:rPr>
        <w:t xml:space="preserve">Human rights must be central to </w:t>
      </w:r>
      <w:r w:rsidR="00E91763" w:rsidRPr="005B7194">
        <w:rPr>
          <w:rFonts w:asciiTheme="majorHAnsi" w:hAnsiTheme="majorHAnsi" w:cstheme="majorHAnsi"/>
          <w:sz w:val="20"/>
          <w:szCs w:val="20"/>
          <w:lang w:val="en-US"/>
        </w:rPr>
        <w:t>the United Nations’</w:t>
      </w:r>
      <w:r w:rsidRPr="005B7194">
        <w:rPr>
          <w:rFonts w:asciiTheme="majorHAnsi" w:hAnsiTheme="majorHAnsi" w:cstheme="majorHAnsi"/>
          <w:sz w:val="20"/>
          <w:szCs w:val="20"/>
          <w:lang w:val="en-US"/>
        </w:rPr>
        <w:t xml:space="preserve"> response across the board. The</w:t>
      </w:r>
      <w:r w:rsidR="00B93DC3" w:rsidRPr="005B7194">
        <w:rPr>
          <w:rFonts w:asciiTheme="majorHAnsi" w:hAnsiTheme="majorHAnsi" w:cstheme="majorHAnsi"/>
          <w:sz w:val="20"/>
          <w:szCs w:val="20"/>
        </w:rPr>
        <w:t xml:space="preserve"> crisis makes the implementation of the UN Secretary General’s </w:t>
      </w:r>
      <w:r w:rsidR="00F03B94" w:rsidRPr="005B7194">
        <w:rPr>
          <w:rFonts w:asciiTheme="majorHAnsi" w:hAnsiTheme="majorHAnsi" w:cstheme="majorHAnsi"/>
          <w:sz w:val="20"/>
          <w:szCs w:val="20"/>
        </w:rPr>
        <w:t>C</w:t>
      </w:r>
      <w:r w:rsidR="00B93DC3" w:rsidRPr="005B7194">
        <w:rPr>
          <w:rFonts w:asciiTheme="majorHAnsi" w:hAnsiTheme="majorHAnsi" w:cstheme="majorHAnsi"/>
          <w:sz w:val="20"/>
          <w:szCs w:val="20"/>
        </w:rPr>
        <w:t xml:space="preserve">all to </w:t>
      </w:r>
      <w:r w:rsidR="00F03B94" w:rsidRPr="005B7194">
        <w:rPr>
          <w:rFonts w:asciiTheme="majorHAnsi" w:hAnsiTheme="majorHAnsi" w:cstheme="majorHAnsi"/>
          <w:sz w:val="20"/>
          <w:szCs w:val="20"/>
        </w:rPr>
        <w:t>A</w:t>
      </w:r>
      <w:r w:rsidR="00B93DC3" w:rsidRPr="005B7194">
        <w:rPr>
          <w:rFonts w:asciiTheme="majorHAnsi" w:hAnsiTheme="majorHAnsi" w:cstheme="majorHAnsi"/>
          <w:sz w:val="20"/>
          <w:szCs w:val="20"/>
        </w:rPr>
        <w:t>ction on human rights even more urgent</w:t>
      </w:r>
      <w:r w:rsidR="00A500B2" w:rsidRPr="005B7194">
        <w:rPr>
          <w:rFonts w:asciiTheme="majorHAnsi" w:hAnsiTheme="majorHAnsi" w:cstheme="majorHAnsi"/>
          <w:sz w:val="20"/>
          <w:szCs w:val="20"/>
        </w:rPr>
        <w:t xml:space="preserve"> and civil society has a vital role to play in the development of an implementation plan of the Call to Action</w:t>
      </w:r>
      <w:r w:rsidR="00B93DC3" w:rsidRPr="005B7194">
        <w:rPr>
          <w:rFonts w:asciiTheme="majorHAnsi" w:hAnsiTheme="majorHAnsi" w:cstheme="majorHAnsi"/>
          <w:sz w:val="20"/>
          <w:szCs w:val="20"/>
        </w:rPr>
        <w:t xml:space="preserve">. </w:t>
      </w:r>
    </w:p>
    <w:p w14:paraId="7053C686" w14:textId="627E84F3" w:rsidR="001344D1" w:rsidRPr="005B7194" w:rsidRDefault="001344D1" w:rsidP="008D314F">
      <w:pPr>
        <w:spacing w:after="240"/>
        <w:rPr>
          <w:rFonts w:asciiTheme="majorHAnsi" w:hAnsiTheme="majorHAnsi" w:cstheme="majorHAnsi"/>
          <w:bCs/>
          <w:sz w:val="20"/>
          <w:szCs w:val="20"/>
        </w:rPr>
      </w:pPr>
      <w:r w:rsidRPr="005B7194">
        <w:rPr>
          <w:rFonts w:asciiTheme="majorHAnsi" w:hAnsiTheme="majorHAnsi" w:cstheme="majorHAnsi"/>
          <w:b/>
          <w:sz w:val="20"/>
          <w:szCs w:val="20"/>
        </w:rPr>
        <w:t xml:space="preserve">The UN Secretary-General </w:t>
      </w:r>
      <w:r w:rsidRPr="005B7194">
        <w:rPr>
          <w:rFonts w:asciiTheme="majorHAnsi" w:hAnsiTheme="majorHAnsi" w:cstheme="majorHAnsi"/>
          <w:bCs/>
          <w:sz w:val="20"/>
          <w:szCs w:val="20"/>
        </w:rPr>
        <w:t xml:space="preserve">should push for the immediate release of human rights defenders, journalists and indeed anyone arbitrarily deprived of liberty or forcibly disappeared, </w:t>
      </w:r>
      <w:r w:rsidR="008D314F" w:rsidRPr="005B7194">
        <w:rPr>
          <w:rFonts w:asciiTheme="majorHAnsi" w:hAnsiTheme="majorHAnsi" w:cstheme="majorHAnsi"/>
          <w:bCs/>
          <w:sz w:val="20"/>
          <w:szCs w:val="20"/>
        </w:rPr>
        <w:t>due to</w:t>
      </w:r>
      <w:r w:rsidRPr="005B7194">
        <w:rPr>
          <w:rFonts w:asciiTheme="majorHAnsi" w:hAnsiTheme="majorHAnsi" w:cstheme="majorHAnsi"/>
          <w:bCs/>
          <w:sz w:val="20"/>
          <w:szCs w:val="20"/>
        </w:rPr>
        <w:t xml:space="preserve"> their exercise of human rights including freedom of expression and opinion, association or assembly. </w:t>
      </w:r>
      <w:r w:rsidR="00281628" w:rsidRPr="005B7194">
        <w:rPr>
          <w:rFonts w:asciiTheme="majorHAnsi" w:hAnsiTheme="majorHAnsi" w:cstheme="majorHAnsi"/>
          <w:bCs/>
          <w:sz w:val="20"/>
          <w:szCs w:val="20"/>
        </w:rPr>
        <w:t xml:space="preserve">In line with the </w:t>
      </w:r>
      <w:r w:rsidRPr="005B7194">
        <w:rPr>
          <w:rFonts w:asciiTheme="majorHAnsi" w:hAnsiTheme="majorHAnsi" w:cstheme="majorHAnsi"/>
          <w:bCs/>
          <w:sz w:val="20"/>
          <w:szCs w:val="20"/>
        </w:rPr>
        <w:t>High Commissioner</w:t>
      </w:r>
      <w:r w:rsidR="00281628" w:rsidRPr="005B7194">
        <w:rPr>
          <w:rFonts w:asciiTheme="majorHAnsi" w:hAnsiTheme="majorHAnsi" w:cstheme="majorHAnsi"/>
          <w:bCs/>
          <w:sz w:val="20"/>
          <w:szCs w:val="20"/>
        </w:rPr>
        <w:t xml:space="preserve">’s </w:t>
      </w:r>
      <w:hyperlink r:id="rId8">
        <w:r w:rsidRPr="005B7194">
          <w:rPr>
            <w:rFonts w:asciiTheme="majorHAnsi" w:hAnsiTheme="majorHAnsi" w:cstheme="majorHAnsi"/>
            <w:bCs/>
            <w:color w:val="1155CC"/>
            <w:sz w:val="20"/>
            <w:szCs w:val="20"/>
            <w:u w:val="single"/>
          </w:rPr>
          <w:t>st</w:t>
        </w:r>
        <w:r w:rsidR="00281628" w:rsidRPr="005B7194">
          <w:rPr>
            <w:rFonts w:asciiTheme="majorHAnsi" w:hAnsiTheme="majorHAnsi" w:cstheme="majorHAnsi"/>
            <w:bCs/>
            <w:color w:val="1155CC"/>
            <w:sz w:val="20"/>
            <w:szCs w:val="20"/>
            <w:u w:val="single"/>
          </w:rPr>
          <w:t>atement</w:t>
        </w:r>
      </w:hyperlink>
      <w:r w:rsidRPr="005B7194">
        <w:rPr>
          <w:rFonts w:asciiTheme="majorHAnsi" w:hAnsiTheme="majorHAnsi" w:cstheme="majorHAnsi"/>
          <w:bCs/>
          <w:color w:val="1155CC"/>
          <w:sz w:val="20"/>
          <w:szCs w:val="20"/>
          <w:u w:val="single"/>
        </w:rPr>
        <w:t xml:space="preserve"> </w:t>
      </w:r>
      <w:r w:rsidRPr="005B7194">
        <w:rPr>
          <w:rFonts w:asciiTheme="majorHAnsi" w:hAnsiTheme="majorHAnsi" w:cstheme="majorHAnsi"/>
          <w:bCs/>
          <w:sz w:val="20"/>
          <w:szCs w:val="20"/>
        </w:rPr>
        <w:t xml:space="preserve">that </w:t>
      </w:r>
      <w:r w:rsidRPr="005B7194">
        <w:rPr>
          <w:rFonts w:asciiTheme="majorHAnsi" w:hAnsiTheme="majorHAnsi" w:cstheme="majorHAnsi"/>
          <w:bCs/>
          <w:i/>
          <w:iCs/>
          <w:sz w:val="20"/>
          <w:szCs w:val="20"/>
        </w:rPr>
        <w:t>“now, more than ever, governments should release every person detained without sufficient legal basis, including political prisoners and others detained simply for expressing critical or dissenting views”.</w:t>
      </w:r>
      <w:r w:rsidRPr="005B7194">
        <w:rPr>
          <w:rFonts w:asciiTheme="majorHAnsi" w:hAnsiTheme="majorHAnsi" w:cstheme="majorHAnsi"/>
          <w:bCs/>
          <w:sz w:val="20"/>
          <w:szCs w:val="20"/>
        </w:rPr>
        <w:t xml:space="preserve"> </w:t>
      </w:r>
    </w:p>
    <w:p w14:paraId="03FF8787" w14:textId="45F491A2" w:rsidR="008D314F" w:rsidRPr="005B7194" w:rsidRDefault="00DC2BDD" w:rsidP="008D314F">
      <w:pPr>
        <w:rPr>
          <w:rFonts w:asciiTheme="majorHAnsi" w:hAnsiTheme="majorHAnsi" w:cstheme="majorHAnsi"/>
          <w:sz w:val="20"/>
          <w:szCs w:val="20"/>
        </w:rPr>
      </w:pPr>
      <w:r w:rsidRPr="005B7194">
        <w:rPr>
          <w:rFonts w:asciiTheme="majorHAnsi" w:hAnsiTheme="majorHAnsi" w:cstheme="majorHAnsi"/>
          <w:sz w:val="20"/>
          <w:szCs w:val="20"/>
        </w:rPr>
        <w:t>The UN Secretary-General</w:t>
      </w:r>
      <w:r w:rsidR="00C84484">
        <w:rPr>
          <w:rFonts w:asciiTheme="majorHAnsi" w:hAnsiTheme="majorHAnsi" w:cstheme="majorHAnsi"/>
          <w:sz w:val="20"/>
          <w:szCs w:val="20"/>
        </w:rPr>
        <w:t>’s</w:t>
      </w:r>
      <w:r w:rsidRPr="005B7194">
        <w:rPr>
          <w:rFonts w:asciiTheme="majorHAnsi" w:hAnsiTheme="majorHAnsi" w:cstheme="majorHAnsi"/>
          <w:sz w:val="20"/>
          <w:szCs w:val="20"/>
        </w:rPr>
        <w:t xml:space="preserve"> appeal for an “</w:t>
      </w:r>
      <w:r w:rsidRPr="005B7194">
        <w:rPr>
          <w:rFonts w:asciiTheme="majorHAnsi" w:hAnsiTheme="majorHAnsi" w:cstheme="majorHAnsi"/>
          <w:b/>
          <w:bCs/>
          <w:sz w:val="20"/>
          <w:szCs w:val="20"/>
        </w:rPr>
        <w:t>immediate</w:t>
      </w:r>
      <w:r w:rsidRPr="005B7194">
        <w:rPr>
          <w:rFonts w:asciiTheme="majorHAnsi" w:hAnsiTheme="majorHAnsi" w:cstheme="majorHAnsi"/>
          <w:sz w:val="20"/>
          <w:szCs w:val="20"/>
        </w:rPr>
        <w:t xml:space="preserve"> </w:t>
      </w:r>
      <w:r w:rsidRPr="005B7194">
        <w:rPr>
          <w:rFonts w:asciiTheme="majorHAnsi" w:hAnsiTheme="majorHAnsi" w:cstheme="majorHAnsi"/>
          <w:b/>
          <w:bCs/>
          <w:sz w:val="20"/>
          <w:szCs w:val="20"/>
        </w:rPr>
        <w:t>global ceasefire in all corners of the world</w:t>
      </w:r>
      <w:r w:rsidRPr="005B7194">
        <w:rPr>
          <w:rFonts w:asciiTheme="majorHAnsi" w:hAnsiTheme="majorHAnsi" w:cstheme="majorHAnsi"/>
          <w:sz w:val="20"/>
          <w:szCs w:val="20"/>
        </w:rPr>
        <w:t xml:space="preserve">” is already being echoed by world leaders and figures. Ending armed conflict will allow humanitarian aid to reach vulnerable populations, those that pay the highest price during war; which will include the ability to transfer necessary medical supplies and personnel. A global ceasefire will also reduce the number of injuries requiring medical attention during a time when hospitals and medical facilities are overwhelmed with COVID-19 patients. The UN should demand that States redirect public resources from weapons and war towards the production of medical equipment, medical staff, and provision of wages, rents, food and health care of those suffering from the economic impacts of the COVID-19. </w:t>
      </w:r>
    </w:p>
    <w:p w14:paraId="035C8FEF" w14:textId="11D3C37F" w:rsidR="004A47ED" w:rsidRPr="005B7194" w:rsidRDefault="004A47ED" w:rsidP="008D314F">
      <w:pPr>
        <w:rPr>
          <w:rFonts w:asciiTheme="majorHAnsi" w:hAnsiTheme="majorHAnsi" w:cstheme="majorHAnsi"/>
          <w:sz w:val="20"/>
          <w:szCs w:val="20"/>
        </w:rPr>
      </w:pPr>
      <w:r w:rsidRPr="005B7194">
        <w:rPr>
          <w:rFonts w:asciiTheme="majorHAnsi" w:hAnsiTheme="majorHAnsi" w:cstheme="majorHAnsi"/>
          <w:sz w:val="20"/>
          <w:szCs w:val="20"/>
        </w:rPr>
        <w:t xml:space="preserve"> </w:t>
      </w:r>
    </w:p>
    <w:p w14:paraId="35AC3783" w14:textId="02C0CB5C" w:rsidR="00E855B8" w:rsidRPr="005B7194" w:rsidRDefault="00EF3FEE" w:rsidP="00DB485F">
      <w:pPr>
        <w:spacing w:after="240"/>
        <w:rPr>
          <w:rFonts w:asciiTheme="majorHAnsi" w:hAnsiTheme="majorHAnsi" w:cstheme="majorHAnsi"/>
          <w:sz w:val="20"/>
          <w:szCs w:val="20"/>
        </w:rPr>
      </w:pPr>
      <w:r w:rsidRPr="005B7194">
        <w:rPr>
          <w:rFonts w:asciiTheme="majorHAnsi" w:hAnsiTheme="majorHAnsi" w:cstheme="majorHAnsi"/>
          <w:sz w:val="20"/>
          <w:szCs w:val="20"/>
        </w:rPr>
        <w:t xml:space="preserve">We welcome the engagement by the High Commissioner and </w:t>
      </w:r>
      <w:r w:rsidR="00C84484">
        <w:rPr>
          <w:rFonts w:asciiTheme="majorHAnsi" w:hAnsiTheme="majorHAnsi" w:cstheme="majorHAnsi"/>
          <w:sz w:val="20"/>
          <w:szCs w:val="20"/>
        </w:rPr>
        <w:t xml:space="preserve">the </w:t>
      </w:r>
      <w:r w:rsidRPr="005B7194">
        <w:rPr>
          <w:rFonts w:asciiTheme="majorHAnsi" w:hAnsiTheme="majorHAnsi" w:cstheme="majorHAnsi"/>
          <w:b/>
          <w:bCs/>
          <w:sz w:val="20"/>
          <w:szCs w:val="20"/>
        </w:rPr>
        <w:t>OHCHR</w:t>
      </w:r>
      <w:r w:rsidRPr="005B7194">
        <w:rPr>
          <w:rFonts w:asciiTheme="majorHAnsi" w:hAnsiTheme="majorHAnsi" w:cstheme="majorHAnsi"/>
          <w:sz w:val="20"/>
          <w:szCs w:val="20"/>
        </w:rPr>
        <w:t xml:space="preserve"> </w:t>
      </w:r>
      <w:r w:rsidR="00DB485F" w:rsidRPr="005B7194">
        <w:rPr>
          <w:rFonts w:asciiTheme="majorHAnsi" w:hAnsiTheme="majorHAnsi" w:cstheme="majorHAnsi"/>
          <w:sz w:val="20"/>
          <w:szCs w:val="20"/>
        </w:rPr>
        <w:t xml:space="preserve">and </w:t>
      </w:r>
      <w:r w:rsidR="004823C3" w:rsidRPr="005B7194">
        <w:rPr>
          <w:rFonts w:asciiTheme="majorHAnsi" w:hAnsiTheme="majorHAnsi" w:cstheme="majorHAnsi"/>
          <w:sz w:val="20"/>
          <w:szCs w:val="20"/>
        </w:rPr>
        <w:t>call on the OHCHR offices on the ground and in headquarters to coordinate with civil society to establish enhanced and secure methods to effectively document and mon</w:t>
      </w:r>
      <w:r w:rsidR="000048E7" w:rsidRPr="005B7194">
        <w:rPr>
          <w:rFonts w:asciiTheme="majorHAnsi" w:hAnsiTheme="majorHAnsi" w:cstheme="majorHAnsi"/>
          <w:sz w:val="20"/>
          <w:szCs w:val="20"/>
        </w:rPr>
        <w:t>itor the human rights situation</w:t>
      </w:r>
      <w:r w:rsidR="00E855B8" w:rsidRPr="005B7194">
        <w:rPr>
          <w:rFonts w:asciiTheme="majorHAnsi" w:hAnsiTheme="majorHAnsi" w:cstheme="majorHAnsi"/>
          <w:sz w:val="20"/>
          <w:szCs w:val="20"/>
        </w:rPr>
        <w:t xml:space="preserve">, in particular where emergency measures have resulted in the suspension of civil liberties.    </w:t>
      </w:r>
    </w:p>
    <w:p w14:paraId="6B9A528E" w14:textId="733D8A51" w:rsidR="00B1762C" w:rsidRPr="005B7194" w:rsidRDefault="00651EEB" w:rsidP="00E855B8">
      <w:pPr>
        <w:spacing w:after="240"/>
        <w:rPr>
          <w:rFonts w:asciiTheme="majorHAnsi" w:hAnsiTheme="majorHAnsi" w:cstheme="majorHAnsi"/>
          <w:sz w:val="20"/>
          <w:szCs w:val="20"/>
        </w:rPr>
      </w:pPr>
      <w:r w:rsidRPr="005B7194">
        <w:rPr>
          <w:rFonts w:asciiTheme="majorHAnsi" w:hAnsiTheme="majorHAnsi" w:cstheme="majorHAnsi"/>
          <w:sz w:val="20"/>
          <w:szCs w:val="20"/>
        </w:rPr>
        <w:t xml:space="preserve">The crisis needs a multi-faceted response by the OHCHR and the HRC’s mechanisms. The </w:t>
      </w:r>
      <w:r w:rsidRPr="005B7194">
        <w:rPr>
          <w:rFonts w:asciiTheme="majorHAnsi" w:hAnsiTheme="majorHAnsi" w:cstheme="majorHAnsi"/>
          <w:b/>
          <w:bCs/>
          <w:sz w:val="20"/>
          <w:szCs w:val="20"/>
        </w:rPr>
        <w:t>Special Procedures</w:t>
      </w:r>
      <w:r w:rsidRPr="005B7194">
        <w:rPr>
          <w:rFonts w:asciiTheme="majorHAnsi" w:hAnsiTheme="majorHAnsi" w:cstheme="majorHAnsi"/>
          <w:sz w:val="20"/>
          <w:szCs w:val="20"/>
        </w:rPr>
        <w:t xml:space="preserve"> should continue to work together to provide clear guidance to States and respond robustly to violations. Special Procedures should address the impacts of COVID-19 in their reports </w:t>
      </w:r>
      <w:r w:rsidR="00E855B8" w:rsidRPr="005B7194">
        <w:rPr>
          <w:rFonts w:asciiTheme="majorHAnsi" w:hAnsiTheme="majorHAnsi" w:cstheme="majorHAnsi"/>
          <w:sz w:val="20"/>
          <w:szCs w:val="20"/>
        </w:rPr>
        <w:t xml:space="preserve">to </w:t>
      </w:r>
      <w:r w:rsidRPr="005B7194">
        <w:rPr>
          <w:rFonts w:asciiTheme="majorHAnsi" w:hAnsiTheme="majorHAnsi" w:cstheme="majorHAnsi"/>
          <w:sz w:val="20"/>
          <w:szCs w:val="20"/>
        </w:rPr>
        <w:t xml:space="preserve">upcoming HRC sessions in a coordinated manner. </w:t>
      </w:r>
    </w:p>
    <w:p w14:paraId="5D32CAFE" w14:textId="2EAA09C5" w:rsidR="009F794B" w:rsidRPr="005B7194" w:rsidRDefault="009F794B" w:rsidP="00857CE2">
      <w:pPr>
        <w:spacing w:before="240" w:after="240"/>
        <w:rPr>
          <w:rFonts w:asciiTheme="majorHAnsi" w:hAnsiTheme="majorHAnsi" w:cstheme="majorHAnsi"/>
          <w:sz w:val="20"/>
          <w:szCs w:val="20"/>
        </w:rPr>
      </w:pPr>
      <w:r w:rsidRPr="005B7194">
        <w:rPr>
          <w:rFonts w:asciiTheme="majorHAnsi" w:hAnsiTheme="majorHAnsi" w:cstheme="majorHAnsi"/>
          <w:sz w:val="20"/>
          <w:szCs w:val="20"/>
        </w:rPr>
        <w:t>Certain</w:t>
      </w:r>
      <w:r w:rsidRPr="005B7194">
        <w:rPr>
          <w:rFonts w:asciiTheme="majorHAnsi" w:hAnsiTheme="majorHAnsi" w:cstheme="majorHAnsi"/>
          <w:b/>
          <w:bCs/>
          <w:sz w:val="20"/>
          <w:szCs w:val="20"/>
        </w:rPr>
        <w:t xml:space="preserve"> groups</w:t>
      </w:r>
      <w:r w:rsidRPr="005B7194">
        <w:rPr>
          <w:rFonts w:asciiTheme="majorHAnsi" w:hAnsiTheme="majorHAnsi" w:cstheme="majorHAnsi"/>
          <w:sz w:val="20"/>
          <w:szCs w:val="20"/>
        </w:rPr>
        <w:t xml:space="preserve">, such as </w:t>
      </w:r>
      <w:r w:rsidR="00857CE2" w:rsidRPr="005B7194">
        <w:rPr>
          <w:rFonts w:asciiTheme="majorHAnsi" w:hAnsiTheme="majorHAnsi" w:cstheme="majorHAnsi"/>
          <w:sz w:val="20"/>
          <w:szCs w:val="20"/>
        </w:rPr>
        <w:t xml:space="preserve">persons </w:t>
      </w:r>
      <w:r w:rsidRPr="005B7194">
        <w:rPr>
          <w:rFonts w:asciiTheme="majorHAnsi" w:hAnsiTheme="majorHAnsi" w:cstheme="majorHAnsi"/>
          <w:sz w:val="20"/>
          <w:szCs w:val="20"/>
        </w:rPr>
        <w:t>with disabilities, children, older persons, minority communities, indigenous peoples, internally displaced people, people affected by extreme poverty and living in overcrowded settings, low-wage workers, those working in the informal sectors, people who live in residential institutions, people in detention, homeless people, migrants and refugees, people who use drugs, LGBT</w:t>
      </w:r>
      <w:r w:rsidR="008972DE" w:rsidRPr="005B7194">
        <w:rPr>
          <w:rFonts w:asciiTheme="majorHAnsi" w:hAnsiTheme="majorHAnsi" w:cstheme="majorHAnsi"/>
          <w:sz w:val="20"/>
          <w:szCs w:val="20"/>
        </w:rPr>
        <w:t>+</w:t>
      </w:r>
      <w:r w:rsidRPr="005B7194">
        <w:rPr>
          <w:rFonts w:asciiTheme="majorHAnsi" w:hAnsiTheme="majorHAnsi" w:cstheme="majorHAnsi"/>
          <w:sz w:val="20"/>
          <w:szCs w:val="20"/>
        </w:rPr>
        <w:t xml:space="preserve"> and gender diverse persons,  </w:t>
      </w:r>
      <w:r w:rsidRPr="005B7194">
        <w:rPr>
          <w:rFonts w:asciiTheme="majorHAnsi" w:hAnsiTheme="majorHAnsi" w:cstheme="majorHAnsi"/>
          <w:sz w:val="20"/>
          <w:szCs w:val="20"/>
        </w:rPr>
        <w:lastRenderedPageBreak/>
        <w:t>are more vulnerable, more at risk, and are</w:t>
      </w:r>
      <w:r w:rsidRPr="005B7194">
        <w:rPr>
          <w:rFonts w:asciiTheme="majorHAnsi" w:hAnsiTheme="majorHAnsi" w:cstheme="majorHAnsi"/>
          <w:color w:val="222222"/>
          <w:sz w:val="20"/>
          <w:szCs w:val="20"/>
        </w:rPr>
        <w:t xml:space="preserve"> more acutely experiencing the impact of both COVID-19 and emergency measures taken by governments</w:t>
      </w:r>
      <w:r w:rsidR="00C3035A" w:rsidRPr="005B7194">
        <w:rPr>
          <w:rFonts w:asciiTheme="majorHAnsi" w:hAnsiTheme="majorHAnsi" w:cstheme="majorHAnsi"/>
          <w:color w:val="222222"/>
          <w:sz w:val="20"/>
          <w:szCs w:val="20"/>
        </w:rPr>
        <w:t>.</w:t>
      </w:r>
      <w:r w:rsidR="00BE14EC" w:rsidRPr="005B7194">
        <w:rPr>
          <w:rFonts w:asciiTheme="majorHAnsi" w:hAnsiTheme="majorHAnsi" w:cstheme="majorHAnsi"/>
          <w:color w:val="222222"/>
          <w:sz w:val="20"/>
          <w:szCs w:val="20"/>
        </w:rPr>
        <w:t xml:space="preserve"> .</w:t>
      </w:r>
      <w:r w:rsidR="00BE14EC" w:rsidRPr="005B7194">
        <w:rPr>
          <w:rFonts w:asciiTheme="majorHAnsi" w:hAnsiTheme="majorHAnsi" w:cstheme="majorHAnsi"/>
          <w:sz w:val="20"/>
          <w:szCs w:val="20"/>
        </w:rPr>
        <w:t xml:space="preserve"> For example, measures taken increase women and girls’ vulnerability to violence, exacerbate the feminisation of poverty, </w:t>
      </w:r>
      <w:r w:rsidR="00C84484">
        <w:rPr>
          <w:rFonts w:asciiTheme="majorHAnsi" w:hAnsiTheme="majorHAnsi" w:cstheme="majorHAnsi"/>
          <w:sz w:val="20"/>
          <w:szCs w:val="20"/>
        </w:rPr>
        <w:t xml:space="preserve">and </w:t>
      </w:r>
      <w:r w:rsidR="00BE14EC" w:rsidRPr="005B7194">
        <w:rPr>
          <w:rFonts w:asciiTheme="majorHAnsi" w:hAnsiTheme="majorHAnsi" w:cstheme="majorHAnsi"/>
          <w:sz w:val="20"/>
          <w:szCs w:val="20"/>
        </w:rPr>
        <w:t xml:space="preserve">put further pressure on women and girls in their caretaking roles. </w:t>
      </w:r>
    </w:p>
    <w:p w14:paraId="3A387409" w14:textId="0E305415" w:rsidR="006B036E" w:rsidRPr="005B7194" w:rsidRDefault="00350F6F" w:rsidP="00326CE8">
      <w:pPr>
        <w:spacing w:before="240" w:after="240"/>
        <w:rPr>
          <w:rFonts w:asciiTheme="majorHAnsi" w:hAnsiTheme="majorHAnsi" w:cstheme="majorHAnsi"/>
          <w:sz w:val="20"/>
          <w:szCs w:val="20"/>
        </w:rPr>
      </w:pPr>
      <w:r w:rsidRPr="005B7194">
        <w:rPr>
          <w:rFonts w:asciiTheme="majorHAnsi" w:hAnsiTheme="majorHAnsi" w:cstheme="majorHAnsi"/>
          <w:sz w:val="20"/>
          <w:szCs w:val="20"/>
        </w:rPr>
        <w:t xml:space="preserve">We welcome the focus by the High Commissioner and </w:t>
      </w:r>
      <w:r w:rsidR="00326CE8" w:rsidRPr="005B7194">
        <w:rPr>
          <w:rFonts w:asciiTheme="majorHAnsi" w:hAnsiTheme="majorHAnsi" w:cstheme="majorHAnsi"/>
          <w:sz w:val="20"/>
          <w:szCs w:val="20"/>
        </w:rPr>
        <w:t xml:space="preserve">the </w:t>
      </w:r>
      <w:hyperlink r:id="rId9">
        <w:r w:rsidRPr="005B7194">
          <w:rPr>
            <w:rFonts w:asciiTheme="majorHAnsi" w:hAnsiTheme="majorHAnsi" w:cstheme="majorHAnsi"/>
            <w:b/>
            <w:color w:val="1155CC"/>
            <w:sz w:val="20"/>
            <w:szCs w:val="20"/>
            <w:u w:val="single"/>
          </w:rPr>
          <w:t>call by 43 Special Procedures</w:t>
        </w:r>
      </w:hyperlink>
      <w:r w:rsidRPr="005B7194">
        <w:rPr>
          <w:rFonts w:asciiTheme="majorHAnsi" w:hAnsiTheme="majorHAnsi" w:cstheme="majorHAnsi"/>
          <w:sz w:val="20"/>
          <w:szCs w:val="20"/>
        </w:rPr>
        <w:t xml:space="preserve"> </w:t>
      </w:r>
      <w:r w:rsidR="00E855B8" w:rsidRPr="005B7194">
        <w:rPr>
          <w:rFonts w:asciiTheme="majorHAnsi" w:hAnsiTheme="majorHAnsi" w:cstheme="majorHAnsi"/>
          <w:sz w:val="20"/>
          <w:szCs w:val="20"/>
        </w:rPr>
        <w:t xml:space="preserve">regarding </w:t>
      </w:r>
      <w:r w:rsidRPr="005B7194">
        <w:rPr>
          <w:rFonts w:asciiTheme="majorHAnsi" w:hAnsiTheme="majorHAnsi" w:cstheme="majorHAnsi"/>
          <w:b/>
          <w:bCs/>
          <w:sz w:val="20"/>
          <w:szCs w:val="20"/>
        </w:rPr>
        <w:t>marginalized groups and populations</w:t>
      </w:r>
      <w:r w:rsidRPr="005B7194">
        <w:rPr>
          <w:rFonts w:asciiTheme="majorHAnsi" w:hAnsiTheme="majorHAnsi" w:cstheme="majorHAnsi"/>
          <w:sz w:val="20"/>
          <w:szCs w:val="20"/>
        </w:rPr>
        <w:t xml:space="preserve"> and urge them to continue issuing guidance and recommendations </w:t>
      </w:r>
      <w:r w:rsidR="00F83ED9" w:rsidRPr="005B7194">
        <w:rPr>
          <w:rFonts w:asciiTheme="majorHAnsi" w:hAnsiTheme="majorHAnsi" w:cstheme="majorHAnsi"/>
          <w:sz w:val="20"/>
          <w:szCs w:val="20"/>
        </w:rPr>
        <w:t xml:space="preserve">highlighting the specific impacts </w:t>
      </w:r>
      <w:r w:rsidR="00281628" w:rsidRPr="005B7194">
        <w:rPr>
          <w:rFonts w:asciiTheme="majorHAnsi" w:hAnsiTheme="majorHAnsi" w:cstheme="majorHAnsi"/>
          <w:sz w:val="20"/>
          <w:szCs w:val="20"/>
        </w:rPr>
        <w:t xml:space="preserve">and necessary action </w:t>
      </w:r>
      <w:r w:rsidR="00F83ED9" w:rsidRPr="005B7194">
        <w:rPr>
          <w:rFonts w:asciiTheme="majorHAnsi" w:hAnsiTheme="majorHAnsi" w:cstheme="majorHAnsi"/>
          <w:sz w:val="20"/>
          <w:szCs w:val="20"/>
        </w:rPr>
        <w:t>in this regard</w:t>
      </w:r>
      <w:r w:rsidRPr="005B7194">
        <w:rPr>
          <w:rFonts w:asciiTheme="majorHAnsi" w:hAnsiTheme="majorHAnsi" w:cstheme="majorHAnsi"/>
          <w:sz w:val="20"/>
          <w:szCs w:val="20"/>
        </w:rPr>
        <w:t xml:space="preserve">. This is critical to ensure that no one is left behind. </w:t>
      </w:r>
    </w:p>
    <w:p w14:paraId="3244F3FC" w14:textId="3FD0AFEC" w:rsidR="004628D6" w:rsidRPr="005B7194" w:rsidRDefault="004628D6" w:rsidP="00CA6677">
      <w:pPr>
        <w:spacing w:after="240"/>
        <w:rPr>
          <w:rFonts w:asciiTheme="majorHAnsi" w:hAnsiTheme="majorHAnsi" w:cstheme="majorHAnsi"/>
          <w:sz w:val="20"/>
          <w:szCs w:val="20"/>
        </w:rPr>
      </w:pPr>
      <w:r w:rsidRPr="005B7194">
        <w:rPr>
          <w:rFonts w:asciiTheme="majorHAnsi" w:hAnsiTheme="majorHAnsi" w:cstheme="majorHAnsi"/>
          <w:sz w:val="20"/>
          <w:szCs w:val="20"/>
        </w:rPr>
        <w:t>While the pande</w:t>
      </w:r>
      <w:r w:rsidR="00735804">
        <w:rPr>
          <w:rFonts w:asciiTheme="majorHAnsi" w:hAnsiTheme="majorHAnsi" w:cstheme="majorHAnsi"/>
          <w:sz w:val="20"/>
          <w:szCs w:val="20"/>
        </w:rPr>
        <w:t>mic requires strong responses, g</w:t>
      </w:r>
      <w:r w:rsidRPr="005B7194">
        <w:rPr>
          <w:rFonts w:asciiTheme="majorHAnsi" w:hAnsiTheme="majorHAnsi" w:cstheme="majorHAnsi"/>
          <w:sz w:val="20"/>
          <w:szCs w:val="20"/>
        </w:rPr>
        <w:t xml:space="preserve">overnments have </w:t>
      </w:r>
      <w:r w:rsidR="00CA6677" w:rsidRPr="005B7194">
        <w:rPr>
          <w:rFonts w:asciiTheme="majorHAnsi" w:hAnsiTheme="majorHAnsi" w:cstheme="majorHAnsi"/>
          <w:sz w:val="20"/>
          <w:szCs w:val="20"/>
        </w:rPr>
        <w:t xml:space="preserve">reinforced </w:t>
      </w:r>
      <w:r w:rsidRPr="005B7194">
        <w:rPr>
          <w:rFonts w:asciiTheme="majorHAnsi" w:hAnsiTheme="majorHAnsi" w:cstheme="majorHAnsi"/>
          <w:sz w:val="20"/>
          <w:szCs w:val="20"/>
        </w:rPr>
        <w:t>oppressive surveillance, and resorted to monitoring and data collection methods that pose serious threats to freedom of expression and the right to privacy. While States are considering the use of big data and artificial intelligence to monitor the pandemic and future outbreaks, relevant</w:t>
      </w:r>
      <w:r w:rsidRPr="005B7194">
        <w:rPr>
          <w:rFonts w:asciiTheme="majorHAnsi" w:hAnsiTheme="majorHAnsi" w:cstheme="majorHAnsi"/>
          <w:b/>
          <w:bCs/>
          <w:sz w:val="20"/>
          <w:szCs w:val="20"/>
        </w:rPr>
        <w:t xml:space="preserve"> UN human rights mechanisms</w:t>
      </w:r>
      <w:r w:rsidRPr="005B7194">
        <w:rPr>
          <w:rFonts w:asciiTheme="majorHAnsi" w:hAnsiTheme="majorHAnsi" w:cstheme="majorHAnsi"/>
          <w:sz w:val="20"/>
          <w:szCs w:val="20"/>
        </w:rPr>
        <w:t xml:space="preserve"> must monitor State and </w:t>
      </w:r>
      <w:r w:rsidR="00F03B94" w:rsidRPr="005B7194">
        <w:rPr>
          <w:rFonts w:asciiTheme="majorHAnsi" w:hAnsiTheme="majorHAnsi" w:cstheme="majorHAnsi"/>
          <w:sz w:val="20"/>
          <w:szCs w:val="20"/>
        </w:rPr>
        <w:t>corporate responsibility</w:t>
      </w:r>
      <w:r w:rsidR="00F03B94" w:rsidRPr="005B7194" w:rsidDel="00F03B94">
        <w:rPr>
          <w:rFonts w:asciiTheme="majorHAnsi" w:hAnsiTheme="majorHAnsi" w:cstheme="majorHAnsi"/>
          <w:sz w:val="20"/>
          <w:szCs w:val="20"/>
        </w:rPr>
        <w:t xml:space="preserve"> </w:t>
      </w:r>
      <w:r w:rsidRPr="005B7194">
        <w:rPr>
          <w:rFonts w:asciiTheme="majorHAnsi" w:hAnsiTheme="majorHAnsi" w:cstheme="majorHAnsi"/>
          <w:sz w:val="20"/>
          <w:szCs w:val="20"/>
        </w:rPr>
        <w:t>in this field to prevent any actor from taking advantage of the crisis to violate human rights or implement systems for mass surveillance.</w:t>
      </w:r>
    </w:p>
    <w:p w14:paraId="2B09D524" w14:textId="55D647E6" w:rsidR="00216E42" w:rsidRPr="005B7194" w:rsidRDefault="00216E42" w:rsidP="00966614">
      <w:pPr>
        <w:spacing w:before="240" w:after="240"/>
        <w:rPr>
          <w:rFonts w:asciiTheme="majorHAnsi" w:hAnsiTheme="majorHAnsi" w:cstheme="majorHAnsi"/>
          <w:sz w:val="20"/>
          <w:szCs w:val="20"/>
        </w:rPr>
      </w:pPr>
      <w:r w:rsidRPr="005B7194">
        <w:rPr>
          <w:rFonts w:asciiTheme="majorHAnsi" w:hAnsiTheme="majorHAnsi" w:cstheme="majorHAnsi"/>
          <w:sz w:val="20"/>
          <w:szCs w:val="20"/>
        </w:rPr>
        <w:t xml:space="preserve">We call on relevant </w:t>
      </w:r>
      <w:r w:rsidRPr="005B7194">
        <w:rPr>
          <w:rFonts w:asciiTheme="majorHAnsi" w:hAnsiTheme="majorHAnsi" w:cstheme="majorHAnsi"/>
          <w:b/>
          <w:bCs/>
          <w:sz w:val="20"/>
          <w:szCs w:val="20"/>
        </w:rPr>
        <w:t>UN human rights mechanisms</w:t>
      </w:r>
      <w:r w:rsidRPr="005B7194">
        <w:rPr>
          <w:rFonts w:asciiTheme="majorHAnsi" w:hAnsiTheme="majorHAnsi" w:cstheme="majorHAnsi"/>
          <w:sz w:val="20"/>
          <w:szCs w:val="20"/>
        </w:rPr>
        <w:t xml:space="preserve"> to continue including in their assessments the following elements in monitoring States’ compliance with their international obligations: </w:t>
      </w:r>
    </w:p>
    <w:p w14:paraId="1E9A6B74" w14:textId="770247B5" w:rsidR="009B5C0B" w:rsidRPr="005B7194" w:rsidRDefault="009B5C0B" w:rsidP="009B5C0B">
      <w:pPr>
        <w:pStyle w:val="ListParagraph"/>
        <w:numPr>
          <w:ilvl w:val="0"/>
          <w:numId w:val="1"/>
        </w:numPr>
        <w:spacing w:before="240" w:after="240"/>
        <w:rPr>
          <w:rFonts w:asciiTheme="majorHAnsi" w:hAnsiTheme="majorHAnsi" w:cstheme="majorHAnsi"/>
          <w:bCs/>
          <w:sz w:val="20"/>
          <w:szCs w:val="20"/>
        </w:rPr>
      </w:pPr>
      <w:r w:rsidRPr="005B7194">
        <w:rPr>
          <w:rFonts w:asciiTheme="majorHAnsi" w:hAnsiTheme="majorHAnsi" w:cstheme="majorHAnsi"/>
          <w:bCs/>
          <w:sz w:val="20"/>
          <w:szCs w:val="20"/>
        </w:rPr>
        <w:t xml:space="preserve">whether measures are consistent with international human rights law (including as regards </w:t>
      </w:r>
      <w:r w:rsidR="00735804">
        <w:rPr>
          <w:rFonts w:asciiTheme="majorHAnsi" w:hAnsiTheme="majorHAnsi" w:cstheme="majorHAnsi"/>
          <w:bCs/>
          <w:sz w:val="20"/>
          <w:szCs w:val="20"/>
        </w:rPr>
        <w:t xml:space="preserve">to </w:t>
      </w:r>
      <w:r w:rsidRPr="005B7194">
        <w:rPr>
          <w:rFonts w:asciiTheme="majorHAnsi" w:hAnsiTheme="majorHAnsi" w:cstheme="majorHAnsi"/>
          <w:bCs/>
          <w:sz w:val="20"/>
          <w:szCs w:val="20"/>
        </w:rPr>
        <w:t>non-derogable rights);</w:t>
      </w:r>
    </w:p>
    <w:p w14:paraId="251910CB" w14:textId="77777777" w:rsidR="009B5C0B" w:rsidRPr="005B7194" w:rsidRDefault="009B5C0B" w:rsidP="009B5C0B">
      <w:pPr>
        <w:pStyle w:val="ListParagraph"/>
        <w:numPr>
          <w:ilvl w:val="0"/>
          <w:numId w:val="1"/>
        </w:numPr>
        <w:spacing w:before="240" w:after="240"/>
        <w:rPr>
          <w:rFonts w:asciiTheme="majorHAnsi" w:hAnsiTheme="majorHAnsi" w:cstheme="majorHAnsi"/>
          <w:bCs/>
          <w:sz w:val="20"/>
          <w:szCs w:val="20"/>
        </w:rPr>
      </w:pPr>
      <w:r w:rsidRPr="005B7194">
        <w:rPr>
          <w:rFonts w:asciiTheme="majorHAnsi" w:hAnsiTheme="majorHAnsi" w:cstheme="majorHAnsi"/>
          <w:bCs/>
          <w:sz w:val="20"/>
          <w:szCs w:val="20"/>
        </w:rPr>
        <w:t>whether measures are legal, strictly necessary, reasonable and proportionate, time-limited and subject to review;</w:t>
      </w:r>
    </w:p>
    <w:p w14:paraId="4DA5F271" w14:textId="77777777" w:rsidR="009B5C0B" w:rsidRPr="005B7194" w:rsidRDefault="009B5C0B" w:rsidP="009B5C0B">
      <w:pPr>
        <w:pStyle w:val="ListParagraph"/>
        <w:numPr>
          <w:ilvl w:val="0"/>
          <w:numId w:val="1"/>
        </w:numPr>
        <w:spacing w:before="240" w:after="240"/>
        <w:rPr>
          <w:rFonts w:asciiTheme="majorHAnsi" w:hAnsiTheme="majorHAnsi" w:cstheme="majorHAnsi"/>
          <w:bCs/>
          <w:sz w:val="20"/>
          <w:szCs w:val="20"/>
        </w:rPr>
      </w:pPr>
      <w:r w:rsidRPr="005B7194">
        <w:rPr>
          <w:rFonts w:asciiTheme="majorHAnsi" w:hAnsiTheme="majorHAnsi" w:cstheme="majorHAnsi"/>
          <w:bCs/>
          <w:sz w:val="20"/>
          <w:szCs w:val="20"/>
        </w:rPr>
        <w:t>whether measures are aimed at the legitimate purpose of protecting public health;</w:t>
      </w:r>
    </w:p>
    <w:p w14:paraId="7252C9D1" w14:textId="77777777" w:rsidR="009B5C0B" w:rsidRPr="005B7194" w:rsidRDefault="009B5C0B" w:rsidP="009B5C0B">
      <w:pPr>
        <w:pStyle w:val="ListParagraph"/>
        <w:numPr>
          <w:ilvl w:val="0"/>
          <w:numId w:val="1"/>
        </w:numPr>
        <w:spacing w:before="240" w:after="240"/>
        <w:rPr>
          <w:rFonts w:asciiTheme="majorHAnsi" w:hAnsiTheme="majorHAnsi" w:cstheme="majorHAnsi"/>
          <w:bCs/>
          <w:sz w:val="20"/>
          <w:szCs w:val="20"/>
        </w:rPr>
      </w:pPr>
      <w:r w:rsidRPr="005B7194">
        <w:rPr>
          <w:rFonts w:asciiTheme="majorHAnsi" w:hAnsiTheme="majorHAnsi" w:cstheme="majorHAnsi"/>
          <w:bCs/>
          <w:sz w:val="20"/>
          <w:szCs w:val="20"/>
        </w:rPr>
        <w:t xml:space="preserve">whether there are any less restrictive or intrusive means of achieving the sole legitimate purpose of protecting public health; </w:t>
      </w:r>
    </w:p>
    <w:p w14:paraId="6D153EEC" w14:textId="77777777" w:rsidR="009B5C0B" w:rsidRPr="005B7194" w:rsidRDefault="009B5C0B" w:rsidP="009B5C0B">
      <w:pPr>
        <w:pStyle w:val="ListParagraph"/>
        <w:numPr>
          <w:ilvl w:val="0"/>
          <w:numId w:val="1"/>
        </w:numPr>
        <w:spacing w:before="240" w:after="240"/>
        <w:rPr>
          <w:rFonts w:asciiTheme="majorHAnsi" w:hAnsiTheme="majorHAnsi" w:cstheme="majorHAnsi"/>
          <w:bCs/>
          <w:sz w:val="20"/>
          <w:szCs w:val="20"/>
        </w:rPr>
      </w:pPr>
      <w:r w:rsidRPr="005B7194">
        <w:rPr>
          <w:rFonts w:asciiTheme="majorHAnsi" w:hAnsiTheme="majorHAnsi" w:cstheme="majorHAnsi"/>
          <w:bCs/>
          <w:sz w:val="20"/>
          <w:szCs w:val="20"/>
        </w:rPr>
        <w:t xml:space="preserve">whether measures are directly or indirectly discriminatory; </w:t>
      </w:r>
    </w:p>
    <w:p w14:paraId="631BE86E" w14:textId="77777777" w:rsidR="009B5C0B" w:rsidRPr="005B7194" w:rsidRDefault="009B5C0B" w:rsidP="009B5C0B">
      <w:pPr>
        <w:pStyle w:val="ListParagraph"/>
        <w:numPr>
          <w:ilvl w:val="0"/>
          <w:numId w:val="1"/>
        </w:numPr>
        <w:spacing w:before="240" w:after="240"/>
        <w:rPr>
          <w:rFonts w:asciiTheme="majorHAnsi" w:hAnsiTheme="majorHAnsi" w:cstheme="majorHAnsi"/>
          <w:bCs/>
          <w:sz w:val="20"/>
          <w:szCs w:val="20"/>
        </w:rPr>
      </w:pPr>
      <w:r w:rsidRPr="005B7194">
        <w:rPr>
          <w:rFonts w:asciiTheme="majorHAnsi" w:hAnsiTheme="majorHAnsi" w:cstheme="majorHAnsi"/>
          <w:bCs/>
          <w:sz w:val="20"/>
          <w:szCs w:val="20"/>
        </w:rPr>
        <w:t>whether measures limit the freedoms or work of human rights defenders in a discriminatory or disproportionate way;</w:t>
      </w:r>
    </w:p>
    <w:p w14:paraId="40B0B82D" w14:textId="77777777" w:rsidR="009B5C0B" w:rsidRPr="005B7194" w:rsidRDefault="009B5C0B" w:rsidP="009B5C0B">
      <w:pPr>
        <w:pStyle w:val="ListParagraph"/>
        <w:numPr>
          <w:ilvl w:val="0"/>
          <w:numId w:val="1"/>
        </w:numPr>
        <w:spacing w:before="240" w:after="240"/>
        <w:rPr>
          <w:rFonts w:asciiTheme="majorHAnsi" w:hAnsiTheme="majorHAnsi" w:cstheme="majorHAnsi"/>
          <w:bCs/>
          <w:sz w:val="20"/>
          <w:szCs w:val="20"/>
        </w:rPr>
      </w:pPr>
      <w:r w:rsidRPr="005B7194">
        <w:rPr>
          <w:rFonts w:asciiTheme="majorHAnsi" w:hAnsiTheme="majorHAnsi" w:cstheme="majorHAnsi"/>
          <w:bCs/>
          <w:sz w:val="20"/>
          <w:szCs w:val="20"/>
        </w:rPr>
        <w:t>whether measures are inclusive of all persons and communicated in accessible and understandable formats to everyone; and</w:t>
      </w:r>
    </w:p>
    <w:p w14:paraId="5696659F" w14:textId="274B6CAA" w:rsidR="009B5C0B" w:rsidRPr="005B7194" w:rsidRDefault="009B5C0B" w:rsidP="009B5C0B">
      <w:pPr>
        <w:pStyle w:val="ListParagraph"/>
        <w:numPr>
          <w:ilvl w:val="0"/>
          <w:numId w:val="1"/>
        </w:numPr>
        <w:spacing w:before="240" w:after="240"/>
        <w:rPr>
          <w:rFonts w:asciiTheme="majorHAnsi" w:hAnsiTheme="majorHAnsi" w:cstheme="majorHAnsi"/>
          <w:bCs/>
          <w:sz w:val="20"/>
          <w:szCs w:val="20"/>
        </w:rPr>
      </w:pPr>
      <w:r w:rsidRPr="005B7194">
        <w:rPr>
          <w:rFonts w:asciiTheme="majorHAnsi" w:hAnsiTheme="majorHAnsi" w:cstheme="majorHAnsi"/>
          <w:bCs/>
          <w:sz w:val="20"/>
          <w:szCs w:val="20"/>
        </w:rPr>
        <w:t xml:space="preserve">whether measures avoid disruption of vital services for certain groups including persons with disabilities without providing for appropriate replacements. </w:t>
      </w:r>
    </w:p>
    <w:p w14:paraId="7020B487" w14:textId="6F16554F" w:rsidR="00DF4F90" w:rsidRPr="005B7194" w:rsidRDefault="00760F6A" w:rsidP="00947047">
      <w:pPr>
        <w:spacing w:before="240" w:after="240"/>
        <w:rPr>
          <w:rFonts w:asciiTheme="majorHAnsi" w:hAnsiTheme="majorHAnsi" w:cstheme="majorHAnsi"/>
          <w:sz w:val="20"/>
          <w:szCs w:val="20"/>
        </w:rPr>
      </w:pPr>
      <w:r w:rsidRPr="005B7194">
        <w:rPr>
          <w:rFonts w:asciiTheme="majorHAnsi" w:hAnsiTheme="majorHAnsi" w:cstheme="majorHAnsi"/>
          <w:sz w:val="20"/>
          <w:szCs w:val="20"/>
        </w:rPr>
        <w:t xml:space="preserve">We urge </w:t>
      </w:r>
      <w:r w:rsidRPr="005B7194">
        <w:rPr>
          <w:rFonts w:asciiTheme="majorHAnsi" w:hAnsiTheme="majorHAnsi" w:cstheme="majorHAnsi"/>
          <w:b/>
          <w:bCs/>
          <w:sz w:val="20"/>
          <w:szCs w:val="20"/>
        </w:rPr>
        <w:t>States</w:t>
      </w:r>
      <w:r w:rsidRPr="005B7194">
        <w:rPr>
          <w:rFonts w:asciiTheme="majorHAnsi" w:hAnsiTheme="majorHAnsi" w:cstheme="majorHAnsi"/>
          <w:sz w:val="20"/>
          <w:szCs w:val="20"/>
        </w:rPr>
        <w:t xml:space="preserve"> that have adopted derogating measures under a state of emergency to comply fully with their obligations of </w:t>
      </w:r>
      <w:r w:rsidRPr="005B7194">
        <w:rPr>
          <w:rFonts w:asciiTheme="majorHAnsi" w:hAnsiTheme="majorHAnsi" w:cstheme="majorHAnsi"/>
          <w:b/>
          <w:bCs/>
          <w:sz w:val="20"/>
          <w:szCs w:val="20"/>
        </w:rPr>
        <w:t>international notification</w:t>
      </w:r>
      <w:r w:rsidRPr="005B7194">
        <w:rPr>
          <w:rFonts w:asciiTheme="majorHAnsi" w:hAnsiTheme="majorHAnsi" w:cstheme="majorHAnsi"/>
          <w:sz w:val="20"/>
          <w:szCs w:val="20"/>
        </w:rPr>
        <w:t xml:space="preserve"> under human rights treaties</w:t>
      </w:r>
      <w:r w:rsidRPr="005B7194">
        <w:rPr>
          <w:rFonts w:asciiTheme="majorHAnsi" w:hAnsiTheme="majorHAnsi" w:cstheme="majorHAnsi"/>
          <w:b/>
          <w:bCs/>
          <w:sz w:val="20"/>
          <w:szCs w:val="20"/>
        </w:rPr>
        <w:t xml:space="preserve">. </w:t>
      </w:r>
      <w:r w:rsidR="00DF4F90" w:rsidRPr="005B7194">
        <w:rPr>
          <w:rFonts w:asciiTheme="majorHAnsi" w:hAnsiTheme="majorHAnsi" w:cstheme="majorHAnsi"/>
          <w:b/>
          <w:bCs/>
          <w:sz w:val="20"/>
          <w:szCs w:val="20"/>
        </w:rPr>
        <w:t>UN Treaty</w:t>
      </w:r>
      <w:r w:rsidR="00DF4F90" w:rsidRPr="005B7194">
        <w:rPr>
          <w:rFonts w:asciiTheme="majorHAnsi" w:hAnsiTheme="majorHAnsi" w:cstheme="majorHAnsi"/>
          <w:b/>
          <w:sz w:val="20"/>
          <w:szCs w:val="20"/>
        </w:rPr>
        <w:t xml:space="preserve"> Bodies</w:t>
      </w:r>
      <w:r w:rsidR="00DF4F90" w:rsidRPr="005B7194">
        <w:rPr>
          <w:rFonts w:asciiTheme="majorHAnsi" w:hAnsiTheme="majorHAnsi" w:cstheme="majorHAnsi"/>
          <w:bCs/>
          <w:sz w:val="20"/>
          <w:szCs w:val="20"/>
        </w:rPr>
        <w:t xml:space="preserve"> sho</w:t>
      </w:r>
      <w:r w:rsidR="00DF4F90" w:rsidRPr="005B7194">
        <w:rPr>
          <w:rFonts w:asciiTheme="majorHAnsi" w:hAnsiTheme="majorHAnsi" w:cstheme="majorHAnsi"/>
          <w:sz w:val="20"/>
          <w:szCs w:val="20"/>
        </w:rPr>
        <w:t xml:space="preserve">uld consider meeting remotely and provide for full and transparent access to NGOs in the process; where sessions are postponed, </w:t>
      </w:r>
      <w:r w:rsidR="00DF4F90" w:rsidRPr="005B7194">
        <w:rPr>
          <w:rFonts w:asciiTheme="majorHAnsi" w:hAnsiTheme="majorHAnsi" w:cstheme="majorHAnsi"/>
          <w:b/>
          <w:bCs/>
          <w:sz w:val="20"/>
          <w:szCs w:val="20"/>
        </w:rPr>
        <w:t>OHCHR</w:t>
      </w:r>
      <w:r w:rsidR="00DF4F90" w:rsidRPr="005B7194">
        <w:rPr>
          <w:rFonts w:asciiTheme="majorHAnsi" w:hAnsiTheme="majorHAnsi" w:cstheme="majorHAnsi"/>
          <w:sz w:val="20"/>
          <w:szCs w:val="20"/>
        </w:rPr>
        <w:t xml:space="preserve"> should consider making use of staff and Committee members’ time to process and review individual communications, given the backlog of communications pending review;  where country reviews are postponed, the Committees should prioritise countries where situations are more urgent;   Committees with urgent action procedures, in particular the Committee on the Elimination of Racial Discrimination and </w:t>
      </w:r>
      <w:r w:rsidR="00947047" w:rsidRPr="005B7194">
        <w:rPr>
          <w:rFonts w:asciiTheme="majorHAnsi" w:hAnsiTheme="majorHAnsi" w:cstheme="majorHAnsi"/>
          <w:sz w:val="20"/>
          <w:szCs w:val="20"/>
        </w:rPr>
        <w:t>the Committee on the Rights of Persons with Disabilities</w:t>
      </w:r>
      <w:r w:rsidR="00DF4F90" w:rsidRPr="005B7194">
        <w:rPr>
          <w:rFonts w:asciiTheme="majorHAnsi" w:hAnsiTheme="majorHAnsi" w:cstheme="majorHAnsi"/>
          <w:sz w:val="20"/>
          <w:szCs w:val="20"/>
        </w:rPr>
        <w:t xml:space="preserve"> s</w:t>
      </w:r>
      <w:r w:rsidR="00EC3432" w:rsidRPr="005B7194">
        <w:rPr>
          <w:rFonts w:asciiTheme="majorHAnsi" w:hAnsiTheme="majorHAnsi" w:cstheme="majorHAnsi"/>
          <w:sz w:val="20"/>
          <w:szCs w:val="20"/>
        </w:rPr>
        <w:t xml:space="preserve">hould use the procedures </w:t>
      </w:r>
      <w:r w:rsidR="00DF4F90" w:rsidRPr="005B7194">
        <w:rPr>
          <w:rFonts w:asciiTheme="majorHAnsi" w:hAnsiTheme="majorHAnsi" w:cstheme="majorHAnsi"/>
          <w:sz w:val="20"/>
          <w:szCs w:val="20"/>
        </w:rPr>
        <w:t xml:space="preserve">when relevant, notably in light of the disproportionate </w:t>
      </w:r>
      <w:hyperlink r:id="rId10" w:tgtFrame="_blank" w:history="1">
        <w:r w:rsidR="00DF4F90" w:rsidRPr="005B7194">
          <w:rPr>
            <w:rStyle w:val="Hyperlink"/>
            <w:rFonts w:asciiTheme="majorHAnsi" w:hAnsiTheme="majorHAnsi" w:cstheme="majorHAnsi"/>
            <w:sz w:val="20"/>
            <w:szCs w:val="20"/>
          </w:rPr>
          <w:t>vulnerability of persons w</w:t>
        </w:r>
        <w:r w:rsidR="00583517" w:rsidRPr="005B7194">
          <w:rPr>
            <w:rStyle w:val="Hyperlink"/>
            <w:rFonts w:asciiTheme="majorHAnsi" w:hAnsiTheme="majorHAnsi" w:cstheme="majorHAnsi"/>
            <w:sz w:val="20"/>
            <w:szCs w:val="20"/>
          </w:rPr>
          <w:t>ith</w:t>
        </w:r>
        <w:r w:rsidR="00DF4F90" w:rsidRPr="005B7194">
          <w:rPr>
            <w:rStyle w:val="Hyperlink"/>
            <w:rFonts w:asciiTheme="majorHAnsi" w:hAnsiTheme="majorHAnsi" w:cstheme="majorHAnsi"/>
            <w:sz w:val="20"/>
            <w:szCs w:val="20"/>
          </w:rPr>
          <w:t xml:space="preserve"> disabilities</w:t>
        </w:r>
      </w:hyperlink>
      <w:r w:rsidR="00DF4F90" w:rsidRPr="005B7194">
        <w:rPr>
          <w:rFonts w:asciiTheme="majorHAnsi" w:hAnsiTheme="majorHAnsi" w:cstheme="majorHAnsi"/>
          <w:sz w:val="20"/>
          <w:szCs w:val="20"/>
        </w:rPr>
        <w:t xml:space="preserve">, and ongoing </w:t>
      </w:r>
      <w:hyperlink r:id="rId11" w:tgtFrame="_blank" w:history="1">
        <w:r w:rsidR="00DF4F90" w:rsidRPr="005B7194">
          <w:rPr>
            <w:rStyle w:val="Hyperlink"/>
            <w:rFonts w:asciiTheme="majorHAnsi" w:hAnsiTheme="majorHAnsi" w:cstheme="majorHAnsi"/>
            <w:sz w:val="20"/>
            <w:szCs w:val="20"/>
          </w:rPr>
          <w:t>incidents of racial discrimination</w:t>
        </w:r>
      </w:hyperlink>
      <w:r w:rsidR="00DF4F90" w:rsidRPr="005B7194">
        <w:rPr>
          <w:rFonts w:asciiTheme="majorHAnsi" w:hAnsiTheme="majorHAnsi" w:cstheme="majorHAnsi"/>
          <w:sz w:val="20"/>
          <w:szCs w:val="20"/>
        </w:rPr>
        <w:t xml:space="preserve">. </w:t>
      </w:r>
    </w:p>
    <w:p w14:paraId="42C822FE" w14:textId="788B332B" w:rsidR="00717E10" w:rsidRPr="005B7194" w:rsidRDefault="0049151B" w:rsidP="00F03B94">
      <w:pPr>
        <w:spacing w:after="240"/>
        <w:rPr>
          <w:rFonts w:asciiTheme="majorHAnsi" w:hAnsiTheme="majorHAnsi" w:cstheme="majorHAnsi"/>
          <w:sz w:val="20"/>
          <w:szCs w:val="20"/>
        </w:rPr>
      </w:pPr>
      <w:r w:rsidRPr="005B7194">
        <w:rPr>
          <w:rFonts w:asciiTheme="majorHAnsi" w:hAnsiTheme="majorHAnsi" w:cstheme="majorHAnsi"/>
          <w:sz w:val="20"/>
          <w:szCs w:val="20"/>
        </w:rPr>
        <w:t xml:space="preserve">The </w:t>
      </w:r>
      <w:r w:rsidRPr="005B7194">
        <w:rPr>
          <w:rFonts w:asciiTheme="majorHAnsi" w:hAnsiTheme="majorHAnsi" w:cstheme="majorHAnsi"/>
          <w:b/>
          <w:bCs/>
          <w:sz w:val="20"/>
          <w:szCs w:val="20"/>
        </w:rPr>
        <w:t>Council</w:t>
      </w:r>
      <w:r w:rsidRPr="005B7194">
        <w:rPr>
          <w:rFonts w:asciiTheme="majorHAnsi" w:hAnsiTheme="majorHAnsi" w:cstheme="majorHAnsi"/>
          <w:sz w:val="20"/>
          <w:szCs w:val="20"/>
        </w:rPr>
        <w:t xml:space="preserve"> should convene a special session on the impacts of COVID-19 on human rights, once feasible. </w:t>
      </w:r>
      <w:r w:rsidR="00125821" w:rsidRPr="005B7194">
        <w:rPr>
          <w:rFonts w:asciiTheme="majorHAnsi" w:hAnsiTheme="majorHAnsi" w:cstheme="majorHAnsi"/>
          <w:sz w:val="20"/>
          <w:szCs w:val="20"/>
        </w:rPr>
        <w:t>The Council should</w:t>
      </w:r>
      <w:r w:rsidR="00651C09" w:rsidRPr="005B7194">
        <w:rPr>
          <w:rFonts w:asciiTheme="majorHAnsi" w:hAnsiTheme="majorHAnsi" w:cstheme="majorHAnsi"/>
          <w:sz w:val="20"/>
          <w:szCs w:val="20"/>
        </w:rPr>
        <w:t xml:space="preserve"> reaffirm human rights as central to </w:t>
      </w:r>
      <w:r w:rsidR="00125821" w:rsidRPr="005B7194">
        <w:rPr>
          <w:rFonts w:asciiTheme="majorHAnsi" w:hAnsiTheme="majorHAnsi" w:cstheme="majorHAnsi"/>
          <w:sz w:val="20"/>
          <w:szCs w:val="20"/>
        </w:rPr>
        <w:t xml:space="preserve">States’ </w:t>
      </w:r>
      <w:r w:rsidR="00651C09" w:rsidRPr="005B7194">
        <w:rPr>
          <w:rFonts w:asciiTheme="majorHAnsi" w:hAnsiTheme="majorHAnsi" w:cstheme="majorHAnsi"/>
          <w:sz w:val="20"/>
          <w:szCs w:val="20"/>
        </w:rPr>
        <w:t>response</w:t>
      </w:r>
      <w:r w:rsidR="00717E10" w:rsidRPr="005B7194">
        <w:rPr>
          <w:rFonts w:asciiTheme="majorHAnsi" w:hAnsiTheme="majorHAnsi" w:cstheme="majorHAnsi"/>
          <w:sz w:val="20"/>
          <w:szCs w:val="20"/>
        </w:rPr>
        <w:t xml:space="preserve">s to the crisis including by providing leadership </w:t>
      </w:r>
      <w:r w:rsidR="00717E10" w:rsidRPr="005B7194">
        <w:rPr>
          <w:rFonts w:asciiTheme="majorHAnsi" w:hAnsiTheme="majorHAnsi" w:cstheme="majorHAnsi"/>
          <w:sz w:val="20"/>
          <w:szCs w:val="20"/>
        </w:rPr>
        <w:lastRenderedPageBreak/>
        <w:t xml:space="preserve">and sending a clear message that: this is not the time for business as usual, there should be a zero-tolerance policy </w:t>
      </w:r>
      <w:r w:rsidR="008464A6" w:rsidRPr="005B7194">
        <w:rPr>
          <w:rFonts w:asciiTheme="majorHAnsi" w:hAnsiTheme="majorHAnsi" w:cstheme="majorHAnsi"/>
          <w:sz w:val="20"/>
          <w:szCs w:val="20"/>
        </w:rPr>
        <w:t>for</w:t>
      </w:r>
      <w:r w:rsidR="00717E10" w:rsidRPr="005B7194">
        <w:rPr>
          <w:rFonts w:asciiTheme="majorHAnsi" w:hAnsiTheme="majorHAnsi" w:cstheme="majorHAnsi"/>
          <w:sz w:val="20"/>
          <w:szCs w:val="20"/>
        </w:rPr>
        <w:t xml:space="preserve"> gross and systematic violations and </w:t>
      </w:r>
      <w:r w:rsidR="008464A6" w:rsidRPr="005B7194">
        <w:rPr>
          <w:rFonts w:asciiTheme="majorHAnsi" w:hAnsiTheme="majorHAnsi" w:cstheme="majorHAnsi"/>
          <w:sz w:val="20"/>
          <w:szCs w:val="20"/>
        </w:rPr>
        <w:t>any</w:t>
      </w:r>
      <w:r w:rsidR="00717E10" w:rsidRPr="005B7194">
        <w:rPr>
          <w:rFonts w:asciiTheme="majorHAnsi" w:hAnsiTheme="majorHAnsi" w:cstheme="majorHAnsi"/>
          <w:sz w:val="20"/>
          <w:szCs w:val="20"/>
        </w:rPr>
        <w:t xml:space="preserve"> abuse of the current crisis to crackdown on human rights. </w:t>
      </w:r>
      <w:r w:rsidR="003D492C" w:rsidRPr="005B7194">
        <w:rPr>
          <w:rFonts w:asciiTheme="majorHAnsi" w:hAnsiTheme="majorHAnsi" w:cstheme="majorHAnsi"/>
          <w:sz w:val="20"/>
          <w:szCs w:val="20"/>
        </w:rPr>
        <w:t>States can and indeed must adopt measures to protect the human rights and welfare of their populations in the context of COVID-19. At the same time, as sixteen Special Procedures experts have</w:t>
      </w:r>
      <w:hyperlink r:id="rId12">
        <w:r w:rsidR="003D492C" w:rsidRPr="005B7194">
          <w:rPr>
            <w:rFonts w:asciiTheme="majorHAnsi" w:hAnsiTheme="majorHAnsi" w:cstheme="majorHAnsi"/>
            <w:sz w:val="20"/>
            <w:szCs w:val="20"/>
          </w:rPr>
          <w:t xml:space="preserve"> </w:t>
        </w:r>
      </w:hyperlink>
      <w:hyperlink r:id="rId13">
        <w:r w:rsidR="003D492C" w:rsidRPr="005B7194">
          <w:rPr>
            <w:rFonts w:asciiTheme="majorHAnsi" w:hAnsiTheme="majorHAnsi" w:cstheme="majorHAnsi"/>
            <w:color w:val="1155CC"/>
            <w:sz w:val="20"/>
            <w:szCs w:val="20"/>
            <w:u w:val="single"/>
          </w:rPr>
          <w:t>emphasised</w:t>
        </w:r>
      </w:hyperlink>
      <w:r w:rsidR="003D492C" w:rsidRPr="005B7194">
        <w:rPr>
          <w:rFonts w:asciiTheme="majorHAnsi" w:hAnsiTheme="majorHAnsi" w:cstheme="majorHAnsi"/>
          <w:sz w:val="20"/>
          <w:szCs w:val="20"/>
        </w:rPr>
        <w:t>,  ‘</w:t>
      </w:r>
      <w:r w:rsidR="003D492C" w:rsidRPr="005B7194">
        <w:rPr>
          <w:rFonts w:asciiTheme="majorHAnsi" w:hAnsiTheme="majorHAnsi" w:cstheme="majorHAnsi"/>
          <w:i/>
          <w:sz w:val="20"/>
          <w:szCs w:val="20"/>
        </w:rPr>
        <w:t>emergency declarations based on the Covid-19 outbreak should not (...) function as a cover for repressive action under the guise of protecting health’</w:t>
      </w:r>
      <w:r w:rsidR="003D492C" w:rsidRPr="005B7194">
        <w:rPr>
          <w:rFonts w:asciiTheme="majorHAnsi" w:hAnsiTheme="majorHAnsi" w:cstheme="majorHAnsi"/>
          <w:sz w:val="20"/>
          <w:szCs w:val="20"/>
        </w:rPr>
        <w:t>.</w:t>
      </w:r>
      <w:r w:rsidR="00C845DC" w:rsidRPr="005B7194">
        <w:rPr>
          <w:rFonts w:asciiTheme="majorHAnsi" w:hAnsiTheme="majorHAnsi" w:cstheme="majorHAnsi"/>
          <w:sz w:val="20"/>
          <w:szCs w:val="20"/>
        </w:rPr>
        <w:t xml:space="preserve"> We are concerned that this comes </w:t>
      </w:r>
      <w:r w:rsidR="00C845DC" w:rsidRPr="005B7194">
        <w:rPr>
          <w:rFonts w:asciiTheme="majorHAnsi" w:hAnsiTheme="majorHAnsi" w:cstheme="majorHAnsi"/>
          <w:color w:val="000000"/>
          <w:sz w:val="20"/>
          <w:szCs w:val="20"/>
        </w:rPr>
        <w:t xml:space="preserve">against a background of measures to curb civil society space and that previous </w:t>
      </w:r>
      <w:r w:rsidR="00F03B94" w:rsidRPr="005B7194">
        <w:rPr>
          <w:rFonts w:asciiTheme="majorHAnsi" w:hAnsiTheme="majorHAnsi" w:cstheme="majorHAnsi"/>
          <w:color w:val="000000"/>
          <w:sz w:val="20"/>
          <w:szCs w:val="20"/>
        </w:rPr>
        <w:t xml:space="preserve">crises </w:t>
      </w:r>
      <w:r w:rsidR="00C845DC" w:rsidRPr="005B7194">
        <w:rPr>
          <w:rFonts w:asciiTheme="majorHAnsi" w:hAnsiTheme="majorHAnsi" w:cstheme="majorHAnsi"/>
          <w:color w:val="000000"/>
          <w:sz w:val="20"/>
          <w:szCs w:val="20"/>
        </w:rPr>
        <w:t>have shown how emergency mea</w:t>
      </w:r>
      <w:r w:rsidR="00735804">
        <w:rPr>
          <w:rFonts w:asciiTheme="majorHAnsi" w:hAnsiTheme="majorHAnsi" w:cstheme="majorHAnsi"/>
          <w:color w:val="000000"/>
          <w:sz w:val="20"/>
          <w:szCs w:val="20"/>
        </w:rPr>
        <w:t>sures can lead to long-</w:t>
      </w:r>
      <w:r w:rsidR="00C845DC" w:rsidRPr="005B7194">
        <w:rPr>
          <w:rFonts w:asciiTheme="majorHAnsi" w:hAnsiTheme="majorHAnsi" w:cstheme="majorHAnsi"/>
          <w:color w:val="000000"/>
          <w:sz w:val="20"/>
          <w:szCs w:val="20"/>
        </w:rPr>
        <w:t>term restrictions on human rights</w:t>
      </w:r>
      <w:r w:rsidR="00C845DC" w:rsidRPr="005B7194">
        <w:rPr>
          <w:rFonts w:asciiTheme="majorHAnsi" w:hAnsiTheme="majorHAnsi" w:cstheme="majorHAnsi"/>
          <w:sz w:val="20"/>
          <w:szCs w:val="20"/>
        </w:rPr>
        <w:t xml:space="preserve">. </w:t>
      </w:r>
    </w:p>
    <w:p w14:paraId="76E1F7C0" w14:textId="771C4497" w:rsidR="00125821" w:rsidRPr="005B7194" w:rsidRDefault="00125821" w:rsidP="00885304">
      <w:pPr>
        <w:spacing w:after="240"/>
        <w:rPr>
          <w:rFonts w:asciiTheme="majorHAnsi" w:hAnsiTheme="majorHAnsi" w:cstheme="majorHAnsi"/>
          <w:sz w:val="20"/>
          <w:szCs w:val="20"/>
        </w:rPr>
      </w:pPr>
      <w:r w:rsidRPr="005B7194">
        <w:rPr>
          <w:rFonts w:asciiTheme="majorHAnsi" w:hAnsiTheme="majorHAnsi" w:cstheme="majorHAnsi"/>
          <w:sz w:val="20"/>
          <w:szCs w:val="20"/>
        </w:rPr>
        <w:t xml:space="preserve">We call on the </w:t>
      </w:r>
      <w:r w:rsidRPr="005B7194">
        <w:rPr>
          <w:rFonts w:asciiTheme="majorHAnsi" w:hAnsiTheme="majorHAnsi" w:cstheme="majorHAnsi"/>
          <w:b/>
          <w:bCs/>
          <w:sz w:val="20"/>
          <w:szCs w:val="20"/>
        </w:rPr>
        <w:t>HRC Presidency</w:t>
      </w:r>
      <w:r w:rsidR="00735804">
        <w:rPr>
          <w:rFonts w:asciiTheme="majorHAnsi" w:hAnsiTheme="majorHAnsi" w:cstheme="majorHAnsi"/>
          <w:sz w:val="20"/>
          <w:szCs w:val="20"/>
        </w:rPr>
        <w:t xml:space="preserve"> to continue examining</w:t>
      </w:r>
      <w:r w:rsidRPr="005B7194">
        <w:rPr>
          <w:rFonts w:asciiTheme="majorHAnsi" w:hAnsiTheme="majorHAnsi" w:cstheme="majorHAnsi"/>
          <w:sz w:val="20"/>
          <w:szCs w:val="20"/>
        </w:rPr>
        <w:t xml:space="preserve"> possibilities to ensure that the Council is able to discharge its duties and mandate despite the crisis, including addressing human rights violations. </w:t>
      </w:r>
      <w:r w:rsidR="00CC6175" w:rsidRPr="005B7194">
        <w:rPr>
          <w:rFonts w:asciiTheme="majorHAnsi" w:hAnsiTheme="majorHAnsi" w:cstheme="majorHAnsi"/>
          <w:sz w:val="20"/>
          <w:szCs w:val="20"/>
        </w:rPr>
        <w:t>We urge the HRC Presidency to ensure that civil society participation is not unduly restricted or disproportionately</w:t>
      </w:r>
      <w:r w:rsidR="00E92F04" w:rsidRPr="005B7194">
        <w:rPr>
          <w:rFonts w:asciiTheme="majorHAnsi" w:hAnsiTheme="majorHAnsi" w:cstheme="majorHAnsi"/>
          <w:sz w:val="20"/>
          <w:szCs w:val="20"/>
        </w:rPr>
        <w:t xml:space="preserve"> affected and to </w:t>
      </w:r>
      <w:r w:rsidR="00885304" w:rsidRPr="005B7194">
        <w:rPr>
          <w:rFonts w:asciiTheme="majorHAnsi" w:hAnsiTheme="majorHAnsi" w:cstheme="majorHAnsi"/>
          <w:sz w:val="20"/>
          <w:szCs w:val="20"/>
        </w:rPr>
        <w:t>meaningfully</w:t>
      </w:r>
      <w:r w:rsidR="00583517" w:rsidRPr="005B7194">
        <w:rPr>
          <w:rFonts w:asciiTheme="majorHAnsi" w:hAnsiTheme="majorHAnsi" w:cstheme="majorHAnsi"/>
          <w:sz w:val="20"/>
          <w:szCs w:val="20"/>
        </w:rPr>
        <w:t xml:space="preserve"> </w:t>
      </w:r>
      <w:r w:rsidR="00E92F04" w:rsidRPr="005B7194">
        <w:rPr>
          <w:rFonts w:asciiTheme="majorHAnsi" w:hAnsiTheme="majorHAnsi" w:cstheme="majorHAnsi"/>
          <w:sz w:val="20"/>
          <w:szCs w:val="20"/>
        </w:rPr>
        <w:t xml:space="preserve">consult with civil society on the modalities for participation. </w:t>
      </w:r>
      <w:r w:rsidR="00D61D59" w:rsidRPr="005B7194">
        <w:rPr>
          <w:rFonts w:asciiTheme="majorHAnsi" w:hAnsiTheme="majorHAnsi" w:cstheme="majorHAnsi"/>
          <w:sz w:val="20"/>
          <w:szCs w:val="20"/>
        </w:rPr>
        <w:t>General Assembly resolution 60/251</w:t>
      </w:r>
      <w:r w:rsidR="00E92F04" w:rsidRPr="005B7194">
        <w:rPr>
          <w:rFonts w:asciiTheme="majorHAnsi" w:hAnsiTheme="majorHAnsi" w:cstheme="majorHAnsi"/>
          <w:sz w:val="20"/>
          <w:szCs w:val="20"/>
        </w:rPr>
        <w:t xml:space="preserve"> does not make a distinction between Observers</w:t>
      </w:r>
      <w:r w:rsidR="00127357" w:rsidRPr="005B7194">
        <w:rPr>
          <w:rFonts w:asciiTheme="majorHAnsi" w:hAnsiTheme="majorHAnsi" w:cstheme="majorHAnsi"/>
          <w:sz w:val="20"/>
          <w:szCs w:val="20"/>
        </w:rPr>
        <w:t xml:space="preserve"> and the current crisis cannot be used as a pretext to limit civil society participation. </w:t>
      </w:r>
    </w:p>
    <w:p w14:paraId="517EAD95" w14:textId="07A8F1D6" w:rsidR="0022404C" w:rsidRPr="005B7194" w:rsidRDefault="0022404C" w:rsidP="00DC01C6">
      <w:pPr>
        <w:spacing w:after="240"/>
        <w:rPr>
          <w:rFonts w:asciiTheme="majorHAnsi" w:hAnsiTheme="majorHAnsi" w:cstheme="majorHAnsi"/>
          <w:sz w:val="20"/>
          <w:szCs w:val="20"/>
        </w:rPr>
      </w:pPr>
      <w:r w:rsidRPr="005B7194">
        <w:rPr>
          <w:rFonts w:asciiTheme="majorHAnsi" w:hAnsiTheme="majorHAnsi" w:cstheme="majorHAnsi"/>
          <w:b/>
          <w:bCs/>
          <w:sz w:val="20"/>
          <w:szCs w:val="20"/>
        </w:rPr>
        <w:t>All UN agencies</w:t>
      </w:r>
      <w:r w:rsidRPr="005B7194">
        <w:rPr>
          <w:rFonts w:asciiTheme="majorHAnsi" w:hAnsiTheme="majorHAnsi" w:cstheme="majorHAnsi"/>
          <w:sz w:val="20"/>
          <w:szCs w:val="20"/>
        </w:rPr>
        <w:t xml:space="preserve"> and mechanisms should ensure </w:t>
      </w:r>
      <w:r w:rsidRPr="005B7194">
        <w:rPr>
          <w:rFonts w:asciiTheme="majorHAnsi" w:hAnsiTheme="majorHAnsi" w:cstheme="majorHAnsi"/>
          <w:b/>
          <w:bCs/>
          <w:sz w:val="20"/>
          <w:szCs w:val="20"/>
        </w:rPr>
        <w:t xml:space="preserve">full </w:t>
      </w:r>
      <w:r w:rsidR="00DC01C6" w:rsidRPr="005B7194">
        <w:rPr>
          <w:rFonts w:asciiTheme="majorHAnsi" w:hAnsiTheme="majorHAnsi" w:cstheme="majorHAnsi"/>
          <w:b/>
          <w:bCs/>
          <w:sz w:val="20"/>
          <w:szCs w:val="20"/>
        </w:rPr>
        <w:t xml:space="preserve">and meaningful </w:t>
      </w:r>
      <w:r w:rsidRPr="005B7194">
        <w:rPr>
          <w:rFonts w:asciiTheme="majorHAnsi" w:hAnsiTheme="majorHAnsi" w:cstheme="majorHAnsi"/>
          <w:b/>
          <w:bCs/>
          <w:sz w:val="20"/>
          <w:szCs w:val="20"/>
        </w:rPr>
        <w:t>participation of civil society</w:t>
      </w:r>
      <w:r w:rsidR="006B45AD" w:rsidRPr="005B7194">
        <w:rPr>
          <w:rFonts w:asciiTheme="majorHAnsi" w:hAnsiTheme="majorHAnsi" w:cstheme="majorHAnsi"/>
          <w:b/>
          <w:bCs/>
          <w:sz w:val="20"/>
          <w:szCs w:val="20"/>
        </w:rPr>
        <w:t xml:space="preserve">, </w:t>
      </w:r>
      <w:r w:rsidR="006B45AD" w:rsidRPr="005B7194">
        <w:rPr>
          <w:rFonts w:asciiTheme="majorHAnsi" w:hAnsiTheme="majorHAnsi" w:cstheme="majorHAnsi"/>
          <w:sz w:val="20"/>
          <w:szCs w:val="20"/>
        </w:rPr>
        <w:t>including children</w:t>
      </w:r>
      <w:r w:rsidR="006B45AD" w:rsidRPr="005B7194">
        <w:rPr>
          <w:rFonts w:asciiTheme="majorHAnsi" w:hAnsiTheme="majorHAnsi" w:cstheme="majorHAnsi"/>
          <w:b/>
          <w:bCs/>
          <w:sz w:val="20"/>
          <w:szCs w:val="20"/>
        </w:rPr>
        <w:t>,</w:t>
      </w:r>
      <w:r w:rsidRPr="005B7194">
        <w:rPr>
          <w:rFonts w:asciiTheme="majorHAnsi" w:hAnsiTheme="majorHAnsi" w:cstheme="majorHAnsi"/>
          <w:sz w:val="20"/>
          <w:szCs w:val="20"/>
        </w:rPr>
        <w:t xml:space="preserve"> as they adapt their work in the context of COVID-19. No measures should disproportionately restrict or otherwise impact civil society access and participation</w:t>
      </w:r>
      <w:r w:rsidR="00243F02" w:rsidRPr="005B7194">
        <w:rPr>
          <w:rFonts w:asciiTheme="majorHAnsi" w:hAnsiTheme="majorHAnsi" w:cstheme="majorHAnsi"/>
          <w:sz w:val="20"/>
          <w:szCs w:val="20"/>
        </w:rPr>
        <w:t xml:space="preserve"> and modalities should be created in full consultation with civil society</w:t>
      </w:r>
      <w:r w:rsidRPr="005B7194">
        <w:rPr>
          <w:rFonts w:asciiTheme="majorHAnsi" w:hAnsiTheme="majorHAnsi" w:cstheme="majorHAnsi"/>
          <w:sz w:val="20"/>
          <w:szCs w:val="20"/>
        </w:rPr>
        <w:t xml:space="preserve">. </w:t>
      </w:r>
      <w:r w:rsidR="00DC01C6" w:rsidRPr="005B7194">
        <w:rPr>
          <w:rFonts w:asciiTheme="majorHAnsi" w:hAnsiTheme="majorHAnsi" w:cstheme="majorHAnsi"/>
          <w:sz w:val="20"/>
          <w:szCs w:val="20"/>
        </w:rPr>
        <w:t xml:space="preserve">They should, </w:t>
      </w:r>
      <w:r w:rsidR="00DC01C6" w:rsidRPr="005B7194">
        <w:rPr>
          <w:rFonts w:asciiTheme="majorHAnsi" w:hAnsiTheme="majorHAnsi" w:cstheme="majorHAnsi"/>
          <w:i/>
          <w:iCs/>
          <w:sz w:val="20"/>
          <w:szCs w:val="20"/>
        </w:rPr>
        <w:t>inter alia</w:t>
      </w:r>
      <w:r w:rsidR="00DC01C6" w:rsidRPr="005B7194">
        <w:rPr>
          <w:rFonts w:asciiTheme="majorHAnsi" w:hAnsiTheme="majorHAnsi" w:cstheme="majorHAnsi"/>
          <w:sz w:val="20"/>
          <w:szCs w:val="20"/>
        </w:rPr>
        <w:t>, provide a</w:t>
      </w:r>
      <w:r w:rsidRPr="005B7194">
        <w:rPr>
          <w:rFonts w:asciiTheme="majorHAnsi" w:hAnsiTheme="majorHAnsi" w:cstheme="majorHAnsi"/>
          <w:sz w:val="20"/>
          <w:szCs w:val="20"/>
        </w:rPr>
        <w:t xml:space="preserve">ccessible and secure communication platforms </w:t>
      </w:r>
      <w:r w:rsidR="00DC01C6" w:rsidRPr="005B7194">
        <w:rPr>
          <w:rFonts w:asciiTheme="majorHAnsi" w:hAnsiTheme="majorHAnsi" w:cstheme="majorHAnsi"/>
          <w:sz w:val="20"/>
          <w:szCs w:val="20"/>
        </w:rPr>
        <w:t>to civil society organisations</w:t>
      </w:r>
      <w:r w:rsidRPr="005B7194">
        <w:rPr>
          <w:rFonts w:asciiTheme="majorHAnsi" w:hAnsiTheme="majorHAnsi" w:cstheme="majorHAnsi"/>
          <w:sz w:val="20"/>
          <w:szCs w:val="20"/>
        </w:rPr>
        <w:t xml:space="preserve">, and technical and financial assistance must be ensured where required for effective participation.  </w:t>
      </w:r>
    </w:p>
    <w:p w14:paraId="7A7B58FA" w14:textId="17AF47B8" w:rsidR="0022404C" w:rsidRPr="005B7194" w:rsidRDefault="0022404C" w:rsidP="00043FCF">
      <w:pPr>
        <w:spacing w:before="240" w:after="240"/>
        <w:rPr>
          <w:rFonts w:asciiTheme="majorHAnsi" w:hAnsiTheme="majorHAnsi" w:cstheme="majorHAnsi"/>
          <w:sz w:val="20"/>
          <w:szCs w:val="20"/>
        </w:rPr>
      </w:pPr>
      <w:r w:rsidRPr="005B7194">
        <w:rPr>
          <w:rFonts w:asciiTheme="majorHAnsi" w:hAnsiTheme="majorHAnsi" w:cstheme="majorHAnsi"/>
          <w:sz w:val="20"/>
          <w:szCs w:val="20"/>
        </w:rPr>
        <w:t xml:space="preserve">As the UN works out how its mechanisms and </w:t>
      </w:r>
      <w:r w:rsidR="00043FCF" w:rsidRPr="005B7194">
        <w:rPr>
          <w:rFonts w:asciiTheme="majorHAnsi" w:hAnsiTheme="majorHAnsi" w:cstheme="majorHAnsi"/>
          <w:sz w:val="20"/>
          <w:szCs w:val="20"/>
        </w:rPr>
        <w:t>bodies</w:t>
      </w:r>
      <w:r w:rsidRPr="005B7194">
        <w:rPr>
          <w:rFonts w:asciiTheme="majorHAnsi" w:hAnsiTheme="majorHAnsi" w:cstheme="majorHAnsi"/>
          <w:sz w:val="20"/>
          <w:szCs w:val="20"/>
        </w:rPr>
        <w:t xml:space="preserve"> can operate virtually, new and increased risks of </w:t>
      </w:r>
      <w:r w:rsidRPr="005B7194">
        <w:rPr>
          <w:rFonts w:asciiTheme="majorHAnsi" w:hAnsiTheme="majorHAnsi" w:cstheme="majorHAnsi"/>
          <w:b/>
          <w:bCs/>
          <w:sz w:val="20"/>
          <w:szCs w:val="20"/>
        </w:rPr>
        <w:t>reprisals</w:t>
      </w:r>
      <w:r w:rsidRPr="005B7194">
        <w:rPr>
          <w:rFonts w:asciiTheme="majorHAnsi" w:hAnsiTheme="majorHAnsi" w:cstheme="majorHAnsi"/>
          <w:sz w:val="20"/>
          <w:szCs w:val="20"/>
        </w:rPr>
        <w:t xml:space="preserve"> </w:t>
      </w:r>
      <w:r w:rsidRPr="005B7194">
        <w:rPr>
          <w:rFonts w:asciiTheme="majorHAnsi" w:hAnsiTheme="majorHAnsi" w:cstheme="majorHAnsi"/>
          <w:b/>
          <w:bCs/>
          <w:sz w:val="20"/>
          <w:szCs w:val="20"/>
        </w:rPr>
        <w:t>and intimidation</w:t>
      </w:r>
      <w:r w:rsidRPr="005B7194">
        <w:rPr>
          <w:rFonts w:asciiTheme="majorHAnsi" w:hAnsiTheme="majorHAnsi" w:cstheme="majorHAnsi"/>
          <w:sz w:val="20"/>
          <w:szCs w:val="20"/>
        </w:rPr>
        <w:t xml:space="preserve"> could emerge for defenders engaging online. Relevant mechanisms and bodies, including the </w:t>
      </w:r>
      <w:r w:rsidR="00D83B35" w:rsidRPr="005B7194">
        <w:rPr>
          <w:rFonts w:asciiTheme="majorHAnsi" w:hAnsiTheme="majorHAnsi" w:cstheme="majorHAnsi"/>
          <w:sz w:val="20"/>
          <w:szCs w:val="20"/>
        </w:rPr>
        <w:t>HRC</w:t>
      </w:r>
      <w:r w:rsidRPr="005B7194">
        <w:rPr>
          <w:rFonts w:asciiTheme="majorHAnsi" w:hAnsiTheme="majorHAnsi" w:cstheme="majorHAnsi"/>
          <w:sz w:val="20"/>
          <w:szCs w:val="20"/>
        </w:rPr>
        <w:t xml:space="preserve">, must remain vigilant about attempts to intimidate and/or attack those who engage or seek to engage and must respond when such incidents are communicated to them. </w:t>
      </w:r>
    </w:p>
    <w:p w14:paraId="2F5FCEDC" w14:textId="56FA28DA" w:rsidR="00D83B35" w:rsidRPr="005B7194" w:rsidRDefault="00F03992" w:rsidP="002473EF">
      <w:pPr>
        <w:spacing w:after="240"/>
        <w:rPr>
          <w:rFonts w:asciiTheme="majorHAnsi" w:hAnsiTheme="majorHAnsi" w:cstheme="majorHAnsi"/>
          <w:sz w:val="20"/>
          <w:szCs w:val="20"/>
        </w:rPr>
      </w:pPr>
      <w:r w:rsidRPr="005B7194">
        <w:rPr>
          <w:rFonts w:asciiTheme="majorHAnsi" w:hAnsiTheme="majorHAnsi" w:cstheme="majorHAnsi"/>
          <w:sz w:val="20"/>
          <w:szCs w:val="20"/>
        </w:rPr>
        <w:t xml:space="preserve">Responding to scarcity of medical facilities and equipment, some governments have also resorted to discriminatory triage criteria de-prioritizing older persons and persons with disabilities in accessing medical care, or have authorized depriving them from life-saving equipment and medicine. The </w:t>
      </w:r>
      <w:r w:rsidR="00754C4D" w:rsidRPr="005B7194">
        <w:rPr>
          <w:rFonts w:asciiTheme="majorHAnsi" w:hAnsiTheme="majorHAnsi" w:cstheme="majorHAnsi"/>
          <w:b/>
          <w:bCs/>
          <w:sz w:val="20"/>
          <w:szCs w:val="20"/>
        </w:rPr>
        <w:t>W</w:t>
      </w:r>
      <w:r w:rsidR="00AD4920" w:rsidRPr="005B7194">
        <w:rPr>
          <w:rFonts w:asciiTheme="majorHAnsi" w:hAnsiTheme="majorHAnsi" w:cstheme="majorHAnsi"/>
          <w:b/>
          <w:bCs/>
          <w:sz w:val="20"/>
          <w:szCs w:val="20"/>
        </w:rPr>
        <w:t xml:space="preserve">orld </w:t>
      </w:r>
      <w:r w:rsidR="00754C4D" w:rsidRPr="005B7194">
        <w:rPr>
          <w:rFonts w:asciiTheme="majorHAnsi" w:hAnsiTheme="majorHAnsi" w:cstheme="majorHAnsi"/>
          <w:b/>
          <w:bCs/>
          <w:sz w:val="20"/>
          <w:szCs w:val="20"/>
        </w:rPr>
        <w:t>H</w:t>
      </w:r>
      <w:r w:rsidR="00AD4920" w:rsidRPr="005B7194">
        <w:rPr>
          <w:rFonts w:asciiTheme="majorHAnsi" w:hAnsiTheme="majorHAnsi" w:cstheme="majorHAnsi"/>
          <w:b/>
          <w:bCs/>
          <w:sz w:val="20"/>
          <w:szCs w:val="20"/>
        </w:rPr>
        <w:t xml:space="preserve">ealth </w:t>
      </w:r>
      <w:r w:rsidR="00754C4D" w:rsidRPr="005B7194">
        <w:rPr>
          <w:rFonts w:asciiTheme="majorHAnsi" w:hAnsiTheme="majorHAnsi" w:cstheme="majorHAnsi"/>
          <w:b/>
          <w:bCs/>
          <w:sz w:val="20"/>
          <w:szCs w:val="20"/>
        </w:rPr>
        <w:t>O</w:t>
      </w:r>
      <w:r w:rsidR="00AD4920" w:rsidRPr="005B7194">
        <w:rPr>
          <w:rFonts w:asciiTheme="majorHAnsi" w:hAnsiTheme="majorHAnsi" w:cstheme="majorHAnsi"/>
          <w:b/>
          <w:bCs/>
          <w:sz w:val="20"/>
          <w:szCs w:val="20"/>
        </w:rPr>
        <w:t>rganisation (WHO)</w:t>
      </w:r>
      <w:r w:rsidRPr="005B7194">
        <w:rPr>
          <w:rFonts w:asciiTheme="majorHAnsi" w:hAnsiTheme="majorHAnsi" w:cstheme="majorHAnsi"/>
          <w:sz w:val="20"/>
          <w:szCs w:val="20"/>
        </w:rPr>
        <w:t xml:space="preserve"> should </w:t>
      </w:r>
      <w:r w:rsidR="00754C4D" w:rsidRPr="005B7194">
        <w:rPr>
          <w:rFonts w:asciiTheme="majorHAnsi" w:hAnsiTheme="majorHAnsi" w:cstheme="majorHAnsi"/>
          <w:sz w:val="20"/>
          <w:szCs w:val="20"/>
        </w:rPr>
        <w:t>urge</w:t>
      </w:r>
      <w:r w:rsidRPr="005B7194">
        <w:rPr>
          <w:rFonts w:asciiTheme="majorHAnsi" w:hAnsiTheme="majorHAnsi" w:cstheme="majorHAnsi"/>
          <w:sz w:val="20"/>
          <w:szCs w:val="20"/>
        </w:rPr>
        <w:t xml:space="preserve"> all governments to act immediately and to the maximum of their available resources to ensure that no person is denied access to COVID-19 vital </w:t>
      </w:r>
      <w:r w:rsidRPr="005B7194">
        <w:rPr>
          <w:rFonts w:asciiTheme="majorHAnsi" w:hAnsiTheme="majorHAnsi" w:cstheme="majorHAnsi"/>
          <w:b/>
          <w:bCs/>
          <w:sz w:val="20"/>
          <w:szCs w:val="20"/>
        </w:rPr>
        <w:t>medical care</w:t>
      </w:r>
      <w:r w:rsidRPr="005B7194">
        <w:rPr>
          <w:rFonts w:asciiTheme="majorHAnsi" w:hAnsiTheme="majorHAnsi" w:cstheme="majorHAnsi"/>
          <w:sz w:val="20"/>
          <w:szCs w:val="20"/>
        </w:rPr>
        <w:t xml:space="preserve"> as well as life-saving equipment or medicine on the basis of age and/or disability</w:t>
      </w:r>
      <w:r w:rsidR="00D83B35" w:rsidRPr="005B7194">
        <w:rPr>
          <w:rFonts w:asciiTheme="majorHAnsi" w:hAnsiTheme="majorHAnsi" w:cstheme="majorHAnsi"/>
          <w:sz w:val="20"/>
          <w:szCs w:val="20"/>
        </w:rPr>
        <w:t xml:space="preserve">, and deliver medical treatment triage decision making criteria in full compliance with the principles of humanity including equal dignity and non‐discrimination for all. </w:t>
      </w:r>
    </w:p>
    <w:p w14:paraId="2BC8240B" w14:textId="0325F502" w:rsidR="00644463" w:rsidRPr="005B7194" w:rsidRDefault="00644463" w:rsidP="00644463">
      <w:pPr>
        <w:spacing w:before="240" w:after="240"/>
        <w:rPr>
          <w:rFonts w:asciiTheme="majorHAnsi" w:hAnsiTheme="majorHAnsi" w:cstheme="majorHAnsi"/>
          <w:sz w:val="20"/>
          <w:szCs w:val="20"/>
        </w:rPr>
      </w:pPr>
      <w:r w:rsidRPr="005B7194">
        <w:rPr>
          <w:rFonts w:asciiTheme="majorHAnsi" w:hAnsiTheme="majorHAnsi" w:cstheme="majorHAnsi"/>
          <w:sz w:val="20"/>
          <w:szCs w:val="20"/>
        </w:rPr>
        <w:t xml:space="preserve">UN agencies and human rights country teams should monitor whether </w:t>
      </w:r>
      <w:r w:rsidRPr="005B7194">
        <w:rPr>
          <w:rFonts w:asciiTheme="majorHAnsi" w:hAnsiTheme="majorHAnsi" w:cstheme="majorHAnsi"/>
          <w:b/>
          <w:bCs/>
          <w:sz w:val="20"/>
          <w:szCs w:val="20"/>
        </w:rPr>
        <w:t>food relief</w:t>
      </w:r>
      <w:r w:rsidRPr="005B7194">
        <w:rPr>
          <w:rFonts w:asciiTheme="majorHAnsi" w:hAnsiTheme="majorHAnsi" w:cstheme="majorHAnsi"/>
          <w:sz w:val="20"/>
          <w:szCs w:val="20"/>
        </w:rPr>
        <w:t xml:space="preserve"> distribution is taking place, how it is carried out, and should recommend transparency and accountability in the way it is distributed. </w:t>
      </w:r>
    </w:p>
    <w:p w14:paraId="6234FBF5" w14:textId="0DA6B3F2" w:rsidR="0078152E" w:rsidRPr="00B46E2E" w:rsidRDefault="0078152E" w:rsidP="00644463">
      <w:pPr>
        <w:spacing w:before="240" w:after="240"/>
        <w:rPr>
          <w:rFonts w:asciiTheme="majorHAnsi" w:hAnsiTheme="majorHAnsi" w:cstheme="majorHAnsi"/>
          <w:b/>
          <w:bCs/>
          <w:sz w:val="20"/>
          <w:szCs w:val="20"/>
          <w:u w:val="single"/>
        </w:rPr>
      </w:pPr>
      <w:r w:rsidRPr="00B46E2E">
        <w:rPr>
          <w:rFonts w:asciiTheme="majorHAnsi" w:hAnsiTheme="majorHAnsi" w:cstheme="majorHAnsi"/>
          <w:b/>
          <w:bCs/>
          <w:sz w:val="20"/>
          <w:szCs w:val="20"/>
          <w:u w:val="single"/>
        </w:rPr>
        <w:t xml:space="preserve">Endorsed by: </w:t>
      </w:r>
    </w:p>
    <w:p w14:paraId="7A7FFB56"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Al Mezan Centre for Human Rights</w:t>
      </w:r>
    </w:p>
    <w:p w14:paraId="1ADA0A94"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Al-Haq, Law in the Service of Man</w:t>
      </w:r>
    </w:p>
    <w:p w14:paraId="39D49ED1"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Americans for Democracy &amp; Human Rights in Bahrain</w:t>
      </w:r>
    </w:p>
    <w:p w14:paraId="2CDD839B"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Asian Forum for Human Rights and Development (FORUM-ASIA)</w:t>
      </w:r>
    </w:p>
    <w:p w14:paraId="490E9651"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Asian Legal Resource Centre (ALRC)</w:t>
      </w:r>
    </w:p>
    <w:p w14:paraId="4FA9866E"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Cairo Institute for Human Rights Studies (CIHRS)</w:t>
      </w:r>
    </w:p>
    <w:p w14:paraId="3596FE1B"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Center for Reproductive Rights</w:t>
      </w:r>
    </w:p>
    <w:p w14:paraId="7C9F2AF8" w14:textId="5C62BFF1"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Centre for Civil and Political Rights</w:t>
      </w:r>
    </w:p>
    <w:p w14:paraId="01407225"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lang w:val="es-AR"/>
        </w:rPr>
      </w:pPr>
      <w:r w:rsidRPr="005B7194">
        <w:rPr>
          <w:rFonts w:asciiTheme="majorHAnsi" w:hAnsiTheme="majorHAnsi" w:cstheme="majorHAnsi"/>
          <w:sz w:val="20"/>
          <w:szCs w:val="20"/>
          <w:lang w:val="es-AR"/>
        </w:rPr>
        <w:t>Centro de Estudios Legales y Sociales - CELS (Argentina)</w:t>
      </w:r>
    </w:p>
    <w:p w14:paraId="2067A745"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lastRenderedPageBreak/>
        <w:t>Child Rights Connect</w:t>
      </w:r>
    </w:p>
    <w:p w14:paraId="4388D3E4"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CIVICUS: World Alliance for Citizen Participation</w:t>
      </w:r>
    </w:p>
    <w:p w14:paraId="73359E4A"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Commonwealth Human Rights Initiative (CHRI)</w:t>
      </w:r>
    </w:p>
    <w:p w14:paraId="6B0677EA"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Conectas Direitos Humanos</w:t>
      </w:r>
    </w:p>
    <w:p w14:paraId="72332FBC"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Congregation of Our Lady of Charity of the Good Shepherd</w:t>
      </w:r>
    </w:p>
    <w:p w14:paraId="30BB3682"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DefendDefenders (East and Horn of Africa Human Rights Defenders Project)</w:t>
      </w:r>
    </w:p>
    <w:p w14:paraId="1926F2C5"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Dominicans for Justice and Peace</w:t>
      </w:r>
    </w:p>
    <w:p w14:paraId="063C255E"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Franciscans International</w:t>
      </w:r>
    </w:p>
    <w:p w14:paraId="4C724AA9"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lang w:val="es-AR"/>
        </w:rPr>
      </w:pPr>
      <w:r w:rsidRPr="005B7194">
        <w:rPr>
          <w:rFonts w:asciiTheme="majorHAnsi" w:hAnsiTheme="majorHAnsi" w:cstheme="majorHAnsi"/>
          <w:sz w:val="20"/>
          <w:szCs w:val="20"/>
          <w:lang w:val="es-AR"/>
        </w:rPr>
        <w:t>Fundacion Regional de Asesoría en Derechos Humanos, INREDH</w:t>
      </w:r>
    </w:p>
    <w:p w14:paraId="57A7021F"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Geneva for Human Rights - Global Training (GHR)</w:t>
      </w:r>
    </w:p>
    <w:p w14:paraId="3D09391A"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Human Rights House Foundation (HRHF)</w:t>
      </w:r>
    </w:p>
    <w:p w14:paraId="25E06C1E"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International Bar Association</w:t>
      </w:r>
    </w:p>
    <w:p w14:paraId="2DA0944A"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International Commission of Jurists</w:t>
      </w:r>
    </w:p>
    <w:p w14:paraId="0465A91D"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 xml:space="preserve">International Disability Alliance </w:t>
      </w:r>
    </w:p>
    <w:p w14:paraId="4B1562ED"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International Federation for Human Rights Leagues (FIDH)</w:t>
      </w:r>
    </w:p>
    <w:p w14:paraId="0E80EA14"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International Federation of ACATs (FIACAT)</w:t>
      </w:r>
    </w:p>
    <w:p w14:paraId="02A0BBCA"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International Lesbian and Gay Association (ILGA World)</w:t>
      </w:r>
    </w:p>
    <w:p w14:paraId="6B50E289"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International Movement Against All Forms of Discrimination and Racism (IMADR)</w:t>
      </w:r>
    </w:p>
    <w:p w14:paraId="190F9DC8"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International Service For Human Rights (ISHR)</w:t>
      </w:r>
    </w:p>
    <w:p w14:paraId="0724BD61"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Justiça Global</w:t>
      </w:r>
    </w:p>
    <w:p w14:paraId="2781DCCD"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Lawyers’ Rights Watch Canada</w:t>
      </w:r>
    </w:p>
    <w:p w14:paraId="3C005E8B" w14:textId="03748A60"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 xml:space="preserve">Nazra </w:t>
      </w:r>
      <w:r w:rsidR="006E7225">
        <w:rPr>
          <w:rFonts w:asciiTheme="majorHAnsi" w:hAnsiTheme="majorHAnsi" w:cstheme="majorHAnsi"/>
          <w:sz w:val="20"/>
          <w:szCs w:val="20"/>
        </w:rPr>
        <w:t xml:space="preserve">for </w:t>
      </w:r>
      <w:r w:rsidRPr="005B7194">
        <w:rPr>
          <w:rFonts w:asciiTheme="majorHAnsi" w:hAnsiTheme="majorHAnsi" w:cstheme="majorHAnsi"/>
          <w:sz w:val="20"/>
          <w:szCs w:val="20"/>
        </w:rPr>
        <w:t>Feminist Studies</w:t>
      </w:r>
    </w:p>
    <w:p w14:paraId="7537CB91"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Peace Brigades International</w:t>
      </w:r>
    </w:p>
    <w:p w14:paraId="7889680B"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Plan International Inc.</w:t>
      </w:r>
    </w:p>
    <w:p w14:paraId="4A695D44"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Right Livelihood Foundation</w:t>
      </w:r>
    </w:p>
    <w:p w14:paraId="472BC980"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Save the Children</w:t>
      </w:r>
    </w:p>
    <w:p w14:paraId="75DE1E7F"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 xml:space="preserve">The Advocates for Human Rights </w:t>
      </w:r>
    </w:p>
    <w:p w14:paraId="6544D6A9"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The Association for Progressive Communications (APC)</w:t>
      </w:r>
    </w:p>
    <w:p w14:paraId="1CEBFA39"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lang w:val="fr-CH"/>
        </w:rPr>
      </w:pPr>
      <w:r w:rsidRPr="005B7194">
        <w:rPr>
          <w:rFonts w:asciiTheme="majorHAnsi" w:hAnsiTheme="majorHAnsi" w:cstheme="majorHAnsi"/>
          <w:sz w:val="20"/>
          <w:szCs w:val="20"/>
          <w:lang w:val="fr-CH"/>
        </w:rPr>
        <w:t>Union Internationale des Avocats (UIA)</w:t>
      </w:r>
    </w:p>
    <w:p w14:paraId="23EB149B"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Validity Foundation - Mental Disability Advocacy Centre</w:t>
      </w:r>
    </w:p>
    <w:p w14:paraId="0C82451F" w14:textId="77777777" w:rsidR="007E60B8" w:rsidRPr="005B7194" w:rsidRDefault="007E60B8" w:rsidP="005B7194">
      <w:pPr>
        <w:pStyle w:val="ListParagraph"/>
        <w:numPr>
          <w:ilvl w:val="0"/>
          <w:numId w:val="2"/>
        </w:numPr>
        <w:spacing w:before="240" w:after="240"/>
        <w:rPr>
          <w:rFonts w:asciiTheme="majorHAnsi" w:hAnsiTheme="majorHAnsi" w:cstheme="majorHAnsi"/>
          <w:sz w:val="20"/>
          <w:szCs w:val="20"/>
        </w:rPr>
      </w:pPr>
      <w:r w:rsidRPr="005B7194">
        <w:rPr>
          <w:rFonts w:asciiTheme="majorHAnsi" w:hAnsiTheme="majorHAnsi" w:cstheme="majorHAnsi"/>
          <w:sz w:val="20"/>
          <w:szCs w:val="20"/>
        </w:rPr>
        <w:t>Women's International League for Peace and Freedom (WILPF)</w:t>
      </w:r>
    </w:p>
    <w:p w14:paraId="7CA25C52" w14:textId="1453B1B7" w:rsidR="007E60B8" w:rsidRDefault="009F4117" w:rsidP="005B7194">
      <w:pPr>
        <w:pStyle w:val="ListParagraph"/>
        <w:numPr>
          <w:ilvl w:val="0"/>
          <w:numId w:val="2"/>
        </w:numPr>
        <w:spacing w:before="240" w:after="240"/>
        <w:rPr>
          <w:rFonts w:asciiTheme="majorHAnsi" w:hAnsiTheme="majorHAnsi" w:cstheme="majorHAnsi"/>
          <w:sz w:val="20"/>
          <w:szCs w:val="20"/>
        </w:rPr>
      </w:pPr>
      <w:r>
        <w:rPr>
          <w:rFonts w:asciiTheme="majorHAnsi" w:hAnsiTheme="majorHAnsi" w:cstheme="majorHAnsi"/>
          <w:sz w:val="20"/>
          <w:szCs w:val="20"/>
        </w:rPr>
        <w:t>World Organization</w:t>
      </w:r>
      <w:r w:rsidR="007E60B8" w:rsidRPr="005B7194">
        <w:rPr>
          <w:rFonts w:asciiTheme="majorHAnsi" w:hAnsiTheme="majorHAnsi" w:cstheme="majorHAnsi"/>
          <w:sz w:val="20"/>
          <w:szCs w:val="20"/>
        </w:rPr>
        <w:t xml:space="preserve"> Against Torture</w:t>
      </w:r>
    </w:p>
    <w:p w14:paraId="69D569E2" w14:textId="22526DDF" w:rsidR="00871412" w:rsidRPr="005B7194" w:rsidRDefault="00871412" w:rsidP="00871412">
      <w:pPr>
        <w:pStyle w:val="ListParagraph"/>
        <w:numPr>
          <w:ilvl w:val="0"/>
          <w:numId w:val="2"/>
        </w:numPr>
        <w:spacing w:before="240" w:after="240"/>
        <w:rPr>
          <w:rFonts w:asciiTheme="majorHAnsi" w:hAnsiTheme="majorHAnsi" w:cstheme="majorHAnsi"/>
          <w:sz w:val="20"/>
          <w:szCs w:val="20"/>
        </w:rPr>
      </w:pPr>
      <w:r w:rsidRPr="00871412">
        <w:rPr>
          <w:rFonts w:asciiTheme="majorHAnsi" w:hAnsiTheme="majorHAnsi" w:cstheme="majorHAnsi"/>
          <w:sz w:val="20"/>
          <w:szCs w:val="20"/>
        </w:rPr>
        <w:t>IWRAW Asia Pacific</w:t>
      </w:r>
      <w:bookmarkStart w:id="0" w:name="_GoBack"/>
      <w:bookmarkEnd w:id="0"/>
    </w:p>
    <w:p w14:paraId="145A5945" w14:textId="77777777" w:rsidR="000C0313" w:rsidRPr="005B7194" w:rsidRDefault="000C0313" w:rsidP="00644463">
      <w:pPr>
        <w:spacing w:before="240" w:after="240"/>
        <w:rPr>
          <w:rFonts w:asciiTheme="majorHAnsi" w:hAnsiTheme="majorHAnsi" w:cstheme="majorHAnsi"/>
          <w:sz w:val="20"/>
          <w:szCs w:val="20"/>
        </w:rPr>
      </w:pPr>
    </w:p>
    <w:p w14:paraId="3ED9319C" w14:textId="362E9765" w:rsidR="00F03992" w:rsidRPr="005B7194" w:rsidRDefault="00F03992" w:rsidP="00837C83">
      <w:pPr>
        <w:spacing w:after="240"/>
        <w:rPr>
          <w:rFonts w:asciiTheme="majorHAnsi" w:hAnsiTheme="majorHAnsi" w:cstheme="majorHAnsi"/>
          <w:sz w:val="20"/>
          <w:szCs w:val="20"/>
        </w:rPr>
      </w:pPr>
    </w:p>
    <w:p w14:paraId="0F6DA036" w14:textId="3C210330" w:rsidR="00F03992" w:rsidRPr="005B7194" w:rsidRDefault="00F03992" w:rsidP="00CA06F1">
      <w:pPr>
        <w:spacing w:after="240"/>
        <w:rPr>
          <w:rFonts w:asciiTheme="majorHAnsi" w:hAnsiTheme="majorHAnsi" w:cstheme="majorHAnsi"/>
          <w:b/>
          <w:color w:val="202124"/>
          <w:sz w:val="20"/>
          <w:szCs w:val="20"/>
        </w:rPr>
      </w:pPr>
    </w:p>
    <w:sectPr w:rsidR="00F03992" w:rsidRPr="005B7194">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F891" w16cid:durableId="2236F10B"/>
  <w16cid:commentId w16cid:paraId="434A1EED" w16cid:durableId="2236F1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11F6" w14:textId="77777777" w:rsidR="000E6C3B" w:rsidRDefault="000E6C3B">
      <w:pPr>
        <w:spacing w:line="240" w:lineRule="auto"/>
      </w:pPr>
      <w:r>
        <w:separator/>
      </w:r>
    </w:p>
  </w:endnote>
  <w:endnote w:type="continuationSeparator" w:id="0">
    <w:p w14:paraId="0482D446" w14:textId="77777777" w:rsidR="000E6C3B" w:rsidRDefault="000E6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B9D7C" w14:textId="77777777" w:rsidR="000E6C3B" w:rsidRDefault="000E6C3B">
      <w:pPr>
        <w:spacing w:line="240" w:lineRule="auto"/>
      </w:pPr>
      <w:r>
        <w:separator/>
      </w:r>
    </w:p>
  </w:footnote>
  <w:footnote w:type="continuationSeparator" w:id="0">
    <w:p w14:paraId="140CF84F" w14:textId="77777777" w:rsidR="000E6C3B" w:rsidRDefault="000E6C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5007A"/>
    <w:multiLevelType w:val="hybridMultilevel"/>
    <w:tmpl w:val="F71E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4688C"/>
    <w:multiLevelType w:val="hybridMultilevel"/>
    <w:tmpl w:val="FBD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A1"/>
    <w:rsid w:val="000048E7"/>
    <w:rsid w:val="00023D4C"/>
    <w:rsid w:val="0003367F"/>
    <w:rsid w:val="00043FCF"/>
    <w:rsid w:val="0006597B"/>
    <w:rsid w:val="00065BFA"/>
    <w:rsid w:val="000B0C9C"/>
    <w:rsid w:val="000B197B"/>
    <w:rsid w:val="000B25A2"/>
    <w:rsid w:val="000B3148"/>
    <w:rsid w:val="000C0313"/>
    <w:rsid w:val="000D1114"/>
    <w:rsid w:val="000E6C3B"/>
    <w:rsid w:val="00106362"/>
    <w:rsid w:val="00117107"/>
    <w:rsid w:val="00125821"/>
    <w:rsid w:val="00127357"/>
    <w:rsid w:val="00132F95"/>
    <w:rsid w:val="001344D1"/>
    <w:rsid w:val="00142991"/>
    <w:rsid w:val="00181775"/>
    <w:rsid w:val="00182719"/>
    <w:rsid w:val="00182924"/>
    <w:rsid w:val="00185EB0"/>
    <w:rsid w:val="001A5547"/>
    <w:rsid w:val="001C391E"/>
    <w:rsid w:val="001E027B"/>
    <w:rsid w:val="001E0555"/>
    <w:rsid w:val="00202090"/>
    <w:rsid w:val="00204111"/>
    <w:rsid w:val="002167D8"/>
    <w:rsid w:val="00216E42"/>
    <w:rsid w:val="002216A3"/>
    <w:rsid w:val="0022404C"/>
    <w:rsid w:val="0023638E"/>
    <w:rsid w:val="00243F02"/>
    <w:rsid w:val="002473EF"/>
    <w:rsid w:val="00254855"/>
    <w:rsid w:val="002617A4"/>
    <w:rsid w:val="00263A24"/>
    <w:rsid w:val="00271189"/>
    <w:rsid w:val="00281628"/>
    <w:rsid w:val="002A6E24"/>
    <w:rsid w:val="002B299E"/>
    <w:rsid w:val="002D18C1"/>
    <w:rsid w:val="002E05EE"/>
    <w:rsid w:val="002E6273"/>
    <w:rsid w:val="0030532A"/>
    <w:rsid w:val="00312789"/>
    <w:rsid w:val="00326CE8"/>
    <w:rsid w:val="003342BF"/>
    <w:rsid w:val="003349FD"/>
    <w:rsid w:val="00340813"/>
    <w:rsid w:val="00350F6F"/>
    <w:rsid w:val="00355356"/>
    <w:rsid w:val="003D42FE"/>
    <w:rsid w:val="003D492C"/>
    <w:rsid w:val="003F28FD"/>
    <w:rsid w:val="003F38BD"/>
    <w:rsid w:val="00415F1D"/>
    <w:rsid w:val="00424304"/>
    <w:rsid w:val="00427CFD"/>
    <w:rsid w:val="00457FAE"/>
    <w:rsid w:val="004628D6"/>
    <w:rsid w:val="00463EE4"/>
    <w:rsid w:val="004823C3"/>
    <w:rsid w:val="0049151B"/>
    <w:rsid w:val="004A47ED"/>
    <w:rsid w:val="004C4CC5"/>
    <w:rsid w:val="004D08C1"/>
    <w:rsid w:val="00504DD6"/>
    <w:rsid w:val="005072A4"/>
    <w:rsid w:val="00520B23"/>
    <w:rsid w:val="00532FFA"/>
    <w:rsid w:val="00536DB9"/>
    <w:rsid w:val="00542A58"/>
    <w:rsid w:val="00551802"/>
    <w:rsid w:val="00554791"/>
    <w:rsid w:val="005608C8"/>
    <w:rsid w:val="00562014"/>
    <w:rsid w:val="00563FD0"/>
    <w:rsid w:val="00583517"/>
    <w:rsid w:val="005913DD"/>
    <w:rsid w:val="005934B7"/>
    <w:rsid w:val="005B7194"/>
    <w:rsid w:val="005C5D9B"/>
    <w:rsid w:val="00600DA7"/>
    <w:rsid w:val="006164CF"/>
    <w:rsid w:val="0063367B"/>
    <w:rsid w:val="0064183C"/>
    <w:rsid w:val="00644463"/>
    <w:rsid w:val="00651C09"/>
    <w:rsid w:val="00651D24"/>
    <w:rsid w:val="00651EEB"/>
    <w:rsid w:val="00653E93"/>
    <w:rsid w:val="00654B29"/>
    <w:rsid w:val="0068258B"/>
    <w:rsid w:val="006859A2"/>
    <w:rsid w:val="00687150"/>
    <w:rsid w:val="006A385D"/>
    <w:rsid w:val="006A454C"/>
    <w:rsid w:val="006B036E"/>
    <w:rsid w:val="006B07F7"/>
    <w:rsid w:val="006B45AD"/>
    <w:rsid w:val="006E65A9"/>
    <w:rsid w:val="006E7225"/>
    <w:rsid w:val="00701961"/>
    <w:rsid w:val="00717E10"/>
    <w:rsid w:val="0072533E"/>
    <w:rsid w:val="00735804"/>
    <w:rsid w:val="00737730"/>
    <w:rsid w:val="00747E0D"/>
    <w:rsid w:val="00754C4D"/>
    <w:rsid w:val="00760F6A"/>
    <w:rsid w:val="00763748"/>
    <w:rsid w:val="00766F2C"/>
    <w:rsid w:val="00771D50"/>
    <w:rsid w:val="00774145"/>
    <w:rsid w:val="0078152E"/>
    <w:rsid w:val="007A25CD"/>
    <w:rsid w:val="007B44B9"/>
    <w:rsid w:val="007E60B8"/>
    <w:rsid w:val="007E75FC"/>
    <w:rsid w:val="007F531B"/>
    <w:rsid w:val="00805E77"/>
    <w:rsid w:val="00817C9A"/>
    <w:rsid w:val="00824BD2"/>
    <w:rsid w:val="00830884"/>
    <w:rsid w:val="00837C83"/>
    <w:rsid w:val="008464A6"/>
    <w:rsid w:val="00857CE2"/>
    <w:rsid w:val="00871412"/>
    <w:rsid w:val="00885304"/>
    <w:rsid w:val="008940ED"/>
    <w:rsid w:val="00895ADB"/>
    <w:rsid w:val="008972DE"/>
    <w:rsid w:val="008A1080"/>
    <w:rsid w:val="008C2C52"/>
    <w:rsid w:val="008C7B3C"/>
    <w:rsid w:val="008D314F"/>
    <w:rsid w:val="008D7684"/>
    <w:rsid w:val="008D7763"/>
    <w:rsid w:val="008E00FE"/>
    <w:rsid w:val="008E0818"/>
    <w:rsid w:val="008F7E65"/>
    <w:rsid w:val="00904B9D"/>
    <w:rsid w:val="00913E9A"/>
    <w:rsid w:val="009154B5"/>
    <w:rsid w:val="00926CE3"/>
    <w:rsid w:val="00947047"/>
    <w:rsid w:val="00955B97"/>
    <w:rsid w:val="00966614"/>
    <w:rsid w:val="009675B8"/>
    <w:rsid w:val="00997CA0"/>
    <w:rsid w:val="009A2725"/>
    <w:rsid w:val="009A7672"/>
    <w:rsid w:val="009B5C0B"/>
    <w:rsid w:val="009C3F0D"/>
    <w:rsid w:val="009E64D9"/>
    <w:rsid w:val="009F4117"/>
    <w:rsid w:val="009F794B"/>
    <w:rsid w:val="00A00107"/>
    <w:rsid w:val="00A10DC7"/>
    <w:rsid w:val="00A41BB4"/>
    <w:rsid w:val="00A448F9"/>
    <w:rsid w:val="00A500B2"/>
    <w:rsid w:val="00A823B1"/>
    <w:rsid w:val="00AB4438"/>
    <w:rsid w:val="00AC7429"/>
    <w:rsid w:val="00AD4920"/>
    <w:rsid w:val="00AE691A"/>
    <w:rsid w:val="00AE782F"/>
    <w:rsid w:val="00AF43CB"/>
    <w:rsid w:val="00B152DF"/>
    <w:rsid w:val="00B1762C"/>
    <w:rsid w:val="00B20B47"/>
    <w:rsid w:val="00B36154"/>
    <w:rsid w:val="00B46E2E"/>
    <w:rsid w:val="00B62F07"/>
    <w:rsid w:val="00B70C27"/>
    <w:rsid w:val="00B77835"/>
    <w:rsid w:val="00B93DC3"/>
    <w:rsid w:val="00B96EDD"/>
    <w:rsid w:val="00BD3845"/>
    <w:rsid w:val="00BD74C3"/>
    <w:rsid w:val="00BD7E8A"/>
    <w:rsid w:val="00BE14EC"/>
    <w:rsid w:val="00BE74E6"/>
    <w:rsid w:val="00BF57BE"/>
    <w:rsid w:val="00C01D5E"/>
    <w:rsid w:val="00C20145"/>
    <w:rsid w:val="00C23E08"/>
    <w:rsid w:val="00C3035A"/>
    <w:rsid w:val="00C30543"/>
    <w:rsid w:val="00C42212"/>
    <w:rsid w:val="00C43C65"/>
    <w:rsid w:val="00C8137B"/>
    <w:rsid w:val="00C84484"/>
    <w:rsid w:val="00C845DC"/>
    <w:rsid w:val="00C91714"/>
    <w:rsid w:val="00CA06F1"/>
    <w:rsid w:val="00CA1063"/>
    <w:rsid w:val="00CA2B12"/>
    <w:rsid w:val="00CA6677"/>
    <w:rsid w:val="00CB5C04"/>
    <w:rsid w:val="00CC0B96"/>
    <w:rsid w:val="00CC6175"/>
    <w:rsid w:val="00CC6BD0"/>
    <w:rsid w:val="00CD270A"/>
    <w:rsid w:val="00CE27A6"/>
    <w:rsid w:val="00CE2E3A"/>
    <w:rsid w:val="00D13E40"/>
    <w:rsid w:val="00D220EA"/>
    <w:rsid w:val="00D243E3"/>
    <w:rsid w:val="00D3114A"/>
    <w:rsid w:val="00D61D59"/>
    <w:rsid w:val="00D83B35"/>
    <w:rsid w:val="00DB485F"/>
    <w:rsid w:val="00DC01C6"/>
    <w:rsid w:val="00DC2BDD"/>
    <w:rsid w:val="00DD4A1F"/>
    <w:rsid w:val="00DF3668"/>
    <w:rsid w:val="00DF4F90"/>
    <w:rsid w:val="00E159A4"/>
    <w:rsid w:val="00E44078"/>
    <w:rsid w:val="00E64838"/>
    <w:rsid w:val="00E855B8"/>
    <w:rsid w:val="00E91763"/>
    <w:rsid w:val="00E92A80"/>
    <w:rsid w:val="00E92F04"/>
    <w:rsid w:val="00EA0E0F"/>
    <w:rsid w:val="00EA6BC3"/>
    <w:rsid w:val="00EC3432"/>
    <w:rsid w:val="00EF3FEE"/>
    <w:rsid w:val="00F03992"/>
    <w:rsid w:val="00F03B94"/>
    <w:rsid w:val="00F24B35"/>
    <w:rsid w:val="00F257F6"/>
    <w:rsid w:val="00F30048"/>
    <w:rsid w:val="00F31A27"/>
    <w:rsid w:val="00F323C9"/>
    <w:rsid w:val="00F34375"/>
    <w:rsid w:val="00F718EB"/>
    <w:rsid w:val="00F83D3E"/>
    <w:rsid w:val="00F83E3D"/>
    <w:rsid w:val="00F83ED9"/>
    <w:rsid w:val="00FB15A1"/>
    <w:rsid w:val="00FC0215"/>
    <w:rsid w:val="00FC4ADC"/>
    <w:rsid w:val="00FC7D74"/>
    <w:rsid w:val="00FD496D"/>
    <w:rsid w:val="00FE0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DA388"/>
  <w15:docId w15:val="{563DD3E1-7EE1-4FBC-BBEE-58F1507E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D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D5E"/>
    <w:rPr>
      <w:rFonts w:ascii="Segoe UI" w:hAnsi="Segoe UI" w:cs="Segoe UI"/>
      <w:sz w:val="18"/>
      <w:szCs w:val="18"/>
    </w:rPr>
  </w:style>
  <w:style w:type="paragraph" w:styleId="NormalWeb">
    <w:name w:val="Normal (Web)"/>
    <w:basedOn w:val="Normal"/>
    <w:uiPriority w:val="99"/>
    <w:semiHidden/>
    <w:unhideWhenUsed/>
    <w:rsid w:val="002041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26CE3"/>
    <w:pPr>
      <w:tabs>
        <w:tab w:val="center" w:pos="4680"/>
        <w:tab w:val="right" w:pos="9360"/>
      </w:tabs>
      <w:spacing w:line="240" w:lineRule="auto"/>
    </w:pPr>
  </w:style>
  <w:style w:type="character" w:customStyle="1" w:styleId="HeaderChar">
    <w:name w:val="Header Char"/>
    <w:basedOn w:val="DefaultParagraphFont"/>
    <w:link w:val="Header"/>
    <w:uiPriority w:val="99"/>
    <w:rsid w:val="00926CE3"/>
  </w:style>
  <w:style w:type="paragraph" w:styleId="Footer">
    <w:name w:val="footer"/>
    <w:basedOn w:val="Normal"/>
    <w:link w:val="FooterChar"/>
    <w:uiPriority w:val="99"/>
    <w:unhideWhenUsed/>
    <w:rsid w:val="00926CE3"/>
    <w:pPr>
      <w:tabs>
        <w:tab w:val="center" w:pos="4680"/>
        <w:tab w:val="right" w:pos="9360"/>
      </w:tabs>
      <w:spacing w:line="240" w:lineRule="auto"/>
    </w:pPr>
  </w:style>
  <w:style w:type="character" w:customStyle="1" w:styleId="FooterChar">
    <w:name w:val="Footer Char"/>
    <w:basedOn w:val="DefaultParagraphFont"/>
    <w:link w:val="Footer"/>
    <w:uiPriority w:val="99"/>
    <w:rsid w:val="00926CE3"/>
  </w:style>
  <w:style w:type="paragraph" w:styleId="ListParagraph">
    <w:name w:val="List Paragraph"/>
    <w:basedOn w:val="Normal"/>
    <w:uiPriority w:val="34"/>
    <w:qFormat/>
    <w:rsid w:val="002E05EE"/>
    <w:pPr>
      <w:ind w:left="720"/>
      <w:contextualSpacing/>
    </w:pPr>
  </w:style>
  <w:style w:type="paragraph" w:styleId="CommentSubject">
    <w:name w:val="annotation subject"/>
    <w:basedOn w:val="CommentText"/>
    <w:next w:val="CommentText"/>
    <w:link w:val="CommentSubjectChar"/>
    <w:uiPriority w:val="99"/>
    <w:semiHidden/>
    <w:unhideWhenUsed/>
    <w:rsid w:val="00281628"/>
    <w:rPr>
      <w:b/>
      <w:bCs/>
    </w:rPr>
  </w:style>
  <w:style w:type="character" w:customStyle="1" w:styleId="CommentSubjectChar">
    <w:name w:val="Comment Subject Char"/>
    <w:basedOn w:val="CommentTextChar"/>
    <w:link w:val="CommentSubject"/>
    <w:uiPriority w:val="99"/>
    <w:semiHidden/>
    <w:rsid w:val="00281628"/>
    <w:rPr>
      <w:b/>
      <w:bCs/>
      <w:sz w:val="20"/>
      <w:szCs w:val="20"/>
    </w:rPr>
  </w:style>
  <w:style w:type="character" w:styleId="Hyperlink">
    <w:name w:val="Hyperlink"/>
    <w:basedOn w:val="DefaultParagraphFont"/>
    <w:uiPriority w:val="99"/>
    <w:unhideWhenUsed/>
    <w:rsid w:val="005934B7"/>
    <w:rPr>
      <w:color w:val="0000FF" w:themeColor="hyperlink"/>
      <w:u w:val="single"/>
    </w:rPr>
  </w:style>
  <w:style w:type="character" w:styleId="FollowedHyperlink">
    <w:name w:val="FollowedHyperlink"/>
    <w:basedOn w:val="DefaultParagraphFont"/>
    <w:uiPriority w:val="99"/>
    <w:semiHidden/>
    <w:unhideWhenUsed/>
    <w:rsid w:val="00583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1624">
      <w:bodyDiv w:val="1"/>
      <w:marLeft w:val="0"/>
      <w:marRight w:val="0"/>
      <w:marTop w:val="0"/>
      <w:marBottom w:val="0"/>
      <w:divBdr>
        <w:top w:val="none" w:sz="0" w:space="0" w:color="auto"/>
        <w:left w:val="none" w:sz="0" w:space="0" w:color="auto"/>
        <w:bottom w:val="none" w:sz="0" w:space="0" w:color="auto"/>
        <w:right w:val="none" w:sz="0" w:space="0" w:color="auto"/>
      </w:divBdr>
    </w:div>
    <w:div w:id="306976709">
      <w:bodyDiv w:val="1"/>
      <w:marLeft w:val="0"/>
      <w:marRight w:val="0"/>
      <w:marTop w:val="0"/>
      <w:marBottom w:val="0"/>
      <w:divBdr>
        <w:top w:val="none" w:sz="0" w:space="0" w:color="auto"/>
        <w:left w:val="none" w:sz="0" w:space="0" w:color="auto"/>
        <w:bottom w:val="none" w:sz="0" w:space="0" w:color="auto"/>
        <w:right w:val="none" w:sz="0" w:space="0" w:color="auto"/>
      </w:divBdr>
    </w:div>
    <w:div w:id="632754454">
      <w:bodyDiv w:val="1"/>
      <w:marLeft w:val="0"/>
      <w:marRight w:val="0"/>
      <w:marTop w:val="0"/>
      <w:marBottom w:val="0"/>
      <w:divBdr>
        <w:top w:val="none" w:sz="0" w:space="0" w:color="auto"/>
        <w:left w:val="none" w:sz="0" w:space="0" w:color="auto"/>
        <w:bottom w:val="none" w:sz="0" w:space="0" w:color="auto"/>
        <w:right w:val="none" w:sz="0" w:space="0" w:color="auto"/>
      </w:divBdr>
    </w:div>
    <w:div w:id="933786737">
      <w:bodyDiv w:val="1"/>
      <w:marLeft w:val="0"/>
      <w:marRight w:val="0"/>
      <w:marTop w:val="0"/>
      <w:marBottom w:val="0"/>
      <w:divBdr>
        <w:top w:val="none" w:sz="0" w:space="0" w:color="auto"/>
        <w:left w:val="none" w:sz="0" w:space="0" w:color="auto"/>
        <w:bottom w:val="none" w:sz="0" w:space="0" w:color="auto"/>
        <w:right w:val="none" w:sz="0" w:space="0" w:color="auto"/>
      </w:divBdr>
    </w:div>
    <w:div w:id="1152989238">
      <w:bodyDiv w:val="1"/>
      <w:marLeft w:val="0"/>
      <w:marRight w:val="0"/>
      <w:marTop w:val="0"/>
      <w:marBottom w:val="0"/>
      <w:divBdr>
        <w:top w:val="none" w:sz="0" w:space="0" w:color="auto"/>
        <w:left w:val="none" w:sz="0" w:space="0" w:color="auto"/>
        <w:bottom w:val="none" w:sz="0" w:space="0" w:color="auto"/>
        <w:right w:val="none" w:sz="0" w:space="0" w:color="auto"/>
      </w:divBdr>
    </w:div>
    <w:div w:id="124606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media.aspx" TargetMode="External"/><Relationship Id="rId13" Type="http://schemas.openxmlformats.org/officeDocument/2006/relationships/hyperlink" Target="https://www.ohchr.org/EN/NewsEvents/Pages/DisplayNews.aspx?NewsID=25722&amp;Lang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NewsEvents/Pages/DisplayNews.aspx?NewsID=25722&amp;LangID=E"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NewsEvents/Pages/DisplayNews.aspx?NewsID=25739&amp;Lang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hchr.org/EN/NewsEvents/Pages/DisplayNews.aspx?NewsID=25725&amp;LangID=E" TargetMode="External"/><Relationship Id="rId4" Type="http://schemas.openxmlformats.org/officeDocument/2006/relationships/settings" Target="settings.xml"/><Relationship Id="rId9" Type="http://schemas.openxmlformats.org/officeDocument/2006/relationships/hyperlink" Target="https://www.ohchr.org/EN/NewsEvents/Pages/DisplayNews.aspx?NewsID=25746&amp;Lang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975F-1A1D-4C00-B14B-6662FC87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 El Hosseiny</dc:creator>
  <cp:lastModifiedBy>Author</cp:lastModifiedBy>
  <cp:revision>10</cp:revision>
  <dcterms:created xsi:type="dcterms:W3CDTF">2020-04-09T14:23:00Z</dcterms:created>
  <dcterms:modified xsi:type="dcterms:W3CDTF">2020-04-09T14:40:00Z</dcterms:modified>
</cp:coreProperties>
</file>