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E5A4" w14:textId="2E839363" w:rsidR="00682C77" w:rsidRDefault="00C161EE" w:rsidP="00CC238E">
      <w:pPr>
        <w:spacing w:line="276" w:lineRule="auto"/>
        <w:rPr>
          <w:rFonts w:ascii="Arial" w:eastAsia="Calibri" w:hAnsi="Arial" w:cs="Arial"/>
          <w:b/>
          <w:bCs/>
          <w:i/>
          <w:color w:val="000099"/>
          <w:sz w:val="28"/>
          <w:szCs w:val="28"/>
        </w:rPr>
      </w:pPr>
      <w:r w:rsidRPr="000809BD">
        <w:rPr>
          <w:rFonts w:ascii="Arial" w:eastAsia="Calibri" w:hAnsi="Arial" w:cs="Arial"/>
          <w:b/>
          <w:bCs/>
          <w:color w:val="000099"/>
          <w:sz w:val="28"/>
          <w:szCs w:val="28"/>
        </w:rPr>
        <w:t>Case summary:</w:t>
      </w:r>
      <w:r w:rsidRPr="000809BD">
        <w:rPr>
          <w:rFonts w:ascii="Arial" w:eastAsia="Calibri" w:hAnsi="Arial" w:cs="Arial"/>
          <w:b/>
          <w:bCs/>
          <w:color w:val="000099"/>
          <w:sz w:val="28"/>
          <w:szCs w:val="28"/>
          <w:vertAlign w:val="superscript"/>
        </w:rPr>
        <w:footnoteReference w:id="1"/>
      </w:r>
      <w:r w:rsidR="006F1285">
        <w:rPr>
          <w:rFonts w:ascii="Arial" w:eastAsia="Calibri" w:hAnsi="Arial" w:cs="Arial"/>
          <w:b/>
          <w:bCs/>
          <w:color w:val="000099"/>
          <w:sz w:val="28"/>
          <w:szCs w:val="28"/>
        </w:rPr>
        <w:t xml:space="preserve"> </w:t>
      </w:r>
      <w:proofErr w:type="spellStart"/>
      <w:r w:rsidR="008564C4" w:rsidRPr="00CC238E">
        <w:rPr>
          <w:rFonts w:ascii="Arial" w:eastAsia="Calibri" w:hAnsi="Arial" w:cs="Arial"/>
          <w:b/>
          <w:bCs/>
          <w:i/>
          <w:color w:val="000099"/>
          <w:sz w:val="28"/>
          <w:szCs w:val="28"/>
        </w:rPr>
        <w:t>Man</w:t>
      </w:r>
      <w:r w:rsidR="00875714" w:rsidRPr="00CC238E">
        <w:rPr>
          <w:rFonts w:ascii="Arial" w:eastAsia="Calibri" w:hAnsi="Arial" w:cs="Arial"/>
          <w:b/>
          <w:bCs/>
          <w:i/>
          <w:color w:val="000099"/>
          <w:sz w:val="28"/>
          <w:szCs w:val="28"/>
        </w:rPr>
        <w:t>u</w:t>
      </w:r>
      <w:r w:rsidR="008564C4" w:rsidRPr="00CC238E">
        <w:rPr>
          <w:rFonts w:ascii="Arial" w:eastAsia="Calibri" w:hAnsi="Arial" w:cs="Arial"/>
          <w:b/>
          <w:bCs/>
          <w:i/>
          <w:color w:val="000099"/>
          <w:sz w:val="28"/>
          <w:szCs w:val="28"/>
        </w:rPr>
        <w:t>way</w:t>
      </w:r>
      <w:proofErr w:type="spellEnd"/>
      <w:r w:rsidR="008564C4" w:rsidRPr="00CC238E">
        <w:rPr>
          <w:rFonts w:ascii="Arial" w:eastAsia="Calibri" w:hAnsi="Arial" w:cs="Arial"/>
          <w:b/>
          <w:bCs/>
          <w:i/>
          <w:color w:val="000099"/>
          <w:sz w:val="28"/>
          <w:szCs w:val="28"/>
        </w:rPr>
        <w:t xml:space="preserve"> (Kerry) Doolan </w:t>
      </w:r>
      <w:r w:rsidRPr="00CC238E">
        <w:rPr>
          <w:rFonts w:ascii="Arial" w:eastAsia="Calibri" w:hAnsi="Arial" w:cs="Arial"/>
          <w:b/>
          <w:bCs/>
          <w:i/>
          <w:color w:val="000099"/>
          <w:sz w:val="28"/>
          <w:szCs w:val="28"/>
        </w:rPr>
        <w:t xml:space="preserve">v </w:t>
      </w:r>
      <w:r w:rsidR="008564C4" w:rsidRPr="00CC238E">
        <w:rPr>
          <w:rFonts w:ascii="Arial" w:eastAsia="Calibri" w:hAnsi="Arial" w:cs="Arial"/>
          <w:b/>
          <w:bCs/>
          <w:i/>
          <w:color w:val="000099"/>
          <w:sz w:val="28"/>
          <w:szCs w:val="28"/>
        </w:rPr>
        <w:t>Australia</w:t>
      </w:r>
      <w:r w:rsidR="005A241B" w:rsidRPr="000809BD">
        <w:rPr>
          <w:rFonts w:ascii="Arial" w:eastAsia="Calibri" w:hAnsi="Arial" w:cs="Arial"/>
          <w:b/>
          <w:bCs/>
          <w:i/>
          <w:color w:val="000099"/>
          <w:sz w:val="28"/>
          <w:szCs w:val="28"/>
        </w:rPr>
        <w:t xml:space="preserve"> </w:t>
      </w:r>
    </w:p>
    <w:p w14:paraId="08BA07C9" w14:textId="77777777" w:rsidR="00CC238E" w:rsidRPr="00B22123" w:rsidRDefault="00CC238E" w:rsidP="00CC238E">
      <w:pPr>
        <w:spacing w:line="276" w:lineRule="auto"/>
        <w:rPr>
          <w:rFonts w:ascii="Arial" w:eastAsia="Calibri" w:hAnsi="Arial" w:cs="Arial"/>
          <w:b/>
          <w:bCs/>
          <w:i/>
          <w:color w:val="000099"/>
          <w:sz w:val="28"/>
          <w:szCs w:val="28"/>
        </w:rPr>
      </w:pPr>
    </w:p>
    <w:p w14:paraId="41BF840B" w14:textId="7B4D3813" w:rsidR="006A535F" w:rsidRPr="000809BD" w:rsidRDefault="00705770" w:rsidP="0004519F">
      <w:pPr>
        <w:spacing w:after="0" w:line="276" w:lineRule="auto"/>
        <w:rPr>
          <w:rStyle w:val="Hyperlink"/>
          <w:rFonts w:ascii="Arial" w:eastAsia="Calibri" w:hAnsi="Arial" w:cs="Arial"/>
        </w:rPr>
      </w:pPr>
      <w:r>
        <w:rPr>
          <w:rFonts w:ascii="Arial" w:eastAsia="Calibri" w:hAnsi="Arial" w:cs="Arial"/>
        </w:rPr>
        <w:t xml:space="preserve">Case code: </w:t>
      </w:r>
      <w:r w:rsidR="00A64781" w:rsidRPr="000809BD">
        <w:rPr>
          <w:rFonts w:ascii="Arial" w:eastAsia="Calibri" w:hAnsi="Arial" w:cs="Arial"/>
        </w:rPr>
        <w:fldChar w:fldCharType="begin"/>
      </w:r>
      <w:r w:rsidR="00A64781" w:rsidRPr="000809BD">
        <w:rPr>
          <w:rFonts w:ascii="Arial" w:eastAsia="Calibri" w:hAnsi="Arial" w:cs="Arial"/>
        </w:rPr>
        <w:instrText xml:space="preserve"> HYPERLINK "https://tbinternet.ohchr.org/_layouts/15/treatybodyexternal/Download.aspx?symbolno=CRPD%2fC%2f22%2fD%2f18%2f2013&amp;Lang=en" </w:instrText>
      </w:r>
      <w:r w:rsidR="00A64781" w:rsidRPr="000809BD">
        <w:rPr>
          <w:rFonts w:ascii="Arial" w:eastAsia="Calibri" w:hAnsi="Arial" w:cs="Arial"/>
        </w:rPr>
        <w:fldChar w:fldCharType="separate"/>
      </w:r>
      <w:r w:rsidR="00A64781" w:rsidRPr="000809BD">
        <w:rPr>
          <w:rStyle w:val="Hyperlink"/>
          <w:rFonts w:ascii="Arial" w:eastAsia="Calibri" w:hAnsi="Arial" w:cs="Arial"/>
        </w:rPr>
        <w:t>CRPD/C/22/D/18/2013</w:t>
      </w:r>
    </w:p>
    <w:p w14:paraId="2EBBD326" w14:textId="29F373F5" w:rsidR="00C161EE" w:rsidRPr="000809BD" w:rsidRDefault="00A64781" w:rsidP="0004519F">
      <w:pPr>
        <w:spacing w:after="0" w:line="276" w:lineRule="auto"/>
        <w:rPr>
          <w:rFonts w:ascii="Arial" w:hAnsi="Arial" w:cs="Arial"/>
        </w:rPr>
      </w:pPr>
      <w:r w:rsidRPr="000809BD">
        <w:rPr>
          <w:rFonts w:ascii="Arial" w:eastAsia="Calibri" w:hAnsi="Arial" w:cs="Arial"/>
        </w:rPr>
        <w:fldChar w:fldCharType="end"/>
      </w:r>
      <w:r w:rsidR="00C161EE" w:rsidRPr="000809BD">
        <w:rPr>
          <w:rFonts w:ascii="Arial" w:hAnsi="Arial" w:cs="Arial"/>
        </w:rPr>
        <w:t xml:space="preserve">Communication No. </w:t>
      </w:r>
      <w:r w:rsidRPr="000809BD">
        <w:rPr>
          <w:rFonts w:ascii="Arial" w:hAnsi="Arial" w:cs="Arial"/>
        </w:rPr>
        <w:t>18/2013</w:t>
      </w:r>
    </w:p>
    <w:p w14:paraId="76A01D5C" w14:textId="11879673" w:rsidR="00C161EE" w:rsidRPr="000809BD" w:rsidRDefault="00C161EE" w:rsidP="0004519F">
      <w:pPr>
        <w:spacing w:after="0" w:line="276" w:lineRule="auto"/>
        <w:jc w:val="both"/>
        <w:rPr>
          <w:rFonts w:ascii="Arial" w:eastAsia="Calibri" w:hAnsi="Arial" w:cs="Arial"/>
        </w:rPr>
      </w:pPr>
      <w:r w:rsidRPr="000809BD">
        <w:rPr>
          <w:rFonts w:ascii="Arial" w:eastAsia="Calibri" w:hAnsi="Arial" w:cs="Arial"/>
        </w:rPr>
        <w:t>Date of communication (initial submission):</w:t>
      </w:r>
      <w:r w:rsidRPr="000809BD">
        <w:rPr>
          <w:rFonts w:ascii="Arial" w:eastAsia="Calibri" w:hAnsi="Arial" w:cs="Arial"/>
        </w:rPr>
        <w:tab/>
      </w:r>
      <w:r w:rsidRPr="000809BD">
        <w:rPr>
          <w:rFonts w:ascii="Arial" w:eastAsia="Calibri" w:hAnsi="Arial" w:cs="Arial"/>
        </w:rPr>
        <w:tab/>
      </w:r>
      <w:r w:rsidR="00A64781" w:rsidRPr="000809BD">
        <w:rPr>
          <w:rFonts w:ascii="Arial" w:eastAsia="Calibri" w:hAnsi="Arial" w:cs="Arial"/>
        </w:rPr>
        <w:t>19 September 2013</w:t>
      </w:r>
      <w:r w:rsidRPr="000809BD">
        <w:rPr>
          <w:rFonts w:ascii="Arial" w:eastAsia="Calibri" w:hAnsi="Arial" w:cs="Arial"/>
        </w:rPr>
        <w:t xml:space="preserve"> </w:t>
      </w:r>
    </w:p>
    <w:p w14:paraId="77935A57" w14:textId="6E7D7DF4" w:rsidR="00C161EE" w:rsidRPr="000809BD" w:rsidRDefault="00C161EE" w:rsidP="0004519F">
      <w:pPr>
        <w:spacing w:after="0" w:line="276" w:lineRule="auto"/>
        <w:jc w:val="both"/>
        <w:rPr>
          <w:rFonts w:ascii="Arial" w:eastAsia="Calibri" w:hAnsi="Arial" w:cs="Arial"/>
        </w:rPr>
      </w:pPr>
      <w:r w:rsidRPr="000809BD">
        <w:rPr>
          <w:rFonts w:ascii="Arial" w:eastAsia="Calibri" w:hAnsi="Arial" w:cs="Arial"/>
        </w:rPr>
        <w:t>Date of adoption of Views:</w:t>
      </w:r>
      <w:r w:rsidRPr="000809BD">
        <w:rPr>
          <w:rFonts w:ascii="Arial" w:eastAsia="Calibri" w:hAnsi="Arial" w:cs="Arial"/>
        </w:rPr>
        <w:tab/>
      </w:r>
      <w:r w:rsidRPr="000809BD">
        <w:rPr>
          <w:rFonts w:ascii="Arial" w:eastAsia="Calibri" w:hAnsi="Arial" w:cs="Arial"/>
        </w:rPr>
        <w:tab/>
      </w:r>
      <w:r w:rsidRPr="000809BD">
        <w:rPr>
          <w:rFonts w:ascii="Arial" w:eastAsia="Calibri" w:hAnsi="Arial" w:cs="Arial"/>
        </w:rPr>
        <w:tab/>
      </w:r>
      <w:r w:rsidRPr="000809BD">
        <w:rPr>
          <w:rFonts w:ascii="Arial" w:eastAsia="Calibri" w:hAnsi="Arial" w:cs="Arial"/>
        </w:rPr>
        <w:tab/>
      </w:r>
      <w:r w:rsidR="00A64781" w:rsidRPr="000809BD">
        <w:rPr>
          <w:rFonts w:ascii="Arial" w:eastAsia="Calibri" w:hAnsi="Arial" w:cs="Arial"/>
        </w:rPr>
        <w:t>30</w:t>
      </w:r>
      <w:r w:rsidR="00AC7EF1" w:rsidRPr="000809BD">
        <w:rPr>
          <w:rFonts w:ascii="Arial" w:eastAsia="Calibri" w:hAnsi="Arial" w:cs="Arial"/>
        </w:rPr>
        <w:t xml:space="preserve"> </w:t>
      </w:r>
      <w:r w:rsidR="00A64781" w:rsidRPr="000809BD">
        <w:rPr>
          <w:rFonts w:ascii="Arial" w:eastAsia="Calibri" w:hAnsi="Arial" w:cs="Arial"/>
        </w:rPr>
        <w:t xml:space="preserve">August 2019 </w:t>
      </w:r>
    </w:p>
    <w:p w14:paraId="07CE6308" w14:textId="1F8DD00A" w:rsidR="00AC7EF1" w:rsidRPr="000809BD" w:rsidRDefault="00C161EE" w:rsidP="0004519F">
      <w:pPr>
        <w:spacing w:after="0" w:line="276" w:lineRule="auto"/>
        <w:rPr>
          <w:rFonts w:ascii="Arial" w:eastAsia="Calibri" w:hAnsi="Arial" w:cs="Arial"/>
        </w:rPr>
      </w:pPr>
      <w:r w:rsidRPr="000809BD">
        <w:rPr>
          <w:rFonts w:ascii="Arial" w:eastAsia="Calibri" w:hAnsi="Arial" w:cs="Arial"/>
        </w:rPr>
        <w:t>Invoked provisions of the Convention:</w:t>
      </w:r>
      <w:r w:rsidRPr="000809BD">
        <w:rPr>
          <w:rFonts w:ascii="Arial" w:eastAsia="Calibri" w:hAnsi="Arial" w:cs="Arial"/>
        </w:rPr>
        <w:tab/>
      </w:r>
      <w:r w:rsidRPr="000809BD">
        <w:rPr>
          <w:rFonts w:ascii="Arial" w:hAnsi="Arial" w:cs="Arial"/>
        </w:rPr>
        <w:tab/>
      </w:r>
      <w:hyperlink r:id="rId8" w:anchor="5" w:history="1">
        <w:r w:rsidR="008A42CF" w:rsidRPr="000809BD">
          <w:rPr>
            <w:rStyle w:val="Hyperlink"/>
            <w:rFonts w:ascii="Arial" w:hAnsi="Arial" w:cs="Arial"/>
          </w:rPr>
          <w:t>5</w:t>
        </w:r>
      </w:hyperlink>
      <w:r w:rsidR="008A42CF" w:rsidRPr="000809BD">
        <w:rPr>
          <w:rFonts w:ascii="Arial" w:hAnsi="Arial" w:cs="Arial"/>
        </w:rPr>
        <w:t xml:space="preserve">, </w:t>
      </w:r>
      <w:hyperlink r:id="rId9" w:anchor="5" w:history="1">
        <w:r w:rsidR="008A42CF" w:rsidRPr="000809BD">
          <w:rPr>
            <w:rStyle w:val="Hyperlink"/>
            <w:rFonts w:ascii="Arial" w:hAnsi="Arial" w:cs="Arial"/>
          </w:rPr>
          <w:t>12</w:t>
        </w:r>
      </w:hyperlink>
      <w:r w:rsidR="008A42CF" w:rsidRPr="000809BD">
        <w:rPr>
          <w:rFonts w:ascii="Arial" w:hAnsi="Arial" w:cs="Arial"/>
        </w:rPr>
        <w:t xml:space="preserve">, </w:t>
      </w:r>
      <w:hyperlink r:id="rId10" w:anchor="5" w:history="1">
        <w:r w:rsidR="008A42CF" w:rsidRPr="000809BD">
          <w:rPr>
            <w:rStyle w:val="Hyperlink"/>
            <w:rFonts w:ascii="Arial" w:hAnsi="Arial" w:cs="Arial"/>
          </w:rPr>
          <w:t>13</w:t>
        </w:r>
      </w:hyperlink>
      <w:r w:rsidR="008A42CF" w:rsidRPr="000809BD">
        <w:rPr>
          <w:rFonts w:ascii="Arial" w:hAnsi="Arial" w:cs="Arial"/>
        </w:rPr>
        <w:t xml:space="preserve">, </w:t>
      </w:r>
      <w:hyperlink r:id="rId11" w:anchor="5" w:history="1">
        <w:r w:rsidR="008A42CF" w:rsidRPr="000809BD">
          <w:rPr>
            <w:rStyle w:val="Hyperlink"/>
            <w:rFonts w:ascii="Arial" w:hAnsi="Arial" w:cs="Arial"/>
          </w:rPr>
          <w:t>14</w:t>
        </w:r>
      </w:hyperlink>
      <w:r w:rsidR="008A42CF" w:rsidRPr="000809BD">
        <w:rPr>
          <w:rFonts w:ascii="Arial" w:hAnsi="Arial" w:cs="Arial"/>
        </w:rPr>
        <w:t xml:space="preserve">, </w:t>
      </w:r>
      <w:hyperlink r:id="rId12" w:anchor="5" w:history="1">
        <w:r w:rsidR="008A42CF" w:rsidRPr="000809BD">
          <w:rPr>
            <w:rStyle w:val="Hyperlink"/>
            <w:rFonts w:ascii="Arial" w:hAnsi="Arial" w:cs="Arial"/>
          </w:rPr>
          <w:t>15</w:t>
        </w:r>
      </w:hyperlink>
      <w:r w:rsidR="008A42CF" w:rsidRPr="000809BD">
        <w:rPr>
          <w:rFonts w:ascii="Arial" w:hAnsi="Arial" w:cs="Arial"/>
        </w:rPr>
        <w:t xml:space="preserve">, </w:t>
      </w:r>
      <w:hyperlink r:id="rId13" w:anchor="5" w:history="1">
        <w:r w:rsidR="008A42CF" w:rsidRPr="000809BD">
          <w:rPr>
            <w:rStyle w:val="Hyperlink"/>
            <w:rFonts w:ascii="Arial" w:hAnsi="Arial" w:cs="Arial"/>
          </w:rPr>
          <w:t>19</w:t>
        </w:r>
      </w:hyperlink>
      <w:r w:rsidR="008A42CF" w:rsidRPr="000809BD">
        <w:rPr>
          <w:rFonts w:ascii="Arial" w:hAnsi="Arial" w:cs="Arial"/>
        </w:rPr>
        <w:t xml:space="preserve">, </w:t>
      </w:r>
      <w:hyperlink r:id="rId14" w:anchor="5" w:history="1">
        <w:r w:rsidR="008A42CF" w:rsidRPr="000809BD">
          <w:rPr>
            <w:rStyle w:val="Hyperlink"/>
            <w:rFonts w:ascii="Arial" w:hAnsi="Arial" w:cs="Arial"/>
          </w:rPr>
          <w:t>25</w:t>
        </w:r>
      </w:hyperlink>
      <w:r w:rsidR="008A42CF" w:rsidRPr="000809BD">
        <w:rPr>
          <w:rFonts w:ascii="Arial" w:hAnsi="Arial" w:cs="Arial"/>
        </w:rPr>
        <w:t xml:space="preserve">, </w:t>
      </w:r>
      <w:hyperlink r:id="rId15" w:anchor="5" w:history="1">
        <w:r w:rsidR="008A42CF" w:rsidRPr="000809BD">
          <w:rPr>
            <w:rStyle w:val="Hyperlink"/>
            <w:rFonts w:ascii="Arial" w:hAnsi="Arial" w:cs="Arial"/>
          </w:rPr>
          <w:t>26</w:t>
        </w:r>
      </w:hyperlink>
      <w:r w:rsidR="008A42CF" w:rsidRPr="000809BD">
        <w:rPr>
          <w:rFonts w:ascii="Arial" w:hAnsi="Arial" w:cs="Arial"/>
        </w:rPr>
        <w:t xml:space="preserve"> and </w:t>
      </w:r>
      <w:hyperlink r:id="rId16" w:anchor="5" w:history="1">
        <w:r w:rsidR="008A42CF" w:rsidRPr="000809BD">
          <w:rPr>
            <w:rStyle w:val="Hyperlink"/>
            <w:rFonts w:ascii="Arial" w:hAnsi="Arial" w:cs="Arial"/>
          </w:rPr>
          <w:t>28</w:t>
        </w:r>
      </w:hyperlink>
    </w:p>
    <w:p w14:paraId="203AE70E" w14:textId="13B9E15B" w:rsidR="00C161EE" w:rsidRPr="000809BD" w:rsidRDefault="00C161EE" w:rsidP="0004519F">
      <w:pPr>
        <w:spacing w:after="0" w:line="276" w:lineRule="auto"/>
        <w:jc w:val="both"/>
        <w:rPr>
          <w:rFonts w:ascii="Arial" w:eastAsia="Calibri" w:hAnsi="Arial" w:cs="Arial"/>
        </w:rPr>
      </w:pPr>
      <w:r w:rsidRPr="000809BD">
        <w:rPr>
          <w:rFonts w:ascii="Arial" w:eastAsia="Calibri" w:hAnsi="Arial" w:cs="Arial"/>
        </w:rPr>
        <w:t>Provisions of the Optional Protocol:</w:t>
      </w:r>
      <w:r w:rsidRPr="000809BD">
        <w:rPr>
          <w:rFonts w:ascii="Arial" w:eastAsia="Calibri" w:hAnsi="Arial" w:cs="Arial"/>
        </w:rPr>
        <w:tab/>
      </w:r>
      <w:r w:rsidRPr="000809BD">
        <w:rPr>
          <w:rFonts w:ascii="Arial" w:eastAsia="Calibri" w:hAnsi="Arial" w:cs="Arial"/>
        </w:rPr>
        <w:tab/>
      </w:r>
      <w:r w:rsidRPr="000809BD">
        <w:rPr>
          <w:rFonts w:ascii="Arial" w:eastAsia="Calibri" w:hAnsi="Arial" w:cs="Arial"/>
        </w:rPr>
        <w:tab/>
      </w:r>
      <w:r w:rsidR="003225E5" w:rsidRPr="000809BD">
        <w:rPr>
          <w:rFonts w:ascii="Arial" w:eastAsia="Calibri" w:hAnsi="Arial" w:cs="Arial"/>
          <w:color w:val="0000FF"/>
          <w:u w:val="single"/>
        </w:rPr>
        <w:t>2</w:t>
      </w:r>
    </w:p>
    <w:p w14:paraId="0EBED157" w14:textId="77777777" w:rsidR="00C161EE" w:rsidRPr="000809BD" w:rsidRDefault="00C161EE" w:rsidP="0004519F">
      <w:pPr>
        <w:spacing w:line="276" w:lineRule="auto"/>
        <w:rPr>
          <w:rFonts w:ascii="Arial" w:eastAsia="Calibri" w:hAnsi="Arial" w:cs="Arial"/>
        </w:rPr>
      </w:pPr>
    </w:p>
    <w:p w14:paraId="4971B47F" w14:textId="07D415E6" w:rsidR="00C161EE" w:rsidRPr="000809BD" w:rsidRDefault="00F03703" w:rsidP="0004519F">
      <w:pPr>
        <w:spacing w:line="276" w:lineRule="auto"/>
        <w:ind w:left="2160" w:hanging="2160"/>
        <w:jc w:val="both"/>
        <w:rPr>
          <w:rFonts w:ascii="Arial" w:eastAsia="Calibri" w:hAnsi="Arial" w:cs="Arial"/>
        </w:rPr>
      </w:pPr>
      <w:r w:rsidRPr="000809BD">
        <w:rPr>
          <w:rFonts w:ascii="Arial" w:eastAsia="Calibri" w:hAnsi="Arial" w:cs="Arial"/>
        </w:rPr>
        <w:t xml:space="preserve">Keywords: </w:t>
      </w:r>
      <w:r w:rsidRPr="000809BD">
        <w:rPr>
          <w:rFonts w:ascii="Arial" w:eastAsia="Calibri" w:hAnsi="Arial" w:cs="Arial"/>
        </w:rPr>
        <w:tab/>
      </w:r>
      <w:r w:rsidR="008A42CF" w:rsidRPr="000809BD">
        <w:rPr>
          <w:rFonts w:ascii="Arial" w:eastAsia="Calibri" w:hAnsi="Arial" w:cs="Arial"/>
        </w:rPr>
        <w:t xml:space="preserve">Institutionalization of person with psychosocial </w:t>
      </w:r>
      <w:r w:rsidR="0004519F">
        <w:rPr>
          <w:rFonts w:ascii="Arial" w:eastAsia="Calibri" w:hAnsi="Arial" w:cs="Arial"/>
        </w:rPr>
        <w:t>disability</w:t>
      </w:r>
      <w:r w:rsidR="008A42CF" w:rsidRPr="000809BD">
        <w:rPr>
          <w:rFonts w:ascii="Arial" w:eastAsia="Calibri" w:hAnsi="Arial" w:cs="Arial"/>
        </w:rPr>
        <w:t>; right to enjoy legal capacity on an equal basis with others</w:t>
      </w:r>
    </w:p>
    <w:p w14:paraId="2A264753" w14:textId="57408575" w:rsidR="00C161EE" w:rsidRPr="000809BD" w:rsidRDefault="004B6A9A" w:rsidP="0004519F">
      <w:pPr>
        <w:autoSpaceDE w:val="0"/>
        <w:autoSpaceDN w:val="0"/>
        <w:adjustRightInd w:val="0"/>
        <w:spacing w:after="0" w:line="276" w:lineRule="auto"/>
        <w:ind w:left="2160" w:hanging="2160"/>
        <w:rPr>
          <w:rFonts w:ascii="Arial" w:eastAsia="Calibri" w:hAnsi="Arial" w:cs="Arial"/>
        </w:rPr>
      </w:pPr>
      <w:r w:rsidRPr="000809BD">
        <w:rPr>
          <w:rFonts w:ascii="Arial" w:eastAsia="Calibri" w:hAnsi="Arial" w:cs="Arial"/>
        </w:rPr>
        <w:t xml:space="preserve">Decision: </w:t>
      </w:r>
      <w:r w:rsidRPr="000809BD">
        <w:rPr>
          <w:rFonts w:ascii="Arial" w:eastAsia="Calibri" w:hAnsi="Arial" w:cs="Arial"/>
        </w:rPr>
        <w:tab/>
      </w:r>
      <w:r w:rsidR="009319B6">
        <w:rPr>
          <w:rFonts w:ascii="Arial" w:eastAsia="Calibri" w:hAnsi="Arial" w:cs="Arial"/>
        </w:rPr>
        <w:t>T</w:t>
      </w:r>
      <w:r w:rsidR="003C10F7" w:rsidRPr="000809BD">
        <w:rPr>
          <w:rFonts w:ascii="Arial" w:eastAsia="Calibri" w:hAnsi="Arial" w:cs="Arial"/>
        </w:rPr>
        <w:t xml:space="preserve">he </w:t>
      </w:r>
      <w:r w:rsidR="00A5468A" w:rsidRPr="000809BD">
        <w:rPr>
          <w:rFonts w:ascii="Arial" w:eastAsia="Calibri" w:hAnsi="Arial" w:cs="Arial"/>
        </w:rPr>
        <w:t>State party has failed to fulfil its obligations under articles 5, 12, 13, 14 and 15 of the Convention</w:t>
      </w:r>
      <w:r w:rsidRPr="000809BD">
        <w:rPr>
          <w:rFonts w:ascii="Arial" w:eastAsia="Calibri" w:hAnsi="Arial" w:cs="Arial"/>
        </w:rPr>
        <w:t xml:space="preserve">. </w:t>
      </w:r>
    </w:p>
    <w:p w14:paraId="6A0F19BA" w14:textId="77777777" w:rsidR="00A33B8F" w:rsidRPr="000809BD" w:rsidRDefault="00A33B8F" w:rsidP="0004519F">
      <w:pPr>
        <w:autoSpaceDE w:val="0"/>
        <w:autoSpaceDN w:val="0"/>
        <w:adjustRightInd w:val="0"/>
        <w:spacing w:after="0" w:line="276" w:lineRule="auto"/>
        <w:ind w:left="2160" w:hanging="2160"/>
        <w:rPr>
          <w:rFonts w:ascii="Arial" w:hAnsi="Arial" w:cs="Arial"/>
        </w:rPr>
      </w:pPr>
    </w:p>
    <w:p w14:paraId="198B172B" w14:textId="15DE5F1C" w:rsidR="00C161EE" w:rsidRDefault="00A33B8F" w:rsidP="0004519F">
      <w:pPr>
        <w:spacing w:line="276" w:lineRule="auto"/>
        <w:rPr>
          <w:rStyle w:val="Hyperlink"/>
          <w:rFonts w:ascii="Arial" w:eastAsia="Calibri" w:hAnsi="Arial" w:cs="Arial"/>
        </w:rPr>
      </w:pPr>
      <w:r w:rsidRPr="000809BD">
        <w:rPr>
          <w:rFonts w:ascii="Arial" w:eastAsia="Calibri" w:hAnsi="Arial" w:cs="Arial"/>
        </w:rPr>
        <w:t>Full decision</w:t>
      </w:r>
      <w:r w:rsidR="007B3A98">
        <w:rPr>
          <w:rFonts w:ascii="Arial" w:eastAsia="Calibri" w:hAnsi="Arial" w:cs="Arial"/>
        </w:rPr>
        <w:t>s</w:t>
      </w:r>
      <w:r w:rsidRPr="000809BD">
        <w:rPr>
          <w:rFonts w:ascii="Arial" w:eastAsia="Calibri" w:hAnsi="Arial" w:cs="Arial"/>
        </w:rPr>
        <w:t xml:space="preserve"> in</w:t>
      </w:r>
      <w:r w:rsidR="00C161EE" w:rsidRPr="000809BD">
        <w:rPr>
          <w:rFonts w:ascii="Arial" w:eastAsia="Calibri" w:hAnsi="Arial" w:cs="Arial"/>
        </w:rPr>
        <w:t xml:space="preserve"> </w:t>
      </w:r>
      <w:hyperlink r:id="rId17" w:history="1">
        <w:r w:rsidR="00C161EE" w:rsidRPr="007B3A98">
          <w:rPr>
            <w:rStyle w:val="Hyperlink"/>
            <w:rFonts w:ascii="Arial" w:eastAsia="Calibri" w:hAnsi="Arial" w:cs="Arial"/>
          </w:rPr>
          <w:t>English</w:t>
        </w:r>
      </w:hyperlink>
      <w:r w:rsidR="007B3A98">
        <w:rPr>
          <w:rFonts w:ascii="Arial" w:eastAsia="Calibri" w:hAnsi="Arial" w:cs="Arial"/>
        </w:rPr>
        <w:t xml:space="preserve">, </w:t>
      </w:r>
      <w:hyperlink r:id="rId18" w:history="1">
        <w:r w:rsidR="007B3A98" w:rsidRPr="007B3A98">
          <w:rPr>
            <w:rStyle w:val="Hyperlink"/>
            <w:rFonts w:ascii="Arial" w:eastAsia="Calibri" w:hAnsi="Arial" w:cs="Arial"/>
          </w:rPr>
          <w:t>French</w:t>
        </w:r>
      </w:hyperlink>
      <w:r w:rsidR="007B3A98">
        <w:rPr>
          <w:rFonts w:ascii="Arial" w:eastAsia="Calibri" w:hAnsi="Arial" w:cs="Arial"/>
        </w:rPr>
        <w:t xml:space="preserve">, </w:t>
      </w:r>
      <w:hyperlink r:id="rId19" w:history="1">
        <w:r w:rsidR="007B3A98" w:rsidRPr="007B3A98">
          <w:rPr>
            <w:rStyle w:val="Hyperlink"/>
            <w:rFonts w:ascii="Arial" w:eastAsia="Calibri" w:hAnsi="Arial" w:cs="Arial"/>
          </w:rPr>
          <w:t>Spanish</w:t>
        </w:r>
      </w:hyperlink>
      <w:r w:rsidR="007B3A98">
        <w:rPr>
          <w:rFonts w:ascii="Arial" w:eastAsia="Calibri" w:hAnsi="Arial" w:cs="Arial"/>
        </w:rPr>
        <w:t xml:space="preserve">, </w:t>
      </w:r>
      <w:hyperlink r:id="rId20" w:history="1">
        <w:r w:rsidR="007B3A98" w:rsidRPr="007B3A98">
          <w:rPr>
            <w:rStyle w:val="Hyperlink"/>
            <w:rFonts w:ascii="Arial" w:eastAsia="Calibri" w:hAnsi="Arial" w:cs="Arial"/>
          </w:rPr>
          <w:t>Arabic</w:t>
        </w:r>
      </w:hyperlink>
      <w:r w:rsidR="007B3A98">
        <w:rPr>
          <w:rFonts w:ascii="Arial" w:eastAsia="Calibri" w:hAnsi="Arial" w:cs="Arial"/>
        </w:rPr>
        <w:t xml:space="preserve">, </w:t>
      </w:r>
      <w:hyperlink r:id="rId21" w:history="1">
        <w:r w:rsidR="007B3A98" w:rsidRPr="007B3A98">
          <w:rPr>
            <w:rStyle w:val="Hyperlink"/>
            <w:rFonts w:ascii="Arial" w:eastAsia="Calibri" w:hAnsi="Arial" w:cs="Arial"/>
          </w:rPr>
          <w:t>Russian</w:t>
        </w:r>
      </w:hyperlink>
      <w:r w:rsidR="007B3A98">
        <w:rPr>
          <w:rFonts w:ascii="Arial" w:eastAsia="Calibri" w:hAnsi="Arial" w:cs="Arial"/>
        </w:rPr>
        <w:t xml:space="preserve">, </w:t>
      </w:r>
      <w:hyperlink r:id="rId22" w:history="1">
        <w:r w:rsidR="007B3A98" w:rsidRPr="007B3A98">
          <w:rPr>
            <w:rStyle w:val="Hyperlink"/>
            <w:rFonts w:ascii="Arial" w:eastAsia="Calibri" w:hAnsi="Arial" w:cs="Arial"/>
          </w:rPr>
          <w:t>Chinese</w:t>
        </w:r>
      </w:hyperlink>
      <w:r w:rsidR="007B3A98">
        <w:rPr>
          <w:rFonts w:ascii="Arial" w:eastAsia="Calibri" w:hAnsi="Arial" w:cs="Arial"/>
        </w:rPr>
        <w:t xml:space="preserve"> </w:t>
      </w:r>
    </w:p>
    <w:p w14:paraId="1751A105" w14:textId="77777777" w:rsidR="000809BD" w:rsidRPr="000809BD" w:rsidRDefault="000809BD" w:rsidP="00CC238E">
      <w:pPr>
        <w:spacing w:line="276" w:lineRule="auto"/>
        <w:rPr>
          <w:rFonts w:ascii="Arial" w:eastAsia="Calibri" w:hAnsi="Arial" w:cs="Arial"/>
        </w:rPr>
      </w:pPr>
    </w:p>
    <w:p w14:paraId="08048233" w14:textId="77777777" w:rsidR="00743ACE" w:rsidRPr="000809BD" w:rsidRDefault="0090799E" w:rsidP="00CC238E">
      <w:pPr>
        <w:spacing w:line="276" w:lineRule="auto"/>
        <w:rPr>
          <w:rFonts w:ascii="Arial" w:hAnsi="Arial" w:cs="Arial"/>
          <w:bCs/>
          <w:sz w:val="28"/>
          <w:szCs w:val="28"/>
        </w:rPr>
      </w:pPr>
      <w:r w:rsidRPr="000809BD">
        <w:rPr>
          <w:rFonts w:ascii="Arial" w:hAnsi="Arial" w:cs="Arial"/>
          <w:bCs/>
          <w:sz w:val="28"/>
          <w:szCs w:val="28"/>
        </w:rPr>
        <w:t>Facts</w:t>
      </w:r>
    </w:p>
    <w:p w14:paraId="2A05421B" w14:textId="7A136DE4" w:rsidR="009319B6" w:rsidRDefault="0044514E" w:rsidP="00CC238E">
      <w:pPr>
        <w:spacing w:after="0" w:line="276" w:lineRule="auto"/>
        <w:jc w:val="both"/>
        <w:rPr>
          <w:rFonts w:ascii="Arial" w:hAnsi="Arial" w:cs="Arial"/>
        </w:rPr>
      </w:pPr>
      <w:r w:rsidRPr="000809BD">
        <w:rPr>
          <w:rFonts w:ascii="Arial" w:hAnsi="Arial" w:cs="Arial"/>
        </w:rPr>
        <w:t xml:space="preserve">The author is </w:t>
      </w:r>
      <w:r w:rsidR="007B3A98">
        <w:rPr>
          <w:rFonts w:ascii="Arial" w:hAnsi="Arial" w:cs="Arial"/>
        </w:rPr>
        <w:t>an</w:t>
      </w:r>
      <w:r w:rsidRPr="000809BD">
        <w:rPr>
          <w:rFonts w:ascii="Arial" w:hAnsi="Arial" w:cs="Arial"/>
        </w:rPr>
        <w:t xml:space="preserve"> Aboriginal national of Australi</w:t>
      </w:r>
      <w:r w:rsidR="00BD2D47">
        <w:rPr>
          <w:rFonts w:ascii="Arial" w:hAnsi="Arial" w:cs="Arial"/>
        </w:rPr>
        <w:t xml:space="preserve">a with </w:t>
      </w:r>
      <w:r w:rsidRPr="000809BD">
        <w:rPr>
          <w:rFonts w:ascii="Arial" w:hAnsi="Arial" w:cs="Arial"/>
        </w:rPr>
        <w:t>psychosocial disability</w:t>
      </w:r>
      <w:r w:rsidR="007B3A98">
        <w:rPr>
          <w:rFonts w:ascii="Arial" w:hAnsi="Arial" w:cs="Arial"/>
        </w:rPr>
        <w:t xml:space="preserve"> who </w:t>
      </w:r>
      <w:r w:rsidRPr="000809BD">
        <w:rPr>
          <w:rFonts w:ascii="Arial" w:hAnsi="Arial" w:cs="Arial"/>
        </w:rPr>
        <w:t>was living in a te</w:t>
      </w:r>
      <w:r w:rsidR="00BD2D47">
        <w:rPr>
          <w:rFonts w:ascii="Arial" w:hAnsi="Arial" w:cs="Arial"/>
        </w:rPr>
        <w:t xml:space="preserve">mporary supported accommodation </w:t>
      </w:r>
      <w:r w:rsidRPr="000809BD">
        <w:rPr>
          <w:rFonts w:ascii="Arial" w:hAnsi="Arial" w:cs="Arial"/>
        </w:rPr>
        <w:t>of the North</w:t>
      </w:r>
      <w:r w:rsidR="00E826F6" w:rsidRPr="000809BD">
        <w:rPr>
          <w:rFonts w:ascii="Arial" w:hAnsi="Arial" w:cs="Arial"/>
        </w:rPr>
        <w:t>ern Territory</w:t>
      </w:r>
      <w:r w:rsidR="00B31253">
        <w:rPr>
          <w:rFonts w:ascii="Arial" w:hAnsi="Arial" w:cs="Arial"/>
        </w:rPr>
        <w:t xml:space="preserve"> </w:t>
      </w:r>
      <w:r w:rsidR="00E826F6" w:rsidRPr="000809BD">
        <w:rPr>
          <w:rFonts w:ascii="Arial" w:hAnsi="Arial" w:cs="Arial"/>
        </w:rPr>
        <w:t xml:space="preserve">(NT) </w:t>
      </w:r>
      <w:r w:rsidR="00785FF3">
        <w:rPr>
          <w:rFonts w:ascii="Arial" w:hAnsi="Arial" w:cs="Arial"/>
        </w:rPr>
        <w:t xml:space="preserve">in 2008 </w:t>
      </w:r>
      <w:r w:rsidR="009319B6">
        <w:rPr>
          <w:rFonts w:ascii="Arial" w:hAnsi="Arial" w:cs="Arial"/>
        </w:rPr>
        <w:t>when he</w:t>
      </w:r>
      <w:r w:rsidR="00044959" w:rsidRPr="000809BD">
        <w:rPr>
          <w:rFonts w:ascii="Arial" w:hAnsi="Arial" w:cs="Arial"/>
        </w:rPr>
        <w:t xml:space="preserve"> experienced a psychotic episode</w:t>
      </w:r>
      <w:r w:rsidR="007B3A98">
        <w:rPr>
          <w:rFonts w:ascii="Arial" w:hAnsi="Arial" w:cs="Arial"/>
        </w:rPr>
        <w:t>,</w:t>
      </w:r>
      <w:r w:rsidR="00044959" w:rsidRPr="000809BD">
        <w:rPr>
          <w:rFonts w:ascii="Arial" w:hAnsi="Arial" w:cs="Arial"/>
        </w:rPr>
        <w:t xml:space="preserve"> </w:t>
      </w:r>
      <w:r w:rsidRPr="000809BD">
        <w:rPr>
          <w:rFonts w:ascii="Arial" w:hAnsi="Arial" w:cs="Arial"/>
        </w:rPr>
        <w:t>threatened</w:t>
      </w:r>
      <w:r w:rsidR="001B1F9A" w:rsidRPr="000809BD">
        <w:rPr>
          <w:rFonts w:ascii="Arial" w:hAnsi="Arial" w:cs="Arial"/>
        </w:rPr>
        <w:t xml:space="preserve"> </w:t>
      </w:r>
      <w:r w:rsidRPr="000809BD">
        <w:rPr>
          <w:rFonts w:ascii="Arial" w:hAnsi="Arial" w:cs="Arial"/>
        </w:rPr>
        <w:t>a support worker</w:t>
      </w:r>
      <w:r w:rsidR="009319B6">
        <w:rPr>
          <w:rFonts w:ascii="Arial" w:hAnsi="Arial" w:cs="Arial"/>
        </w:rPr>
        <w:t xml:space="preserve"> and</w:t>
      </w:r>
      <w:r w:rsidRPr="000809BD">
        <w:rPr>
          <w:rFonts w:ascii="Arial" w:hAnsi="Arial" w:cs="Arial"/>
        </w:rPr>
        <w:t xml:space="preserve"> damaged </w:t>
      </w:r>
      <w:r w:rsidR="00785FF3">
        <w:rPr>
          <w:rFonts w:ascii="Arial" w:hAnsi="Arial" w:cs="Arial"/>
        </w:rPr>
        <w:t xml:space="preserve">state </w:t>
      </w:r>
      <w:r w:rsidR="009319B6">
        <w:rPr>
          <w:rFonts w:ascii="Arial" w:hAnsi="Arial" w:cs="Arial"/>
        </w:rPr>
        <w:t>property</w:t>
      </w:r>
      <w:r w:rsidRPr="000809BD">
        <w:rPr>
          <w:rFonts w:ascii="Arial" w:hAnsi="Arial" w:cs="Arial"/>
        </w:rPr>
        <w:t>.</w:t>
      </w:r>
      <w:r w:rsidR="00EF447D" w:rsidRPr="000809BD">
        <w:rPr>
          <w:rFonts w:ascii="Arial" w:hAnsi="Arial" w:cs="Arial"/>
        </w:rPr>
        <w:t xml:space="preserve"> </w:t>
      </w:r>
    </w:p>
    <w:p w14:paraId="0BBAE7AD" w14:textId="77777777" w:rsidR="009319B6" w:rsidRDefault="009319B6" w:rsidP="00CC238E">
      <w:pPr>
        <w:spacing w:after="0" w:line="276" w:lineRule="auto"/>
        <w:jc w:val="both"/>
        <w:rPr>
          <w:rFonts w:ascii="Arial" w:hAnsi="Arial" w:cs="Arial"/>
        </w:rPr>
      </w:pPr>
    </w:p>
    <w:p w14:paraId="52E03538" w14:textId="081D45AA" w:rsidR="000809BD" w:rsidRDefault="00EF447D" w:rsidP="00CC238E">
      <w:pPr>
        <w:spacing w:after="0" w:line="276" w:lineRule="auto"/>
        <w:jc w:val="both"/>
        <w:rPr>
          <w:rFonts w:ascii="Arial" w:hAnsi="Arial" w:cs="Arial"/>
        </w:rPr>
      </w:pPr>
      <w:r w:rsidRPr="000809BD">
        <w:rPr>
          <w:rFonts w:ascii="Arial" w:hAnsi="Arial" w:cs="Arial"/>
        </w:rPr>
        <w:t>He was arrested</w:t>
      </w:r>
      <w:r w:rsidR="00750AC9">
        <w:rPr>
          <w:rFonts w:ascii="Arial" w:hAnsi="Arial" w:cs="Arial"/>
        </w:rPr>
        <w:t xml:space="preserve">, </w:t>
      </w:r>
      <w:r w:rsidRPr="000809BD">
        <w:rPr>
          <w:rFonts w:ascii="Arial" w:hAnsi="Arial" w:cs="Arial"/>
        </w:rPr>
        <w:t>charged with assault</w:t>
      </w:r>
      <w:r w:rsidR="009319B6">
        <w:rPr>
          <w:rFonts w:ascii="Arial" w:hAnsi="Arial" w:cs="Arial"/>
        </w:rPr>
        <w:t xml:space="preserve"> </w:t>
      </w:r>
      <w:r w:rsidRPr="000809BD">
        <w:rPr>
          <w:rFonts w:ascii="Arial" w:hAnsi="Arial" w:cs="Arial"/>
        </w:rPr>
        <w:t>and damage to property</w:t>
      </w:r>
      <w:r w:rsidR="00750AC9">
        <w:rPr>
          <w:rFonts w:ascii="Arial" w:hAnsi="Arial" w:cs="Arial"/>
        </w:rPr>
        <w:t>,</w:t>
      </w:r>
      <w:r w:rsidRPr="000809BD">
        <w:rPr>
          <w:rFonts w:ascii="Arial" w:hAnsi="Arial" w:cs="Arial"/>
        </w:rPr>
        <w:t xml:space="preserve"> </w:t>
      </w:r>
      <w:r w:rsidR="0044514E" w:rsidRPr="000809BD">
        <w:rPr>
          <w:rFonts w:ascii="Arial" w:hAnsi="Arial" w:cs="Arial"/>
        </w:rPr>
        <w:t>remanded in custody</w:t>
      </w:r>
      <w:r w:rsidR="00750AC9">
        <w:rPr>
          <w:rFonts w:ascii="Arial" w:hAnsi="Arial" w:cs="Arial"/>
        </w:rPr>
        <w:t xml:space="preserve">, </w:t>
      </w:r>
      <w:r w:rsidR="0044514E" w:rsidRPr="000809BD">
        <w:rPr>
          <w:rFonts w:ascii="Arial" w:hAnsi="Arial" w:cs="Arial"/>
        </w:rPr>
        <w:t>an</w:t>
      </w:r>
      <w:r w:rsidR="00750AC9">
        <w:rPr>
          <w:rFonts w:ascii="Arial" w:hAnsi="Arial" w:cs="Arial"/>
        </w:rPr>
        <w:t xml:space="preserve">d </w:t>
      </w:r>
      <w:r w:rsidR="0044514E" w:rsidRPr="000809BD">
        <w:rPr>
          <w:rFonts w:ascii="Arial" w:hAnsi="Arial" w:cs="Arial"/>
        </w:rPr>
        <w:t xml:space="preserve">incarcerated in a high security section </w:t>
      </w:r>
      <w:r w:rsidR="00750AC9">
        <w:rPr>
          <w:rFonts w:ascii="Arial" w:hAnsi="Arial" w:cs="Arial"/>
        </w:rPr>
        <w:t>of a</w:t>
      </w:r>
      <w:r w:rsidR="0044514E" w:rsidRPr="000809BD">
        <w:rPr>
          <w:rFonts w:ascii="Arial" w:hAnsi="Arial" w:cs="Arial"/>
        </w:rPr>
        <w:t xml:space="preserve"> Correctional Centre</w:t>
      </w:r>
      <w:r w:rsidR="00255A52" w:rsidRPr="000809BD">
        <w:rPr>
          <w:rFonts w:ascii="Arial" w:hAnsi="Arial" w:cs="Arial"/>
        </w:rPr>
        <w:t>.</w:t>
      </w:r>
      <w:r w:rsidR="00E86656">
        <w:rPr>
          <w:rFonts w:ascii="Arial" w:hAnsi="Arial" w:cs="Arial"/>
        </w:rPr>
        <w:t xml:space="preserve"> After a jury determined </w:t>
      </w:r>
      <w:r w:rsidR="00750AC9">
        <w:rPr>
          <w:rFonts w:ascii="Arial" w:hAnsi="Arial" w:cs="Arial"/>
        </w:rPr>
        <w:t xml:space="preserve">the author was not guilty given his impairment, in May 2009 </w:t>
      </w:r>
      <w:r w:rsidR="0044514E" w:rsidRPr="000809BD">
        <w:rPr>
          <w:rFonts w:ascii="Arial" w:hAnsi="Arial" w:cs="Arial"/>
        </w:rPr>
        <w:t xml:space="preserve">the </w:t>
      </w:r>
      <w:r w:rsidR="00750AC9">
        <w:rPr>
          <w:rFonts w:ascii="Arial" w:hAnsi="Arial" w:cs="Arial"/>
        </w:rPr>
        <w:t xml:space="preserve">NT </w:t>
      </w:r>
      <w:r w:rsidR="0044514E" w:rsidRPr="000809BD">
        <w:rPr>
          <w:rFonts w:ascii="Arial" w:hAnsi="Arial" w:cs="Arial"/>
        </w:rPr>
        <w:t xml:space="preserve">Supreme Court </w:t>
      </w:r>
      <w:r w:rsidR="00750AC9">
        <w:rPr>
          <w:rFonts w:ascii="Arial" w:hAnsi="Arial" w:cs="Arial"/>
        </w:rPr>
        <w:t>ruled</w:t>
      </w:r>
      <w:r w:rsidR="0044514E" w:rsidRPr="000809BD">
        <w:rPr>
          <w:rFonts w:ascii="Arial" w:hAnsi="Arial" w:cs="Arial"/>
        </w:rPr>
        <w:t xml:space="preserve"> that </w:t>
      </w:r>
      <w:r w:rsidR="00E86656">
        <w:rPr>
          <w:rFonts w:ascii="Arial" w:hAnsi="Arial" w:cs="Arial"/>
        </w:rPr>
        <w:t>he</w:t>
      </w:r>
      <w:r w:rsidR="0044514E" w:rsidRPr="000809BD">
        <w:rPr>
          <w:rFonts w:ascii="Arial" w:hAnsi="Arial" w:cs="Arial"/>
        </w:rPr>
        <w:t xml:space="preserve"> was </w:t>
      </w:r>
      <w:r w:rsidR="00B31253">
        <w:rPr>
          <w:rFonts w:ascii="Arial" w:hAnsi="Arial" w:cs="Arial"/>
        </w:rPr>
        <w:t>“</w:t>
      </w:r>
      <w:r w:rsidR="00E86656">
        <w:rPr>
          <w:rFonts w:ascii="Arial" w:hAnsi="Arial" w:cs="Arial"/>
        </w:rPr>
        <w:t xml:space="preserve">unfit </w:t>
      </w:r>
      <w:r w:rsidR="0044514E" w:rsidRPr="000809BD">
        <w:rPr>
          <w:rFonts w:ascii="Arial" w:hAnsi="Arial" w:cs="Arial"/>
        </w:rPr>
        <w:t>to stand trial</w:t>
      </w:r>
      <w:r w:rsidR="00B31253">
        <w:rPr>
          <w:rFonts w:ascii="Arial" w:hAnsi="Arial" w:cs="Arial"/>
        </w:rPr>
        <w:t>”</w:t>
      </w:r>
      <w:r w:rsidR="00750AC9">
        <w:rPr>
          <w:rFonts w:ascii="Arial" w:hAnsi="Arial" w:cs="Arial"/>
        </w:rPr>
        <w:t xml:space="preserve"> and </w:t>
      </w:r>
      <w:r w:rsidR="006A1E93" w:rsidRPr="000809BD">
        <w:rPr>
          <w:rFonts w:ascii="Arial" w:hAnsi="Arial" w:cs="Arial"/>
        </w:rPr>
        <w:t xml:space="preserve">declared </w:t>
      </w:r>
      <w:r w:rsidR="003271C9" w:rsidRPr="000809BD">
        <w:rPr>
          <w:rFonts w:ascii="Arial" w:hAnsi="Arial" w:cs="Arial"/>
        </w:rPr>
        <w:t xml:space="preserve">him </w:t>
      </w:r>
      <w:r w:rsidR="006A1E93" w:rsidRPr="000809BD">
        <w:rPr>
          <w:rFonts w:ascii="Arial" w:hAnsi="Arial" w:cs="Arial"/>
        </w:rPr>
        <w:t xml:space="preserve">liable to supervision and custody in </w:t>
      </w:r>
      <w:r w:rsidR="00E86656">
        <w:rPr>
          <w:rFonts w:ascii="Arial" w:hAnsi="Arial" w:cs="Arial"/>
        </w:rPr>
        <w:t>a</w:t>
      </w:r>
      <w:r w:rsidR="00750AC9">
        <w:rPr>
          <w:rFonts w:ascii="Arial" w:hAnsi="Arial" w:cs="Arial"/>
        </w:rPr>
        <w:t xml:space="preserve"> </w:t>
      </w:r>
      <w:r w:rsidR="006A1E93" w:rsidRPr="000809BD">
        <w:rPr>
          <w:rFonts w:ascii="Arial" w:hAnsi="Arial" w:cs="Arial"/>
        </w:rPr>
        <w:t>high sec</w:t>
      </w:r>
      <w:r w:rsidR="00243955" w:rsidRPr="000809BD">
        <w:rPr>
          <w:rFonts w:ascii="Arial" w:hAnsi="Arial" w:cs="Arial"/>
        </w:rPr>
        <w:t xml:space="preserve">urity section of </w:t>
      </w:r>
      <w:r w:rsidR="00E86656">
        <w:rPr>
          <w:rFonts w:ascii="Arial" w:hAnsi="Arial" w:cs="Arial"/>
        </w:rPr>
        <w:t>such</w:t>
      </w:r>
      <w:r w:rsidR="00750AC9">
        <w:rPr>
          <w:rFonts w:ascii="Arial" w:hAnsi="Arial" w:cs="Arial"/>
        </w:rPr>
        <w:t xml:space="preserve"> </w:t>
      </w:r>
      <w:r w:rsidR="006A1E93" w:rsidRPr="000809BD">
        <w:rPr>
          <w:rFonts w:ascii="Arial" w:hAnsi="Arial" w:cs="Arial"/>
        </w:rPr>
        <w:t>Centre</w:t>
      </w:r>
      <w:r w:rsidR="0044514E" w:rsidRPr="000809BD">
        <w:rPr>
          <w:rFonts w:ascii="Arial" w:hAnsi="Arial" w:cs="Arial"/>
        </w:rPr>
        <w:t>.</w:t>
      </w:r>
      <w:r w:rsidR="006A1E93" w:rsidRPr="000809BD">
        <w:rPr>
          <w:rFonts w:ascii="Arial" w:hAnsi="Arial" w:cs="Arial"/>
        </w:rPr>
        <w:t xml:space="preserve"> </w:t>
      </w:r>
      <w:r w:rsidR="00750AC9">
        <w:rPr>
          <w:rFonts w:ascii="Arial" w:hAnsi="Arial" w:cs="Arial"/>
        </w:rPr>
        <w:t xml:space="preserve">In </w:t>
      </w:r>
      <w:r w:rsidR="0044514E" w:rsidRPr="000809BD">
        <w:rPr>
          <w:rFonts w:ascii="Arial" w:hAnsi="Arial" w:cs="Arial"/>
        </w:rPr>
        <w:t xml:space="preserve">October 2009, the Court placed </w:t>
      </w:r>
      <w:r w:rsidR="00DD1AA5" w:rsidRPr="000809BD">
        <w:rPr>
          <w:rFonts w:ascii="Arial" w:hAnsi="Arial" w:cs="Arial"/>
        </w:rPr>
        <w:t xml:space="preserve">him </w:t>
      </w:r>
      <w:r w:rsidR="0044514E" w:rsidRPr="000809BD">
        <w:rPr>
          <w:rFonts w:ascii="Arial" w:hAnsi="Arial" w:cs="Arial"/>
        </w:rPr>
        <w:t>under a Custodial Supervision Order</w:t>
      </w:r>
      <w:r w:rsidR="00750AC9">
        <w:rPr>
          <w:rFonts w:ascii="Arial" w:hAnsi="Arial" w:cs="Arial"/>
        </w:rPr>
        <w:t xml:space="preserve"> and fixed 12 months for the author </w:t>
      </w:r>
      <w:r w:rsidR="00D06C08">
        <w:rPr>
          <w:rFonts w:ascii="Arial" w:hAnsi="Arial" w:cs="Arial"/>
        </w:rPr>
        <w:t xml:space="preserve">to be in custody within prison. </w:t>
      </w:r>
      <w:r w:rsidR="0044514E" w:rsidRPr="000809BD">
        <w:rPr>
          <w:rFonts w:ascii="Arial" w:hAnsi="Arial" w:cs="Arial"/>
        </w:rPr>
        <w:t xml:space="preserve">The author returned to </w:t>
      </w:r>
      <w:r w:rsidR="00750AC9">
        <w:rPr>
          <w:rFonts w:ascii="Arial" w:hAnsi="Arial" w:cs="Arial"/>
        </w:rPr>
        <w:t>the</w:t>
      </w:r>
      <w:r w:rsidR="0044514E" w:rsidRPr="000809BD">
        <w:rPr>
          <w:rFonts w:ascii="Arial" w:hAnsi="Arial" w:cs="Arial"/>
        </w:rPr>
        <w:t xml:space="preserve"> Correctional Centre and remained ther</w:t>
      </w:r>
      <w:r w:rsidR="004D3C7F" w:rsidRPr="000809BD">
        <w:rPr>
          <w:rFonts w:ascii="Arial" w:hAnsi="Arial" w:cs="Arial"/>
        </w:rPr>
        <w:t xml:space="preserve">e </w:t>
      </w:r>
      <w:r w:rsidR="00D06C08">
        <w:rPr>
          <w:rFonts w:ascii="Arial" w:hAnsi="Arial" w:cs="Arial"/>
        </w:rPr>
        <w:t>until</w:t>
      </w:r>
      <w:r w:rsidR="004D3C7F" w:rsidRPr="000809BD">
        <w:rPr>
          <w:rFonts w:ascii="Arial" w:hAnsi="Arial" w:cs="Arial"/>
        </w:rPr>
        <w:t xml:space="preserve"> April 2013</w:t>
      </w:r>
      <w:r w:rsidR="00D06C08">
        <w:rPr>
          <w:rFonts w:ascii="Arial" w:hAnsi="Arial" w:cs="Arial"/>
        </w:rPr>
        <w:t xml:space="preserve">, </w:t>
      </w:r>
      <w:r w:rsidR="00A82DF0">
        <w:rPr>
          <w:rFonts w:ascii="Arial" w:hAnsi="Arial" w:cs="Arial"/>
        </w:rPr>
        <w:t xml:space="preserve">having spent </w:t>
      </w:r>
      <w:r w:rsidR="0044514E" w:rsidRPr="000809BD">
        <w:rPr>
          <w:rFonts w:ascii="Arial" w:hAnsi="Arial" w:cs="Arial"/>
          <w:u w:val="single"/>
        </w:rPr>
        <w:t>four years and nine months</w:t>
      </w:r>
      <w:r w:rsidR="0044514E" w:rsidRPr="000809BD">
        <w:rPr>
          <w:rFonts w:ascii="Arial" w:hAnsi="Arial" w:cs="Arial"/>
        </w:rPr>
        <w:t xml:space="preserve"> in custody</w:t>
      </w:r>
      <w:r w:rsidR="00E86656">
        <w:rPr>
          <w:rFonts w:ascii="Arial" w:hAnsi="Arial" w:cs="Arial"/>
        </w:rPr>
        <w:t xml:space="preserve"> and</w:t>
      </w:r>
      <w:r w:rsidR="0044514E" w:rsidRPr="000809BD">
        <w:rPr>
          <w:rFonts w:ascii="Arial" w:hAnsi="Arial" w:cs="Arial"/>
        </w:rPr>
        <w:t xml:space="preserve"> in </w:t>
      </w:r>
      <w:r w:rsidR="0044514E" w:rsidRPr="00A82DF0">
        <w:rPr>
          <w:rFonts w:ascii="Arial" w:hAnsi="Arial" w:cs="Arial"/>
        </w:rPr>
        <w:t>prison</w:t>
      </w:r>
      <w:r w:rsidR="00E86656">
        <w:rPr>
          <w:rFonts w:ascii="Arial" w:hAnsi="Arial" w:cs="Arial"/>
        </w:rPr>
        <w:t xml:space="preserve"> (</w:t>
      </w:r>
      <w:r w:rsidR="0044514E" w:rsidRPr="00A82DF0">
        <w:rPr>
          <w:rFonts w:ascii="Arial" w:hAnsi="Arial" w:cs="Arial"/>
          <w:u w:val="single"/>
        </w:rPr>
        <w:t>a</w:t>
      </w:r>
      <w:r w:rsidR="0044514E" w:rsidRPr="000809BD">
        <w:rPr>
          <w:rFonts w:ascii="Arial" w:hAnsi="Arial" w:cs="Arial"/>
          <w:u w:val="single"/>
        </w:rPr>
        <w:t xml:space="preserve">lmost five times the </w:t>
      </w:r>
      <w:r w:rsidR="00A82DF0">
        <w:rPr>
          <w:rFonts w:ascii="Arial" w:hAnsi="Arial" w:cs="Arial"/>
          <w:u w:val="single"/>
        </w:rPr>
        <w:t xml:space="preserve">period he would have </w:t>
      </w:r>
      <w:r w:rsidR="0044514E" w:rsidRPr="000809BD">
        <w:rPr>
          <w:rFonts w:ascii="Arial" w:hAnsi="Arial" w:cs="Arial"/>
          <w:u w:val="single"/>
        </w:rPr>
        <w:t>serve</w:t>
      </w:r>
      <w:r w:rsidR="00A82DF0">
        <w:rPr>
          <w:rFonts w:ascii="Arial" w:hAnsi="Arial" w:cs="Arial"/>
          <w:u w:val="single"/>
        </w:rPr>
        <w:t>d</w:t>
      </w:r>
      <w:r w:rsidR="0044514E" w:rsidRPr="000809BD">
        <w:rPr>
          <w:rFonts w:ascii="Arial" w:hAnsi="Arial" w:cs="Arial"/>
          <w:u w:val="single"/>
        </w:rPr>
        <w:t xml:space="preserve"> had he been </w:t>
      </w:r>
      <w:r w:rsidR="00A82DF0">
        <w:rPr>
          <w:rFonts w:ascii="Arial" w:hAnsi="Arial" w:cs="Arial"/>
          <w:u w:val="single"/>
        </w:rPr>
        <w:t>convicted</w:t>
      </w:r>
      <w:r w:rsidR="00E86656">
        <w:rPr>
          <w:rFonts w:ascii="Arial" w:hAnsi="Arial" w:cs="Arial"/>
          <w:u w:val="single"/>
        </w:rPr>
        <w:t>)</w:t>
      </w:r>
      <w:r w:rsidR="0044514E" w:rsidRPr="000809BD">
        <w:rPr>
          <w:rFonts w:ascii="Arial" w:hAnsi="Arial" w:cs="Arial"/>
        </w:rPr>
        <w:t>.</w:t>
      </w:r>
      <w:r w:rsidR="00EA4B44" w:rsidRPr="000809BD">
        <w:rPr>
          <w:rFonts w:ascii="Arial" w:hAnsi="Arial" w:cs="Arial"/>
        </w:rPr>
        <w:t xml:space="preserve"> </w:t>
      </w:r>
      <w:r w:rsidR="00E86656">
        <w:rPr>
          <w:rFonts w:ascii="Arial" w:hAnsi="Arial" w:cs="Arial"/>
        </w:rPr>
        <w:t>For this time</w:t>
      </w:r>
      <w:r w:rsidR="006A1E93" w:rsidRPr="000809BD">
        <w:rPr>
          <w:rFonts w:ascii="Arial" w:hAnsi="Arial" w:cs="Arial"/>
        </w:rPr>
        <w:t xml:space="preserve">, </w:t>
      </w:r>
      <w:r w:rsidR="00A82DF0">
        <w:rPr>
          <w:rFonts w:ascii="Arial" w:hAnsi="Arial" w:cs="Arial"/>
        </w:rPr>
        <w:t>he</w:t>
      </w:r>
      <w:r w:rsidR="006A1E93" w:rsidRPr="000809BD">
        <w:rPr>
          <w:rFonts w:ascii="Arial" w:hAnsi="Arial" w:cs="Arial"/>
        </w:rPr>
        <w:t xml:space="preserve"> was held in maxi</w:t>
      </w:r>
      <w:r w:rsidR="00FD4AEF" w:rsidRPr="000809BD">
        <w:rPr>
          <w:rFonts w:ascii="Arial" w:hAnsi="Arial" w:cs="Arial"/>
        </w:rPr>
        <w:t xml:space="preserve">mum security, confined </w:t>
      </w:r>
      <w:r w:rsidR="006A1E93" w:rsidRPr="000809BD">
        <w:rPr>
          <w:rFonts w:ascii="Arial" w:hAnsi="Arial" w:cs="Arial"/>
        </w:rPr>
        <w:t>in isolation for long periods</w:t>
      </w:r>
      <w:r w:rsidR="00D06C08">
        <w:rPr>
          <w:rFonts w:ascii="Arial" w:hAnsi="Arial" w:cs="Arial"/>
        </w:rPr>
        <w:t>,</w:t>
      </w:r>
      <w:r w:rsidR="006A1E93" w:rsidRPr="000809BD">
        <w:rPr>
          <w:rFonts w:ascii="Arial" w:hAnsi="Arial" w:cs="Arial"/>
        </w:rPr>
        <w:t xml:space="preserve"> and provided with limited access to mental health services</w:t>
      </w:r>
      <w:r w:rsidR="00BD2D47">
        <w:rPr>
          <w:rFonts w:ascii="Arial" w:hAnsi="Arial" w:cs="Arial"/>
        </w:rPr>
        <w:t xml:space="preserve">, which deteriorated his </w:t>
      </w:r>
      <w:r w:rsidR="006A1E93" w:rsidRPr="000809BD">
        <w:rPr>
          <w:rFonts w:ascii="Arial" w:hAnsi="Arial" w:cs="Arial"/>
        </w:rPr>
        <w:t>h</w:t>
      </w:r>
      <w:r w:rsidR="005229B7" w:rsidRPr="000809BD">
        <w:rPr>
          <w:rFonts w:ascii="Arial" w:hAnsi="Arial" w:cs="Arial"/>
        </w:rPr>
        <w:t>ealth and social functioning</w:t>
      </w:r>
      <w:r w:rsidR="00407DAC" w:rsidRPr="000809BD">
        <w:rPr>
          <w:rFonts w:ascii="Arial" w:hAnsi="Arial" w:cs="Arial"/>
        </w:rPr>
        <w:t xml:space="preserve">. </w:t>
      </w:r>
      <w:r w:rsidR="00D06C08">
        <w:rPr>
          <w:rFonts w:ascii="Arial" w:hAnsi="Arial" w:cs="Arial"/>
        </w:rPr>
        <w:t xml:space="preserve">In </w:t>
      </w:r>
      <w:r w:rsidR="0044514E" w:rsidRPr="000809BD">
        <w:rPr>
          <w:rFonts w:ascii="Arial" w:hAnsi="Arial" w:cs="Arial"/>
        </w:rPr>
        <w:t xml:space="preserve">June 2010, the Court ordered </w:t>
      </w:r>
      <w:r w:rsidR="00E86656">
        <w:rPr>
          <w:rFonts w:ascii="Arial" w:hAnsi="Arial" w:cs="Arial"/>
        </w:rPr>
        <w:t>him</w:t>
      </w:r>
      <w:r w:rsidR="00D06C08">
        <w:rPr>
          <w:rFonts w:ascii="Arial" w:hAnsi="Arial" w:cs="Arial"/>
        </w:rPr>
        <w:t xml:space="preserve"> to</w:t>
      </w:r>
      <w:r w:rsidR="0044514E" w:rsidRPr="000809BD">
        <w:rPr>
          <w:rFonts w:ascii="Arial" w:hAnsi="Arial" w:cs="Arial"/>
        </w:rPr>
        <w:t xml:space="preserve"> remai</w:t>
      </w:r>
      <w:r w:rsidR="00D06C08">
        <w:rPr>
          <w:rFonts w:ascii="Arial" w:hAnsi="Arial" w:cs="Arial"/>
        </w:rPr>
        <w:t>n</w:t>
      </w:r>
      <w:r w:rsidR="0044514E" w:rsidRPr="000809BD">
        <w:rPr>
          <w:rFonts w:ascii="Arial" w:hAnsi="Arial" w:cs="Arial"/>
        </w:rPr>
        <w:t xml:space="preserve"> in custody</w:t>
      </w:r>
      <w:r w:rsidR="00D06C08">
        <w:rPr>
          <w:rFonts w:ascii="Arial" w:hAnsi="Arial" w:cs="Arial"/>
        </w:rPr>
        <w:t xml:space="preserve"> </w:t>
      </w:r>
      <w:r w:rsidR="0044514E" w:rsidRPr="000809BD">
        <w:rPr>
          <w:rFonts w:ascii="Arial" w:hAnsi="Arial" w:cs="Arial"/>
        </w:rPr>
        <w:t xml:space="preserve">even if he </w:t>
      </w:r>
      <w:r w:rsidR="0044514E" w:rsidRPr="000809BD">
        <w:rPr>
          <w:rFonts w:ascii="Arial" w:hAnsi="Arial" w:cs="Arial"/>
          <w:u w:val="single"/>
        </w:rPr>
        <w:t>had served 22 months</w:t>
      </w:r>
      <w:r w:rsidR="0044514E" w:rsidRPr="000809BD">
        <w:rPr>
          <w:rFonts w:ascii="Arial" w:hAnsi="Arial" w:cs="Arial"/>
        </w:rPr>
        <w:t>.</w:t>
      </w:r>
      <w:r w:rsidR="007E7B90" w:rsidRPr="000809BD">
        <w:rPr>
          <w:rFonts w:ascii="Arial" w:hAnsi="Arial" w:cs="Arial"/>
        </w:rPr>
        <w:t xml:space="preserve"> In April 2013, </w:t>
      </w:r>
      <w:r w:rsidR="00E86656">
        <w:rPr>
          <w:rFonts w:ascii="Arial" w:hAnsi="Arial" w:cs="Arial"/>
        </w:rPr>
        <w:t xml:space="preserve">he </w:t>
      </w:r>
      <w:r w:rsidR="007E7B90" w:rsidRPr="000809BD">
        <w:rPr>
          <w:rFonts w:ascii="Arial" w:hAnsi="Arial" w:cs="Arial"/>
        </w:rPr>
        <w:t>was transferred to</w:t>
      </w:r>
      <w:r w:rsidR="00D06C08">
        <w:rPr>
          <w:rFonts w:ascii="Arial" w:hAnsi="Arial" w:cs="Arial"/>
        </w:rPr>
        <w:t xml:space="preserve"> </w:t>
      </w:r>
      <w:r w:rsidR="007E7B90" w:rsidRPr="000809BD">
        <w:rPr>
          <w:rFonts w:ascii="Arial" w:hAnsi="Arial" w:cs="Arial"/>
        </w:rPr>
        <w:t xml:space="preserve">a custodial facility </w:t>
      </w:r>
      <w:r w:rsidR="00D06C08">
        <w:rPr>
          <w:rFonts w:ascii="Arial" w:hAnsi="Arial" w:cs="Arial"/>
        </w:rPr>
        <w:t>and</w:t>
      </w:r>
      <w:r w:rsidR="007E7B90" w:rsidRPr="000809BD">
        <w:rPr>
          <w:rFonts w:ascii="Arial" w:hAnsi="Arial" w:cs="Arial"/>
        </w:rPr>
        <w:t xml:space="preserve"> </w:t>
      </w:r>
      <w:r w:rsidR="00E86656">
        <w:rPr>
          <w:rFonts w:ascii="Arial" w:hAnsi="Arial" w:cs="Arial"/>
        </w:rPr>
        <w:t>in</w:t>
      </w:r>
      <w:r w:rsidR="00D06C08">
        <w:rPr>
          <w:rFonts w:ascii="Arial" w:hAnsi="Arial" w:cs="Arial"/>
        </w:rPr>
        <w:t xml:space="preserve"> </w:t>
      </w:r>
      <w:r w:rsidR="00E86656">
        <w:rPr>
          <w:rFonts w:ascii="Arial" w:hAnsi="Arial" w:cs="Arial"/>
        </w:rPr>
        <w:t xml:space="preserve">February 2017 </w:t>
      </w:r>
      <w:r w:rsidR="007E7B90" w:rsidRPr="000809BD">
        <w:rPr>
          <w:rFonts w:ascii="Arial" w:hAnsi="Arial" w:cs="Arial"/>
        </w:rPr>
        <w:t>relocated to</w:t>
      </w:r>
      <w:r w:rsidR="00D06C08">
        <w:rPr>
          <w:rFonts w:ascii="Arial" w:hAnsi="Arial" w:cs="Arial"/>
        </w:rPr>
        <w:t xml:space="preserve"> </w:t>
      </w:r>
      <w:r w:rsidR="007E7B90" w:rsidRPr="000809BD">
        <w:rPr>
          <w:rFonts w:ascii="Arial" w:hAnsi="Arial" w:cs="Arial"/>
        </w:rPr>
        <w:t xml:space="preserve">community residence. </w:t>
      </w:r>
    </w:p>
    <w:p w14:paraId="27370046" w14:textId="77777777" w:rsidR="00D06C08" w:rsidRPr="000809BD" w:rsidRDefault="00D06C08" w:rsidP="00CC238E">
      <w:pPr>
        <w:spacing w:after="0" w:line="276" w:lineRule="auto"/>
        <w:jc w:val="both"/>
        <w:rPr>
          <w:rFonts w:ascii="Arial" w:hAnsi="Arial" w:cs="Arial"/>
        </w:rPr>
      </w:pPr>
    </w:p>
    <w:p w14:paraId="1CC28071" w14:textId="300B72DC" w:rsidR="00057D65" w:rsidRPr="000809BD" w:rsidRDefault="00057D65" w:rsidP="00CC238E">
      <w:pPr>
        <w:spacing w:line="276" w:lineRule="auto"/>
        <w:jc w:val="both"/>
        <w:rPr>
          <w:rFonts w:ascii="Arial" w:hAnsi="Arial" w:cs="Arial"/>
          <w:bCs/>
          <w:sz w:val="28"/>
          <w:szCs w:val="28"/>
        </w:rPr>
      </w:pPr>
      <w:r w:rsidRPr="000809BD">
        <w:rPr>
          <w:rFonts w:ascii="Arial" w:hAnsi="Arial" w:cs="Arial"/>
          <w:bCs/>
          <w:sz w:val="28"/>
          <w:szCs w:val="28"/>
        </w:rPr>
        <w:t>The complaints</w:t>
      </w:r>
    </w:p>
    <w:p w14:paraId="6FDAA2BE" w14:textId="660641E7" w:rsidR="00A570D1" w:rsidRPr="000809BD" w:rsidRDefault="005A7997" w:rsidP="00CC238E">
      <w:pPr>
        <w:spacing w:after="120" w:line="276" w:lineRule="auto"/>
        <w:jc w:val="both"/>
        <w:rPr>
          <w:rFonts w:ascii="Arial" w:hAnsi="Arial" w:cs="Arial"/>
        </w:rPr>
      </w:pPr>
      <w:r w:rsidRPr="000809BD">
        <w:rPr>
          <w:rFonts w:ascii="Arial" w:hAnsi="Arial" w:cs="Arial"/>
          <w:u w:val="single"/>
        </w:rPr>
        <w:t>The author claim</w:t>
      </w:r>
      <w:r w:rsidR="00B27EB5">
        <w:rPr>
          <w:rFonts w:ascii="Arial" w:hAnsi="Arial" w:cs="Arial"/>
          <w:u w:val="single"/>
        </w:rPr>
        <w:t>ed</w:t>
      </w:r>
      <w:r w:rsidRPr="000809BD">
        <w:rPr>
          <w:rFonts w:ascii="Arial" w:hAnsi="Arial" w:cs="Arial"/>
          <w:u w:val="single"/>
        </w:rPr>
        <w:t xml:space="preserve"> that his rights under article 5 (</w:t>
      </w:r>
      <w:r w:rsidR="006776C5" w:rsidRPr="000809BD">
        <w:rPr>
          <w:rFonts w:ascii="Arial" w:hAnsi="Arial" w:cs="Arial"/>
          <w:u w:val="single"/>
        </w:rPr>
        <w:t xml:space="preserve">in conjunction </w:t>
      </w:r>
      <w:r w:rsidRPr="000809BD">
        <w:rPr>
          <w:rFonts w:ascii="Arial" w:hAnsi="Arial" w:cs="Arial"/>
          <w:u w:val="single"/>
        </w:rPr>
        <w:t xml:space="preserve">with 14 and 15) </w:t>
      </w:r>
      <w:r w:rsidR="00B64972">
        <w:rPr>
          <w:rFonts w:ascii="Arial" w:hAnsi="Arial" w:cs="Arial"/>
        </w:rPr>
        <w:t>were</w:t>
      </w:r>
      <w:r w:rsidRPr="000809BD">
        <w:rPr>
          <w:rFonts w:ascii="Arial" w:hAnsi="Arial" w:cs="Arial"/>
        </w:rPr>
        <w:t xml:space="preserve"> violated </w:t>
      </w:r>
      <w:r w:rsidR="00B64972">
        <w:rPr>
          <w:rFonts w:ascii="Arial" w:hAnsi="Arial" w:cs="Arial"/>
        </w:rPr>
        <w:t>since</w:t>
      </w:r>
      <w:r w:rsidR="00045B84" w:rsidRPr="000809BD">
        <w:rPr>
          <w:rFonts w:ascii="Arial" w:hAnsi="Arial" w:cs="Arial"/>
        </w:rPr>
        <w:t xml:space="preserve"> up to 2013 he </w:t>
      </w:r>
      <w:r w:rsidR="00B64972">
        <w:rPr>
          <w:rFonts w:ascii="Arial" w:hAnsi="Arial" w:cs="Arial"/>
        </w:rPr>
        <w:t>was</w:t>
      </w:r>
      <w:r w:rsidR="00045B84" w:rsidRPr="000809BD">
        <w:rPr>
          <w:rFonts w:ascii="Arial" w:hAnsi="Arial" w:cs="Arial"/>
        </w:rPr>
        <w:t xml:space="preserve"> committed to indefinite custody without having been convicted of an offence</w:t>
      </w:r>
      <w:r w:rsidR="00B64972">
        <w:rPr>
          <w:rFonts w:ascii="Arial" w:hAnsi="Arial" w:cs="Arial"/>
        </w:rPr>
        <w:t>. He also contend</w:t>
      </w:r>
      <w:r w:rsidR="00B27EB5">
        <w:rPr>
          <w:rFonts w:ascii="Arial" w:hAnsi="Arial" w:cs="Arial"/>
        </w:rPr>
        <w:t xml:space="preserve">ed </w:t>
      </w:r>
      <w:r w:rsidR="00B64972">
        <w:rPr>
          <w:rFonts w:ascii="Arial" w:hAnsi="Arial" w:cs="Arial"/>
        </w:rPr>
        <w:t>that</w:t>
      </w:r>
      <w:r w:rsidRPr="000809BD">
        <w:rPr>
          <w:rFonts w:ascii="Arial" w:hAnsi="Arial" w:cs="Arial"/>
        </w:rPr>
        <w:t xml:space="preserve"> the NT Criminal Code </w:t>
      </w:r>
      <w:r w:rsidR="00B64972">
        <w:rPr>
          <w:rFonts w:ascii="Arial" w:hAnsi="Arial" w:cs="Arial"/>
        </w:rPr>
        <w:t xml:space="preserve">and </w:t>
      </w:r>
      <w:r w:rsidR="00A570D1" w:rsidRPr="000809BD">
        <w:rPr>
          <w:rFonts w:ascii="Arial" w:hAnsi="Arial" w:cs="Arial"/>
        </w:rPr>
        <w:t>the</w:t>
      </w:r>
      <w:r w:rsidR="00B64972">
        <w:rPr>
          <w:rFonts w:ascii="Arial" w:hAnsi="Arial" w:cs="Arial"/>
        </w:rPr>
        <w:t xml:space="preserve"> NT</w:t>
      </w:r>
      <w:r w:rsidR="00A570D1" w:rsidRPr="000809BD">
        <w:rPr>
          <w:rFonts w:ascii="Arial" w:hAnsi="Arial" w:cs="Arial"/>
        </w:rPr>
        <w:t xml:space="preserve"> Disability </w:t>
      </w:r>
      <w:r w:rsidR="00A570D1" w:rsidRPr="000809BD">
        <w:rPr>
          <w:rFonts w:ascii="Arial" w:hAnsi="Arial" w:cs="Arial"/>
        </w:rPr>
        <w:lastRenderedPageBreak/>
        <w:t>Services Act</w:t>
      </w:r>
      <w:r w:rsidR="00B64972">
        <w:rPr>
          <w:rFonts w:ascii="Arial" w:hAnsi="Arial" w:cs="Arial"/>
        </w:rPr>
        <w:t xml:space="preserve"> are discriminatory</w:t>
      </w:r>
      <w:r w:rsidR="00A570D1" w:rsidRPr="000809BD">
        <w:rPr>
          <w:rFonts w:ascii="Arial" w:hAnsi="Arial" w:cs="Arial"/>
        </w:rPr>
        <w:t xml:space="preserve">, since </w:t>
      </w:r>
      <w:r w:rsidR="00B64972">
        <w:rPr>
          <w:rFonts w:ascii="Arial" w:hAnsi="Arial" w:cs="Arial"/>
        </w:rPr>
        <w:t>the former</w:t>
      </w:r>
      <w:r w:rsidR="00B64972" w:rsidRPr="000809BD">
        <w:rPr>
          <w:rFonts w:ascii="Arial" w:hAnsi="Arial" w:cs="Arial"/>
        </w:rPr>
        <w:t xml:space="preserve"> only applies to persons with disability</w:t>
      </w:r>
      <w:r w:rsidR="00B64972">
        <w:rPr>
          <w:rFonts w:ascii="Arial" w:hAnsi="Arial" w:cs="Arial"/>
        </w:rPr>
        <w:t xml:space="preserve"> and the latter allowed for</w:t>
      </w:r>
      <w:r w:rsidR="00B64972" w:rsidRPr="000809BD">
        <w:rPr>
          <w:rFonts w:ascii="Arial" w:hAnsi="Arial" w:cs="Arial"/>
        </w:rPr>
        <w:t xml:space="preserve"> </w:t>
      </w:r>
      <w:r w:rsidR="00A570D1" w:rsidRPr="000809BD">
        <w:rPr>
          <w:rFonts w:ascii="Arial" w:hAnsi="Arial" w:cs="Arial"/>
        </w:rPr>
        <w:t xml:space="preserve">his detention in </w:t>
      </w:r>
      <w:r w:rsidR="00714670">
        <w:rPr>
          <w:rFonts w:ascii="Arial" w:hAnsi="Arial" w:cs="Arial"/>
        </w:rPr>
        <w:t xml:space="preserve">a “secure facility” to provide </w:t>
      </w:r>
      <w:r w:rsidR="00A570D1" w:rsidRPr="000809BD">
        <w:rPr>
          <w:rFonts w:ascii="Arial" w:hAnsi="Arial" w:cs="Arial"/>
        </w:rPr>
        <w:t>involuntary</w:t>
      </w:r>
      <w:r w:rsidR="00714670">
        <w:rPr>
          <w:rFonts w:ascii="Arial" w:hAnsi="Arial" w:cs="Arial"/>
        </w:rPr>
        <w:t xml:space="preserve"> treatment.</w:t>
      </w:r>
      <w:r w:rsidR="00A570D1" w:rsidRPr="000809BD">
        <w:rPr>
          <w:rFonts w:ascii="Arial" w:hAnsi="Arial" w:cs="Arial"/>
        </w:rPr>
        <w:t xml:space="preserve"> </w:t>
      </w:r>
    </w:p>
    <w:p w14:paraId="3781E150" w14:textId="124E49CB" w:rsidR="00DD4F06" w:rsidRPr="000809BD" w:rsidRDefault="00E06A73" w:rsidP="00CC238E">
      <w:pPr>
        <w:spacing w:line="276" w:lineRule="auto"/>
        <w:jc w:val="both"/>
        <w:rPr>
          <w:rFonts w:ascii="Arial" w:hAnsi="Arial" w:cs="Arial"/>
        </w:rPr>
      </w:pPr>
      <w:r>
        <w:rPr>
          <w:rFonts w:ascii="Arial" w:hAnsi="Arial" w:cs="Arial"/>
          <w:u w:val="single"/>
        </w:rPr>
        <w:t>It further claim</w:t>
      </w:r>
      <w:r w:rsidR="00B27EB5">
        <w:rPr>
          <w:rFonts w:ascii="Arial" w:hAnsi="Arial" w:cs="Arial"/>
          <w:u w:val="single"/>
        </w:rPr>
        <w:t>ed</w:t>
      </w:r>
      <w:r>
        <w:rPr>
          <w:rFonts w:ascii="Arial" w:hAnsi="Arial" w:cs="Arial"/>
          <w:u w:val="single"/>
        </w:rPr>
        <w:t xml:space="preserve"> </w:t>
      </w:r>
      <w:r w:rsidR="00714670">
        <w:rPr>
          <w:rFonts w:ascii="Arial" w:hAnsi="Arial" w:cs="Arial"/>
          <w:u w:val="single"/>
        </w:rPr>
        <w:t>violations to</w:t>
      </w:r>
      <w:r w:rsidR="00DD4F06" w:rsidRPr="000809BD">
        <w:rPr>
          <w:rFonts w:ascii="Arial" w:hAnsi="Arial" w:cs="Arial"/>
          <w:u w:val="single"/>
        </w:rPr>
        <w:t xml:space="preserve"> articles</w:t>
      </w:r>
      <w:r w:rsidR="00E97638" w:rsidRPr="000809BD">
        <w:rPr>
          <w:rFonts w:ascii="Arial" w:hAnsi="Arial" w:cs="Arial"/>
          <w:u w:val="single"/>
        </w:rPr>
        <w:t xml:space="preserve"> 12 and 13 (5, 14,</w:t>
      </w:r>
      <w:r w:rsidR="00DD4F06" w:rsidRPr="000809BD">
        <w:rPr>
          <w:rFonts w:ascii="Arial" w:hAnsi="Arial" w:cs="Arial"/>
          <w:u w:val="single"/>
        </w:rPr>
        <w:t xml:space="preserve"> 15</w:t>
      </w:r>
      <w:r w:rsidR="00E97638" w:rsidRPr="000809BD">
        <w:rPr>
          <w:rFonts w:ascii="Arial" w:hAnsi="Arial" w:cs="Arial"/>
          <w:u w:val="single"/>
        </w:rPr>
        <w:t xml:space="preserve"> and </w:t>
      </w:r>
      <w:r w:rsidR="00DD4F06" w:rsidRPr="000809BD">
        <w:rPr>
          <w:rFonts w:ascii="Arial" w:hAnsi="Arial" w:cs="Arial"/>
          <w:u w:val="single"/>
        </w:rPr>
        <w:t>19</w:t>
      </w:r>
      <w:r w:rsidR="00714670">
        <w:rPr>
          <w:rFonts w:ascii="Arial" w:hAnsi="Arial" w:cs="Arial"/>
        </w:rPr>
        <w:t xml:space="preserve">) </w:t>
      </w:r>
      <w:r>
        <w:rPr>
          <w:rFonts w:ascii="Arial" w:hAnsi="Arial" w:cs="Arial"/>
        </w:rPr>
        <w:t>since</w:t>
      </w:r>
      <w:r w:rsidR="00DD4F06" w:rsidRPr="000809BD">
        <w:rPr>
          <w:rFonts w:ascii="Arial" w:hAnsi="Arial" w:cs="Arial"/>
        </w:rPr>
        <w:t xml:space="preserve"> he was held in custody for five time</w:t>
      </w:r>
      <w:r>
        <w:rPr>
          <w:rFonts w:ascii="Arial" w:hAnsi="Arial" w:cs="Arial"/>
        </w:rPr>
        <w:t>s more</w:t>
      </w:r>
      <w:r w:rsidR="00DD4F06" w:rsidRPr="000809BD">
        <w:rPr>
          <w:rFonts w:ascii="Arial" w:hAnsi="Arial" w:cs="Arial"/>
        </w:rPr>
        <w:t xml:space="preserve"> than the</w:t>
      </w:r>
      <w:r w:rsidR="00714670">
        <w:rPr>
          <w:rFonts w:ascii="Arial" w:hAnsi="Arial" w:cs="Arial"/>
        </w:rPr>
        <w:t xml:space="preserve"> regular</w:t>
      </w:r>
      <w:r w:rsidR="00205A8F">
        <w:rPr>
          <w:rFonts w:ascii="Arial" w:hAnsi="Arial" w:cs="Arial"/>
        </w:rPr>
        <w:t xml:space="preserve"> period</w:t>
      </w:r>
      <w:r w:rsidR="00DD4F06" w:rsidRPr="000809BD">
        <w:rPr>
          <w:rFonts w:ascii="Arial" w:hAnsi="Arial" w:cs="Arial"/>
        </w:rPr>
        <w:t xml:space="preserve">, the Court </w:t>
      </w:r>
      <w:r w:rsidR="00205A8F">
        <w:rPr>
          <w:rFonts w:ascii="Arial" w:hAnsi="Arial" w:cs="Arial"/>
        </w:rPr>
        <w:t xml:space="preserve">had </w:t>
      </w:r>
      <w:r w:rsidR="00DD4F06" w:rsidRPr="000809BD">
        <w:rPr>
          <w:rFonts w:ascii="Arial" w:hAnsi="Arial" w:cs="Arial"/>
        </w:rPr>
        <w:t xml:space="preserve">determined </w:t>
      </w:r>
      <w:r w:rsidR="00205A8F">
        <w:rPr>
          <w:rFonts w:ascii="Arial" w:hAnsi="Arial" w:cs="Arial"/>
        </w:rPr>
        <w:t>him</w:t>
      </w:r>
      <w:r w:rsidR="00DD4F06" w:rsidRPr="000809BD">
        <w:rPr>
          <w:rFonts w:ascii="Arial" w:hAnsi="Arial" w:cs="Arial"/>
        </w:rPr>
        <w:t xml:space="preserve"> unfit to </w:t>
      </w:r>
      <w:r w:rsidR="00205A8F">
        <w:rPr>
          <w:rFonts w:ascii="Arial" w:hAnsi="Arial" w:cs="Arial"/>
        </w:rPr>
        <w:t>stand</w:t>
      </w:r>
      <w:r w:rsidR="00DD4F06" w:rsidRPr="000809BD">
        <w:rPr>
          <w:rFonts w:ascii="Arial" w:hAnsi="Arial" w:cs="Arial"/>
        </w:rPr>
        <w:t xml:space="preserve"> </w:t>
      </w:r>
      <w:r w:rsidR="00205A8F">
        <w:rPr>
          <w:rFonts w:ascii="Arial" w:hAnsi="Arial" w:cs="Arial"/>
        </w:rPr>
        <w:t>trial</w:t>
      </w:r>
      <w:r w:rsidR="00DD4F06" w:rsidRPr="000809BD">
        <w:rPr>
          <w:rFonts w:ascii="Arial" w:hAnsi="Arial" w:cs="Arial"/>
        </w:rPr>
        <w:t xml:space="preserve"> </w:t>
      </w:r>
      <w:r>
        <w:rPr>
          <w:rFonts w:ascii="Arial" w:hAnsi="Arial" w:cs="Arial"/>
        </w:rPr>
        <w:t xml:space="preserve">for </w:t>
      </w:r>
      <w:r w:rsidR="00FD1C4B" w:rsidRPr="000809BD">
        <w:rPr>
          <w:rFonts w:ascii="Arial" w:hAnsi="Arial" w:cs="Arial"/>
        </w:rPr>
        <w:t xml:space="preserve">not </w:t>
      </w:r>
      <w:r w:rsidR="00B31253">
        <w:rPr>
          <w:rFonts w:ascii="Arial" w:hAnsi="Arial" w:cs="Arial"/>
        </w:rPr>
        <w:t>having</w:t>
      </w:r>
      <w:r w:rsidR="00FD1C4B" w:rsidRPr="000809BD">
        <w:rPr>
          <w:rFonts w:ascii="Arial" w:hAnsi="Arial" w:cs="Arial"/>
        </w:rPr>
        <w:t xml:space="preserve"> legal </w:t>
      </w:r>
      <w:r>
        <w:rPr>
          <w:rFonts w:ascii="Arial" w:hAnsi="Arial" w:cs="Arial"/>
        </w:rPr>
        <w:t xml:space="preserve">capacity, he was </w:t>
      </w:r>
      <w:r w:rsidR="00DD4F06" w:rsidRPr="000809BD">
        <w:rPr>
          <w:rFonts w:ascii="Arial" w:hAnsi="Arial" w:cs="Arial"/>
        </w:rPr>
        <w:t>subjected to custody</w:t>
      </w:r>
      <w:r>
        <w:rPr>
          <w:rFonts w:ascii="Arial" w:hAnsi="Arial" w:cs="Arial"/>
        </w:rPr>
        <w:t xml:space="preserve"> </w:t>
      </w:r>
      <w:r w:rsidR="00205A8F">
        <w:rPr>
          <w:rFonts w:ascii="Arial" w:hAnsi="Arial" w:cs="Arial"/>
        </w:rPr>
        <w:t xml:space="preserve">and </w:t>
      </w:r>
      <w:r w:rsidR="00DD4F06" w:rsidRPr="000809BD">
        <w:rPr>
          <w:rFonts w:ascii="Arial" w:hAnsi="Arial" w:cs="Arial"/>
        </w:rPr>
        <w:t>didn’t receive</w:t>
      </w:r>
      <w:r w:rsidR="00205A8F">
        <w:rPr>
          <w:rFonts w:ascii="Arial" w:hAnsi="Arial" w:cs="Arial"/>
        </w:rPr>
        <w:t xml:space="preserve"> </w:t>
      </w:r>
      <w:r w:rsidR="00DD4F06" w:rsidRPr="000809BD">
        <w:rPr>
          <w:rFonts w:ascii="Arial" w:hAnsi="Arial" w:cs="Arial"/>
        </w:rPr>
        <w:t>support and adjustments</w:t>
      </w:r>
      <w:r w:rsidR="00205A8F">
        <w:rPr>
          <w:rFonts w:ascii="Arial" w:hAnsi="Arial" w:cs="Arial"/>
        </w:rPr>
        <w:t xml:space="preserve"> to exercise his legal capacity and </w:t>
      </w:r>
      <w:r w:rsidR="00B31253">
        <w:rPr>
          <w:rFonts w:ascii="Arial" w:hAnsi="Arial" w:cs="Arial"/>
        </w:rPr>
        <w:t xml:space="preserve">be enabled to </w:t>
      </w:r>
      <w:r w:rsidR="00205A8F">
        <w:rPr>
          <w:rFonts w:ascii="Arial" w:hAnsi="Arial" w:cs="Arial"/>
        </w:rPr>
        <w:t xml:space="preserve">challenge charges. </w:t>
      </w:r>
    </w:p>
    <w:p w14:paraId="79800ECA" w14:textId="1FF56679" w:rsidR="00FF414A" w:rsidRPr="000809BD" w:rsidRDefault="00B27EB5" w:rsidP="00CC238E">
      <w:pPr>
        <w:spacing w:line="276" w:lineRule="auto"/>
        <w:jc w:val="both"/>
        <w:rPr>
          <w:rFonts w:ascii="Arial" w:hAnsi="Arial" w:cs="Arial"/>
        </w:rPr>
      </w:pPr>
      <w:r w:rsidRPr="000809BD">
        <w:rPr>
          <w:rFonts w:ascii="Arial" w:hAnsi="Arial" w:cs="Arial"/>
          <w:u w:val="single"/>
        </w:rPr>
        <w:t>Regarding</w:t>
      </w:r>
      <w:r w:rsidR="00FF414A" w:rsidRPr="000809BD">
        <w:rPr>
          <w:rFonts w:ascii="Arial" w:hAnsi="Arial" w:cs="Arial"/>
          <w:u w:val="single"/>
        </w:rPr>
        <w:t xml:space="preserve"> article 14 (and 5)</w:t>
      </w:r>
      <w:r w:rsidR="00FF414A" w:rsidRPr="000809BD">
        <w:rPr>
          <w:rFonts w:ascii="Arial" w:hAnsi="Arial" w:cs="Arial"/>
        </w:rPr>
        <w:t>, the author claim</w:t>
      </w:r>
      <w:r>
        <w:rPr>
          <w:rFonts w:ascii="Arial" w:hAnsi="Arial" w:cs="Arial"/>
        </w:rPr>
        <w:t>ed</w:t>
      </w:r>
      <w:r w:rsidR="00882441">
        <w:rPr>
          <w:rFonts w:ascii="Arial" w:hAnsi="Arial" w:cs="Arial"/>
        </w:rPr>
        <w:t xml:space="preserve"> violations since</w:t>
      </w:r>
      <w:r w:rsidR="00FF414A" w:rsidRPr="000809BD">
        <w:rPr>
          <w:rFonts w:ascii="Arial" w:hAnsi="Arial" w:cs="Arial"/>
        </w:rPr>
        <w:t xml:space="preserve"> his deprivation of liberty was arbitrarily based on his disability, disproportionate</w:t>
      </w:r>
      <w:r w:rsidR="00CA43EF" w:rsidRPr="000809BD">
        <w:rPr>
          <w:rFonts w:ascii="Arial" w:hAnsi="Arial" w:cs="Arial"/>
        </w:rPr>
        <w:t>,</w:t>
      </w:r>
      <w:r w:rsidR="00FF414A" w:rsidRPr="000809BD">
        <w:rPr>
          <w:rFonts w:ascii="Arial" w:hAnsi="Arial" w:cs="Arial"/>
        </w:rPr>
        <w:t xml:space="preserve"> and based upon his Aboriginal origins.</w:t>
      </w:r>
      <w:r w:rsidR="00C83756">
        <w:rPr>
          <w:rFonts w:ascii="Arial" w:hAnsi="Arial" w:cs="Arial"/>
        </w:rPr>
        <w:t xml:space="preserve"> He contended that </w:t>
      </w:r>
      <w:r w:rsidR="00FF414A" w:rsidRPr="000809BD">
        <w:rPr>
          <w:rFonts w:ascii="Arial" w:hAnsi="Arial" w:cs="Arial"/>
        </w:rPr>
        <w:t xml:space="preserve">the Court </w:t>
      </w:r>
      <w:r>
        <w:rPr>
          <w:rFonts w:ascii="Arial" w:hAnsi="Arial" w:cs="Arial"/>
        </w:rPr>
        <w:t xml:space="preserve">had </w:t>
      </w:r>
      <w:r w:rsidR="00FF414A" w:rsidRPr="000809BD">
        <w:rPr>
          <w:rFonts w:ascii="Arial" w:hAnsi="Arial" w:cs="Arial"/>
        </w:rPr>
        <w:t xml:space="preserve">decided there was no alternative to committing him, since </w:t>
      </w:r>
      <w:r>
        <w:rPr>
          <w:rFonts w:ascii="Arial" w:hAnsi="Arial" w:cs="Arial"/>
        </w:rPr>
        <w:t>he was</w:t>
      </w:r>
      <w:r w:rsidR="00FF414A" w:rsidRPr="000809BD">
        <w:rPr>
          <w:rFonts w:ascii="Arial" w:hAnsi="Arial" w:cs="Arial"/>
        </w:rPr>
        <w:t xml:space="preserve"> a poor Aboriginal homeless without family. </w:t>
      </w:r>
    </w:p>
    <w:p w14:paraId="4802D8B3" w14:textId="2E4CA2D7" w:rsidR="007A6317" w:rsidRPr="000809BD" w:rsidRDefault="00B27EB5" w:rsidP="00CC238E">
      <w:pPr>
        <w:spacing w:line="276" w:lineRule="auto"/>
        <w:jc w:val="both"/>
        <w:rPr>
          <w:rFonts w:ascii="Arial" w:hAnsi="Arial" w:cs="Arial"/>
        </w:rPr>
      </w:pPr>
      <w:r w:rsidRPr="000809BD">
        <w:rPr>
          <w:rFonts w:ascii="Arial" w:hAnsi="Arial" w:cs="Arial"/>
          <w:u w:val="single"/>
        </w:rPr>
        <w:t>Regarding</w:t>
      </w:r>
      <w:r w:rsidR="007A6317" w:rsidRPr="000809BD">
        <w:rPr>
          <w:rFonts w:ascii="Arial" w:hAnsi="Arial" w:cs="Arial"/>
          <w:u w:val="single"/>
        </w:rPr>
        <w:t xml:space="preserve"> </w:t>
      </w:r>
      <w:r>
        <w:rPr>
          <w:rFonts w:ascii="Arial" w:hAnsi="Arial" w:cs="Arial"/>
          <w:u w:val="single"/>
        </w:rPr>
        <w:t>a</w:t>
      </w:r>
      <w:r w:rsidR="007A6317" w:rsidRPr="000809BD">
        <w:rPr>
          <w:rFonts w:ascii="Arial" w:hAnsi="Arial" w:cs="Arial"/>
          <w:u w:val="single"/>
        </w:rPr>
        <w:t>rticles 19 and 28 (and 15),</w:t>
      </w:r>
      <w:r w:rsidR="007A6317" w:rsidRPr="000809BD">
        <w:rPr>
          <w:rFonts w:ascii="Arial" w:hAnsi="Arial" w:cs="Arial"/>
        </w:rPr>
        <w:t xml:space="preserve"> the author claim</w:t>
      </w:r>
      <w:r>
        <w:rPr>
          <w:rFonts w:ascii="Arial" w:hAnsi="Arial" w:cs="Arial"/>
        </w:rPr>
        <w:t>ed</w:t>
      </w:r>
      <w:r w:rsidR="007A6317" w:rsidRPr="000809BD">
        <w:rPr>
          <w:rFonts w:ascii="Arial" w:hAnsi="Arial" w:cs="Arial"/>
        </w:rPr>
        <w:t xml:space="preserve"> that</w:t>
      </w:r>
      <w:r w:rsidR="00682C77">
        <w:rPr>
          <w:rFonts w:ascii="Arial" w:hAnsi="Arial" w:cs="Arial"/>
        </w:rPr>
        <w:t xml:space="preserve"> in</w:t>
      </w:r>
      <w:r w:rsidR="007A6317" w:rsidRPr="000809BD">
        <w:rPr>
          <w:rFonts w:ascii="Arial" w:hAnsi="Arial" w:cs="Arial"/>
        </w:rPr>
        <w:t xml:space="preserve"> custody </w:t>
      </w:r>
      <w:r>
        <w:rPr>
          <w:rFonts w:ascii="Arial" w:hAnsi="Arial" w:cs="Arial"/>
        </w:rPr>
        <w:t>he</w:t>
      </w:r>
      <w:r w:rsidR="007A6317" w:rsidRPr="000809BD">
        <w:rPr>
          <w:rFonts w:ascii="Arial" w:hAnsi="Arial" w:cs="Arial"/>
        </w:rPr>
        <w:t xml:space="preserve"> was held with convicted persons</w:t>
      </w:r>
      <w:r>
        <w:rPr>
          <w:rFonts w:ascii="Arial" w:hAnsi="Arial" w:cs="Arial"/>
        </w:rPr>
        <w:t xml:space="preserve"> and was denied a</w:t>
      </w:r>
      <w:r w:rsidR="007A6317" w:rsidRPr="000809BD">
        <w:rPr>
          <w:rFonts w:ascii="Arial" w:hAnsi="Arial" w:cs="Arial"/>
        </w:rPr>
        <w:t>dequate housing in the community as</w:t>
      </w:r>
      <w:r w:rsidR="00682C77">
        <w:rPr>
          <w:rFonts w:ascii="Arial" w:hAnsi="Arial" w:cs="Arial"/>
        </w:rPr>
        <w:t xml:space="preserve"> </w:t>
      </w:r>
      <w:r w:rsidR="007A6317" w:rsidRPr="000809BD">
        <w:rPr>
          <w:rFonts w:ascii="Arial" w:hAnsi="Arial" w:cs="Arial"/>
        </w:rPr>
        <w:t xml:space="preserve">alternative. </w:t>
      </w:r>
    </w:p>
    <w:p w14:paraId="68E5C87E" w14:textId="54CA6895" w:rsidR="00891C59" w:rsidRPr="003C7C08" w:rsidRDefault="00A0417A" w:rsidP="00CC238E">
      <w:pPr>
        <w:spacing w:line="276" w:lineRule="auto"/>
        <w:jc w:val="both"/>
        <w:rPr>
          <w:rFonts w:ascii="Arial" w:hAnsi="Arial" w:cs="Arial"/>
          <w:color w:val="000000" w:themeColor="text1"/>
        </w:rPr>
      </w:pPr>
      <w:r w:rsidRPr="000809BD">
        <w:rPr>
          <w:rFonts w:ascii="Arial" w:hAnsi="Arial" w:cs="Arial"/>
          <w:u w:val="single"/>
        </w:rPr>
        <w:t>Regarding</w:t>
      </w:r>
      <w:r w:rsidR="007A6317" w:rsidRPr="000809BD">
        <w:rPr>
          <w:rFonts w:ascii="Arial" w:hAnsi="Arial" w:cs="Arial"/>
          <w:u w:val="single"/>
        </w:rPr>
        <w:t xml:space="preserve"> </w:t>
      </w:r>
      <w:r w:rsidR="00B27EB5">
        <w:rPr>
          <w:rFonts w:ascii="Arial" w:hAnsi="Arial" w:cs="Arial"/>
          <w:u w:val="single"/>
        </w:rPr>
        <w:t>a</w:t>
      </w:r>
      <w:r w:rsidR="007A6317" w:rsidRPr="000809BD">
        <w:rPr>
          <w:rFonts w:ascii="Arial" w:hAnsi="Arial" w:cs="Arial"/>
          <w:u w:val="single"/>
        </w:rPr>
        <w:t>rticles 15, 19 and 26</w:t>
      </w:r>
      <w:r w:rsidR="007A6317" w:rsidRPr="000809BD">
        <w:rPr>
          <w:rFonts w:ascii="Arial" w:hAnsi="Arial" w:cs="Arial"/>
        </w:rPr>
        <w:t>, the author claim</w:t>
      </w:r>
      <w:r>
        <w:rPr>
          <w:rFonts w:ascii="Arial" w:hAnsi="Arial" w:cs="Arial"/>
        </w:rPr>
        <w:t>ed</w:t>
      </w:r>
      <w:r w:rsidR="007A6317" w:rsidRPr="000809BD">
        <w:rPr>
          <w:rFonts w:ascii="Arial" w:hAnsi="Arial" w:cs="Arial"/>
        </w:rPr>
        <w:t xml:space="preserve"> t</w:t>
      </w:r>
      <w:r w:rsidR="00DE406F">
        <w:rPr>
          <w:rFonts w:ascii="Arial" w:hAnsi="Arial" w:cs="Arial"/>
        </w:rPr>
        <w:t>hat</w:t>
      </w:r>
      <w:r w:rsidR="007A6317" w:rsidRPr="000809BD">
        <w:rPr>
          <w:rFonts w:ascii="Arial" w:hAnsi="Arial" w:cs="Arial"/>
        </w:rPr>
        <w:t xml:space="preserve"> conditions </w:t>
      </w:r>
      <w:r>
        <w:rPr>
          <w:rFonts w:ascii="Arial" w:hAnsi="Arial" w:cs="Arial"/>
        </w:rPr>
        <w:t>of detention</w:t>
      </w:r>
      <w:r w:rsidR="007A6317" w:rsidRPr="000809BD">
        <w:rPr>
          <w:rFonts w:ascii="Arial" w:hAnsi="Arial" w:cs="Arial"/>
        </w:rPr>
        <w:t xml:space="preserve"> were harsh and unreasonabl</w:t>
      </w:r>
      <w:r>
        <w:rPr>
          <w:rFonts w:ascii="Arial" w:hAnsi="Arial" w:cs="Arial"/>
        </w:rPr>
        <w:t xml:space="preserve">e, and that </w:t>
      </w:r>
      <w:r w:rsidR="007A6317" w:rsidRPr="000809BD">
        <w:rPr>
          <w:rFonts w:ascii="Arial" w:hAnsi="Arial" w:cs="Arial"/>
        </w:rPr>
        <w:t xml:space="preserve">he was </w:t>
      </w:r>
      <w:r>
        <w:rPr>
          <w:rFonts w:ascii="Arial" w:hAnsi="Arial" w:cs="Arial"/>
        </w:rPr>
        <w:t xml:space="preserve">mostly </w:t>
      </w:r>
      <w:r w:rsidR="007A6317" w:rsidRPr="000809BD">
        <w:rPr>
          <w:rFonts w:ascii="Arial" w:hAnsi="Arial" w:cs="Arial"/>
        </w:rPr>
        <w:t xml:space="preserve">detained in </w:t>
      </w:r>
      <w:r w:rsidR="00DE406F" w:rsidRPr="000809BD">
        <w:rPr>
          <w:rFonts w:ascii="Arial" w:hAnsi="Arial" w:cs="Arial"/>
        </w:rPr>
        <w:t>maximum-security</w:t>
      </w:r>
      <w:r w:rsidR="006776C5" w:rsidRPr="000809BD">
        <w:rPr>
          <w:rFonts w:ascii="Arial" w:hAnsi="Arial" w:cs="Arial"/>
        </w:rPr>
        <w:t xml:space="preserve"> isolation</w:t>
      </w:r>
      <w:r w:rsidR="007A6317" w:rsidRPr="000809BD">
        <w:rPr>
          <w:rFonts w:ascii="Arial" w:hAnsi="Arial" w:cs="Arial"/>
        </w:rPr>
        <w:t xml:space="preserve">. </w:t>
      </w:r>
      <w:r w:rsidR="007A6317" w:rsidRPr="000809BD">
        <w:rPr>
          <w:rFonts w:ascii="Arial" w:hAnsi="Arial" w:cs="Arial"/>
          <w:color w:val="000000" w:themeColor="text1"/>
        </w:rPr>
        <w:t xml:space="preserve">He </w:t>
      </w:r>
      <w:r>
        <w:rPr>
          <w:rFonts w:ascii="Arial" w:hAnsi="Arial" w:cs="Arial"/>
          <w:color w:val="000000" w:themeColor="text1"/>
        </w:rPr>
        <w:t xml:space="preserve">claimed being </w:t>
      </w:r>
      <w:r w:rsidR="007A6317" w:rsidRPr="000809BD">
        <w:rPr>
          <w:rFonts w:ascii="Arial" w:hAnsi="Arial" w:cs="Arial"/>
          <w:color w:val="000000" w:themeColor="text1"/>
        </w:rPr>
        <w:t>sub</w:t>
      </w:r>
      <w:r w:rsidR="007A6317" w:rsidRPr="00A0417A">
        <w:rPr>
          <w:rFonts w:ascii="Arial" w:hAnsi="Arial" w:cs="Arial"/>
          <w:color w:val="000000" w:themeColor="text1"/>
        </w:rPr>
        <w:t>ject to involuntary treatment</w:t>
      </w:r>
      <w:r w:rsidR="00DE406F">
        <w:rPr>
          <w:rFonts w:ascii="Arial" w:hAnsi="Arial" w:cs="Arial"/>
          <w:color w:val="000000" w:themeColor="text1"/>
        </w:rPr>
        <w:t xml:space="preserve"> and </w:t>
      </w:r>
      <w:r w:rsidR="007A6317" w:rsidRPr="000809BD">
        <w:rPr>
          <w:rFonts w:ascii="Arial" w:hAnsi="Arial" w:cs="Arial"/>
          <w:color w:val="000000" w:themeColor="text1"/>
        </w:rPr>
        <w:t xml:space="preserve">not </w:t>
      </w:r>
      <w:r w:rsidR="00DE406F">
        <w:rPr>
          <w:rFonts w:ascii="Arial" w:hAnsi="Arial" w:cs="Arial"/>
          <w:color w:val="000000" w:themeColor="text1"/>
        </w:rPr>
        <w:t xml:space="preserve">being </w:t>
      </w:r>
      <w:r w:rsidR="007A6317" w:rsidRPr="000809BD">
        <w:rPr>
          <w:rFonts w:ascii="Arial" w:hAnsi="Arial" w:cs="Arial"/>
          <w:color w:val="000000" w:themeColor="text1"/>
        </w:rPr>
        <w:t xml:space="preserve">provided </w:t>
      </w:r>
      <w:r w:rsidR="007A6317" w:rsidRPr="000809BD">
        <w:rPr>
          <w:rFonts w:ascii="Arial" w:hAnsi="Arial" w:cs="Arial"/>
        </w:rPr>
        <w:t xml:space="preserve">with </w:t>
      </w:r>
      <w:r w:rsidRPr="000809BD">
        <w:rPr>
          <w:rFonts w:ascii="Arial" w:hAnsi="Arial" w:cs="Arial"/>
        </w:rPr>
        <w:t xml:space="preserve">behaviour support programs </w:t>
      </w:r>
      <w:r>
        <w:rPr>
          <w:rFonts w:ascii="Arial" w:hAnsi="Arial" w:cs="Arial"/>
        </w:rPr>
        <w:t xml:space="preserve">or </w:t>
      </w:r>
      <w:r w:rsidR="007A6317" w:rsidRPr="000809BD">
        <w:rPr>
          <w:rFonts w:ascii="Arial" w:hAnsi="Arial" w:cs="Arial"/>
        </w:rPr>
        <w:t>social, daily living,</w:t>
      </w:r>
      <w:r>
        <w:rPr>
          <w:rFonts w:ascii="Arial" w:hAnsi="Arial" w:cs="Arial"/>
        </w:rPr>
        <w:t xml:space="preserve"> and </w:t>
      </w:r>
      <w:r w:rsidR="007A6317" w:rsidRPr="000809BD">
        <w:rPr>
          <w:rFonts w:ascii="Arial" w:hAnsi="Arial" w:cs="Arial"/>
        </w:rPr>
        <w:t>communication</w:t>
      </w:r>
      <w:r>
        <w:rPr>
          <w:rFonts w:ascii="Arial" w:hAnsi="Arial" w:cs="Arial"/>
        </w:rPr>
        <w:t xml:space="preserve"> skills</w:t>
      </w:r>
      <w:r w:rsidR="007A6317" w:rsidRPr="000809BD">
        <w:rPr>
          <w:rFonts w:ascii="Arial" w:hAnsi="Arial" w:cs="Arial"/>
        </w:rPr>
        <w:t>.</w:t>
      </w:r>
      <w:r w:rsidR="003C7C08">
        <w:rPr>
          <w:rFonts w:ascii="Arial" w:hAnsi="Arial" w:cs="Arial"/>
        </w:rPr>
        <w:t xml:space="preserve"> </w:t>
      </w:r>
      <w:r>
        <w:rPr>
          <w:rFonts w:ascii="Arial" w:hAnsi="Arial" w:cs="Arial"/>
          <w:u w:val="single"/>
        </w:rPr>
        <w:t>Regarding</w:t>
      </w:r>
      <w:r w:rsidR="007A6317" w:rsidRPr="000809BD">
        <w:rPr>
          <w:rFonts w:ascii="Arial" w:hAnsi="Arial" w:cs="Arial"/>
          <w:u w:val="single"/>
        </w:rPr>
        <w:t xml:space="preserve"> </w:t>
      </w:r>
      <w:r w:rsidR="00B27EB5">
        <w:rPr>
          <w:rFonts w:ascii="Arial" w:hAnsi="Arial" w:cs="Arial"/>
          <w:u w:val="single"/>
        </w:rPr>
        <w:t>a</w:t>
      </w:r>
      <w:r w:rsidR="007A6317" w:rsidRPr="000809BD">
        <w:rPr>
          <w:rFonts w:ascii="Arial" w:hAnsi="Arial" w:cs="Arial"/>
          <w:u w:val="single"/>
        </w:rPr>
        <w:t>rticle 25</w:t>
      </w:r>
      <w:r w:rsidR="007A6317" w:rsidRPr="000809BD">
        <w:rPr>
          <w:rFonts w:ascii="Arial" w:hAnsi="Arial" w:cs="Arial"/>
        </w:rPr>
        <w:t xml:space="preserve">, </w:t>
      </w:r>
      <w:r w:rsidR="00984256">
        <w:rPr>
          <w:rFonts w:ascii="Arial" w:hAnsi="Arial" w:cs="Arial"/>
        </w:rPr>
        <w:t>he</w:t>
      </w:r>
      <w:r w:rsidR="00891C59">
        <w:rPr>
          <w:rFonts w:ascii="Arial" w:hAnsi="Arial" w:cs="Arial"/>
        </w:rPr>
        <w:t xml:space="preserve"> </w:t>
      </w:r>
      <w:r w:rsidR="00984256">
        <w:rPr>
          <w:rFonts w:ascii="Arial" w:hAnsi="Arial" w:cs="Arial"/>
        </w:rPr>
        <w:t xml:space="preserve">claims there was a lack of adequate </w:t>
      </w:r>
      <w:r w:rsidR="007A6317" w:rsidRPr="000809BD">
        <w:rPr>
          <w:rFonts w:ascii="Arial" w:hAnsi="Arial" w:cs="Arial"/>
        </w:rPr>
        <w:t>services for his effective treatment and support.</w:t>
      </w:r>
    </w:p>
    <w:p w14:paraId="31B3F2B5" w14:textId="30C2D6EF" w:rsidR="00841313" w:rsidRPr="000809BD" w:rsidRDefault="00841313" w:rsidP="00CC238E">
      <w:pPr>
        <w:spacing w:line="276" w:lineRule="auto"/>
        <w:jc w:val="both"/>
        <w:rPr>
          <w:rFonts w:ascii="Arial" w:hAnsi="Arial" w:cs="Arial"/>
          <w:bCs/>
          <w:sz w:val="28"/>
          <w:szCs w:val="28"/>
        </w:rPr>
      </w:pPr>
      <w:r w:rsidRPr="000809BD">
        <w:rPr>
          <w:rFonts w:ascii="Arial" w:hAnsi="Arial" w:cs="Arial"/>
          <w:bCs/>
          <w:sz w:val="28"/>
          <w:szCs w:val="28"/>
        </w:rPr>
        <w:t>State Party’s observations on admissibility</w:t>
      </w:r>
      <w:r w:rsidR="006447E1" w:rsidRPr="000809BD">
        <w:rPr>
          <w:rFonts w:ascii="Arial" w:hAnsi="Arial" w:cs="Arial"/>
          <w:bCs/>
          <w:sz w:val="28"/>
          <w:szCs w:val="28"/>
        </w:rPr>
        <w:t xml:space="preserve"> and the merits</w:t>
      </w:r>
      <w:r w:rsidRPr="000809BD">
        <w:rPr>
          <w:rFonts w:ascii="Arial" w:hAnsi="Arial" w:cs="Arial"/>
          <w:bCs/>
          <w:sz w:val="28"/>
          <w:szCs w:val="28"/>
        </w:rPr>
        <w:t xml:space="preserve"> </w:t>
      </w:r>
    </w:p>
    <w:p w14:paraId="022F5371" w14:textId="2BA35331" w:rsidR="00034995" w:rsidRPr="00E414C4" w:rsidRDefault="007A6317" w:rsidP="00CC238E">
      <w:pPr>
        <w:spacing w:line="276" w:lineRule="auto"/>
        <w:jc w:val="both"/>
        <w:rPr>
          <w:rFonts w:ascii="Arial" w:hAnsi="Arial" w:cs="Arial"/>
        </w:rPr>
      </w:pPr>
      <w:r w:rsidRPr="0079215F">
        <w:rPr>
          <w:rFonts w:ascii="Arial" w:hAnsi="Arial" w:cs="Arial"/>
        </w:rPr>
        <w:t>The State</w:t>
      </w:r>
      <w:r w:rsidR="0079215F">
        <w:rPr>
          <w:rFonts w:ascii="Arial" w:hAnsi="Arial" w:cs="Arial"/>
        </w:rPr>
        <w:t xml:space="preserve"> </w:t>
      </w:r>
      <w:r w:rsidRPr="0079215F">
        <w:rPr>
          <w:rFonts w:ascii="Arial" w:hAnsi="Arial" w:cs="Arial"/>
        </w:rPr>
        <w:t>consider</w:t>
      </w:r>
      <w:r w:rsidR="0079215F" w:rsidRPr="0079215F">
        <w:rPr>
          <w:rFonts w:ascii="Arial" w:hAnsi="Arial" w:cs="Arial"/>
        </w:rPr>
        <w:t xml:space="preserve">ed </w:t>
      </w:r>
      <w:r w:rsidR="006776C5" w:rsidRPr="0079215F">
        <w:rPr>
          <w:rFonts w:ascii="Arial" w:hAnsi="Arial" w:cs="Arial"/>
        </w:rPr>
        <w:t xml:space="preserve">that the </w:t>
      </w:r>
      <w:r w:rsidR="0079215F" w:rsidRPr="0079215F">
        <w:rPr>
          <w:rFonts w:ascii="Arial" w:hAnsi="Arial" w:cs="Arial"/>
        </w:rPr>
        <w:t>author</w:t>
      </w:r>
      <w:r w:rsidRPr="0079215F">
        <w:rPr>
          <w:rFonts w:ascii="Arial" w:hAnsi="Arial" w:cs="Arial"/>
        </w:rPr>
        <w:t xml:space="preserve"> </w:t>
      </w:r>
      <w:r w:rsidR="0079215F" w:rsidRPr="0079215F">
        <w:rPr>
          <w:rFonts w:ascii="Arial" w:hAnsi="Arial" w:cs="Arial"/>
        </w:rPr>
        <w:t xml:space="preserve">failed to </w:t>
      </w:r>
      <w:r w:rsidRPr="0079215F">
        <w:rPr>
          <w:rFonts w:ascii="Arial" w:hAnsi="Arial" w:cs="Arial"/>
        </w:rPr>
        <w:t>exhaust</w:t>
      </w:r>
      <w:r w:rsidR="0079215F" w:rsidRPr="0079215F">
        <w:rPr>
          <w:rFonts w:ascii="Arial" w:hAnsi="Arial" w:cs="Arial"/>
        </w:rPr>
        <w:t xml:space="preserve"> </w:t>
      </w:r>
      <w:r w:rsidRPr="0079215F">
        <w:rPr>
          <w:rFonts w:ascii="Arial" w:hAnsi="Arial" w:cs="Arial"/>
        </w:rPr>
        <w:t xml:space="preserve">all </w:t>
      </w:r>
      <w:r w:rsidR="00E143C6">
        <w:rPr>
          <w:rFonts w:ascii="Arial" w:hAnsi="Arial" w:cs="Arial"/>
        </w:rPr>
        <w:t>domestic</w:t>
      </w:r>
      <w:r w:rsidRPr="0079215F">
        <w:rPr>
          <w:rFonts w:ascii="Arial" w:hAnsi="Arial" w:cs="Arial"/>
        </w:rPr>
        <w:t xml:space="preserve"> remedies </w:t>
      </w:r>
      <w:r w:rsidRPr="0079215F">
        <w:rPr>
          <w:rFonts w:ascii="Arial" w:hAnsi="Arial" w:cs="Arial"/>
          <w:u w:val="single"/>
        </w:rPr>
        <w:t xml:space="preserve">under article 2(d) of the </w:t>
      </w:r>
      <w:r w:rsidR="0079215F" w:rsidRPr="0079215F">
        <w:rPr>
          <w:rFonts w:ascii="Arial" w:hAnsi="Arial" w:cs="Arial"/>
          <w:u w:val="single"/>
        </w:rPr>
        <w:t>OP</w:t>
      </w:r>
      <w:r w:rsidR="00FB022E">
        <w:rPr>
          <w:rFonts w:ascii="Arial" w:hAnsi="Arial" w:cs="Arial"/>
        </w:rPr>
        <w:t xml:space="preserve">, </w:t>
      </w:r>
      <w:r w:rsidR="0079215F" w:rsidRPr="0079215F">
        <w:rPr>
          <w:rFonts w:ascii="Arial" w:hAnsi="Arial" w:cs="Arial"/>
        </w:rPr>
        <w:t xml:space="preserve">since he </w:t>
      </w:r>
      <w:r w:rsidR="0079215F">
        <w:rPr>
          <w:rFonts w:ascii="Arial" w:hAnsi="Arial" w:cs="Arial"/>
        </w:rPr>
        <w:t xml:space="preserve">never </w:t>
      </w:r>
      <w:r w:rsidR="00665A17" w:rsidRPr="0079215F">
        <w:rPr>
          <w:rFonts w:ascii="Arial" w:hAnsi="Arial" w:cs="Arial"/>
        </w:rPr>
        <w:t>complain</w:t>
      </w:r>
      <w:r w:rsidR="00563B69" w:rsidRPr="0079215F">
        <w:rPr>
          <w:rFonts w:ascii="Arial" w:hAnsi="Arial" w:cs="Arial"/>
        </w:rPr>
        <w:t>ed</w:t>
      </w:r>
      <w:r w:rsidR="00665A17" w:rsidRPr="000809BD">
        <w:rPr>
          <w:rFonts w:ascii="Arial" w:hAnsi="Arial" w:cs="Arial"/>
        </w:rPr>
        <w:t xml:space="preserve"> to the Anti-Discrimination Commissioner</w:t>
      </w:r>
      <w:r w:rsidR="0079215F">
        <w:rPr>
          <w:rFonts w:ascii="Arial" w:hAnsi="Arial" w:cs="Arial"/>
        </w:rPr>
        <w:t xml:space="preserve">. It also claimed that </w:t>
      </w:r>
      <w:r w:rsidR="00665A17" w:rsidRPr="000809BD">
        <w:rPr>
          <w:rFonts w:ascii="Arial" w:hAnsi="Arial" w:cs="Arial"/>
        </w:rPr>
        <w:t xml:space="preserve">the author never challenged the Court’s finding that </w:t>
      </w:r>
      <w:r w:rsidR="0079215F">
        <w:rPr>
          <w:rFonts w:ascii="Arial" w:hAnsi="Arial" w:cs="Arial"/>
        </w:rPr>
        <w:t>he</w:t>
      </w:r>
      <w:r w:rsidR="00665A17" w:rsidRPr="000809BD">
        <w:rPr>
          <w:rFonts w:ascii="Arial" w:hAnsi="Arial" w:cs="Arial"/>
        </w:rPr>
        <w:t xml:space="preserve"> was not fit to stand trial</w:t>
      </w:r>
      <w:r w:rsidR="0079215F">
        <w:rPr>
          <w:rFonts w:ascii="Arial" w:hAnsi="Arial" w:cs="Arial"/>
        </w:rPr>
        <w:t xml:space="preserve"> nor com</w:t>
      </w:r>
      <w:r w:rsidR="0079215F" w:rsidRPr="000809BD">
        <w:rPr>
          <w:rFonts w:ascii="Arial" w:hAnsi="Arial" w:cs="Arial"/>
        </w:rPr>
        <w:t xml:space="preserve">plained </w:t>
      </w:r>
      <w:r w:rsidR="0001791C" w:rsidRPr="000809BD">
        <w:rPr>
          <w:rFonts w:ascii="Arial" w:hAnsi="Arial" w:cs="Arial"/>
        </w:rPr>
        <w:t>discrimination</w:t>
      </w:r>
      <w:r w:rsidR="0079215F" w:rsidRPr="000809BD">
        <w:rPr>
          <w:rFonts w:ascii="Arial" w:hAnsi="Arial" w:cs="Arial"/>
        </w:rPr>
        <w:t xml:space="preserve"> under the Anti-Discrimination Act</w:t>
      </w:r>
      <w:r w:rsidR="0079215F">
        <w:rPr>
          <w:rFonts w:ascii="Arial" w:hAnsi="Arial" w:cs="Arial"/>
        </w:rPr>
        <w:t xml:space="preserve"> </w:t>
      </w:r>
      <w:r w:rsidR="00281380">
        <w:rPr>
          <w:rFonts w:ascii="Arial" w:hAnsi="Arial" w:cs="Arial"/>
        </w:rPr>
        <w:t>if he</w:t>
      </w:r>
      <w:r w:rsidR="00665A17" w:rsidRPr="000809BD">
        <w:rPr>
          <w:rFonts w:ascii="Arial" w:hAnsi="Arial" w:cs="Arial"/>
        </w:rPr>
        <w:t xml:space="preserve"> required special accommodation to allow him to exercise his legal capacity. </w:t>
      </w:r>
      <w:r w:rsidR="00281380">
        <w:rPr>
          <w:rFonts w:ascii="Arial" w:hAnsi="Arial" w:cs="Arial"/>
        </w:rPr>
        <w:t>For</w:t>
      </w:r>
      <w:r w:rsidR="00665A17" w:rsidRPr="000809BD">
        <w:rPr>
          <w:rFonts w:ascii="Arial" w:hAnsi="Arial" w:cs="Arial"/>
        </w:rPr>
        <w:t xml:space="preserve"> the State, both findings that the author was subject to supervision and liable for Custodial Supervision Order </w:t>
      </w:r>
      <w:r w:rsidR="00281380">
        <w:rPr>
          <w:rFonts w:ascii="Arial" w:hAnsi="Arial" w:cs="Arial"/>
        </w:rPr>
        <w:t>could have been challenged</w:t>
      </w:r>
      <w:r w:rsidR="00665A17" w:rsidRPr="000809BD">
        <w:rPr>
          <w:rFonts w:ascii="Arial" w:hAnsi="Arial" w:cs="Arial"/>
        </w:rPr>
        <w:t>, but the author’s representative never disputed that the author required a high level of care and supervision</w:t>
      </w:r>
      <w:r w:rsidR="00281380">
        <w:rPr>
          <w:rFonts w:ascii="Arial" w:hAnsi="Arial" w:cs="Arial"/>
        </w:rPr>
        <w:t xml:space="preserve"> requiring</w:t>
      </w:r>
      <w:r w:rsidR="00665A17" w:rsidRPr="000809BD">
        <w:rPr>
          <w:rFonts w:ascii="Arial" w:hAnsi="Arial" w:cs="Arial"/>
        </w:rPr>
        <w:t xml:space="preserve"> accommodation.</w:t>
      </w:r>
      <w:r w:rsidR="00034995">
        <w:rPr>
          <w:rFonts w:ascii="Arial" w:hAnsi="Arial" w:cs="Arial"/>
        </w:rPr>
        <w:t xml:space="preserve"> </w:t>
      </w:r>
      <w:r w:rsidR="00281380">
        <w:rPr>
          <w:rFonts w:ascii="Arial" w:hAnsi="Arial" w:cs="Arial"/>
        </w:rPr>
        <w:t>T</w:t>
      </w:r>
      <w:r w:rsidR="00665A17" w:rsidRPr="000809BD">
        <w:rPr>
          <w:rFonts w:ascii="Arial" w:hAnsi="Arial" w:cs="Arial"/>
        </w:rPr>
        <w:t xml:space="preserve">he State </w:t>
      </w:r>
      <w:r w:rsidR="00281380">
        <w:rPr>
          <w:rFonts w:ascii="Arial" w:hAnsi="Arial" w:cs="Arial"/>
        </w:rPr>
        <w:t xml:space="preserve">further claimed </w:t>
      </w:r>
      <w:r w:rsidR="00665A17" w:rsidRPr="000809BD">
        <w:rPr>
          <w:rFonts w:ascii="Arial" w:hAnsi="Arial" w:cs="Arial"/>
        </w:rPr>
        <w:t xml:space="preserve">that the author’s claim of discrimination in relation to his Aboriginal status </w:t>
      </w:r>
      <w:r w:rsidR="009E27D4">
        <w:rPr>
          <w:rFonts w:ascii="Arial" w:hAnsi="Arial" w:cs="Arial"/>
        </w:rPr>
        <w:t>was</w:t>
      </w:r>
      <w:r w:rsidR="00665A17" w:rsidRPr="000809BD">
        <w:rPr>
          <w:rFonts w:ascii="Arial" w:hAnsi="Arial" w:cs="Arial"/>
        </w:rPr>
        <w:t xml:space="preserve"> inadmissible since the non-discrimination principle under the </w:t>
      </w:r>
      <w:r w:rsidR="009E27D4">
        <w:rPr>
          <w:rFonts w:ascii="Arial" w:hAnsi="Arial" w:cs="Arial"/>
        </w:rPr>
        <w:t>CRPD</w:t>
      </w:r>
      <w:r w:rsidR="00665A17" w:rsidRPr="000809BD">
        <w:rPr>
          <w:rFonts w:ascii="Arial" w:hAnsi="Arial" w:cs="Arial"/>
        </w:rPr>
        <w:t xml:space="preserve"> only </w:t>
      </w:r>
      <w:r w:rsidR="009E27D4">
        <w:rPr>
          <w:rFonts w:ascii="Arial" w:hAnsi="Arial" w:cs="Arial"/>
        </w:rPr>
        <w:t>covers discrimination based on</w:t>
      </w:r>
      <w:r w:rsidR="00665A17" w:rsidRPr="000809BD">
        <w:rPr>
          <w:rFonts w:ascii="Arial" w:hAnsi="Arial" w:cs="Arial"/>
        </w:rPr>
        <w:t xml:space="preserve"> disability.</w:t>
      </w:r>
      <w:r w:rsidR="009E27D4">
        <w:rPr>
          <w:rFonts w:ascii="Arial" w:hAnsi="Arial" w:cs="Arial"/>
        </w:rPr>
        <w:t xml:space="preserve"> It also </w:t>
      </w:r>
      <w:r w:rsidR="00665A17" w:rsidRPr="000809BD">
        <w:rPr>
          <w:rFonts w:ascii="Arial" w:hAnsi="Arial" w:cs="Arial"/>
        </w:rPr>
        <w:t>consider</w:t>
      </w:r>
      <w:r w:rsidR="009E27D4">
        <w:rPr>
          <w:rFonts w:ascii="Arial" w:hAnsi="Arial" w:cs="Arial"/>
        </w:rPr>
        <w:t xml:space="preserve">ed </w:t>
      </w:r>
      <w:r w:rsidR="00665A17" w:rsidRPr="000809BD">
        <w:rPr>
          <w:rFonts w:ascii="Arial" w:hAnsi="Arial" w:cs="Arial"/>
        </w:rPr>
        <w:t xml:space="preserve">that the author </w:t>
      </w:r>
      <w:r w:rsidR="009E27D4">
        <w:rPr>
          <w:rFonts w:ascii="Arial" w:hAnsi="Arial" w:cs="Arial"/>
        </w:rPr>
        <w:t>failed to</w:t>
      </w:r>
      <w:r w:rsidR="00665A17" w:rsidRPr="000809BD">
        <w:rPr>
          <w:rFonts w:ascii="Arial" w:hAnsi="Arial" w:cs="Arial"/>
        </w:rPr>
        <w:t xml:space="preserve"> provide evidence of his rights under article 25 and has </w:t>
      </w:r>
      <w:r w:rsidR="009E27D4">
        <w:rPr>
          <w:rFonts w:ascii="Arial" w:hAnsi="Arial" w:cs="Arial"/>
        </w:rPr>
        <w:t>did</w:t>
      </w:r>
      <w:r w:rsidR="00665A17" w:rsidRPr="000809BD">
        <w:rPr>
          <w:rFonts w:ascii="Arial" w:hAnsi="Arial" w:cs="Arial"/>
        </w:rPr>
        <w:t xml:space="preserve"> substantiated his claims under articles 26 and 28.</w:t>
      </w:r>
    </w:p>
    <w:p w14:paraId="567A3C20" w14:textId="77777777" w:rsidR="00034995" w:rsidRDefault="00CA43EF" w:rsidP="00CC238E">
      <w:pPr>
        <w:spacing w:line="276" w:lineRule="auto"/>
        <w:jc w:val="both"/>
        <w:rPr>
          <w:rFonts w:ascii="Arial" w:hAnsi="Arial" w:cs="Arial"/>
        </w:rPr>
      </w:pPr>
      <w:r w:rsidRPr="000809BD">
        <w:rPr>
          <w:rFonts w:ascii="Arial" w:hAnsi="Arial" w:cs="Arial"/>
          <w:u w:val="single"/>
        </w:rPr>
        <w:t>Regarding</w:t>
      </w:r>
      <w:r w:rsidR="0091037B" w:rsidRPr="000809BD">
        <w:rPr>
          <w:rFonts w:ascii="Arial" w:hAnsi="Arial" w:cs="Arial"/>
          <w:u w:val="single"/>
        </w:rPr>
        <w:t xml:space="preserve"> article 5,</w:t>
      </w:r>
      <w:r w:rsidR="0091037B" w:rsidRPr="000809BD">
        <w:rPr>
          <w:rFonts w:ascii="Arial" w:hAnsi="Arial" w:cs="Arial"/>
        </w:rPr>
        <w:t xml:space="preserve"> the State insist</w:t>
      </w:r>
      <w:r w:rsidR="009E27D4">
        <w:rPr>
          <w:rFonts w:ascii="Arial" w:hAnsi="Arial" w:cs="Arial"/>
        </w:rPr>
        <w:t>ed</w:t>
      </w:r>
      <w:r w:rsidR="0091037B" w:rsidRPr="000809BD">
        <w:rPr>
          <w:rFonts w:ascii="Arial" w:hAnsi="Arial" w:cs="Arial"/>
        </w:rPr>
        <w:t xml:space="preserve"> that the NT Criminal Code does not treat persons differently but provides for the differential treatment of people found “unfit to stand trial.” </w:t>
      </w:r>
      <w:r w:rsidR="009E27D4">
        <w:rPr>
          <w:rFonts w:ascii="Arial" w:hAnsi="Arial" w:cs="Arial"/>
        </w:rPr>
        <w:t>While it admitted that the</w:t>
      </w:r>
      <w:r w:rsidR="0091037B" w:rsidRPr="000809BD">
        <w:rPr>
          <w:rFonts w:ascii="Arial" w:hAnsi="Arial" w:cs="Arial"/>
        </w:rPr>
        <w:t xml:space="preserve"> Code is likely to disproportionately affect those who meet</w:t>
      </w:r>
      <w:r w:rsidR="009E27D4">
        <w:rPr>
          <w:rFonts w:ascii="Arial" w:hAnsi="Arial" w:cs="Arial"/>
        </w:rPr>
        <w:t xml:space="preserve"> </w:t>
      </w:r>
      <w:r w:rsidR="0091037B" w:rsidRPr="000809BD">
        <w:rPr>
          <w:rFonts w:ascii="Arial" w:hAnsi="Arial" w:cs="Arial"/>
        </w:rPr>
        <w:t>disability</w:t>
      </w:r>
      <w:r w:rsidR="009E27D4">
        <w:rPr>
          <w:rFonts w:ascii="Arial" w:hAnsi="Arial" w:cs="Arial"/>
        </w:rPr>
        <w:t xml:space="preserve"> criteria</w:t>
      </w:r>
      <w:r w:rsidR="0091037B" w:rsidRPr="000809BD">
        <w:rPr>
          <w:rFonts w:ascii="Arial" w:hAnsi="Arial" w:cs="Arial"/>
        </w:rPr>
        <w:t>, such differential treatment is legitimate under international law</w:t>
      </w:r>
      <w:r w:rsidR="009E27D4">
        <w:rPr>
          <w:rFonts w:ascii="Arial" w:hAnsi="Arial" w:cs="Arial"/>
        </w:rPr>
        <w:t xml:space="preserve"> and </w:t>
      </w:r>
      <w:r w:rsidR="0091037B" w:rsidRPr="000809BD">
        <w:rPr>
          <w:rFonts w:ascii="Arial" w:hAnsi="Arial" w:cs="Arial"/>
        </w:rPr>
        <w:t>Article 5 should be interpreted</w:t>
      </w:r>
      <w:r w:rsidR="009E27D4">
        <w:rPr>
          <w:rFonts w:ascii="Arial" w:hAnsi="Arial" w:cs="Arial"/>
        </w:rPr>
        <w:t xml:space="preserve"> accordingly</w:t>
      </w:r>
      <w:r w:rsidR="0091037B" w:rsidRPr="000809BD">
        <w:rPr>
          <w:rFonts w:ascii="Arial" w:hAnsi="Arial" w:cs="Arial"/>
        </w:rPr>
        <w:t xml:space="preserve">. </w:t>
      </w:r>
    </w:p>
    <w:p w14:paraId="5547B015" w14:textId="30A64B09" w:rsidR="003C7C08" w:rsidRDefault="00E143C6" w:rsidP="00CC238E">
      <w:pPr>
        <w:spacing w:line="276" w:lineRule="auto"/>
        <w:jc w:val="both"/>
        <w:rPr>
          <w:rFonts w:ascii="Arial" w:hAnsi="Arial" w:cs="Arial"/>
        </w:rPr>
      </w:pPr>
      <w:r>
        <w:rPr>
          <w:rFonts w:ascii="Arial" w:hAnsi="Arial" w:cs="Arial"/>
          <w:u w:val="single"/>
        </w:rPr>
        <w:t>Regarding</w:t>
      </w:r>
      <w:r w:rsidR="0091037B" w:rsidRPr="000809BD">
        <w:rPr>
          <w:rFonts w:ascii="Arial" w:hAnsi="Arial" w:cs="Arial"/>
          <w:u w:val="single"/>
        </w:rPr>
        <w:t xml:space="preserve"> article 12</w:t>
      </w:r>
      <w:r w:rsidR="0091037B" w:rsidRPr="000809BD">
        <w:rPr>
          <w:rFonts w:ascii="Arial" w:hAnsi="Arial" w:cs="Arial"/>
        </w:rPr>
        <w:t xml:space="preserve">, the </w:t>
      </w:r>
      <w:r w:rsidR="009E27D4">
        <w:rPr>
          <w:rFonts w:ascii="Arial" w:hAnsi="Arial" w:cs="Arial"/>
        </w:rPr>
        <w:t>S</w:t>
      </w:r>
      <w:r w:rsidR="0091037B" w:rsidRPr="000809BD">
        <w:rPr>
          <w:rFonts w:ascii="Arial" w:hAnsi="Arial" w:cs="Arial"/>
        </w:rPr>
        <w:t>tate consider</w:t>
      </w:r>
      <w:r w:rsidR="00C67F46">
        <w:rPr>
          <w:rFonts w:ascii="Arial" w:hAnsi="Arial" w:cs="Arial"/>
        </w:rPr>
        <w:t>ed</w:t>
      </w:r>
      <w:r w:rsidR="0091037B" w:rsidRPr="000809BD">
        <w:rPr>
          <w:rFonts w:ascii="Arial" w:hAnsi="Arial" w:cs="Arial"/>
        </w:rPr>
        <w:t xml:space="preserve"> </w:t>
      </w:r>
      <w:r w:rsidR="009E27D4">
        <w:rPr>
          <w:rFonts w:ascii="Arial" w:hAnsi="Arial" w:cs="Arial"/>
        </w:rPr>
        <w:t>that</w:t>
      </w:r>
      <w:r w:rsidR="0091037B" w:rsidRPr="000809BD">
        <w:rPr>
          <w:rFonts w:ascii="Arial" w:hAnsi="Arial" w:cs="Arial"/>
        </w:rPr>
        <w:t xml:space="preserve"> author </w:t>
      </w:r>
      <w:r w:rsidR="009E27D4">
        <w:rPr>
          <w:rFonts w:ascii="Arial" w:hAnsi="Arial" w:cs="Arial"/>
        </w:rPr>
        <w:t>did</w:t>
      </w:r>
      <w:r w:rsidR="0091037B" w:rsidRPr="000809BD">
        <w:rPr>
          <w:rFonts w:ascii="Arial" w:hAnsi="Arial" w:cs="Arial"/>
        </w:rPr>
        <w:t xml:space="preserve"> not provided information on </w:t>
      </w:r>
      <w:r w:rsidR="009E27D4">
        <w:rPr>
          <w:rFonts w:ascii="Arial" w:hAnsi="Arial" w:cs="Arial"/>
        </w:rPr>
        <w:t>the</w:t>
      </w:r>
      <w:r w:rsidR="0091037B" w:rsidRPr="000809BD">
        <w:rPr>
          <w:rFonts w:ascii="Arial" w:hAnsi="Arial" w:cs="Arial"/>
        </w:rPr>
        <w:t xml:space="preserve"> measures he required</w:t>
      </w:r>
      <w:r w:rsidR="009E27D4">
        <w:rPr>
          <w:rFonts w:ascii="Arial" w:hAnsi="Arial" w:cs="Arial"/>
        </w:rPr>
        <w:t xml:space="preserve"> </w:t>
      </w:r>
      <w:r w:rsidR="0091037B" w:rsidRPr="000809BD">
        <w:rPr>
          <w:rFonts w:ascii="Arial" w:hAnsi="Arial" w:cs="Arial"/>
        </w:rPr>
        <w:t xml:space="preserve">to exercise legal capacity. </w:t>
      </w:r>
      <w:r w:rsidR="009E27D4">
        <w:rPr>
          <w:rFonts w:ascii="Arial" w:hAnsi="Arial" w:cs="Arial"/>
        </w:rPr>
        <w:t>It claimed that t</w:t>
      </w:r>
      <w:r w:rsidR="0091037B" w:rsidRPr="000809BD">
        <w:rPr>
          <w:rFonts w:ascii="Arial" w:hAnsi="Arial" w:cs="Arial"/>
        </w:rPr>
        <w:t xml:space="preserve">he </w:t>
      </w:r>
      <w:r w:rsidR="009E27D4">
        <w:rPr>
          <w:rFonts w:ascii="Arial" w:hAnsi="Arial" w:cs="Arial"/>
        </w:rPr>
        <w:t>NT</w:t>
      </w:r>
      <w:r w:rsidR="0091037B" w:rsidRPr="000809BD">
        <w:rPr>
          <w:rFonts w:ascii="Arial" w:hAnsi="Arial" w:cs="Arial"/>
        </w:rPr>
        <w:t xml:space="preserve"> justice system provides </w:t>
      </w:r>
      <w:r w:rsidR="009E27D4">
        <w:rPr>
          <w:rFonts w:ascii="Arial" w:hAnsi="Arial" w:cs="Arial"/>
        </w:rPr>
        <w:t>equal access</w:t>
      </w:r>
      <w:r w:rsidR="0091037B" w:rsidRPr="000809BD">
        <w:rPr>
          <w:rFonts w:ascii="Arial" w:hAnsi="Arial" w:cs="Arial"/>
        </w:rPr>
        <w:t xml:space="preserve"> to services, buildings</w:t>
      </w:r>
      <w:r w:rsidR="009E27D4">
        <w:rPr>
          <w:rFonts w:ascii="Arial" w:hAnsi="Arial" w:cs="Arial"/>
        </w:rPr>
        <w:t>, and information</w:t>
      </w:r>
      <w:r w:rsidR="0091037B" w:rsidRPr="000809BD">
        <w:rPr>
          <w:rFonts w:ascii="Arial" w:hAnsi="Arial" w:cs="Arial"/>
        </w:rPr>
        <w:t xml:space="preserve">, </w:t>
      </w:r>
      <w:r w:rsidR="009E27D4">
        <w:rPr>
          <w:rFonts w:ascii="Arial" w:hAnsi="Arial" w:cs="Arial"/>
        </w:rPr>
        <w:t>together with</w:t>
      </w:r>
      <w:r w:rsidR="0091037B" w:rsidRPr="000809BD">
        <w:rPr>
          <w:rFonts w:ascii="Arial" w:hAnsi="Arial" w:cs="Arial"/>
        </w:rPr>
        <w:t xml:space="preserve"> the opportunity </w:t>
      </w:r>
      <w:r w:rsidR="009E27D4">
        <w:rPr>
          <w:rFonts w:ascii="Arial" w:hAnsi="Arial" w:cs="Arial"/>
        </w:rPr>
        <w:t>of</w:t>
      </w:r>
      <w:r w:rsidR="0091037B" w:rsidRPr="000809BD">
        <w:rPr>
          <w:rFonts w:ascii="Arial" w:hAnsi="Arial" w:cs="Arial"/>
        </w:rPr>
        <w:t xml:space="preserve"> mak</w:t>
      </w:r>
      <w:r w:rsidR="009E27D4">
        <w:rPr>
          <w:rFonts w:ascii="Arial" w:hAnsi="Arial" w:cs="Arial"/>
        </w:rPr>
        <w:t>ing complaints</w:t>
      </w:r>
      <w:r w:rsidR="0091037B" w:rsidRPr="000809BD">
        <w:rPr>
          <w:rFonts w:ascii="Arial" w:hAnsi="Arial" w:cs="Arial"/>
        </w:rPr>
        <w:t>.</w:t>
      </w:r>
      <w:r w:rsidR="00034995">
        <w:rPr>
          <w:rFonts w:ascii="Arial" w:hAnsi="Arial" w:cs="Arial"/>
        </w:rPr>
        <w:t xml:space="preserve"> </w:t>
      </w:r>
      <w:r w:rsidR="009E27D4">
        <w:rPr>
          <w:rFonts w:ascii="Arial" w:hAnsi="Arial" w:cs="Arial"/>
        </w:rPr>
        <w:t xml:space="preserve">For </w:t>
      </w:r>
      <w:r w:rsidR="0091037B" w:rsidRPr="000809BD">
        <w:rPr>
          <w:rFonts w:ascii="Arial" w:hAnsi="Arial" w:cs="Arial"/>
        </w:rPr>
        <w:t xml:space="preserve">the State, </w:t>
      </w:r>
      <w:r w:rsidR="0091037B" w:rsidRPr="000809BD">
        <w:rPr>
          <w:rFonts w:ascii="Arial" w:hAnsi="Arial" w:cs="Arial"/>
          <w:u w:val="single"/>
        </w:rPr>
        <w:t xml:space="preserve">the rights </w:t>
      </w:r>
      <w:r w:rsidR="009E27D4">
        <w:rPr>
          <w:rFonts w:ascii="Arial" w:hAnsi="Arial" w:cs="Arial"/>
          <w:u w:val="single"/>
        </w:rPr>
        <w:t>of</w:t>
      </w:r>
      <w:r w:rsidR="0091037B" w:rsidRPr="000809BD">
        <w:rPr>
          <w:rFonts w:ascii="Arial" w:hAnsi="Arial" w:cs="Arial"/>
          <w:u w:val="single"/>
        </w:rPr>
        <w:t xml:space="preserve"> article 13 </w:t>
      </w:r>
      <w:r w:rsidR="009E27D4">
        <w:rPr>
          <w:rFonts w:ascii="Arial" w:hAnsi="Arial" w:cs="Arial"/>
          <w:u w:val="single"/>
        </w:rPr>
        <w:t>had also</w:t>
      </w:r>
      <w:r w:rsidR="0091037B" w:rsidRPr="000809BD">
        <w:rPr>
          <w:rFonts w:ascii="Arial" w:hAnsi="Arial" w:cs="Arial"/>
          <w:u w:val="single"/>
        </w:rPr>
        <w:t xml:space="preserve"> been </w:t>
      </w:r>
      <w:r>
        <w:rPr>
          <w:rFonts w:ascii="Arial" w:hAnsi="Arial" w:cs="Arial"/>
          <w:u w:val="single"/>
        </w:rPr>
        <w:t>ensured</w:t>
      </w:r>
      <w:r w:rsidR="0091037B" w:rsidRPr="000809BD">
        <w:rPr>
          <w:rFonts w:ascii="Arial" w:hAnsi="Arial" w:cs="Arial"/>
          <w:u w:val="single"/>
        </w:rPr>
        <w:t xml:space="preserve"> to the author</w:t>
      </w:r>
      <w:r w:rsidR="009E27D4">
        <w:rPr>
          <w:rFonts w:ascii="Arial" w:hAnsi="Arial" w:cs="Arial"/>
        </w:rPr>
        <w:t xml:space="preserve"> </w:t>
      </w:r>
      <w:r>
        <w:rPr>
          <w:rFonts w:ascii="Arial" w:hAnsi="Arial" w:cs="Arial"/>
        </w:rPr>
        <w:t>as a</w:t>
      </w:r>
      <w:r w:rsidR="0091037B" w:rsidRPr="000809BD">
        <w:rPr>
          <w:rFonts w:ascii="Arial" w:hAnsi="Arial" w:cs="Arial"/>
        </w:rPr>
        <w:t xml:space="preserve"> </w:t>
      </w:r>
      <w:r>
        <w:rPr>
          <w:rFonts w:ascii="Arial" w:hAnsi="Arial" w:cs="Arial"/>
        </w:rPr>
        <w:t>legal</w:t>
      </w:r>
      <w:r w:rsidR="0001791C" w:rsidRPr="000809BD">
        <w:rPr>
          <w:rFonts w:ascii="Arial" w:hAnsi="Arial" w:cs="Arial"/>
        </w:rPr>
        <w:t xml:space="preserve"> counsel legally represented him</w:t>
      </w:r>
      <w:r w:rsidR="0091037B" w:rsidRPr="000809BD">
        <w:rPr>
          <w:rFonts w:ascii="Arial" w:hAnsi="Arial" w:cs="Arial"/>
        </w:rPr>
        <w:t xml:space="preserve"> </w:t>
      </w:r>
      <w:r w:rsidR="0001791C" w:rsidRPr="000809BD">
        <w:rPr>
          <w:rFonts w:ascii="Arial" w:hAnsi="Arial" w:cs="Arial"/>
        </w:rPr>
        <w:t xml:space="preserve">throughout proceedings </w:t>
      </w:r>
      <w:r w:rsidR="0091037B" w:rsidRPr="000809BD">
        <w:rPr>
          <w:rFonts w:ascii="Arial" w:hAnsi="Arial" w:cs="Arial"/>
        </w:rPr>
        <w:t xml:space="preserve">and </w:t>
      </w:r>
      <w:r w:rsidR="0001791C">
        <w:rPr>
          <w:rFonts w:ascii="Arial" w:hAnsi="Arial" w:cs="Arial"/>
        </w:rPr>
        <w:t xml:space="preserve">he </w:t>
      </w:r>
      <w:r w:rsidR="0091037B" w:rsidRPr="000809BD">
        <w:rPr>
          <w:rFonts w:ascii="Arial" w:hAnsi="Arial" w:cs="Arial"/>
        </w:rPr>
        <w:t>had guardian appointed on his behalf.</w:t>
      </w:r>
    </w:p>
    <w:p w14:paraId="1CA84A2F" w14:textId="4932BF18" w:rsidR="003C7C08" w:rsidRDefault="00C67F46" w:rsidP="00CC238E">
      <w:pPr>
        <w:spacing w:line="276" w:lineRule="auto"/>
        <w:jc w:val="both"/>
        <w:rPr>
          <w:rFonts w:ascii="Arial" w:hAnsi="Arial" w:cs="Arial"/>
        </w:rPr>
      </w:pPr>
      <w:r w:rsidRPr="000809BD">
        <w:rPr>
          <w:rFonts w:ascii="Arial" w:hAnsi="Arial" w:cs="Arial"/>
        </w:rPr>
        <w:t>Regarding</w:t>
      </w:r>
      <w:r>
        <w:rPr>
          <w:rFonts w:ascii="Arial" w:hAnsi="Arial" w:cs="Arial"/>
        </w:rPr>
        <w:t xml:space="preserve"> </w:t>
      </w:r>
      <w:r w:rsidR="0091037B" w:rsidRPr="000809BD">
        <w:rPr>
          <w:rFonts w:ascii="Arial" w:hAnsi="Arial" w:cs="Arial"/>
          <w:u w:val="single"/>
        </w:rPr>
        <w:t>Article 14</w:t>
      </w:r>
      <w:r w:rsidR="0091037B" w:rsidRPr="000809BD">
        <w:rPr>
          <w:rFonts w:ascii="Arial" w:hAnsi="Arial" w:cs="Arial"/>
        </w:rPr>
        <w:t>, the State agree</w:t>
      </w:r>
      <w:r>
        <w:rPr>
          <w:rFonts w:ascii="Arial" w:hAnsi="Arial" w:cs="Arial"/>
        </w:rPr>
        <w:t>d</w:t>
      </w:r>
      <w:r w:rsidR="0091037B" w:rsidRPr="000809BD">
        <w:rPr>
          <w:rFonts w:ascii="Arial" w:hAnsi="Arial" w:cs="Arial"/>
        </w:rPr>
        <w:t xml:space="preserve"> that detention </w:t>
      </w:r>
      <w:r w:rsidRPr="000809BD">
        <w:rPr>
          <w:rFonts w:ascii="Arial" w:hAnsi="Arial" w:cs="Arial"/>
        </w:rPr>
        <w:t>based on</w:t>
      </w:r>
      <w:r w:rsidR="0091037B" w:rsidRPr="000809BD">
        <w:rPr>
          <w:rFonts w:ascii="Arial" w:hAnsi="Arial" w:cs="Arial"/>
        </w:rPr>
        <w:t xml:space="preserve"> disability alone would be contrary to the Convention, but not in relation to the author’s </w:t>
      </w:r>
      <w:r>
        <w:rPr>
          <w:rFonts w:ascii="Arial" w:hAnsi="Arial" w:cs="Arial"/>
        </w:rPr>
        <w:t xml:space="preserve">special </w:t>
      </w:r>
      <w:r w:rsidR="0091037B" w:rsidRPr="000809BD">
        <w:rPr>
          <w:rFonts w:ascii="Arial" w:hAnsi="Arial" w:cs="Arial"/>
        </w:rPr>
        <w:t xml:space="preserve">circumstances. It </w:t>
      </w:r>
      <w:r w:rsidR="0091037B" w:rsidRPr="000809BD">
        <w:rPr>
          <w:rFonts w:ascii="Arial" w:hAnsi="Arial" w:cs="Arial"/>
        </w:rPr>
        <w:lastRenderedPageBreak/>
        <w:t>insist</w:t>
      </w:r>
      <w:r>
        <w:rPr>
          <w:rFonts w:ascii="Arial" w:hAnsi="Arial" w:cs="Arial"/>
        </w:rPr>
        <w:t>ed</w:t>
      </w:r>
      <w:r w:rsidR="0091037B" w:rsidRPr="000809BD">
        <w:rPr>
          <w:rFonts w:ascii="Arial" w:hAnsi="Arial" w:cs="Arial"/>
        </w:rPr>
        <w:t xml:space="preserve"> that article 14 should be interpreted consistently with</w:t>
      </w:r>
      <w:r w:rsidR="00563B69" w:rsidRPr="000809BD">
        <w:rPr>
          <w:rFonts w:ascii="Arial" w:hAnsi="Arial" w:cs="Arial"/>
        </w:rPr>
        <w:t xml:space="preserve"> the</w:t>
      </w:r>
      <w:r w:rsidR="0091037B" w:rsidRPr="000809BD">
        <w:rPr>
          <w:rFonts w:ascii="Arial" w:hAnsi="Arial" w:cs="Arial"/>
        </w:rPr>
        <w:t xml:space="preserve"> International Covenant on Civil and Political Right</w:t>
      </w:r>
      <w:r>
        <w:rPr>
          <w:rFonts w:ascii="Arial" w:hAnsi="Arial" w:cs="Arial"/>
        </w:rPr>
        <w:t>s</w:t>
      </w:r>
      <w:r w:rsidR="00066E22">
        <w:rPr>
          <w:rFonts w:ascii="Arial" w:hAnsi="Arial" w:cs="Arial"/>
        </w:rPr>
        <w:t>. While the</w:t>
      </w:r>
      <w:r w:rsidR="0091037B" w:rsidRPr="000809BD">
        <w:rPr>
          <w:rFonts w:ascii="Arial" w:hAnsi="Arial" w:cs="Arial"/>
        </w:rPr>
        <w:t xml:space="preserve"> State accepts persons with cognitive impairments are more likely to </w:t>
      </w:r>
      <w:r w:rsidR="003F1017">
        <w:rPr>
          <w:rFonts w:ascii="Arial" w:hAnsi="Arial" w:cs="Arial"/>
        </w:rPr>
        <w:t>suffer</w:t>
      </w:r>
      <w:r w:rsidR="0091037B" w:rsidRPr="000809BD">
        <w:rPr>
          <w:rFonts w:ascii="Arial" w:hAnsi="Arial" w:cs="Arial"/>
        </w:rPr>
        <w:t xml:space="preserve"> </w:t>
      </w:r>
      <w:r w:rsidR="003F1017">
        <w:rPr>
          <w:rFonts w:ascii="Arial" w:hAnsi="Arial" w:cs="Arial"/>
        </w:rPr>
        <w:t xml:space="preserve">from </w:t>
      </w:r>
      <w:r w:rsidR="0091037B" w:rsidRPr="000809BD">
        <w:rPr>
          <w:rFonts w:ascii="Arial" w:hAnsi="Arial" w:cs="Arial"/>
        </w:rPr>
        <w:t>Custodial Supervision Orde</w:t>
      </w:r>
      <w:r w:rsidR="003F1017">
        <w:rPr>
          <w:rFonts w:ascii="Arial" w:hAnsi="Arial" w:cs="Arial"/>
        </w:rPr>
        <w:t xml:space="preserve">rs, this was a </w:t>
      </w:r>
      <w:r w:rsidR="003F1017" w:rsidRPr="000809BD">
        <w:rPr>
          <w:rFonts w:ascii="Arial" w:hAnsi="Arial" w:cs="Arial"/>
        </w:rPr>
        <w:t xml:space="preserve">legitimate differential treatment for </w:t>
      </w:r>
      <w:r w:rsidR="003F1017">
        <w:rPr>
          <w:rFonts w:ascii="Arial" w:hAnsi="Arial" w:cs="Arial"/>
        </w:rPr>
        <w:t>specific</w:t>
      </w:r>
      <w:r w:rsidR="003F1017" w:rsidRPr="000809BD">
        <w:rPr>
          <w:rFonts w:ascii="Arial" w:hAnsi="Arial" w:cs="Arial"/>
        </w:rPr>
        <w:t xml:space="preserve"> persons with disabilities </w:t>
      </w:r>
      <w:r w:rsidR="003F1017">
        <w:rPr>
          <w:rFonts w:ascii="Arial" w:hAnsi="Arial" w:cs="Arial"/>
        </w:rPr>
        <w:t xml:space="preserve">such as </w:t>
      </w:r>
      <w:r w:rsidR="0091037B" w:rsidRPr="000809BD">
        <w:rPr>
          <w:rFonts w:ascii="Arial" w:hAnsi="Arial" w:cs="Arial"/>
        </w:rPr>
        <w:t xml:space="preserve">Indigenous persons </w:t>
      </w:r>
      <w:r w:rsidR="003F1017">
        <w:rPr>
          <w:rFonts w:ascii="Arial" w:hAnsi="Arial" w:cs="Arial"/>
        </w:rPr>
        <w:t>since</w:t>
      </w:r>
      <w:r w:rsidR="0091037B" w:rsidRPr="000809BD">
        <w:rPr>
          <w:rFonts w:ascii="Arial" w:hAnsi="Arial" w:cs="Arial"/>
        </w:rPr>
        <w:t xml:space="preserve"> there is no other practicable alternative</w:t>
      </w:r>
      <w:r w:rsidR="003F1017">
        <w:rPr>
          <w:rFonts w:ascii="Arial" w:hAnsi="Arial" w:cs="Arial"/>
        </w:rPr>
        <w:t xml:space="preserve"> for them</w:t>
      </w:r>
      <w:r w:rsidR="0091037B" w:rsidRPr="000809BD">
        <w:rPr>
          <w:rFonts w:ascii="Arial" w:hAnsi="Arial" w:cs="Arial"/>
        </w:rPr>
        <w:t xml:space="preserve"> which will ensure the</w:t>
      </w:r>
      <w:r w:rsidR="003F1017">
        <w:rPr>
          <w:rFonts w:ascii="Arial" w:hAnsi="Arial" w:cs="Arial"/>
        </w:rPr>
        <w:t>ir</w:t>
      </w:r>
      <w:r w:rsidR="0091037B" w:rsidRPr="000809BD">
        <w:rPr>
          <w:rFonts w:ascii="Arial" w:hAnsi="Arial" w:cs="Arial"/>
        </w:rPr>
        <w:t xml:space="preserve"> safety or the safety of the rest of the community.</w:t>
      </w:r>
      <w:r w:rsidR="003F1017">
        <w:rPr>
          <w:rFonts w:ascii="Arial" w:hAnsi="Arial" w:cs="Arial"/>
        </w:rPr>
        <w:t xml:space="preserve"> </w:t>
      </w:r>
      <w:r w:rsidR="0091037B" w:rsidRPr="000809BD">
        <w:rPr>
          <w:rFonts w:ascii="Arial" w:hAnsi="Arial" w:cs="Arial"/>
        </w:rPr>
        <w:t>Moreover, according to the State, the prohibition against arbitrary detention does not mean that persons with disability, cannot be detained at all or cannot be made subject to indefinite custody orders where</w:t>
      </w:r>
      <w:r w:rsidR="003F1017">
        <w:rPr>
          <w:rFonts w:ascii="Arial" w:hAnsi="Arial" w:cs="Arial"/>
        </w:rPr>
        <w:t xml:space="preserve"> such detention</w:t>
      </w:r>
      <w:r w:rsidR="0091037B" w:rsidRPr="000809BD">
        <w:rPr>
          <w:rFonts w:ascii="Arial" w:hAnsi="Arial" w:cs="Arial"/>
        </w:rPr>
        <w:t xml:space="preserve"> is based on sound, objective justifications and supported by appropriate safeguards</w:t>
      </w:r>
      <w:r w:rsidR="003F1017">
        <w:rPr>
          <w:rFonts w:ascii="Arial" w:hAnsi="Arial" w:cs="Arial"/>
        </w:rPr>
        <w:t>.</w:t>
      </w:r>
    </w:p>
    <w:p w14:paraId="6483E9D3" w14:textId="3AD9C958" w:rsidR="00034995" w:rsidRPr="009355C4" w:rsidRDefault="0091037B" w:rsidP="00CC238E">
      <w:pPr>
        <w:spacing w:line="276" w:lineRule="auto"/>
        <w:jc w:val="both"/>
        <w:rPr>
          <w:rFonts w:ascii="Arial" w:hAnsi="Arial" w:cs="Arial"/>
        </w:rPr>
      </w:pPr>
      <w:r w:rsidRPr="000809BD">
        <w:rPr>
          <w:rFonts w:ascii="Arial" w:hAnsi="Arial" w:cs="Arial"/>
          <w:u w:val="single"/>
        </w:rPr>
        <w:t xml:space="preserve">As </w:t>
      </w:r>
      <w:r w:rsidR="003F1017">
        <w:rPr>
          <w:rFonts w:ascii="Arial" w:hAnsi="Arial" w:cs="Arial"/>
          <w:u w:val="single"/>
        </w:rPr>
        <w:t xml:space="preserve">to </w:t>
      </w:r>
      <w:r w:rsidRPr="000809BD">
        <w:rPr>
          <w:rFonts w:ascii="Arial" w:hAnsi="Arial" w:cs="Arial"/>
          <w:u w:val="single"/>
        </w:rPr>
        <w:t>the violation of article 15,</w:t>
      </w:r>
      <w:r w:rsidRPr="000809BD">
        <w:rPr>
          <w:rFonts w:ascii="Arial" w:hAnsi="Arial" w:cs="Arial"/>
        </w:rPr>
        <w:t xml:space="preserve"> the State </w:t>
      </w:r>
      <w:r w:rsidR="003F1017">
        <w:rPr>
          <w:rFonts w:ascii="Arial" w:hAnsi="Arial" w:cs="Arial"/>
        </w:rPr>
        <w:t>considers</w:t>
      </w:r>
      <w:r w:rsidRPr="000809BD">
        <w:rPr>
          <w:rFonts w:ascii="Arial" w:hAnsi="Arial" w:cs="Arial"/>
        </w:rPr>
        <w:t xml:space="preserve"> that</w:t>
      </w:r>
      <w:r w:rsidR="003F1017">
        <w:rPr>
          <w:rFonts w:ascii="Arial" w:hAnsi="Arial" w:cs="Arial"/>
        </w:rPr>
        <w:t>, while it</w:t>
      </w:r>
      <w:r w:rsidRPr="000809BD">
        <w:rPr>
          <w:rFonts w:ascii="Arial" w:hAnsi="Arial" w:cs="Arial"/>
        </w:rPr>
        <w:t xml:space="preserve"> is undesirable for persons who are not accused to be detained in correctional centres, exceptional circumstances </w:t>
      </w:r>
      <w:r w:rsidR="003F1017">
        <w:rPr>
          <w:rFonts w:ascii="Arial" w:hAnsi="Arial" w:cs="Arial"/>
        </w:rPr>
        <w:t>may</w:t>
      </w:r>
      <w:r w:rsidRPr="000809BD">
        <w:rPr>
          <w:rFonts w:ascii="Arial" w:hAnsi="Arial" w:cs="Arial"/>
        </w:rPr>
        <w:t xml:space="preserve"> warrant detention as the</w:t>
      </w:r>
      <w:r w:rsidR="003F1017">
        <w:rPr>
          <w:rFonts w:ascii="Arial" w:hAnsi="Arial" w:cs="Arial"/>
        </w:rPr>
        <w:t>re is an</w:t>
      </w:r>
      <w:r w:rsidRPr="000809BD">
        <w:rPr>
          <w:rFonts w:ascii="Arial" w:hAnsi="Arial" w:cs="Arial"/>
        </w:rPr>
        <w:t xml:space="preserve"> unavailability of places in specialised facilities. </w:t>
      </w:r>
      <w:r w:rsidR="003F1017">
        <w:rPr>
          <w:rFonts w:ascii="Arial" w:hAnsi="Arial" w:cs="Arial"/>
        </w:rPr>
        <w:t>It held that</w:t>
      </w:r>
      <w:r w:rsidRPr="000809BD">
        <w:rPr>
          <w:rFonts w:ascii="Arial" w:hAnsi="Arial" w:cs="Arial"/>
        </w:rPr>
        <w:t xml:space="preserve"> the author did not</w:t>
      </w:r>
      <w:r w:rsidR="003F1017">
        <w:rPr>
          <w:rFonts w:ascii="Arial" w:hAnsi="Arial" w:cs="Arial"/>
        </w:rPr>
        <w:t xml:space="preserve"> prove that</w:t>
      </w:r>
      <w:r w:rsidRPr="000809BD">
        <w:rPr>
          <w:rFonts w:ascii="Arial" w:hAnsi="Arial" w:cs="Arial"/>
        </w:rPr>
        <w:t xml:space="preserve"> the decline in his condition </w:t>
      </w:r>
      <w:r w:rsidR="003F1017">
        <w:rPr>
          <w:rFonts w:ascii="Arial" w:hAnsi="Arial" w:cs="Arial"/>
        </w:rPr>
        <w:t>was</w:t>
      </w:r>
      <w:r w:rsidRPr="000809BD">
        <w:rPr>
          <w:rFonts w:ascii="Arial" w:hAnsi="Arial" w:cs="Arial"/>
        </w:rPr>
        <w:t xml:space="preserve"> caused by the care received </w:t>
      </w:r>
      <w:r w:rsidR="003F1017">
        <w:rPr>
          <w:rFonts w:ascii="Arial" w:hAnsi="Arial" w:cs="Arial"/>
        </w:rPr>
        <w:t>and that evidence</w:t>
      </w:r>
      <w:r w:rsidR="003F1017" w:rsidRPr="000809BD">
        <w:rPr>
          <w:rFonts w:ascii="Arial" w:hAnsi="Arial" w:cs="Arial"/>
        </w:rPr>
        <w:t xml:space="preserve"> from psychologists suggest</w:t>
      </w:r>
      <w:r w:rsidR="003F1017">
        <w:rPr>
          <w:rFonts w:ascii="Arial" w:hAnsi="Arial" w:cs="Arial"/>
        </w:rPr>
        <w:t>ed</w:t>
      </w:r>
      <w:r w:rsidR="003F1017" w:rsidRPr="000809BD">
        <w:rPr>
          <w:rFonts w:ascii="Arial" w:hAnsi="Arial" w:cs="Arial"/>
        </w:rPr>
        <w:t xml:space="preserve"> that constant care was necessary to support </w:t>
      </w:r>
      <w:r w:rsidR="00682C77">
        <w:rPr>
          <w:rFonts w:ascii="Arial" w:hAnsi="Arial" w:cs="Arial"/>
        </w:rPr>
        <w:t>him</w:t>
      </w:r>
      <w:r w:rsidR="003F1017">
        <w:rPr>
          <w:rFonts w:ascii="Arial" w:hAnsi="Arial" w:cs="Arial"/>
        </w:rPr>
        <w:t xml:space="preserve">. It argued that the fact that </w:t>
      </w:r>
      <w:r w:rsidR="00682C77">
        <w:rPr>
          <w:rFonts w:ascii="Arial" w:hAnsi="Arial" w:cs="Arial"/>
        </w:rPr>
        <w:t xml:space="preserve">he </w:t>
      </w:r>
      <w:r w:rsidRPr="000809BD">
        <w:rPr>
          <w:rFonts w:ascii="Arial" w:hAnsi="Arial" w:cs="Arial"/>
        </w:rPr>
        <w:t xml:space="preserve">was not </w:t>
      </w:r>
      <w:r w:rsidR="003F1017" w:rsidRPr="000809BD">
        <w:rPr>
          <w:rFonts w:ascii="Arial" w:hAnsi="Arial" w:cs="Arial"/>
        </w:rPr>
        <w:t>always separated</w:t>
      </w:r>
      <w:r w:rsidRPr="000809BD">
        <w:rPr>
          <w:rFonts w:ascii="Arial" w:hAnsi="Arial" w:cs="Arial"/>
        </w:rPr>
        <w:t xml:space="preserve"> from </w:t>
      </w:r>
      <w:r w:rsidR="003F1017">
        <w:rPr>
          <w:rFonts w:ascii="Arial" w:hAnsi="Arial" w:cs="Arial"/>
        </w:rPr>
        <w:t xml:space="preserve">persons </w:t>
      </w:r>
      <w:r w:rsidRPr="000809BD">
        <w:rPr>
          <w:rFonts w:ascii="Arial" w:hAnsi="Arial" w:cs="Arial"/>
        </w:rPr>
        <w:t>convicted d</w:t>
      </w:r>
      <w:r w:rsidR="003F1017">
        <w:rPr>
          <w:rFonts w:ascii="Arial" w:hAnsi="Arial" w:cs="Arial"/>
        </w:rPr>
        <w:t xml:space="preserve">id </w:t>
      </w:r>
      <w:r w:rsidRPr="000809BD">
        <w:rPr>
          <w:rFonts w:ascii="Arial" w:hAnsi="Arial" w:cs="Arial"/>
        </w:rPr>
        <w:t>not violat</w:t>
      </w:r>
      <w:r w:rsidR="0045693A">
        <w:rPr>
          <w:rFonts w:ascii="Arial" w:hAnsi="Arial" w:cs="Arial"/>
        </w:rPr>
        <w:t>e</w:t>
      </w:r>
      <w:r w:rsidRPr="000809BD">
        <w:rPr>
          <w:rFonts w:ascii="Arial" w:hAnsi="Arial" w:cs="Arial"/>
        </w:rPr>
        <w:t xml:space="preserve"> article 15</w:t>
      </w:r>
      <w:r w:rsidR="005A681D">
        <w:rPr>
          <w:rFonts w:ascii="Arial" w:hAnsi="Arial" w:cs="Arial"/>
        </w:rPr>
        <w:t xml:space="preserve"> and that c</w:t>
      </w:r>
      <w:r w:rsidRPr="000809BD">
        <w:rPr>
          <w:rFonts w:ascii="Arial" w:hAnsi="Arial" w:cs="Arial"/>
        </w:rPr>
        <w:t>ertain treatment and care may, from time to time, be administered involuntarily</w:t>
      </w:r>
      <w:r w:rsidR="005A681D">
        <w:rPr>
          <w:rFonts w:ascii="Arial" w:hAnsi="Arial" w:cs="Arial"/>
        </w:rPr>
        <w:t xml:space="preserve"> (</w:t>
      </w:r>
      <w:r w:rsidRPr="000809BD">
        <w:rPr>
          <w:rFonts w:ascii="Arial" w:hAnsi="Arial" w:cs="Arial"/>
        </w:rPr>
        <w:t>such as medication on an emergency basis</w:t>
      </w:r>
      <w:r w:rsidR="005A681D">
        <w:rPr>
          <w:rFonts w:ascii="Arial" w:hAnsi="Arial" w:cs="Arial"/>
        </w:rPr>
        <w:t>).</w:t>
      </w:r>
      <w:r w:rsidR="00682C77">
        <w:rPr>
          <w:rFonts w:ascii="Arial" w:hAnsi="Arial" w:cs="Arial"/>
        </w:rPr>
        <w:t xml:space="preserve"> </w:t>
      </w:r>
      <w:r w:rsidR="00034995">
        <w:rPr>
          <w:rFonts w:ascii="Arial" w:hAnsi="Arial" w:cs="Arial"/>
        </w:rPr>
        <w:t xml:space="preserve">It </w:t>
      </w:r>
      <w:r w:rsidR="005A681D">
        <w:rPr>
          <w:rFonts w:ascii="Arial" w:hAnsi="Arial" w:cs="Arial"/>
        </w:rPr>
        <w:t>claimed that</w:t>
      </w:r>
      <w:r w:rsidRPr="000809BD">
        <w:rPr>
          <w:rFonts w:ascii="Arial" w:hAnsi="Arial" w:cs="Arial"/>
        </w:rPr>
        <w:t xml:space="preserve">, </w:t>
      </w:r>
      <w:r w:rsidR="00034995">
        <w:rPr>
          <w:rFonts w:ascii="Arial" w:hAnsi="Arial" w:cs="Arial"/>
        </w:rPr>
        <w:t xml:space="preserve">as per </w:t>
      </w:r>
      <w:r w:rsidR="005A681D">
        <w:rPr>
          <w:rFonts w:ascii="Arial" w:hAnsi="Arial" w:cs="Arial"/>
        </w:rPr>
        <w:t>its</w:t>
      </w:r>
      <w:r w:rsidRPr="000809BD">
        <w:rPr>
          <w:rFonts w:ascii="Arial" w:hAnsi="Arial" w:cs="Arial"/>
        </w:rPr>
        <w:t xml:space="preserve"> interpretive declaration to the </w:t>
      </w:r>
      <w:r w:rsidR="005A681D">
        <w:rPr>
          <w:rFonts w:ascii="Arial" w:hAnsi="Arial" w:cs="Arial"/>
        </w:rPr>
        <w:t>CRPD</w:t>
      </w:r>
      <w:r w:rsidRPr="000809BD">
        <w:rPr>
          <w:rFonts w:ascii="Arial" w:hAnsi="Arial" w:cs="Arial"/>
        </w:rPr>
        <w:t xml:space="preserve">, </w:t>
      </w:r>
      <w:r w:rsidR="005A681D">
        <w:rPr>
          <w:rFonts w:ascii="Arial" w:hAnsi="Arial" w:cs="Arial"/>
        </w:rPr>
        <w:t xml:space="preserve">involuntary treatment is lawful when administered in </w:t>
      </w:r>
      <w:r w:rsidR="00034995">
        <w:rPr>
          <w:rFonts w:ascii="Arial" w:hAnsi="Arial" w:cs="Arial"/>
        </w:rPr>
        <w:t xml:space="preserve">a </w:t>
      </w:r>
      <w:r w:rsidRPr="000809BD">
        <w:rPr>
          <w:rFonts w:ascii="Arial" w:hAnsi="Arial" w:cs="Arial"/>
        </w:rPr>
        <w:t xml:space="preserve">reasonable, necessary and proportionate </w:t>
      </w:r>
      <w:r w:rsidR="005A681D">
        <w:rPr>
          <w:rFonts w:ascii="Arial" w:hAnsi="Arial" w:cs="Arial"/>
        </w:rPr>
        <w:t xml:space="preserve">manner </w:t>
      </w:r>
      <w:r w:rsidRPr="000809BD">
        <w:rPr>
          <w:rFonts w:ascii="Arial" w:hAnsi="Arial" w:cs="Arial"/>
        </w:rPr>
        <w:t>and as a last resort</w:t>
      </w:r>
      <w:r w:rsidR="00034995">
        <w:rPr>
          <w:rFonts w:ascii="Arial" w:hAnsi="Arial" w:cs="Arial"/>
        </w:rPr>
        <w:t>; and</w:t>
      </w:r>
      <w:r w:rsidR="005A681D">
        <w:rPr>
          <w:rFonts w:ascii="Arial" w:hAnsi="Arial" w:cs="Arial"/>
        </w:rPr>
        <w:t xml:space="preserve"> that</w:t>
      </w:r>
      <w:r w:rsidRPr="000809BD">
        <w:rPr>
          <w:rFonts w:ascii="Arial" w:hAnsi="Arial" w:cs="Arial"/>
        </w:rPr>
        <w:t xml:space="preserve"> time in custody</w:t>
      </w:r>
      <w:r w:rsidR="00034995">
        <w:rPr>
          <w:rFonts w:ascii="Arial" w:hAnsi="Arial" w:cs="Arial"/>
        </w:rPr>
        <w:t xml:space="preserve"> alone</w:t>
      </w:r>
      <w:r w:rsidRPr="000809BD">
        <w:rPr>
          <w:rFonts w:ascii="Arial" w:hAnsi="Arial" w:cs="Arial"/>
        </w:rPr>
        <w:t xml:space="preserve"> </w:t>
      </w:r>
      <w:r w:rsidR="005A681D">
        <w:rPr>
          <w:rFonts w:ascii="Arial" w:hAnsi="Arial" w:cs="Arial"/>
        </w:rPr>
        <w:t>did</w:t>
      </w:r>
      <w:r w:rsidRPr="000809BD">
        <w:rPr>
          <w:rFonts w:ascii="Arial" w:hAnsi="Arial" w:cs="Arial"/>
        </w:rPr>
        <w:t xml:space="preserve"> </w:t>
      </w:r>
      <w:r w:rsidR="00034995">
        <w:rPr>
          <w:rFonts w:ascii="Arial" w:hAnsi="Arial" w:cs="Arial"/>
        </w:rPr>
        <w:t>not breach</w:t>
      </w:r>
      <w:r w:rsidRPr="000809BD">
        <w:rPr>
          <w:rFonts w:ascii="Arial" w:hAnsi="Arial" w:cs="Arial"/>
        </w:rPr>
        <w:t xml:space="preserve"> article 15</w:t>
      </w:r>
      <w:r w:rsidR="005A681D">
        <w:rPr>
          <w:rFonts w:ascii="Arial" w:hAnsi="Arial" w:cs="Arial"/>
        </w:rPr>
        <w:t xml:space="preserve"> since the author</w:t>
      </w:r>
      <w:r w:rsidR="00034995">
        <w:rPr>
          <w:rFonts w:ascii="Arial" w:hAnsi="Arial" w:cs="Arial"/>
        </w:rPr>
        <w:t xml:space="preserve"> </w:t>
      </w:r>
      <w:r w:rsidR="005A681D">
        <w:rPr>
          <w:rFonts w:ascii="Arial" w:hAnsi="Arial" w:cs="Arial"/>
        </w:rPr>
        <w:t xml:space="preserve">could </w:t>
      </w:r>
      <w:r w:rsidR="00034995">
        <w:rPr>
          <w:rFonts w:ascii="Arial" w:hAnsi="Arial" w:cs="Arial"/>
        </w:rPr>
        <w:t xml:space="preserve">be eligible to receive other care. </w:t>
      </w:r>
    </w:p>
    <w:p w14:paraId="6849C186" w14:textId="34E227A0" w:rsidR="0091037B" w:rsidRPr="000809BD" w:rsidRDefault="009355C4" w:rsidP="00CC238E">
      <w:pPr>
        <w:spacing w:line="276" w:lineRule="auto"/>
        <w:jc w:val="both"/>
        <w:rPr>
          <w:rFonts w:ascii="Arial" w:hAnsi="Arial" w:cs="Arial"/>
        </w:rPr>
      </w:pPr>
      <w:r>
        <w:rPr>
          <w:rFonts w:ascii="Arial" w:hAnsi="Arial" w:cs="Arial"/>
          <w:u w:val="single"/>
        </w:rPr>
        <w:t>Regarding</w:t>
      </w:r>
      <w:r w:rsidR="0091037B" w:rsidRPr="000809BD">
        <w:rPr>
          <w:rFonts w:ascii="Arial" w:hAnsi="Arial" w:cs="Arial"/>
          <w:u w:val="single"/>
        </w:rPr>
        <w:t xml:space="preserve"> article 26</w:t>
      </w:r>
      <w:r w:rsidR="00FB022E">
        <w:rPr>
          <w:rFonts w:ascii="Arial" w:hAnsi="Arial" w:cs="Arial"/>
        </w:rPr>
        <w:t>, the State contested</w:t>
      </w:r>
      <w:r w:rsidR="0091037B" w:rsidRPr="000809BD">
        <w:rPr>
          <w:rFonts w:ascii="Arial" w:hAnsi="Arial" w:cs="Arial"/>
        </w:rPr>
        <w:t xml:space="preserve"> the lack or ina</w:t>
      </w:r>
      <w:r w:rsidR="00FB022E">
        <w:rPr>
          <w:rFonts w:ascii="Arial" w:hAnsi="Arial" w:cs="Arial"/>
        </w:rPr>
        <w:t xml:space="preserve">dequate rehabilitation services </w:t>
      </w:r>
      <w:r>
        <w:rPr>
          <w:rFonts w:ascii="Arial" w:hAnsi="Arial" w:cs="Arial"/>
        </w:rPr>
        <w:t>since</w:t>
      </w:r>
      <w:r w:rsidR="0091037B" w:rsidRPr="000809BD">
        <w:rPr>
          <w:rFonts w:ascii="Arial" w:hAnsi="Arial" w:cs="Arial"/>
        </w:rPr>
        <w:t xml:space="preserve"> they were available to </w:t>
      </w:r>
      <w:r w:rsidR="00FB022E">
        <w:rPr>
          <w:rFonts w:ascii="Arial" w:hAnsi="Arial" w:cs="Arial"/>
        </w:rPr>
        <w:t>the author</w:t>
      </w:r>
      <w:r w:rsidR="0091037B" w:rsidRPr="000809BD">
        <w:rPr>
          <w:rFonts w:ascii="Arial" w:hAnsi="Arial" w:cs="Arial"/>
        </w:rPr>
        <w:t xml:space="preserve"> at </w:t>
      </w:r>
      <w:r w:rsidR="00E410FF">
        <w:rPr>
          <w:rFonts w:ascii="Arial" w:hAnsi="Arial" w:cs="Arial"/>
        </w:rPr>
        <w:t xml:space="preserve">the </w:t>
      </w:r>
      <w:r w:rsidR="0091037B" w:rsidRPr="000809BD">
        <w:rPr>
          <w:rFonts w:ascii="Arial" w:hAnsi="Arial" w:cs="Arial"/>
        </w:rPr>
        <w:t>Correctional Centre</w:t>
      </w:r>
      <w:r>
        <w:rPr>
          <w:rFonts w:ascii="Arial" w:hAnsi="Arial" w:cs="Arial"/>
        </w:rPr>
        <w:t xml:space="preserve">, including through </w:t>
      </w:r>
      <w:r w:rsidR="0091037B" w:rsidRPr="000809BD">
        <w:rPr>
          <w:rFonts w:ascii="Arial" w:hAnsi="Arial" w:cs="Arial"/>
        </w:rPr>
        <w:t>medical and psychological assessment</w:t>
      </w:r>
      <w:r>
        <w:rPr>
          <w:rFonts w:ascii="Arial" w:hAnsi="Arial" w:cs="Arial"/>
        </w:rPr>
        <w:t>s</w:t>
      </w:r>
      <w:r w:rsidR="0091037B" w:rsidRPr="000809BD">
        <w:rPr>
          <w:rFonts w:ascii="Arial" w:hAnsi="Arial" w:cs="Arial"/>
        </w:rPr>
        <w:t xml:space="preserve">, support, occupational </w:t>
      </w:r>
      <w:r w:rsidR="00E410FF" w:rsidRPr="000809BD">
        <w:rPr>
          <w:rFonts w:ascii="Arial" w:hAnsi="Arial" w:cs="Arial"/>
        </w:rPr>
        <w:t>therapy,</w:t>
      </w:r>
      <w:r w:rsidR="00345823">
        <w:rPr>
          <w:rFonts w:ascii="Arial" w:hAnsi="Arial" w:cs="Arial"/>
        </w:rPr>
        <w:t xml:space="preserve"> and</w:t>
      </w:r>
      <w:r w:rsidR="0091037B" w:rsidRPr="000809BD">
        <w:rPr>
          <w:rFonts w:ascii="Arial" w:hAnsi="Arial" w:cs="Arial"/>
        </w:rPr>
        <w:t xml:space="preserve"> community access</w:t>
      </w:r>
      <w:r w:rsidR="00345823">
        <w:rPr>
          <w:rFonts w:ascii="Arial" w:hAnsi="Arial" w:cs="Arial"/>
        </w:rPr>
        <w:t>.</w:t>
      </w:r>
    </w:p>
    <w:p w14:paraId="3998211B" w14:textId="1F0C61F4" w:rsidR="00665A17" w:rsidRPr="000809BD" w:rsidRDefault="00345823" w:rsidP="00CC238E">
      <w:pPr>
        <w:spacing w:line="276" w:lineRule="auto"/>
        <w:jc w:val="both"/>
        <w:rPr>
          <w:rFonts w:ascii="Arial" w:hAnsi="Arial" w:cs="Arial"/>
        </w:rPr>
      </w:pPr>
      <w:r>
        <w:rPr>
          <w:rFonts w:ascii="Arial" w:hAnsi="Arial" w:cs="Arial"/>
        </w:rPr>
        <w:t>Finally</w:t>
      </w:r>
      <w:r w:rsidR="0091037B" w:rsidRPr="000809BD">
        <w:rPr>
          <w:rFonts w:ascii="Arial" w:hAnsi="Arial" w:cs="Arial"/>
        </w:rPr>
        <w:t>,</w:t>
      </w:r>
      <w:r>
        <w:rPr>
          <w:rFonts w:ascii="Arial" w:hAnsi="Arial" w:cs="Arial"/>
        </w:rPr>
        <w:t xml:space="preserve"> </w:t>
      </w:r>
      <w:r w:rsidR="00FB022E">
        <w:rPr>
          <w:rFonts w:ascii="Arial" w:hAnsi="Arial" w:cs="Arial"/>
        </w:rPr>
        <w:t>it</w:t>
      </w:r>
      <w:r w:rsidR="00E423C4">
        <w:rPr>
          <w:rFonts w:ascii="Arial" w:hAnsi="Arial" w:cs="Arial"/>
        </w:rPr>
        <w:t xml:space="preserve"> argued that </w:t>
      </w:r>
      <w:r w:rsidR="0091037B" w:rsidRPr="000809BD">
        <w:rPr>
          <w:rFonts w:ascii="Arial" w:hAnsi="Arial" w:cs="Arial"/>
          <w:u w:val="single"/>
        </w:rPr>
        <w:t xml:space="preserve">article 28 </w:t>
      </w:r>
      <w:r w:rsidR="0091037B" w:rsidRPr="000809BD">
        <w:rPr>
          <w:rFonts w:ascii="Arial" w:hAnsi="Arial" w:cs="Arial"/>
        </w:rPr>
        <w:t xml:space="preserve">does not require </w:t>
      </w:r>
      <w:r w:rsidR="002D33CF">
        <w:rPr>
          <w:rFonts w:ascii="Arial" w:hAnsi="Arial" w:cs="Arial"/>
        </w:rPr>
        <w:t>the State</w:t>
      </w:r>
      <w:r w:rsidR="00E423C4">
        <w:rPr>
          <w:rFonts w:ascii="Arial" w:hAnsi="Arial" w:cs="Arial"/>
        </w:rPr>
        <w:t xml:space="preserve"> </w:t>
      </w:r>
      <w:r w:rsidR="0091037B" w:rsidRPr="000809BD">
        <w:rPr>
          <w:rFonts w:ascii="Arial" w:hAnsi="Arial" w:cs="Arial"/>
        </w:rPr>
        <w:t>to provide housing on demand</w:t>
      </w:r>
      <w:r w:rsidR="00E423C4">
        <w:rPr>
          <w:rFonts w:ascii="Arial" w:hAnsi="Arial" w:cs="Arial"/>
        </w:rPr>
        <w:t xml:space="preserve"> and that,</w:t>
      </w:r>
      <w:r w:rsidR="0091037B" w:rsidRPr="000809BD">
        <w:rPr>
          <w:rFonts w:ascii="Arial" w:hAnsi="Arial" w:cs="Arial"/>
        </w:rPr>
        <w:t xml:space="preserve"> </w:t>
      </w:r>
      <w:r w:rsidR="00E423C4">
        <w:rPr>
          <w:rFonts w:ascii="Arial" w:hAnsi="Arial" w:cs="Arial"/>
        </w:rPr>
        <w:t>e</w:t>
      </w:r>
      <w:r w:rsidR="0091037B" w:rsidRPr="000809BD">
        <w:rPr>
          <w:rFonts w:ascii="Arial" w:hAnsi="Arial" w:cs="Arial"/>
        </w:rPr>
        <w:t xml:space="preserve">ven though the author expressed a desire to be accommodated in </w:t>
      </w:r>
      <w:r w:rsidR="00553C64">
        <w:rPr>
          <w:rFonts w:ascii="Arial" w:hAnsi="Arial" w:cs="Arial"/>
        </w:rPr>
        <w:t xml:space="preserve">the </w:t>
      </w:r>
      <w:r w:rsidR="0091037B" w:rsidRPr="000809BD">
        <w:rPr>
          <w:rFonts w:ascii="Arial" w:hAnsi="Arial" w:cs="Arial"/>
        </w:rPr>
        <w:t xml:space="preserve">community, </w:t>
      </w:r>
      <w:r w:rsidR="00E423C4">
        <w:rPr>
          <w:rFonts w:ascii="Arial" w:hAnsi="Arial" w:cs="Arial"/>
        </w:rPr>
        <w:t xml:space="preserve">his rights </w:t>
      </w:r>
      <w:r w:rsidR="002D33CF">
        <w:rPr>
          <w:rFonts w:ascii="Arial" w:hAnsi="Arial" w:cs="Arial"/>
        </w:rPr>
        <w:t>were not</w:t>
      </w:r>
      <w:r w:rsidR="0091037B" w:rsidRPr="000809BD">
        <w:rPr>
          <w:rFonts w:ascii="Arial" w:hAnsi="Arial" w:cs="Arial"/>
        </w:rPr>
        <w:t xml:space="preserve"> breached</w:t>
      </w:r>
      <w:r w:rsidR="002D33CF">
        <w:rPr>
          <w:rFonts w:ascii="Arial" w:hAnsi="Arial" w:cs="Arial"/>
        </w:rPr>
        <w:t xml:space="preserve"> because</w:t>
      </w:r>
      <w:r w:rsidR="00E423C4">
        <w:rPr>
          <w:rFonts w:ascii="Arial" w:hAnsi="Arial" w:cs="Arial"/>
        </w:rPr>
        <w:t xml:space="preserve"> a</w:t>
      </w:r>
      <w:r w:rsidR="0091037B" w:rsidRPr="000809BD">
        <w:rPr>
          <w:rFonts w:ascii="Arial" w:hAnsi="Arial" w:cs="Arial"/>
        </w:rPr>
        <w:t xml:space="preserve">ccommodation in </w:t>
      </w:r>
      <w:r w:rsidR="00553C64">
        <w:rPr>
          <w:rFonts w:ascii="Arial" w:hAnsi="Arial" w:cs="Arial"/>
        </w:rPr>
        <w:t xml:space="preserve">the </w:t>
      </w:r>
      <w:r w:rsidR="0091037B" w:rsidRPr="000809BD">
        <w:rPr>
          <w:rFonts w:ascii="Arial" w:hAnsi="Arial" w:cs="Arial"/>
        </w:rPr>
        <w:t xml:space="preserve">community would result in a reduction in the quality of care, </w:t>
      </w:r>
      <w:r w:rsidR="003F119A" w:rsidRPr="000809BD">
        <w:rPr>
          <w:rFonts w:ascii="Arial" w:hAnsi="Arial" w:cs="Arial"/>
        </w:rPr>
        <w:t>supervision</w:t>
      </w:r>
      <w:r w:rsidR="0091037B" w:rsidRPr="000809BD">
        <w:rPr>
          <w:rFonts w:ascii="Arial" w:hAnsi="Arial" w:cs="Arial"/>
        </w:rPr>
        <w:t xml:space="preserve"> and disability-related services </w:t>
      </w:r>
      <w:r w:rsidR="00E423C4">
        <w:rPr>
          <w:rFonts w:ascii="Arial" w:hAnsi="Arial" w:cs="Arial"/>
        </w:rPr>
        <w:t>for</w:t>
      </w:r>
      <w:r w:rsidR="0091037B" w:rsidRPr="000809BD">
        <w:rPr>
          <w:rFonts w:ascii="Arial" w:hAnsi="Arial" w:cs="Arial"/>
        </w:rPr>
        <w:t xml:space="preserve"> him.</w:t>
      </w:r>
    </w:p>
    <w:p w14:paraId="1E560E5D" w14:textId="5BBACA03" w:rsidR="00AA57E7" w:rsidRPr="000809BD" w:rsidRDefault="00AA57E7" w:rsidP="00CC238E">
      <w:pPr>
        <w:spacing w:line="276" w:lineRule="auto"/>
        <w:jc w:val="both"/>
        <w:rPr>
          <w:rFonts w:ascii="Arial" w:hAnsi="Arial" w:cs="Arial"/>
          <w:bCs/>
          <w:sz w:val="28"/>
          <w:szCs w:val="28"/>
        </w:rPr>
      </w:pPr>
      <w:r w:rsidRPr="000809BD">
        <w:rPr>
          <w:rFonts w:ascii="Arial" w:hAnsi="Arial" w:cs="Arial"/>
          <w:bCs/>
          <w:sz w:val="28"/>
          <w:szCs w:val="28"/>
        </w:rPr>
        <w:t>Author’s comments on the State party’s submission</w:t>
      </w:r>
    </w:p>
    <w:p w14:paraId="78853546" w14:textId="050AD6F9" w:rsidR="00E4433B" w:rsidRPr="000809BD" w:rsidRDefault="003F119A" w:rsidP="00CC238E">
      <w:pPr>
        <w:spacing w:after="120" w:line="276" w:lineRule="auto"/>
        <w:jc w:val="both"/>
        <w:rPr>
          <w:rFonts w:ascii="Arial" w:hAnsi="Arial" w:cs="Arial"/>
        </w:rPr>
      </w:pPr>
      <w:r>
        <w:rPr>
          <w:rFonts w:ascii="Arial" w:hAnsi="Arial" w:cs="Arial"/>
        </w:rPr>
        <w:t>For the author, while t</w:t>
      </w:r>
      <w:r w:rsidR="00E4433B" w:rsidRPr="000809BD">
        <w:rPr>
          <w:rFonts w:ascii="Arial" w:hAnsi="Arial" w:cs="Arial"/>
        </w:rPr>
        <w:t xml:space="preserve">he Anti-Discrimination Act prohibits discrimination on the ground of </w:t>
      </w:r>
      <w:r w:rsidR="006121A7" w:rsidRPr="000809BD">
        <w:rPr>
          <w:rFonts w:ascii="Arial" w:hAnsi="Arial" w:cs="Arial"/>
        </w:rPr>
        <w:t>disability,</w:t>
      </w:r>
      <w:r w:rsidR="00E4433B" w:rsidRPr="000809BD">
        <w:rPr>
          <w:rFonts w:ascii="Arial" w:hAnsi="Arial" w:cs="Arial"/>
        </w:rPr>
        <w:t xml:space="preserve"> </w:t>
      </w:r>
      <w:r>
        <w:rPr>
          <w:rFonts w:ascii="Arial" w:hAnsi="Arial" w:cs="Arial"/>
        </w:rPr>
        <w:t xml:space="preserve">it </w:t>
      </w:r>
      <w:r w:rsidR="004819E5">
        <w:rPr>
          <w:rFonts w:ascii="Arial" w:hAnsi="Arial" w:cs="Arial"/>
        </w:rPr>
        <w:t>cannot</w:t>
      </w:r>
      <w:r w:rsidR="00E4433B" w:rsidRPr="000809BD">
        <w:rPr>
          <w:rFonts w:ascii="Arial" w:hAnsi="Arial" w:cs="Arial"/>
        </w:rPr>
        <w:t xml:space="preserve"> </w:t>
      </w:r>
      <w:r>
        <w:rPr>
          <w:rFonts w:ascii="Arial" w:hAnsi="Arial" w:cs="Arial"/>
        </w:rPr>
        <w:t>invalidate</w:t>
      </w:r>
      <w:r w:rsidR="00E4433B" w:rsidRPr="000809BD">
        <w:rPr>
          <w:rFonts w:ascii="Arial" w:hAnsi="Arial" w:cs="Arial"/>
        </w:rPr>
        <w:t xml:space="preserve"> other laws of the </w:t>
      </w:r>
      <w:r>
        <w:rPr>
          <w:rFonts w:ascii="Arial" w:hAnsi="Arial" w:cs="Arial"/>
        </w:rPr>
        <w:t xml:space="preserve">NT. He notes he </w:t>
      </w:r>
      <w:r w:rsidR="004819E5">
        <w:rPr>
          <w:rFonts w:ascii="Arial" w:hAnsi="Arial" w:cs="Arial"/>
        </w:rPr>
        <w:t xml:space="preserve">had </w:t>
      </w:r>
      <w:r>
        <w:rPr>
          <w:rFonts w:ascii="Arial" w:hAnsi="Arial" w:cs="Arial"/>
        </w:rPr>
        <w:t xml:space="preserve">also </w:t>
      </w:r>
      <w:r w:rsidR="00E4433B" w:rsidRPr="000809BD">
        <w:rPr>
          <w:rFonts w:ascii="Arial" w:hAnsi="Arial" w:cs="Arial"/>
        </w:rPr>
        <w:t xml:space="preserve">complained to the Human Rights Commission, which found that </w:t>
      </w:r>
      <w:r>
        <w:rPr>
          <w:rFonts w:ascii="Arial" w:hAnsi="Arial" w:cs="Arial"/>
        </w:rPr>
        <w:t>his</w:t>
      </w:r>
      <w:r w:rsidR="00E4433B" w:rsidRPr="000809BD">
        <w:rPr>
          <w:rFonts w:ascii="Arial" w:hAnsi="Arial" w:cs="Arial"/>
        </w:rPr>
        <w:t xml:space="preserve"> rights under articles 14(1), 19, 25, 26(1) and 28(1) </w:t>
      </w:r>
      <w:r w:rsidR="004819E5">
        <w:rPr>
          <w:rFonts w:ascii="Arial" w:hAnsi="Arial" w:cs="Arial"/>
        </w:rPr>
        <w:t xml:space="preserve">were </w:t>
      </w:r>
      <w:r w:rsidR="00E4433B" w:rsidRPr="000809BD">
        <w:rPr>
          <w:rFonts w:ascii="Arial" w:hAnsi="Arial" w:cs="Arial"/>
        </w:rPr>
        <w:t>violated</w:t>
      </w:r>
      <w:r>
        <w:rPr>
          <w:rFonts w:ascii="Arial" w:hAnsi="Arial" w:cs="Arial"/>
        </w:rPr>
        <w:t xml:space="preserve"> and made recommendations</w:t>
      </w:r>
      <w:r w:rsidR="004819E5">
        <w:rPr>
          <w:rFonts w:ascii="Arial" w:hAnsi="Arial" w:cs="Arial"/>
        </w:rPr>
        <w:t xml:space="preserve"> that</w:t>
      </w:r>
      <w:r>
        <w:rPr>
          <w:rFonts w:ascii="Arial" w:hAnsi="Arial" w:cs="Arial"/>
        </w:rPr>
        <w:t xml:space="preserve"> the </w:t>
      </w:r>
      <w:r w:rsidR="00E4433B" w:rsidRPr="000809BD">
        <w:rPr>
          <w:rFonts w:ascii="Arial" w:hAnsi="Arial" w:cs="Arial"/>
        </w:rPr>
        <w:t>Government</w:t>
      </w:r>
      <w:r w:rsidR="004819E5">
        <w:rPr>
          <w:rFonts w:ascii="Arial" w:hAnsi="Arial" w:cs="Arial"/>
        </w:rPr>
        <w:t xml:space="preserve"> ignored</w:t>
      </w:r>
      <w:r>
        <w:rPr>
          <w:rFonts w:ascii="Arial" w:hAnsi="Arial" w:cs="Arial"/>
        </w:rPr>
        <w:t>.</w:t>
      </w:r>
    </w:p>
    <w:p w14:paraId="536A3629" w14:textId="7F43D146" w:rsidR="00BA386E" w:rsidRPr="00124979" w:rsidRDefault="00E4433B" w:rsidP="00CC238E">
      <w:pPr>
        <w:spacing w:after="120" w:line="276" w:lineRule="auto"/>
        <w:jc w:val="both"/>
        <w:rPr>
          <w:rFonts w:ascii="Arial" w:hAnsi="Arial" w:cs="Arial"/>
          <w:lang w:val="en-CH"/>
        </w:rPr>
      </w:pPr>
      <w:r w:rsidRPr="000809BD">
        <w:rPr>
          <w:rFonts w:ascii="Arial" w:hAnsi="Arial" w:cs="Arial"/>
        </w:rPr>
        <w:t xml:space="preserve">As to the possibility </w:t>
      </w:r>
      <w:r w:rsidR="003F119A">
        <w:rPr>
          <w:rFonts w:ascii="Arial" w:hAnsi="Arial" w:cs="Arial"/>
        </w:rPr>
        <w:t>of</w:t>
      </w:r>
      <w:r w:rsidRPr="000809BD">
        <w:rPr>
          <w:rFonts w:ascii="Arial" w:hAnsi="Arial" w:cs="Arial"/>
        </w:rPr>
        <w:t xml:space="preserve"> appeal</w:t>
      </w:r>
      <w:r w:rsidR="003F119A">
        <w:rPr>
          <w:rFonts w:ascii="Arial" w:hAnsi="Arial" w:cs="Arial"/>
        </w:rPr>
        <w:t>ing his declaration of unfitness to stand trial</w:t>
      </w:r>
      <w:r w:rsidRPr="000809BD">
        <w:rPr>
          <w:rFonts w:ascii="Arial" w:hAnsi="Arial" w:cs="Arial"/>
        </w:rPr>
        <w:t xml:space="preserve">, the author </w:t>
      </w:r>
      <w:r w:rsidR="008445CD">
        <w:rPr>
          <w:rFonts w:ascii="Arial" w:hAnsi="Arial" w:cs="Arial"/>
        </w:rPr>
        <w:t>contended</w:t>
      </w:r>
      <w:r w:rsidR="003F119A">
        <w:rPr>
          <w:rFonts w:ascii="Arial" w:hAnsi="Arial" w:cs="Arial"/>
        </w:rPr>
        <w:t xml:space="preserve"> </w:t>
      </w:r>
      <w:r w:rsidRPr="000809BD">
        <w:rPr>
          <w:rFonts w:ascii="Arial" w:hAnsi="Arial" w:cs="Arial"/>
        </w:rPr>
        <w:t xml:space="preserve">that the NT Criminal Code is </w:t>
      </w:r>
      <w:r w:rsidR="003F119A">
        <w:rPr>
          <w:rFonts w:ascii="Arial" w:hAnsi="Arial" w:cs="Arial"/>
        </w:rPr>
        <w:t xml:space="preserve">a </w:t>
      </w:r>
      <w:r w:rsidRPr="000809BD">
        <w:rPr>
          <w:rFonts w:ascii="Arial" w:hAnsi="Arial" w:cs="Arial"/>
        </w:rPr>
        <w:t xml:space="preserve">discriminatory law </w:t>
      </w:r>
      <w:r w:rsidR="00BA386E" w:rsidRPr="000809BD">
        <w:rPr>
          <w:rFonts w:ascii="Arial" w:hAnsi="Arial" w:cs="Arial"/>
        </w:rPr>
        <w:t>based on</w:t>
      </w:r>
      <w:r w:rsidR="008445CD">
        <w:rPr>
          <w:rFonts w:ascii="Arial" w:hAnsi="Arial" w:cs="Arial"/>
        </w:rPr>
        <w:t xml:space="preserve"> disability </w:t>
      </w:r>
      <w:r w:rsidRPr="000809BD">
        <w:rPr>
          <w:rFonts w:ascii="Arial" w:hAnsi="Arial" w:cs="Arial"/>
        </w:rPr>
        <w:t xml:space="preserve">since it does not provide for adjustments </w:t>
      </w:r>
      <w:r w:rsidR="003F119A">
        <w:rPr>
          <w:rFonts w:ascii="Arial" w:hAnsi="Arial" w:cs="Arial"/>
        </w:rPr>
        <w:t>for his</w:t>
      </w:r>
      <w:r w:rsidRPr="000809BD">
        <w:rPr>
          <w:rFonts w:ascii="Arial" w:hAnsi="Arial" w:cs="Arial"/>
        </w:rPr>
        <w:t xml:space="preserve"> </w:t>
      </w:r>
      <w:r w:rsidR="003F119A">
        <w:rPr>
          <w:rFonts w:ascii="Arial" w:hAnsi="Arial" w:cs="Arial"/>
        </w:rPr>
        <w:t xml:space="preserve">culpability </w:t>
      </w:r>
      <w:r w:rsidRPr="000809BD">
        <w:rPr>
          <w:rFonts w:ascii="Arial" w:hAnsi="Arial" w:cs="Arial"/>
        </w:rPr>
        <w:t>to be determined</w:t>
      </w:r>
      <w:r w:rsidR="00124979">
        <w:rPr>
          <w:rFonts w:ascii="Arial" w:hAnsi="Arial" w:cs="Arial"/>
        </w:rPr>
        <w:t xml:space="preserve"> </w:t>
      </w:r>
      <w:r w:rsidR="00124979" w:rsidRPr="00124979">
        <w:rPr>
          <w:rFonts w:ascii="Arial" w:hAnsi="Arial" w:cs="Arial"/>
          <w:lang w:val="en-CH"/>
        </w:rPr>
        <w:t>taking into account his cognitive impairment</w:t>
      </w:r>
      <w:r w:rsidR="003F119A">
        <w:rPr>
          <w:rFonts w:ascii="Arial" w:hAnsi="Arial" w:cs="Arial"/>
        </w:rPr>
        <w:t xml:space="preserve">. </w:t>
      </w:r>
      <w:r w:rsidR="008445CD">
        <w:rPr>
          <w:rFonts w:ascii="Arial" w:hAnsi="Arial" w:cs="Arial"/>
        </w:rPr>
        <w:t xml:space="preserve">He finally </w:t>
      </w:r>
      <w:r w:rsidR="00BA386E">
        <w:rPr>
          <w:rFonts w:ascii="Arial" w:hAnsi="Arial" w:cs="Arial"/>
        </w:rPr>
        <w:t>argued that</w:t>
      </w:r>
      <w:r w:rsidRPr="000809BD">
        <w:rPr>
          <w:rFonts w:ascii="Arial" w:hAnsi="Arial" w:cs="Arial"/>
        </w:rPr>
        <w:t xml:space="preserve"> being found not guilty </w:t>
      </w:r>
      <w:r w:rsidR="00BA386E">
        <w:rPr>
          <w:rFonts w:ascii="Arial" w:hAnsi="Arial" w:cs="Arial"/>
        </w:rPr>
        <w:t>due to his</w:t>
      </w:r>
      <w:r w:rsidRPr="000809BD">
        <w:rPr>
          <w:rFonts w:ascii="Arial" w:hAnsi="Arial" w:cs="Arial"/>
        </w:rPr>
        <w:t xml:space="preserve"> psychosocial disabil</w:t>
      </w:r>
      <w:r w:rsidR="00BA386E">
        <w:rPr>
          <w:rFonts w:ascii="Arial" w:hAnsi="Arial" w:cs="Arial"/>
        </w:rPr>
        <w:t>ity</w:t>
      </w:r>
      <w:r w:rsidRPr="000809BD">
        <w:rPr>
          <w:rFonts w:ascii="Arial" w:hAnsi="Arial" w:cs="Arial"/>
        </w:rPr>
        <w:t xml:space="preserve"> </w:t>
      </w:r>
      <w:r w:rsidR="00124979">
        <w:rPr>
          <w:rFonts w:ascii="Arial" w:hAnsi="Arial" w:cs="Arial"/>
        </w:rPr>
        <w:t>led to</w:t>
      </w:r>
      <w:r w:rsidR="00902E1D" w:rsidRPr="000809BD">
        <w:rPr>
          <w:rFonts w:ascii="Arial" w:hAnsi="Arial" w:cs="Arial"/>
        </w:rPr>
        <w:t xml:space="preserve"> </w:t>
      </w:r>
      <w:r w:rsidRPr="000809BD">
        <w:rPr>
          <w:rFonts w:ascii="Arial" w:hAnsi="Arial" w:cs="Arial"/>
        </w:rPr>
        <w:t>confine</w:t>
      </w:r>
      <w:r w:rsidR="00BA386E">
        <w:rPr>
          <w:rFonts w:ascii="Arial" w:hAnsi="Arial" w:cs="Arial"/>
        </w:rPr>
        <w:t xml:space="preserve">ment </w:t>
      </w:r>
      <w:r w:rsidRPr="000809BD">
        <w:rPr>
          <w:rFonts w:ascii="Arial" w:hAnsi="Arial" w:cs="Arial"/>
        </w:rPr>
        <w:t>in detention facilities for a</w:t>
      </w:r>
      <w:r w:rsidR="00BA386E">
        <w:rPr>
          <w:rFonts w:ascii="Arial" w:hAnsi="Arial" w:cs="Arial"/>
        </w:rPr>
        <w:t xml:space="preserve"> longer</w:t>
      </w:r>
      <w:r w:rsidRPr="000809BD">
        <w:rPr>
          <w:rFonts w:ascii="Arial" w:hAnsi="Arial" w:cs="Arial"/>
        </w:rPr>
        <w:t xml:space="preserve"> </w:t>
      </w:r>
      <w:r w:rsidR="00124979">
        <w:rPr>
          <w:rFonts w:ascii="Arial" w:hAnsi="Arial" w:cs="Arial"/>
        </w:rPr>
        <w:t xml:space="preserve">period </w:t>
      </w:r>
      <w:r w:rsidR="008445CD">
        <w:rPr>
          <w:rFonts w:ascii="Arial" w:hAnsi="Arial" w:cs="Arial"/>
        </w:rPr>
        <w:t>and</w:t>
      </w:r>
      <w:r w:rsidR="00476B40">
        <w:rPr>
          <w:rFonts w:ascii="Arial" w:hAnsi="Arial" w:cs="Arial"/>
        </w:rPr>
        <w:t xml:space="preserve"> that provisions of </w:t>
      </w:r>
      <w:r w:rsidRPr="000809BD">
        <w:rPr>
          <w:rFonts w:ascii="Arial" w:hAnsi="Arial" w:cs="Arial"/>
        </w:rPr>
        <w:t>the</w:t>
      </w:r>
      <w:r w:rsidR="00476B40">
        <w:rPr>
          <w:rFonts w:ascii="Arial" w:hAnsi="Arial" w:cs="Arial"/>
        </w:rPr>
        <w:t xml:space="preserve"> Criminal</w:t>
      </w:r>
      <w:r w:rsidRPr="000809BD">
        <w:rPr>
          <w:rFonts w:ascii="Arial" w:hAnsi="Arial" w:cs="Arial"/>
        </w:rPr>
        <w:t xml:space="preserve"> Code </w:t>
      </w:r>
      <w:r w:rsidR="00476B40">
        <w:rPr>
          <w:rFonts w:ascii="Arial" w:hAnsi="Arial" w:cs="Arial"/>
        </w:rPr>
        <w:t xml:space="preserve">did not </w:t>
      </w:r>
      <w:r w:rsidRPr="000809BD">
        <w:rPr>
          <w:rFonts w:ascii="Arial" w:hAnsi="Arial" w:cs="Arial"/>
        </w:rPr>
        <w:t xml:space="preserve">constitute legitimate differential treatment </w:t>
      </w:r>
      <w:r w:rsidR="00476B40">
        <w:rPr>
          <w:rFonts w:ascii="Arial" w:hAnsi="Arial" w:cs="Arial"/>
        </w:rPr>
        <w:t xml:space="preserve">for the </w:t>
      </w:r>
      <w:r w:rsidRPr="000809BD">
        <w:rPr>
          <w:rFonts w:ascii="Arial" w:hAnsi="Arial" w:cs="Arial"/>
        </w:rPr>
        <w:t>protect</w:t>
      </w:r>
      <w:r w:rsidR="00476B40">
        <w:rPr>
          <w:rFonts w:ascii="Arial" w:hAnsi="Arial" w:cs="Arial"/>
        </w:rPr>
        <w:t xml:space="preserve">ion of </w:t>
      </w:r>
      <w:r w:rsidRPr="000809BD">
        <w:rPr>
          <w:rFonts w:ascii="Arial" w:hAnsi="Arial" w:cs="Arial"/>
        </w:rPr>
        <w:t xml:space="preserve">the community from a </w:t>
      </w:r>
      <w:r w:rsidR="008445CD">
        <w:rPr>
          <w:rFonts w:ascii="Arial" w:hAnsi="Arial" w:cs="Arial"/>
        </w:rPr>
        <w:t>danger</w:t>
      </w:r>
      <w:r w:rsidR="00476B40">
        <w:rPr>
          <w:rFonts w:ascii="Arial" w:hAnsi="Arial" w:cs="Arial"/>
        </w:rPr>
        <w:t xml:space="preserve"> since this was only applied to </w:t>
      </w:r>
      <w:r w:rsidRPr="000809BD">
        <w:rPr>
          <w:rFonts w:ascii="Arial" w:hAnsi="Arial" w:cs="Arial"/>
        </w:rPr>
        <w:t>persons with cognitive impairment</w:t>
      </w:r>
      <w:r w:rsidR="00034995">
        <w:rPr>
          <w:rFonts w:ascii="Arial" w:hAnsi="Arial" w:cs="Arial"/>
        </w:rPr>
        <w:t>s.</w:t>
      </w:r>
    </w:p>
    <w:p w14:paraId="73C49BA5" w14:textId="77777777" w:rsidR="00EB5117" w:rsidRPr="000809BD" w:rsidRDefault="00EB5117" w:rsidP="00CC238E">
      <w:pPr>
        <w:spacing w:line="276" w:lineRule="auto"/>
        <w:jc w:val="both"/>
        <w:rPr>
          <w:rFonts w:ascii="Arial" w:hAnsi="Arial" w:cs="Arial"/>
          <w:bCs/>
          <w:sz w:val="28"/>
          <w:szCs w:val="28"/>
        </w:rPr>
      </w:pPr>
      <w:r w:rsidRPr="000809BD">
        <w:rPr>
          <w:rFonts w:ascii="Arial" w:hAnsi="Arial" w:cs="Arial"/>
          <w:bCs/>
          <w:sz w:val="28"/>
          <w:szCs w:val="28"/>
        </w:rPr>
        <w:t xml:space="preserve">State party’s additional observation </w:t>
      </w:r>
    </w:p>
    <w:p w14:paraId="243A42C4" w14:textId="3AD096D6" w:rsidR="00F32924" w:rsidRPr="00476B40" w:rsidRDefault="00E414C4" w:rsidP="00CC238E">
      <w:pPr>
        <w:spacing w:line="276" w:lineRule="auto"/>
        <w:jc w:val="both"/>
        <w:rPr>
          <w:rFonts w:ascii="Arial" w:hAnsi="Arial" w:cs="Arial"/>
        </w:rPr>
      </w:pPr>
      <w:r>
        <w:rPr>
          <w:rFonts w:ascii="Arial" w:hAnsi="Arial" w:cs="Arial"/>
        </w:rPr>
        <w:t>The State noted that, i</w:t>
      </w:r>
      <w:r w:rsidR="00F32924" w:rsidRPr="000809BD">
        <w:rPr>
          <w:rFonts w:ascii="Arial" w:hAnsi="Arial" w:cs="Arial"/>
        </w:rPr>
        <w:t>n January 2016, the author was relocated from the Secure Care Facility to a community residence</w:t>
      </w:r>
      <w:r w:rsidR="007A2324">
        <w:rPr>
          <w:rFonts w:ascii="Arial" w:hAnsi="Arial" w:cs="Arial"/>
        </w:rPr>
        <w:t xml:space="preserve"> and that, </w:t>
      </w:r>
      <w:r>
        <w:rPr>
          <w:rFonts w:ascii="Arial" w:hAnsi="Arial" w:cs="Arial"/>
        </w:rPr>
        <w:t>s</w:t>
      </w:r>
      <w:r w:rsidR="00F32924" w:rsidRPr="000809BD">
        <w:rPr>
          <w:rFonts w:ascii="Arial" w:hAnsi="Arial" w:cs="Arial"/>
        </w:rPr>
        <w:t>ince</w:t>
      </w:r>
      <w:r>
        <w:rPr>
          <w:rFonts w:ascii="Arial" w:hAnsi="Arial" w:cs="Arial"/>
        </w:rPr>
        <w:t xml:space="preserve"> </w:t>
      </w:r>
      <w:r w:rsidR="00F32924" w:rsidRPr="000809BD">
        <w:rPr>
          <w:rFonts w:ascii="Arial" w:hAnsi="Arial" w:cs="Arial"/>
        </w:rPr>
        <w:t>February 2017</w:t>
      </w:r>
      <w:r w:rsidR="007A2324">
        <w:rPr>
          <w:rFonts w:ascii="Arial" w:hAnsi="Arial" w:cs="Arial"/>
        </w:rPr>
        <w:t>,</w:t>
      </w:r>
      <w:r w:rsidR="00F32924" w:rsidRPr="000809BD">
        <w:rPr>
          <w:rFonts w:ascii="Arial" w:hAnsi="Arial" w:cs="Arial"/>
        </w:rPr>
        <w:t xml:space="preserve"> he lives in a house</w:t>
      </w:r>
      <w:r>
        <w:rPr>
          <w:rFonts w:ascii="Arial" w:hAnsi="Arial" w:cs="Arial"/>
        </w:rPr>
        <w:t xml:space="preserve"> where </w:t>
      </w:r>
      <w:r>
        <w:rPr>
          <w:rFonts w:ascii="Arial" w:hAnsi="Arial" w:cs="Arial"/>
        </w:rPr>
        <w:lastRenderedPageBreak/>
        <w:t>he receives full time assistance</w:t>
      </w:r>
      <w:r w:rsidR="00F32924" w:rsidRPr="000809BD">
        <w:rPr>
          <w:rFonts w:ascii="Arial" w:hAnsi="Arial" w:cs="Arial"/>
        </w:rPr>
        <w:t>.</w:t>
      </w:r>
      <w:r w:rsidR="007A2324">
        <w:rPr>
          <w:rFonts w:ascii="Arial" w:hAnsi="Arial" w:cs="Arial"/>
        </w:rPr>
        <w:t xml:space="preserve"> </w:t>
      </w:r>
      <w:r>
        <w:rPr>
          <w:rFonts w:ascii="Arial" w:hAnsi="Arial" w:cs="Arial"/>
        </w:rPr>
        <w:t xml:space="preserve">It also argues that in </w:t>
      </w:r>
      <w:r w:rsidR="00F32924" w:rsidRPr="000809BD">
        <w:rPr>
          <w:rFonts w:ascii="Arial" w:hAnsi="Arial" w:cs="Arial"/>
        </w:rPr>
        <w:t>May 2017, the author’s Custodial Supervision Order was formally varied to a Non-Custodial Supervision Order</w:t>
      </w:r>
      <w:r w:rsidR="007A2324">
        <w:rPr>
          <w:rFonts w:ascii="Arial" w:hAnsi="Arial" w:cs="Arial"/>
        </w:rPr>
        <w:t>,</w:t>
      </w:r>
      <w:r>
        <w:rPr>
          <w:rFonts w:ascii="Arial" w:hAnsi="Arial" w:cs="Arial"/>
        </w:rPr>
        <w:t xml:space="preserve"> which </w:t>
      </w:r>
      <w:r w:rsidR="00F32924" w:rsidRPr="000809BD">
        <w:rPr>
          <w:rFonts w:ascii="Arial" w:hAnsi="Arial" w:cs="Arial"/>
        </w:rPr>
        <w:t>permits his return to the Secure Care Facility if his behaviour deteriorates</w:t>
      </w:r>
      <w:r>
        <w:rPr>
          <w:rFonts w:ascii="Arial" w:hAnsi="Arial" w:cs="Arial"/>
        </w:rPr>
        <w:t>. Finally, it held that t</w:t>
      </w:r>
      <w:r w:rsidR="00F32924" w:rsidRPr="000809BD">
        <w:rPr>
          <w:rFonts w:ascii="Arial" w:hAnsi="Arial" w:cs="Arial"/>
        </w:rPr>
        <w:t xml:space="preserve">he author </w:t>
      </w:r>
      <w:r>
        <w:rPr>
          <w:rFonts w:ascii="Arial" w:hAnsi="Arial" w:cs="Arial"/>
        </w:rPr>
        <w:t>is still</w:t>
      </w:r>
      <w:r w:rsidR="00F32924" w:rsidRPr="000809BD">
        <w:rPr>
          <w:rFonts w:ascii="Arial" w:hAnsi="Arial" w:cs="Arial"/>
        </w:rPr>
        <w:t xml:space="preserve"> subject</w:t>
      </w:r>
      <w:r>
        <w:rPr>
          <w:rFonts w:ascii="Arial" w:hAnsi="Arial" w:cs="Arial"/>
        </w:rPr>
        <w:t>ed</w:t>
      </w:r>
      <w:r w:rsidR="00F32924" w:rsidRPr="000809BD">
        <w:rPr>
          <w:rFonts w:ascii="Arial" w:hAnsi="Arial" w:cs="Arial"/>
        </w:rPr>
        <w:t xml:space="preserve"> to a Guardianship Order whereby the Office of the Public Guardian and the Community Guardian are to be consulted for all health and accommodation</w:t>
      </w:r>
      <w:r>
        <w:rPr>
          <w:rFonts w:ascii="Arial" w:hAnsi="Arial" w:cs="Arial"/>
        </w:rPr>
        <w:t xml:space="preserve"> matters.</w:t>
      </w:r>
    </w:p>
    <w:p w14:paraId="65D93145" w14:textId="58940A91" w:rsidR="002E604E" w:rsidRPr="000809BD" w:rsidRDefault="002E604E" w:rsidP="00CC238E">
      <w:pPr>
        <w:spacing w:line="276" w:lineRule="auto"/>
        <w:jc w:val="both"/>
        <w:rPr>
          <w:rFonts w:ascii="Arial" w:hAnsi="Arial" w:cs="Arial"/>
          <w:bCs/>
          <w:sz w:val="28"/>
          <w:szCs w:val="28"/>
        </w:rPr>
      </w:pPr>
      <w:r w:rsidRPr="000809BD">
        <w:rPr>
          <w:rFonts w:ascii="Arial" w:hAnsi="Arial" w:cs="Arial"/>
          <w:bCs/>
          <w:sz w:val="28"/>
          <w:szCs w:val="28"/>
        </w:rPr>
        <w:t>Committee’s consideration of admissibility</w:t>
      </w:r>
    </w:p>
    <w:p w14:paraId="342D6E82" w14:textId="1FF6519B" w:rsidR="006121A7" w:rsidRPr="000809BD" w:rsidRDefault="007B0CF6" w:rsidP="00CC238E">
      <w:pPr>
        <w:spacing w:line="276" w:lineRule="auto"/>
        <w:jc w:val="both"/>
        <w:rPr>
          <w:rFonts w:ascii="Arial" w:hAnsi="Arial" w:cs="Arial"/>
          <w:color w:val="000000" w:themeColor="text1"/>
        </w:rPr>
      </w:pPr>
      <w:r>
        <w:rPr>
          <w:rFonts w:ascii="Arial" w:hAnsi="Arial" w:cs="Arial"/>
          <w:color w:val="000000" w:themeColor="text1"/>
        </w:rPr>
        <w:t>T</w:t>
      </w:r>
      <w:r w:rsidR="000614D5" w:rsidRPr="000809BD">
        <w:rPr>
          <w:rFonts w:ascii="Arial" w:hAnsi="Arial" w:cs="Arial"/>
          <w:color w:val="000000" w:themeColor="text1"/>
        </w:rPr>
        <w:t>he Committee note</w:t>
      </w:r>
      <w:r>
        <w:rPr>
          <w:rFonts w:ascii="Arial" w:hAnsi="Arial" w:cs="Arial"/>
          <w:color w:val="000000" w:themeColor="text1"/>
        </w:rPr>
        <w:t>d</w:t>
      </w:r>
      <w:r w:rsidR="000614D5" w:rsidRPr="000809BD">
        <w:rPr>
          <w:rFonts w:ascii="Arial" w:hAnsi="Arial" w:cs="Arial"/>
          <w:color w:val="000000" w:themeColor="text1"/>
        </w:rPr>
        <w:t xml:space="preserve"> the </w:t>
      </w:r>
      <w:r w:rsidR="000614D5" w:rsidRPr="000809BD">
        <w:rPr>
          <w:rFonts w:ascii="Arial" w:hAnsi="Arial" w:cs="Arial"/>
          <w:color w:val="000000" w:themeColor="text1"/>
          <w:u w:val="single"/>
        </w:rPr>
        <w:t>State’s arguments relating to</w:t>
      </w:r>
      <w:r w:rsidR="000614D5" w:rsidRPr="000809BD">
        <w:rPr>
          <w:rFonts w:ascii="Arial" w:hAnsi="Arial" w:cs="Arial"/>
          <w:color w:val="000000" w:themeColor="text1"/>
        </w:rPr>
        <w:t xml:space="preserve"> </w:t>
      </w:r>
      <w:r w:rsidR="000614D5" w:rsidRPr="000809BD">
        <w:rPr>
          <w:rFonts w:ascii="Arial" w:hAnsi="Arial" w:cs="Arial"/>
          <w:color w:val="000000" w:themeColor="text1"/>
          <w:u w:val="single"/>
        </w:rPr>
        <w:t>the lack of exhaustion of domestic remedies</w:t>
      </w:r>
      <w:r w:rsidR="000614D5" w:rsidRPr="00863C79">
        <w:rPr>
          <w:rFonts w:ascii="Arial" w:hAnsi="Arial" w:cs="Arial"/>
          <w:color w:val="000000" w:themeColor="text1"/>
        </w:rPr>
        <w:t xml:space="preserve"> </w:t>
      </w:r>
      <w:r>
        <w:rPr>
          <w:rFonts w:ascii="Arial" w:hAnsi="Arial" w:cs="Arial"/>
          <w:color w:val="000000" w:themeColor="text1"/>
        </w:rPr>
        <w:t>and</w:t>
      </w:r>
      <w:r w:rsidR="000614D5" w:rsidRPr="000809BD">
        <w:rPr>
          <w:rFonts w:ascii="Arial" w:hAnsi="Arial" w:cs="Arial"/>
          <w:color w:val="000000" w:themeColor="text1"/>
        </w:rPr>
        <w:t xml:space="preserve"> the authors’ arguments </w:t>
      </w:r>
      <w:r>
        <w:rPr>
          <w:rFonts w:ascii="Arial" w:hAnsi="Arial" w:cs="Arial"/>
          <w:color w:val="000000" w:themeColor="text1"/>
        </w:rPr>
        <w:t>contending</w:t>
      </w:r>
      <w:r w:rsidR="000614D5" w:rsidRPr="000809BD">
        <w:rPr>
          <w:rFonts w:ascii="Arial" w:hAnsi="Arial" w:cs="Arial"/>
          <w:color w:val="000000" w:themeColor="text1"/>
        </w:rPr>
        <w:t xml:space="preserve"> that the Anti-Discrimination Act is not a fundamental law that can invalidate other laws.</w:t>
      </w:r>
      <w:r>
        <w:rPr>
          <w:rFonts w:ascii="Arial" w:hAnsi="Arial" w:cs="Arial"/>
          <w:color w:val="000000" w:themeColor="text1"/>
        </w:rPr>
        <w:t xml:space="preserve"> It also</w:t>
      </w:r>
      <w:r w:rsidR="000614D5" w:rsidRPr="000809BD">
        <w:rPr>
          <w:rFonts w:ascii="Arial" w:hAnsi="Arial" w:cs="Arial"/>
          <w:color w:val="000000" w:themeColor="text1"/>
        </w:rPr>
        <w:t xml:space="preserve"> note</w:t>
      </w:r>
      <w:r>
        <w:rPr>
          <w:rFonts w:ascii="Arial" w:hAnsi="Arial" w:cs="Arial"/>
          <w:color w:val="000000" w:themeColor="text1"/>
        </w:rPr>
        <w:t>d</w:t>
      </w:r>
      <w:r w:rsidR="000614D5" w:rsidRPr="000809BD">
        <w:rPr>
          <w:rFonts w:ascii="Arial" w:hAnsi="Arial" w:cs="Arial"/>
          <w:color w:val="000000" w:themeColor="text1"/>
        </w:rPr>
        <w:t xml:space="preserve"> the author’s complaints before the Human Rights Commission </w:t>
      </w:r>
      <w:r w:rsidR="00E925EE">
        <w:rPr>
          <w:rFonts w:ascii="Arial" w:hAnsi="Arial" w:cs="Arial"/>
          <w:color w:val="000000" w:themeColor="text1"/>
        </w:rPr>
        <w:t>had</w:t>
      </w:r>
      <w:r w:rsidR="000614D5" w:rsidRPr="000809BD">
        <w:rPr>
          <w:rFonts w:ascii="Arial" w:hAnsi="Arial" w:cs="Arial"/>
          <w:color w:val="000000" w:themeColor="text1"/>
        </w:rPr>
        <w:t xml:space="preserve"> not led to any response </w:t>
      </w:r>
      <w:r w:rsidR="00E925EE">
        <w:rPr>
          <w:rFonts w:ascii="Arial" w:hAnsi="Arial" w:cs="Arial"/>
          <w:color w:val="000000" w:themeColor="text1"/>
        </w:rPr>
        <w:t>and that it</w:t>
      </w:r>
      <w:r w:rsidR="000614D5" w:rsidRPr="000809BD">
        <w:rPr>
          <w:rFonts w:ascii="Arial" w:hAnsi="Arial" w:cs="Arial"/>
          <w:color w:val="000000" w:themeColor="text1"/>
        </w:rPr>
        <w:t xml:space="preserve"> cannot be considered a</w:t>
      </w:r>
      <w:r w:rsidR="00E925EE">
        <w:rPr>
          <w:rFonts w:ascii="Arial" w:hAnsi="Arial" w:cs="Arial"/>
          <w:color w:val="000000" w:themeColor="text1"/>
        </w:rPr>
        <w:t>n</w:t>
      </w:r>
      <w:r w:rsidR="000614D5" w:rsidRPr="000809BD">
        <w:rPr>
          <w:rFonts w:ascii="Arial" w:hAnsi="Arial" w:cs="Arial"/>
          <w:color w:val="000000" w:themeColor="text1"/>
        </w:rPr>
        <w:t xml:space="preserve"> effective remed</w:t>
      </w:r>
      <w:r w:rsidR="00E925EE">
        <w:rPr>
          <w:rFonts w:ascii="Arial" w:hAnsi="Arial" w:cs="Arial"/>
          <w:color w:val="000000" w:themeColor="text1"/>
        </w:rPr>
        <w:t>y</w:t>
      </w:r>
      <w:r w:rsidR="000614D5" w:rsidRPr="000809BD">
        <w:rPr>
          <w:rFonts w:ascii="Arial" w:hAnsi="Arial" w:cs="Arial"/>
          <w:color w:val="000000" w:themeColor="text1"/>
        </w:rPr>
        <w:t xml:space="preserve"> since i</w:t>
      </w:r>
      <w:r w:rsidR="00E925EE">
        <w:rPr>
          <w:rFonts w:ascii="Arial" w:hAnsi="Arial" w:cs="Arial"/>
          <w:color w:val="000000" w:themeColor="text1"/>
        </w:rPr>
        <w:t>ts recommendations are not enforceable</w:t>
      </w:r>
      <w:r w:rsidR="000614D5" w:rsidRPr="000809BD">
        <w:rPr>
          <w:rFonts w:ascii="Arial" w:hAnsi="Arial" w:cs="Arial"/>
          <w:color w:val="000000" w:themeColor="text1"/>
        </w:rPr>
        <w:t xml:space="preserve">. </w:t>
      </w:r>
      <w:r w:rsidR="000614D5" w:rsidRPr="000809BD">
        <w:rPr>
          <w:rFonts w:ascii="Arial" w:hAnsi="Arial" w:cs="Arial"/>
          <w:color w:val="000000" w:themeColor="text1"/>
          <w:u w:val="single"/>
        </w:rPr>
        <w:t>Accordingly, the complaint under article 5 is admissible under article 2(d) of the Optional Protocol.</w:t>
      </w:r>
    </w:p>
    <w:p w14:paraId="464590B8" w14:textId="41E5C980" w:rsidR="000614D5" w:rsidRPr="000809BD" w:rsidRDefault="00136EB9" w:rsidP="00CC238E">
      <w:pPr>
        <w:spacing w:line="276" w:lineRule="auto"/>
        <w:jc w:val="both"/>
        <w:rPr>
          <w:rFonts w:ascii="Arial" w:hAnsi="Arial" w:cs="Arial"/>
          <w:color w:val="000000" w:themeColor="text1"/>
        </w:rPr>
      </w:pPr>
      <w:r w:rsidRPr="000809BD">
        <w:rPr>
          <w:rFonts w:ascii="Arial" w:hAnsi="Arial" w:cs="Arial"/>
          <w:color w:val="000000" w:themeColor="text1"/>
        </w:rPr>
        <w:t>Regarding</w:t>
      </w:r>
      <w:r w:rsidR="00582DB7">
        <w:rPr>
          <w:rFonts w:ascii="Arial" w:hAnsi="Arial" w:cs="Arial"/>
          <w:color w:val="000000" w:themeColor="text1"/>
        </w:rPr>
        <w:t xml:space="preserve"> a</w:t>
      </w:r>
      <w:r w:rsidR="000614D5" w:rsidRPr="000809BD">
        <w:rPr>
          <w:rFonts w:ascii="Arial" w:hAnsi="Arial" w:cs="Arial"/>
          <w:color w:val="000000" w:themeColor="text1"/>
        </w:rPr>
        <w:t>rticle 12, 13 and 14, the Com</w:t>
      </w:r>
      <w:r w:rsidR="00987D59">
        <w:rPr>
          <w:rFonts w:ascii="Arial" w:hAnsi="Arial" w:cs="Arial"/>
          <w:color w:val="000000" w:themeColor="text1"/>
        </w:rPr>
        <w:t xml:space="preserve">mittee noted </w:t>
      </w:r>
      <w:r w:rsidR="000614D5" w:rsidRPr="000809BD">
        <w:rPr>
          <w:rFonts w:ascii="Arial" w:hAnsi="Arial" w:cs="Arial"/>
          <w:color w:val="000000" w:themeColor="text1"/>
        </w:rPr>
        <w:t xml:space="preserve">that the author never appealed the Supreme Court’s finding that he was </w:t>
      </w:r>
      <w:r w:rsidR="00987D59">
        <w:rPr>
          <w:rFonts w:ascii="Arial" w:hAnsi="Arial" w:cs="Arial"/>
          <w:color w:val="000000" w:themeColor="text1"/>
        </w:rPr>
        <w:t xml:space="preserve">unfit </w:t>
      </w:r>
      <w:r w:rsidR="000614D5" w:rsidRPr="000809BD">
        <w:rPr>
          <w:rFonts w:ascii="Arial" w:hAnsi="Arial" w:cs="Arial"/>
          <w:color w:val="000000" w:themeColor="text1"/>
        </w:rPr>
        <w:t>to stand trial (art</w:t>
      </w:r>
      <w:r w:rsidR="00582DB7">
        <w:rPr>
          <w:rFonts w:ascii="Arial" w:hAnsi="Arial" w:cs="Arial"/>
          <w:color w:val="000000" w:themeColor="text1"/>
        </w:rPr>
        <w:t>icle</w:t>
      </w:r>
      <w:r w:rsidR="00863C79">
        <w:rPr>
          <w:rFonts w:ascii="Arial" w:hAnsi="Arial" w:cs="Arial"/>
          <w:color w:val="000000" w:themeColor="text1"/>
        </w:rPr>
        <w:t xml:space="preserve"> </w:t>
      </w:r>
      <w:r w:rsidR="000614D5" w:rsidRPr="000809BD">
        <w:rPr>
          <w:rFonts w:ascii="Arial" w:hAnsi="Arial" w:cs="Arial"/>
          <w:color w:val="000000" w:themeColor="text1"/>
        </w:rPr>
        <w:t>12), request</w:t>
      </w:r>
      <w:r>
        <w:rPr>
          <w:rFonts w:ascii="Arial" w:hAnsi="Arial" w:cs="Arial"/>
          <w:color w:val="000000" w:themeColor="text1"/>
        </w:rPr>
        <w:t>ed</w:t>
      </w:r>
      <w:r w:rsidR="00582DB7">
        <w:rPr>
          <w:rFonts w:ascii="Arial" w:hAnsi="Arial" w:cs="Arial"/>
          <w:color w:val="000000" w:themeColor="text1"/>
        </w:rPr>
        <w:t xml:space="preserve"> special accommodation (article </w:t>
      </w:r>
      <w:r w:rsidR="000614D5" w:rsidRPr="000809BD">
        <w:rPr>
          <w:rFonts w:ascii="Arial" w:hAnsi="Arial" w:cs="Arial"/>
          <w:color w:val="000000" w:themeColor="text1"/>
        </w:rPr>
        <w:t>13</w:t>
      </w:r>
      <w:r w:rsidR="00CE1C93" w:rsidRPr="000809BD">
        <w:rPr>
          <w:rFonts w:ascii="Arial" w:hAnsi="Arial" w:cs="Arial"/>
          <w:color w:val="000000" w:themeColor="text1"/>
        </w:rPr>
        <w:t>),</w:t>
      </w:r>
      <w:r w:rsidR="000614D5" w:rsidRPr="000809BD">
        <w:rPr>
          <w:rFonts w:ascii="Arial" w:hAnsi="Arial" w:cs="Arial"/>
          <w:color w:val="000000" w:themeColor="text1"/>
        </w:rPr>
        <w:t xml:space="preserve"> </w:t>
      </w:r>
      <w:r>
        <w:rPr>
          <w:rFonts w:ascii="Arial" w:hAnsi="Arial" w:cs="Arial"/>
          <w:color w:val="000000" w:themeColor="text1"/>
        </w:rPr>
        <w:t>or</w:t>
      </w:r>
      <w:r w:rsidR="000614D5" w:rsidRPr="000809BD">
        <w:rPr>
          <w:rFonts w:ascii="Arial" w:hAnsi="Arial" w:cs="Arial"/>
          <w:color w:val="000000" w:themeColor="text1"/>
        </w:rPr>
        <w:t xml:space="preserve"> challenged the cu</w:t>
      </w:r>
      <w:r w:rsidR="00582DB7">
        <w:rPr>
          <w:rFonts w:ascii="Arial" w:hAnsi="Arial" w:cs="Arial"/>
          <w:color w:val="000000" w:themeColor="text1"/>
        </w:rPr>
        <w:t xml:space="preserve">stodial supervision orders (article </w:t>
      </w:r>
      <w:r w:rsidR="000614D5" w:rsidRPr="000809BD">
        <w:rPr>
          <w:rFonts w:ascii="Arial" w:hAnsi="Arial" w:cs="Arial"/>
          <w:color w:val="000000" w:themeColor="text1"/>
        </w:rPr>
        <w:t xml:space="preserve">14). However, the Committee recalls its jurisprudence </w:t>
      </w:r>
      <w:r w:rsidR="00CE1C93">
        <w:rPr>
          <w:rFonts w:ascii="Arial" w:hAnsi="Arial" w:cs="Arial"/>
          <w:color w:val="000000" w:themeColor="text1"/>
        </w:rPr>
        <w:t xml:space="preserve">establishing </w:t>
      </w:r>
      <w:r w:rsidR="000614D5" w:rsidRPr="000809BD">
        <w:rPr>
          <w:rFonts w:ascii="Arial" w:hAnsi="Arial" w:cs="Arial"/>
          <w:color w:val="000000" w:themeColor="text1"/>
        </w:rPr>
        <w:t>that domestic remedies do not need</w:t>
      </w:r>
      <w:r w:rsidR="00882CF3" w:rsidRPr="000809BD">
        <w:rPr>
          <w:rFonts w:ascii="Arial" w:hAnsi="Arial" w:cs="Arial"/>
          <w:color w:val="000000" w:themeColor="text1"/>
        </w:rPr>
        <w:t xml:space="preserve"> to</w:t>
      </w:r>
      <w:r w:rsidR="000614D5" w:rsidRPr="000809BD">
        <w:rPr>
          <w:rFonts w:ascii="Arial" w:hAnsi="Arial" w:cs="Arial"/>
          <w:color w:val="000000" w:themeColor="text1"/>
        </w:rPr>
        <w:t xml:space="preserve"> be exhausted if they have no prospect of success</w:t>
      </w:r>
      <w:r w:rsidR="00174C18">
        <w:rPr>
          <w:rFonts w:ascii="Arial" w:hAnsi="Arial" w:cs="Arial"/>
          <w:color w:val="000000" w:themeColor="text1"/>
        </w:rPr>
        <w:t xml:space="preserve"> and </w:t>
      </w:r>
      <w:r w:rsidR="000614D5" w:rsidRPr="000809BD">
        <w:rPr>
          <w:rFonts w:ascii="Arial" w:hAnsi="Arial" w:cs="Arial"/>
          <w:color w:val="000000" w:themeColor="text1"/>
        </w:rPr>
        <w:t xml:space="preserve">notes the author’s argument that </w:t>
      </w:r>
      <w:r w:rsidR="003C10F7" w:rsidRPr="000809BD">
        <w:rPr>
          <w:rFonts w:ascii="Arial" w:hAnsi="Arial" w:cs="Arial"/>
          <w:color w:val="000000" w:themeColor="text1"/>
        </w:rPr>
        <w:t xml:space="preserve">he would have had to demonstrate that the Court’s decisions were in error, while in fact they were adopted in compliance with the </w:t>
      </w:r>
      <w:r w:rsidR="00174C18">
        <w:rPr>
          <w:rFonts w:ascii="Arial" w:hAnsi="Arial" w:cs="Arial"/>
          <w:color w:val="000000" w:themeColor="text1"/>
        </w:rPr>
        <w:t>law</w:t>
      </w:r>
      <w:r w:rsidR="000614D5" w:rsidRPr="000809BD">
        <w:rPr>
          <w:rFonts w:ascii="Arial" w:hAnsi="Arial" w:cs="Arial"/>
          <w:color w:val="000000" w:themeColor="text1"/>
        </w:rPr>
        <w:t xml:space="preserve">. </w:t>
      </w:r>
      <w:r w:rsidR="00174C18">
        <w:rPr>
          <w:rFonts w:ascii="Arial" w:hAnsi="Arial" w:cs="Arial"/>
          <w:color w:val="000000" w:themeColor="text1"/>
        </w:rPr>
        <w:t xml:space="preserve">Noting that </w:t>
      </w:r>
      <w:r w:rsidR="000614D5" w:rsidRPr="000809BD">
        <w:rPr>
          <w:rFonts w:ascii="Arial" w:hAnsi="Arial" w:cs="Arial"/>
          <w:color w:val="000000" w:themeColor="text1"/>
        </w:rPr>
        <w:t>this appreciation</w:t>
      </w:r>
      <w:r w:rsidR="00863C79">
        <w:rPr>
          <w:rFonts w:ascii="Arial" w:hAnsi="Arial" w:cs="Arial"/>
          <w:color w:val="000000" w:themeColor="text1"/>
        </w:rPr>
        <w:t xml:space="preserve"> </w:t>
      </w:r>
      <w:r w:rsidR="00863C79" w:rsidRPr="00863C79">
        <w:rPr>
          <w:rFonts w:ascii="Arial" w:hAnsi="Arial" w:cs="Arial"/>
          <w:color w:val="000000" w:themeColor="text1"/>
        </w:rPr>
        <w:t>relies on the law itself</w:t>
      </w:r>
      <w:r w:rsidR="00863C79">
        <w:rPr>
          <w:rFonts w:ascii="Arial" w:hAnsi="Arial" w:cs="Arial"/>
          <w:color w:val="000000" w:themeColor="text1"/>
        </w:rPr>
        <w:t xml:space="preserve"> and</w:t>
      </w:r>
      <w:r w:rsidR="000614D5" w:rsidRPr="000809BD">
        <w:rPr>
          <w:rFonts w:ascii="Arial" w:hAnsi="Arial" w:cs="Arial"/>
          <w:color w:val="000000" w:themeColor="text1"/>
        </w:rPr>
        <w:t xml:space="preserve"> does not correspond to a question of</w:t>
      </w:r>
      <w:r w:rsidR="00370B32">
        <w:rPr>
          <w:rFonts w:ascii="Arial" w:hAnsi="Arial" w:cs="Arial"/>
          <w:color w:val="000000" w:themeColor="text1"/>
        </w:rPr>
        <w:t xml:space="preserve"> its</w:t>
      </w:r>
      <w:r w:rsidR="000614D5" w:rsidRPr="000809BD">
        <w:rPr>
          <w:rFonts w:ascii="Arial" w:hAnsi="Arial" w:cs="Arial"/>
          <w:color w:val="000000" w:themeColor="text1"/>
        </w:rPr>
        <w:t xml:space="preserve"> interpretation or application, the Committee consider</w:t>
      </w:r>
      <w:r w:rsidR="00174C18">
        <w:rPr>
          <w:rFonts w:ascii="Arial" w:hAnsi="Arial" w:cs="Arial"/>
          <w:color w:val="000000" w:themeColor="text1"/>
        </w:rPr>
        <w:t xml:space="preserve">ed </w:t>
      </w:r>
      <w:r w:rsidR="000614D5" w:rsidRPr="000809BD">
        <w:rPr>
          <w:rFonts w:ascii="Arial" w:hAnsi="Arial" w:cs="Arial"/>
          <w:color w:val="000000" w:themeColor="text1"/>
        </w:rPr>
        <w:t>that no additional effective remedies were available to the author</w:t>
      </w:r>
      <w:r w:rsidR="00174C18">
        <w:rPr>
          <w:rFonts w:ascii="Arial" w:hAnsi="Arial" w:cs="Arial"/>
          <w:color w:val="000000" w:themeColor="text1"/>
        </w:rPr>
        <w:t xml:space="preserve"> and that his</w:t>
      </w:r>
      <w:r w:rsidR="000614D5" w:rsidRPr="00863C79">
        <w:rPr>
          <w:rFonts w:ascii="Arial" w:hAnsi="Arial" w:cs="Arial"/>
          <w:color w:val="000000" w:themeColor="text1"/>
        </w:rPr>
        <w:t xml:space="preserve"> </w:t>
      </w:r>
      <w:r w:rsidR="000614D5" w:rsidRPr="000809BD">
        <w:rPr>
          <w:rFonts w:ascii="Arial" w:hAnsi="Arial" w:cs="Arial"/>
          <w:color w:val="000000" w:themeColor="text1"/>
          <w:u w:val="single"/>
        </w:rPr>
        <w:t xml:space="preserve">claims under articles 12, 13 and 14 </w:t>
      </w:r>
      <w:r w:rsidR="00174C18">
        <w:rPr>
          <w:rFonts w:ascii="Arial" w:hAnsi="Arial" w:cs="Arial"/>
          <w:color w:val="000000" w:themeColor="text1"/>
          <w:u w:val="single"/>
        </w:rPr>
        <w:t>were</w:t>
      </w:r>
      <w:r w:rsidR="000614D5" w:rsidRPr="000809BD">
        <w:rPr>
          <w:rFonts w:ascii="Arial" w:hAnsi="Arial" w:cs="Arial"/>
          <w:color w:val="000000" w:themeColor="text1"/>
          <w:u w:val="single"/>
        </w:rPr>
        <w:t xml:space="preserve"> admissible under article 2(d) of the </w:t>
      </w:r>
      <w:r w:rsidR="00987D59">
        <w:rPr>
          <w:rFonts w:ascii="Arial" w:hAnsi="Arial" w:cs="Arial"/>
          <w:color w:val="000000" w:themeColor="text1"/>
          <w:u w:val="single"/>
        </w:rPr>
        <w:t>OP.</w:t>
      </w:r>
    </w:p>
    <w:p w14:paraId="2CF4DB77" w14:textId="228F3E34" w:rsidR="008069F8" w:rsidRPr="00B22123" w:rsidRDefault="006F464F" w:rsidP="00CC238E">
      <w:pPr>
        <w:spacing w:line="276" w:lineRule="auto"/>
        <w:jc w:val="both"/>
        <w:rPr>
          <w:rFonts w:ascii="Arial" w:hAnsi="Arial" w:cs="Arial"/>
          <w:color w:val="000000" w:themeColor="text1"/>
          <w:u w:val="single"/>
        </w:rPr>
      </w:pPr>
      <w:r w:rsidRPr="000809BD">
        <w:rPr>
          <w:rFonts w:ascii="Arial" w:hAnsi="Arial" w:cs="Arial"/>
          <w:color w:val="000000" w:themeColor="text1"/>
        </w:rPr>
        <w:t>Third</w:t>
      </w:r>
      <w:r w:rsidR="000614D5" w:rsidRPr="000809BD">
        <w:rPr>
          <w:rFonts w:ascii="Arial" w:hAnsi="Arial" w:cs="Arial"/>
          <w:color w:val="000000" w:themeColor="text1"/>
        </w:rPr>
        <w:t>, the Committee</w:t>
      </w:r>
      <w:r w:rsidR="00857F07">
        <w:rPr>
          <w:rFonts w:ascii="Arial" w:hAnsi="Arial" w:cs="Arial"/>
          <w:color w:val="000000" w:themeColor="text1"/>
        </w:rPr>
        <w:t xml:space="preserve"> </w:t>
      </w:r>
      <w:r w:rsidR="00174C18">
        <w:rPr>
          <w:rFonts w:ascii="Arial" w:hAnsi="Arial" w:cs="Arial"/>
          <w:color w:val="000000" w:themeColor="text1"/>
        </w:rPr>
        <w:t>recalled</w:t>
      </w:r>
      <w:r w:rsidR="000614D5" w:rsidRPr="000809BD">
        <w:rPr>
          <w:rFonts w:ascii="Arial" w:hAnsi="Arial" w:cs="Arial"/>
          <w:color w:val="000000" w:themeColor="text1"/>
        </w:rPr>
        <w:t xml:space="preserve"> that all possible grounds of discrimination and their intersections must be </w:t>
      </w:r>
      <w:r w:rsidR="00174C18" w:rsidRPr="000809BD">
        <w:rPr>
          <w:rFonts w:ascii="Arial" w:hAnsi="Arial" w:cs="Arial"/>
          <w:color w:val="000000" w:themeColor="text1"/>
        </w:rPr>
        <w:t>considered</w:t>
      </w:r>
      <w:r w:rsidR="000614D5" w:rsidRPr="000809BD">
        <w:rPr>
          <w:rFonts w:ascii="Arial" w:hAnsi="Arial" w:cs="Arial"/>
          <w:color w:val="000000" w:themeColor="text1"/>
        </w:rPr>
        <w:t xml:space="preserve">, including </w:t>
      </w:r>
      <w:r w:rsidR="00174C18">
        <w:rPr>
          <w:rFonts w:ascii="Arial" w:hAnsi="Arial" w:cs="Arial"/>
          <w:color w:val="000000" w:themeColor="text1"/>
        </w:rPr>
        <w:t xml:space="preserve">indigenous </w:t>
      </w:r>
      <w:r w:rsidR="000614D5" w:rsidRPr="000809BD">
        <w:rPr>
          <w:rFonts w:ascii="Arial" w:hAnsi="Arial" w:cs="Arial"/>
          <w:color w:val="000000" w:themeColor="text1"/>
        </w:rPr>
        <w:t>origin. Nonetheless, it also note</w:t>
      </w:r>
      <w:r w:rsidR="00174C18">
        <w:rPr>
          <w:rFonts w:ascii="Arial" w:hAnsi="Arial" w:cs="Arial"/>
          <w:color w:val="000000" w:themeColor="text1"/>
        </w:rPr>
        <w:t>d</w:t>
      </w:r>
      <w:r w:rsidR="000614D5" w:rsidRPr="000809BD">
        <w:rPr>
          <w:rFonts w:ascii="Arial" w:hAnsi="Arial" w:cs="Arial"/>
          <w:color w:val="000000" w:themeColor="text1"/>
        </w:rPr>
        <w:t xml:space="preserve"> that the author </w:t>
      </w:r>
      <w:r w:rsidR="00174C18">
        <w:rPr>
          <w:rFonts w:ascii="Arial" w:hAnsi="Arial" w:cs="Arial"/>
          <w:color w:val="000000" w:themeColor="text1"/>
        </w:rPr>
        <w:t>failed to</w:t>
      </w:r>
      <w:r w:rsidR="000614D5" w:rsidRPr="000809BD">
        <w:rPr>
          <w:rFonts w:ascii="Arial" w:hAnsi="Arial" w:cs="Arial"/>
          <w:color w:val="000000" w:themeColor="text1"/>
        </w:rPr>
        <w:t xml:space="preserve"> explain the extent to which his aboriginal origin impacted on the violations </w:t>
      </w:r>
      <w:r w:rsidR="00174C18">
        <w:rPr>
          <w:rFonts w:ascii="Arial" w:hAnsi="Arial" w:cs="Arial"/>
          <w:color w:val="000000" w:themeColor="text1"/>
        </w:rPr>
        <w:t xml:space="preserve">and thus he failed to </w:t>
      </w:r>
      <w:r w:rsidR="000614D5" w:rsidRPr="000809BD">
        <w:rPr>
          <w:rFonts w:ascii="Arial" w:hAnsi="Arial" w:cs="Arial"/>
          <w:color w:val="000000" w:themeColor="text1"/>
          <w:u w:val="single"/>
        </w:rPr>
        <w:t>substantiate</w:t>
      </w:r>
      <w:r w:rsidR="00174C18">
        <w:rPr>
          <w:rFonts w:ascii="Arial" w:hAnsi="Arial" w:cs="Arial"/>
          <w:color w:val="000000" w:themeColor="text1"/>
          <w:u w:val="single"/>
        </w:rPr>
        <w:t xml:space="preserve"> such </w:t>
      </w:r>
      <w:r w:rsidR="000614D5" w:rsidRPr="000809BD">
        <w:rPr>
          <w:rFonts w:ascii="Arial" w:hAnsi="Arial" w:cs="Arial"/>
          <w:color w:val="000000" w:themeColor="text1"/>
          <w:u w:val="single"/>
        </w:rPr>
        <w:t>claim for admissibility.</w:t>
      </w:r>
      <w:r w:rsidR="00B22123">
        <w:rPr>
          <w:rFonts w:ascii="Arial" w:hAnsi="Arial" w:cs="Arial"/>
          <w:color w:val="000000" w:themeColor="text1"/>
        </w:rPr>
        <w:t xml:space="preserve"> Finally, t</w:t>
      </w:r>
      <w:r w:rsidR="000614D5" w:rsidRPr="000809BD">
        <w:rPr>
          <w:rFonts w:ascii="Arial" w:hAnsi="Arial" w:cs="Arial"/>
          <w:color w:val="000000" w:themeColor="text1"/>
        </w:rPr>
        <w:t>he Committee consider</w:t>
      </w:r>
      <w:r w:rsidR="00B22123">
        <w:rPr>
          <w:rFonts w:ascii="Arial" w:hAnsi="Arial" w:cs="Arial"/>
          <w:color w:val="000000" w:themeColor="text1"/>
        </w:rPr>
        <w:t>ed</w:t>
      </w:r>
      <w:r w:rsidR="000614D5" w:rsidRPr="000809BD">
        <w:rPr>
          <w:rFonts w:ascii="Arial" w:hAnsi="Arial" w:cs="Arial"/>
          <w:color w:val="000000" w:themeColor="text1"/>
        </w:rPr>
        <w:t xml:space="preserve"> that the author ha</w:t>
      </w:r>
      <w:r w:rsidR="00B22123">
        <w:rPr>
          <w:rFonts w:ascii="Arial" w:hAnsi="Arial" w:cs="Arial"/>
          <w:color w:val="000000" w:themeColor="text1"/>
        </w:rPr>
        <w:t>d</w:t>
      </w:r>
      <w:r w:rsidR="000614D5" w:rsidRPr="000809BD">
        <w:rPr>
          <w:rFonts w:ascii="Arial" w:hAnsi="Arial" w:cs="Arial"/>
          <w:color w:val="000000" w:themeColor="text1"/>
        </w:rPr>
        <w:t xml:space="preserve"> sufficiently substantiated his claims</w:t>
      </w:r>
      <w:r w:rsidR="0008375D" w:rsidRPr="000809BD">
        <w:rPr>
          <w:rFonts w:ascii="Arial" w:hAnsi="Arial" w:cs="Arial"/>
          <w:color w:val="000000" w:themeColor="text1"/>
        </w:rPr>
        <w:t xml:space="preserve"> under articles 5,12,13,14,15,19,25,26 and 28</w:t>
      </w:r>
      <w:r w:rsidR="00B22123">
        <w:rPr>
          <w:rFonts w:ascii="Arial" w:hAnsi="Arial" w:cs="Arial"/>
          <w:color w:val="000000" w:themeColor="text1"/>
        </w:rPr>
        <w:t xml:space="preserve"> and </w:t>
      </w:r>
      <w:r w:rsidR="000614D5" w:rsidRPr="000809BD">
        <w:rPr>
          <w:rFonts w:ascii="Arial" w:hAnsi="Arial" w:cs="Arial"/>
          <w:color w:val="000000" w:themeColor="text1"/>
          <w:u w:val="single"/>
        </w:rPr>
        <w:t>declare</w:t>
      </w:r>
      <w:r w:rsidR="00B22123">
        <w:rPr>
          <w:rFonts w:ascii="Arial" w:hAnsi="Arial" w:cs="Arial"/>
          <w:color w:val="000000" w:themeColor="text1"/>
          <w:u w:val="single"/>
        </w:rPr>
        <w:t xml:space="preserve">d </w:t>
      </w:r>
      <w:r w:rsidR="000614D5" w:rsidRPr="000809BD">
        <w:rPr>
          <w:rFonts w:ascii="Arial" w:hAnsi="Arial" w:cs="Arial"/>
          <w:color w:val="000000" w:themeColor="text1"/>
          <w:u w:val="single"/>
        </w:rPr>
        <w:t xml:space="preserve">the communication admissible. </w:t>
      </w:r>
    </w:p>
    <w:p w14:paraId="64B3D76D" w14:textId="77777777" w:rsidR="0006364D" w:rsidRPr="000809BD" w:rsidRDefault="0006364D" w:rsidP="00CC238E">
      <w:pPr>
        <w:spacing w:line="276" w:lineRule="auto"/>
        <w:jc w:val="both"/>
        <w:rPr>
          <w:rFonts w:ascii="Arial" w:hAnsi="Arial" w:cs="Arial"/>
          <w:bCs/>
          <w:sz w:val="28"/>
          <w:szCs w:val="28"/>
        </w:rPr>
      </w:pPr>
      <w:r w:rsidRPr="000809BD">
        <w:rPr>
          <w:rFonts w:ascii="Arial" w:hAnsi="Arial" w:cs="Arial"/>
          <w:bCs/>
          <w:sz w:val="28"/>
          <w:szCs w:val="28"/>
        </w:rPr>
        <w:t>Committee’s consideration of the merits</w:t>
      </w:r>
    </w:p>
    <w:p w14:paraId="17EB12DC" w14:textId="28EE7E4E" w:rsidR="003C7C08" w:rsidRDefault="00B22123" w:rsidP="00CC238E">
      <w:pPr>
        <w:spacing w:line="276" w:lineRule="auto"/>
        <w:jc w:val="both"/>
        <w:rPr>
          <w:rFonts w:ascii="Arial" w:hAnsi="Arial" w:cs="Arial"/>
        </w:rPr>
      </w:pPr>
      <w:r>
        <w:rPr>
          <w:rFonts w:ascii="Arial" w:hAnsi="Arial" w:cs="Arial"/>
        </w:rPr>
        <w:t>T</w:t>
      </w:r>
      <w:r w:rsidR="0006364D" w:rsidRPr="000809BD">
        <w:rPr>
          <w:rFonts w:ascii="Arial" w:hAnsi="Arial" w:cs="Arial"/>
        </w:rPr>
        <w:t>he Committee recal</w:t>
      </w:r>
      <w:r>
        <w:rPr>
          <w:rFonts w:ascii="Arial" w:hAnsi="Arial" w:cs="Arial"/>
        </w:rPr>
        <w:t>led</w:t>
      </w:r>
      <w:r w:rsidR="0006364D" w:rsidRPr="000809BD">
        <w:rPr>
          <w:rFonts w:ascii="Arial" w:hAnsi="Arial" w:cs="Arial"/>
        </w:rPr>
        <w:t xml:space="preserve"> that under article 5(1) and (2), States must ensure that all persons are equal before and under the law and are entitled without discrimination to </w:t>
      </w:r>
      <w:r w:rsidR="00857F07">
        <w:rPr>
          <w:rFonts w:ascii="Arial" w:hAnsi="Arial" w:cs="Arial"/>
        </w:rPr>
        <w:t xml:space="preserve">its </w:t>
      </w:r>
      <w:r w:rsidR="0006364D" w:rsidRPr="000809BD">
        <w:rPr>
          <w:rFonts w:ascii="Arial" w:hAnsi="Arial" w:cs="Arial"/>
        </w:rPr>
        <w:t xml:space="preserve">equal protection and benefit. </w:t>
      </w:r>
      <w:r w:rsidR="0036130E">
        <w:rPr>
          <w:rFonts w:ascii="Arial" w:hAnsi="Arial" w:cs="Arial"/>
        </w:rPr>
        <w:t xml:space="preserve">It clarified that </w:t>
      </w:r>
      <w:r w:rsidR="0006364D" w:rsidRPr="000809BD">
        <w:rPr>
          <w:rFonts w:ascii="Arial" w:hAnsi="Arial" w:cs="Arial"/>
        </w:rPr>
        <w:t xml:space="preserve">discrimination </w:t>
      </w:r>
      <w:r w:rsidR="0036130E">
        <w:rPr>
          <w:rFonts w:ascii="Arial" w:hAnsi="Arial" w:cs="Arial"/>
        </w:rPr>
        <w:t>may</w:t>
      </w:r>
      <w:r w:rsidR="0006364D" w:rsidRPr="000809BD">
        <w:rPr>
          <w:rFonts w:ascii="Arial" w:hAnsi="Arial" w:cs="Arial"/>
        </w:rPr>
        <w:t xml:space="preserve"> result from the effect of a rule or measure</w:t>
      </w:r>
      <w:r w:rsidR="0036130E">
        <w:rPr>
          <w:rFonts w:ascii="Arial" w:hAnsi="Arial" w:cs="Arial"/>
        </w:rPr>
        <w:t xml:space="preserve"> that does not intend to discriminate</w:t>
      </w:r>
      <w:r w:rsidR="0006364D" w:rsidRPr="000809BD">
        <w:rPr>
          <w:rFonts w:ascii="Arial" w:hAnsi="Arial" w:cs="Arial"/>
        </w:rPr>
        <w:t xml:space="preserve">, </w:t>
      </w:r>
      <w:r w:rsidR="0036130E">
        <w:rPr>
          <w:rFonts w:ascii="Arial" w:hAnsi="Arial" w:cs="Arial"/>
        </w:rPr>
        <w:t>such as</w:t>
      </w:r>
      <w:r w:rsidR="0006364D" w:rsidRPr="000809BD">
        <w:rPr>
          <w:rFonts w:ascii="Arial" w:hAnsi="Arial" w:cs="Arial"/>
        </w:rPr>
        <w:t xml:space="preserve"> </w:t>
      </w:r>
      <w:r w:rsidR="0036130E">
        <w:rPr>
          <w:rFonts w:ascii="Arial" w:hAnsi="Arial" w:cs="Arial"/>
        </w:rPr>
        <w:t xml:space="preserve">the </w:t>
      </w:r>
      <w:r w:rsidR="0006364D" w:rsidRPr="000809BD">
        <w:rPr>
          <w:rFonts w:ascii="Arial" w:hAnsi="Arial" w:cs="Arial"/>
        </w:rPr>
        <w:t xml:space="preserve">NT Criminal Code, under </w:t>
      </w:r>
      <w:r w:rsidR="0036130E">
        <w:rPr>
          <w:rFonts w:ascii="Arial" w:hAnsi="Arial" w:cs="Arial"/>
        </w:rPr>
        <w:t>which</w:t>
      </w:r>
      <w:r w:rsidR="0036130E" w:rsidRPr="000809BD">
        <w:rPr>
          <w:rFonts w:ascii="Arial" w:hAnsi="Arial" w:cs="Arial"/>
        </w:rPr>
        <w:t xml:space="preserve"> </w:t>
      </w:r>
      <w:r w:rsidR="0036130E">
        <w:rPr>
          <w:rFonts w:ascii="Arial" w:hAnsi="Arial" w:cs="Arial"/>
        </w:rPr>
        <w:t>a</w:t>
      </w:r>
      <w:r w:rsidR="0006364D" w:rsidRPr="000809BD">
        <w:rPr>
          <w:rFonts w:ascii="Arial" w:hAnsi="Arial" w:cs="Arial"/>
        </w:rPr>
        <w:t xml:space="preserve"> person </w:t>
      </w:r>
      <w:r w:rsidR="00857F07">
        <w:rPr>
          <w:rFonts w:ascii="Arial" w:hAnsi="Arial" w:cs="Arial"/>
        </w:rPr>
        <w:t>found</w:t>
      </w:r>
      <w:r w:rsidR="0006364D" w:rsidRPr="000809BD">
        <w:rPr>
          <w:rFonts w:ascii="Arial" w:hAnsi="Arial" w:cs="Arial"/>
        </w:rPr>
        <w:t xml:space="preserve"> unfit to stand trial can </w:t>
      </w:r>
      <w:r w:rsidR="00857F07">
        <w:rPr>
          <w:rFonts w:ascii="Arial" w:hAnsi="Arial" w:cs="Arial"/>
        </w:rPr>
        <w:t>remain</w:t>
      </w:r>
      <w:r w:rsidR="0006364D" w:rsidRPr="000809BD">
        <w:rPr>
          <w:rFonts w:ascii="Arial" w:hAnsi="Arial" w:cs="Arial"/>
        </w:rPr>
        <w:t xml:space="preserve"> in custody for an unlimited </w:t>
      </w:r>
      <w:r w:rsidR="0036130E">
        <w:rPr>
          <w:rFonts w:ascii="Arial" w:hAnsi="Arial" w:cs="Arial"/>
        </w:rPr>
        <w:t>time</w:t>
      </w:r>
      <w:r w:rsidR="00857F07">
        <w:rPr>
          <w:rFonts w:ascii="Arial" w:hAnsi="Arial" w:cs="Arial"/>
        </w:rPr>
        <w:t>.</w:t>
      </w:r>
    </w:p>
    <w:p w14:paraId="48BACC31" w14:textId="294B35B5" w:rsidR="0006364D" w:rsidRPr="000809BD" w:rsidRDefault="0006364D" w:rsidP="00CC238E">
      <w:pPr>
        <w:spacing w:line="276" w:lineRule="auto"/>
        <w:jc w:val="both"/>
        <w:rPr>
          <w:rFonts w:ascii="Arial" w:hAnsi="Arial" w:cs="Arial"/>
        </w:rPr>
      </w:pPr>
      <w:r w:rsidRPr="000809BD">
        <w:rPr>
          <w:rFonts w:ascii="Arial" w:hAnsi="Arial" w:cs="Arial"/>
        </w:rPr>
        <w:t>The Committee not</w:t>
      </w:r>
      <w:r w:rsidR="0036130E">
        <w:rPr>
          <w:rFonts w:ascii="Arial" w:hAnsi="Arial" w:cs="Arial"/>
        </w:rPr>
        <w:t>ed</w:t>
      </w:r>
      <w:r w:rsidRPr="000809BD">
        <w:rPr>
          <w:rFonts w:ascii="Arial" w:hAnsi="Arial" w:cs="Arial"/>
        </w:rPr>
        <w:t xml:space="preserve"> that</w:t>
      </w:r>
      <w:r w:rsidR="00910FB1">
        <w:rPr>
          <w:rFonts w:ascii="Arial" w:hAnsi="Arial" w:cs="Arial"/>
        </w:rPr>
        <w:t xml:space="preserve"> </w:t>
      </w:r>
      <w:r w:rsidR="00910FB1" w:rsidRPr="000809BD">
        <w:rPr>
          <w:rFonts w:ascii="Arial" w:hAnsi="Arial" w:cs="Arial"/>
        </w:rPr>
        <w:t>procedures</w:t>
      </w:r>
      <w:r w:rsidRPr="000809BD">
        <w:rPr>
          <w:rFonts w:ascii="Arial" w:hAnsi="Arial" w:cs="Arial"/>
        </w:rPr>
        <w:t xml:space="preserve"> </w:t>
      </w:r>
      <w:r w:rsidR="00910FB1">
        <w:rPr>
          <w:rFonts w:ascii="Arial" w:hAnsi="Arial" w:cs="Arial"/>
        </w:rPr>
        <w:t xml:space="preserve">never </w:t>
      </w:r>
      <w:r w:rsidRPr="000809BD">
        <w:rPr>
          <w:rFonts w:ascii="Arial" w:hAnsi="Arial" w:cs="Arial"/>
        </w:rPr>
        <w:t xml:space="preserve">focused on </w:t>
      </w:r>
      <w:r w:rsidR="00910FB1">
        <w:rPr>
          <w:rFonts w:ascii="Arial" w:hAnsi="Arial" w:cs="Arial"/>
        </w:rPr>
        <w:t>the author’s</w:t>
      </w:r>
      <w:r w:rsidRPr="000809BD">
        <w:rPr>
          <w:rFonts w:ascii="Arial" w:hAnsi="Arial" w:cs="Arial"/>
        </w:rPr>
        <w:t xml:space="preserve"> mental capacity to stand trial </w:t>
      </w:r>
      <w:r w:rsidR="00910FB1">
        <w:rPr>
          <w:rFonts w:ascii="Arial" w:hAnsi="Arial" w:cs="Arial"/>
        </w:rPr>
        <w:t>and</w:t>
      </w:r>
      <w:r w:rsidR="0036130E">
        <w:rPr>
          <w:rFonts w:ascii="Arial" w:hAnsi="Arial" w:cs="Arial"/>
        </w:rPr>
        <w:t xml:space="preserve"> </w:t>
      </w:r>
      <w:r w:rsidR="00910FB1">
        <w:rPr>
          <w:rFonts w:ascii="Arial" w:hAnsi="Arial" w:cs="Arial"/>
        </w:rPr>
        <w:t xml:space="preserve">he was not </w:t>
      </w:r>
      <w:r w:rsidR="00910FB1" w:rsidRPr="000809BD">
        <w:rPr>
          <w:rFonts w:ascii="Arial" w:hAnsi="Arial" w:cs="Arial"/>
        </w:rPr>
        <w:t>support</w:t>
      </w:r>
      <w:r w:rsidR="00910FB1">
        <w:rPr>
          <w:rFonts w:ascii="Arial" w:hAnsi="Arial" w:cs="Arial"/>
        </w:rPr>
        <w:t>ed</w:t>
      </w:r>
      <w:r w:rsidR="00910FB1" w:rsidRPr="000809BD">
        <w:rPr>
          <w:rFonts w:ascii="Arial" w:hAnsi="Arial" w:cs="Arial"/>
        </w:rPr>
        <w:t xml:space="preserve"> </w:t>
      </w:r>
      <w:r w:rsidR="00910FB1">
        <w:rPr>
          <w:rFonts w:ascii="Arial" w:hAnsi="Arial" w:cs="Arial"/>
        </w:rPr>
        <w:t xml:space="preserve">to exercise </w:t>
      </w:r>
      <w:r w:rsidR="00857F07">
        <w:rPr>
          <w:rFonts w:ascii="Arial" w:hAnsi="Arial" w:cs="Arial"/>
        </w:rPr>
        <w:t>his legal</w:t>
      </w:r>
      <w:r w:rsidR="00910FB1">
        <w:rPr>
          <w:rFonts w:ascii="Arial" w:hAnsi="Arial" w:cs="Arial"/>
        </w:rPr>
        <w:t xml:space="preserve"> capacity or given the chance to plead not guilty</w:t>
      </w:r>
      <w:r w:rsidRPr="000809BD">
        <w:rPr>
          <w:rFonts w:ascii="Arial" w:hAnsi="Arial" w:cs="Arial"/>
        </w:rPr>
        <w:t xml:space="preserve">. Recalling General Comment No. 6, </w:t>
      </w:r>
      <w:r w:rsidR="00910FB1">
        <w:rPr>
          <w:rFonts w:ascii="Arial" w:hAnsi="Arial" w:cs="Arial"/>
        </w:rPr>
        <w:t>it</w:t>
      </w:r>
      <w:r w:rsidR="0036130E">
        <w:rPr>
          <w:rFonts w:ascii="Arial" w:hAnsi="Arial" w:cs="Arial"/>
        </w:rPr>
        <w:t xml:space="preserve"> </w:t>
      </w:r>
      <w:r w:rsidRPr="000809BD">
        <w:rPr>
          <w:rFonts w:ascii="Arial" w:hAnsi="Arial" w:cs="Arial"/>
        </w:rPr>
        <w:t>consider</w:t>
      </w:r>
      <w:r w:rsidR="0036130E">
        <w:rPr>
          <w:rFonts w:ascii="Arial" w:hAnsi="Arial" w:cs="Arial"/>
        </w:rPr>
        <w:t xml:space="preserve">ed </w:t>
      </w:r>
      <w:r w:rsidRPr="000809BD">
        <w:rPr>
          <w:rFonts w:ascii="Arial" w:hAnsi="Arial" w:cs="Arial"/>
          <w:u w:val="single"/>
        </w:rPr>
        <w:t>that</w:t>
      </w:r>
      <w:r w:rsidR="0036130E">
        <w:rPr>
          <w:rFonts w:ascii="Arial" w:hAnsi="Arial" w:cs="Arial"/>
          <w:u w:val="single"/>
        </w:rPr>
        <w:t xml:space="preserve"> </w:t>
      </w:r>
      <w:r w:rsidRPr="000809BD">
        <w:rPr>
          <w:rFonts w:ascii="Arial" w:hAnsi="Arial" w:cs="Arial"/>
          <w:u w:val="single"/>
        </w:rPr>
        <w:t>the NT Criminal Code resulted in discriminatory treatment of the author’s case, in violation of article 5(1) and (2) of the Convention</w:t>
      </w:r>
      <w:r w:rsidRPr="000809BD">
        <w:rPr>
          <w:rFonts w:ascii="Arial" w:hAnsi="Arial" w:cs="Arial"/>
        </w:rPr>
        <w:t>.</w:t>
      </w:r>
      <w:r w:rsidR="00987D59">
        <w:rPr>
          <w:rFonts w:ascii="Arial" w:hAnsi="Arial" w:cs="Arial"/>
        </w:rPr>
        <w:t xml:space="preserve"> </w:t>
      </w:r>
      <w:r w:rsidR="00370B32">
        <w:rPr>
          <w:rFonts w:ascii="Arial" w:hAnsi="Arial" w:cs="Arial"/>
        </w:rPr>
        <w:t>Recalling that</w:t>
      </w:r>
      <w:r w:rsidR="00370B32" w:rsidRPr="00370B32">
        <w:rPr>
          <w:rFonts w:ascii="Arial" w:hAnsi="Arial" w:cs="Arial"/>
        </w:rPr>
        <w:t xml:space="preserve"> the CRPD recognizes the right not to be obliged to live in a particular arrangement on account of disability</w:t>
      </w:r>
      <w:r w:rsidR="00370B32">
        <w:rPr>
          <w:rFonts w:ascii="Arial" w:hAnsi="Arial" w:cs="Arial"/>
        </w:rPr>
        <w:t>,</w:t>
      </w:r>
      <w:r w:rsidR="00370B32" w:rsidRPr="00370B32">
        <w:rPr>
          <w:rFonts w:ascii="Arial" w:hAnsi="Arial" w:cs="Arial"/>
        </w:rPr>
        <w:t xml:space="preserve"> </w:t>
      </w:r>
      <w:r w:rsidR="00370B32">
        <w:rPr>
          <w:rFonts w:ascii="Arial" w:hAnsi="Arial" w:cs="Arial"/>
        </w:rPr>
        <w:t>t</w:t>
      </w:r>
      <w:r w:rsidR="00CB687F" w:rsidRPr="000809BD">
        <w:rPr>
          <w:rFonts w:ascii="Arial" w:hAnsi="Arial" w:cs="Arial"/>
        </w:rPr>
        <w:t>he Committee note</w:t>
      </w:r>
      <w:r w:rsidR="009D5E83">
        <w:rPr>
          <w:rFonts w:ascii="Arial" w:hAnsi="Arial" w:cs="Arial"/>
        </w:rPr>
        <w:t xml:space="preserve">d </w:t>
      </w:r>
      <w:r w:rsidR="00CB687F" w:rsidRPr="000809BD">
        <w:rPr>
          <w:rFonts w:ascii="Arial" w:hAnsi="Arial" w:cs="Arial"/>
        </w:rPr>
        <w:t>that</w:t>
      </w:r>
      <w:r w:rsidR="00910FB1">
        <w:rPr>
          <w:rFonts w:ascii="Arial" w:hAnsi="Arial" w:cs="Arial"/>
        </w:rPr>
        <w:t>, since the author</w:t>
      </w:r>
      <w:r w:rsidR="00E86A1F" w:rsidRPr="000809BD">
        <w:rPr>
          <w:rFonts w:ascii="Arial" w:hAnsi="Arial" w:cs="Arial"/>
        </w:rPr>
        <w:t xml:space="preserve"> </w:t>
      </w:r>
      <w:r w:rsidR="009D5E83">
        <w:rPr>
          <w:rFonts w:ascii="Arial" w:hAnsi="Arial" w:cs="Arial"/>
        </w:rPr>
        <w:t>lived</w:t>
      </w:r>
      <w:r w:rsidR="00E86A1F" w:rsidRPr="000809BD">
        <w:rPr>
          <w:rFonts w:ascii="Arial" w:hAnsi="Arial" w:cs="Arial"/>
        </w:rPr>
        <w:t xml:space="preserve"> </w:t>
      </w:r>
      <w:r w:rsidR="009D5E83">
        <w:rPr>
          <w:rFonts w:ascii="Arial" w:hAnsi="Arial" w:cs="Arial"/>
        </w:rPr>
        <w:t xml:space="preserve">in a Security Care Facility until </w:t>
      </w:r>
      <w:r w:rsidR="00E86A1F" w:rsidRPr="000809BD">
        <w:rPr>
          <w:rFonts w:ascii="Arial" w:hAnsi="Arial" w:cs="Arial"/>
        </w:rPr>
        <w:t>February 2017</w:t>
      </w:r>
      <w:r w:rsidRPr="000809BD">
        <w:rPr>
          <w:rFonts w:ascii="Arial" w:hAnsi="Arial" w:cs="Arial"/>
        </w:rPr>
        <w:t xml:space="preserve"> when he</w:t>
      </w:r>
      <w:r w:rsidR="009D5E83">
        <w:rPr>
          <w:rFonts w:ascii="Arial" w:hAnsi="Arial" w:cs="Arial"/>
        </w:rPr>
        <w:t xml:space="preserve"> was</w:t>
      </w:r>
      <w:r w:rsidRPr="000809BD">
        <w:rPr>
          <w:rFonts w:ascii="Arial" w:hAnsi="Arial" w:cs="Arial"/>
        </w:rPr>
        <w:t xml:space="preserve"> relocate</w:t>
      </w:r>
      <w:r w:rsidR="00B759A2" w:rsidRPr="000809BD">
        <w:rPr>
          <w:rFonts w:ascii="Arial" w:hAnsi="Arial" w:cs="Arial"/>
        </w:rPr>
        <w:t>d to a community residence</w:t>
      </w:r>
      <w:r w:rsidR="009D5E83">
        <w:rPr>
          <w:rFonts w:ascii="Arial" w:hAnsi="Arial" w:cs="Arial"/>
        </w:rPr>
        <w:t xml:space="preserve"> without </w:t>
      </w:r>
      <w:r w:rsidR="00910FB1">
        <w:rPr>
          <w:rFonts w:ascii="Arial" w:hAnsi="Arial" w:cs="Arial"/>
        </w:rPr>
        <w:t xml:space="preserve">consultation, </w:t>
      </w:r>
      <w:r w:rsidR="009D5E83" w:rsidRPr="000809BD">
        <w:rPr>
          <w:rFonts w:ascii="Arial" w:hAnsi="Arial" w:cs="Arial"/>
          <w:u w:val="single"/>
        </w:rPr>
        <w:t>article 5</w:t>
      </w:r>
      <w:r w:rsidR="009D5E83">
        <w:rPr>
          <w:rFonts w:ascii="Arial" w:hAnsi="Arial" w:cs="Arial"/>
        </w:rPr>
        <w:t xml:space="preserve"> </w:t>
      </w:r>
      <w:r w:rsidR="00910FB1">
        <w:rPr>
          <w:rFonts w:ascii="Arial" w:hAnsi="Arial" w:cs="Arial"/>
        </w:rPr>
        <w:t xml:space="preserve">had been violated </w:t>
      </w:r>
      <w:r w:rsidR="00370B32">
        <w:rPr>
          <w:rFonts w:ascii="Arial" w:hAnsi="Arial" w:cs="Arial"/>
        </w:rPr>
        <w:t>as</w:t>
      </w:r>
      <w:r w:rsidRPr="000809BD">
        <w:rPr>
          <w:rFonts w:ascii="Arial" w:hAnsi="Arial" w:cs="Arial"/>
        </w:rPr>
        <w:t xml:space="preserve"> institutionalization</w:t>
      </w:r>
      <w:r w:rsidR="009D5E83">
        <w:rPr>
          <w:rFonts w:ascii="Arial" w:hAnsi="Arial" w:cs="Arial"/>
        </w:rPr>
        <w:t xml:space="preserve"> </w:t>
      </w:r>
      <w:r w:rsidRPr="000809BD">
        <w:rPr>
          <w:rFonts w:ascii="Arial" w:hAnsi="Arial" w:cs="Arial"/>
        </w:rPr>
        <w:t xml:space="preserve">as a condition </w:t>
      </w:r>
      <w:r w:rsidR="009D5E83">
        <w:rPr>
          <w:rFonts w:ascii="Arial" w:hAnsi="Arial" w:cs="Arial"/>
        </w:rPr>
        <w:t>for</w:t>
      </w:r>
      <w:r w:rsidRPr="000809BD">
        <w:rPr>
          <w:rFonts w:ascii="Arial" w:hAnsi="Arial" w:cs="Arial"/>
        </w:rPr>
        <w:t xml:space="preserve"> </w:t>
      </w:r>
      <w:r w:rsidR="009D5E83">
        <w:rPr>
          <w:rFonts w:ascii="Arial" w:hAnsi="Arial" w:cs="Arial"/>
        </w:rPr>
        <w:t xml:space="preserve">treatment </w:t>
      </w:r>
      <w:r w:rsidRPr="000809BD">
        <w:rPr>
          <w:rFonts w:ascii="Arial" w:hAnsi="Arial" w:cs="Arial"/>
        </w:rPr>
        <w:t xml:space="preserve">constitutes </w:t>
      </w:r>
      <w:r w:rsidR="009D5E83">
        <w:rPr>
          <w:rFonts w:ascii="Arial" w:hAnsi="Arial" w:cs="Arial"/>
        </w:rPr>
        <w:t>unequal</w:t>
      </w:r>
      <w:r w:rsidRPr="000809BD">
        <w:rPr>
          <w:rFonts w:ascii="Arial" w:hAnsi="Arial" w:cs="Arial"/>
        </w:rPr>
        <w:t xml:space="preserve"> treatment </w:t>
      </w:r>
      <w:r w:rsidR="009D5E83">
        <w:rPr>
          <w:rFonts w:ascii="Arial" w:hAnsi="Arial" w:cs="Arial"/>
        </w:rPr>
        <w:t xml:space="preserve">and discrimination. </w:t>
      </w:r>
    </w:p>
    <w:p w14:paraId="16FF5008" w14:textId="25807ACB" w:rsidR="003C7C08" w:rsidRPr="003C7C08" w:rsidRDefault="005601BC" w:rsidP="00CC238E">
      <w:pPr>
        <w:spacing w:line="276" w:lineRule="auto"/>
        <w:jc w:val="both"/>
        <w:rPr>
          <w:rFonts w:ascii="Arial" w:hAnsi="Arial" w:cs="Arial"/>
          <w:u w:val="single"/>
        </w:rPr>
      </w:pPr>
      <w:r>
        <w:rPr>
          <w:rFonts w:ascii="Arial" w:hAnsi="Arial" w:cs="Arial"/>
        </w:rPr>
        <w:lastRenderedPageBreak/>
        <w:t>T</w:t>
      </w:r>
      <w:r w:rsidR="0006364D" w:rsidRPr="000809BD">
        <w:rPr>
          <w:rFonts w:ascii="Arial" w:hAnsi="Arial" w:cs="Arial"/>
        </w:rPr>
        <w:t>he Committee recall</w:t>
      </w:r>
      <w:r>
        <w:rPr>
          <w:rFonts w:ascii="Arial" w:hAnsi="Arial" w:cs="Arial"/>
        </w:rPr>
        <w:t>ed</w:t>
      </w:r>
      <w:r w:rsidR="0006364D" w:rsidRPr="000809BD">
        <w:rPr>
          <w:rFonts w:ascii="Arial" w:hAnsi="Arial" w:cs="Arial"/>
        </w:rPr>
        <w:t xml:space="preserve"> that a person’s disability </w:t>
      </w:r>
      <w:r w:rsidR="002472FB">
        <w:rPr>
          <w:rFonts w:ascii="Arial" w:hAnsi="Arial" w:cs="Arial"/>
        </w:rPr>
        <w:t>must never be a</w:t>
      </w:r>
      <w:r w:rsidR="00FC1751">
        <w:rPr>
          <w:rFonts w:ascii="Arial" w:hAnsi="Arial" w:cs="Arial"/>
        </w:rPr>
        <w:t xml:space="preserve"> </w:t>
      </w:r>
      <w:r w:rsidR="002472FB">
        <w:rPr>
          <w:rFonts w:ascii="Arial" w:hAnsi="Arial" w:cs="Arial"/>
        </w:rPr>
        <w:t>ground</w:t>
      </w:r>
      <w:r w:rsidR="0006364D" w:rsidRPr="000809BD">
        <w:rPr>
          <w:rFonts w:ascii="Arial" w:hAnsi="Arial" w:cs="Arial"/>
        </w:rPr>
        <w:t xml:space="preserve"> for denying legal capacity </w:t>
      </w:r>
      <w:r w:rsidR="00494BEB">
        <w:rPr>
          <w:rFonts w:ascii="Arial" w:hAnsi="Arial" w:cs="Arial"/>
        </w:rPr>
        <w:t xml:space="preserve">and that </w:t>
      </w:r>
      <w:r w:rsidR="0006364D" w:rsidRPr="000809BD">
        <w:rPr>
          <w:rFonts w:ascii="Arial" w:hAnsi="Arial" w:cs="Arial"/>
        </w:rPr>
        <w:t xml:space="preserve">States must provide access to </w:t>
      </w:r>
      <w:r w:rsidR="00FC1751">
        <w:rPr>
          <w:rFonts w:ascii="Arial" w:hAnsi="Arial" w:cs="Arial"/>
        </w:rPr>
        <w:t xml:space="preserve">the </w:t>
      </w:r>
      <w:r w:rsidR="0006364D" w:rsidRPr="000809BD">
        <w:rPr>
          <w:rFonts w:ascii="Arial" w:hAnsi="Arial" w:cs="Arial"/>
        </w:rPr>
        <w:t xml:space="preserve">support </w:t>
      </w:r>
      <w:r w:rsidR="002472FB">
        <w:rPr>
          <w:rFonts w:ascii="Arial" w:hAnsi="Arial" w:cs="Arial"/>
        </w:rPr>
        <w:t>she</w:t>
      </w:r>
      <w:r w:rsidR="0006364D" w:rsidRPr="000809BD">
        <w:rPr>
          <w:rFonts w:ascii="Arial" w:hAnsi="Arial" w:cs="Arial"/>
        </w:rPr>
        <w:t xml:space="preserve"> </w:t>
      </w:r>
      <w:r w:rsidR="002472FB" w:rsidRPr="000809BD">
        <w:rPr>
          <w:rFonts w:ascii="Arial" w:hAnsi="Arial" w:cs="Arial"/>
        </w:rPr>
        <w:t>might</w:t>
      </w:r>
      <w:r w:rsidR="0006364D" w:rsidRPr="000809BD">
        <w:rPr>
          <w:rFonts w:ascii="Arial" w:hAnsi="Arial" w:cs="Arial"/>
        </w:rPr>
        <w:t xml:space="preserve"> require </w:t>
      </w:r>
      <w:r w:rsidR="00FC1751">
        <w:rPr>
          <w:rFonts w:ascii="Arial" w:hAnsi="Arial" w:cs="Arial"/>
        </w:rPr>
        <w:t xml:space="preserve">to </w:t>
      </w:r>
      <w:r w:rsidR="002472FB" w:rsidRPr="000809BD">
        <w:rPr>
          <w:rFonts w:ascii="Arial" w:hAnsi="Arial" w:cs="Arial"/>
        </w:rPr>
        <w:t>exercis</w:t>
      </w:r>
      <w:r w:rsidR="00FC1751">
        <w:rPr>
          <w:rFonts w:ascii="Arial" w:hAnsi="Arial" w:cs="Arial"/>
        </w:rPr>
        <w:t>e</w:t>
      </w:r>
      <w:r w:rsidR="0006364D" w:rsidRPr="000809BD">
        <w:rPr>
          <w:rFonts w:ascii="Arial" w:hAnsi="Arial" w:cs="Arial"/>
        </w:rPr>
        <w:t xml:space="preserve"> legal capacity. </w:t>
      </w:r>
      <w:r w:rsidR="00494BEB">
        <w:rPr>
          <w:rFonts w:ascii="Arial" w:hAnsi="Arial" w:cs="Arial"/>
        </w:rPr>
        <w:t>It also noted</w:t>
      </w:r>
      <w:r w:rsidR="0006364D" w:rsidRPr="000809BD">
        <w:rPr>
          <w:rFonts w:ascii="Arial" w:hAnsi="Arial" w:cs="Arial"/>
        </w:rPr>
        <w:t xml:space="preserve"> </w:t>
      </w:r>
      <w:r w:rsidR="00FC1751">
        <w:rPr>
          <w:rFonts w:ascii="Arial" w:hAnsi="Arial" w:cs="Arial"/>
        </w:rPr>
        <w:t xml:space="preserve">that </w:t>
      </w:r>
      <w:r w:rsidR="0006364D" w:rsidRPr="000809BD">
        <w:rPr>
          <w:rFonts w:ascii="Arial" w:hAnsi="Arial" w:cs="Arial"/>
        </w:rPr>
        <w:t>article 13(1)</w:t>
      </w:r>
      <w:r w:rsidR="00494BEB">
        <w:rPr>
          <w:rFonts w:ascii="Arial" w:hAnsi="Arial" w:cs="Arial"/>
        </w:rPr>
        <w:t xml:space="preserve"> </w:t>
      </w:r>
      <w:r w:rsidR="00FC1751">
        <w:rPr>
          <w:rFonts w:ascii="Arial" w:hAnsi="Arial" w:cs="Arial"/>
        </w:rPr>
        <w:t>requires</w:t>
      </w:r>
      <w:r w:rsidR="0006364D" w:rsidRPr="000809BD">
        <w:rPr>
          <w:rFonts w:ascii="Arial" w:hAnsi="Arial" w:cs="Arial"/>
        </w:rPr>
        <w:t xml:space="preserve"> States </w:t>
      </w:r>
      <w:r w:rsidR="00FC1751">
        <w:rPr>
          <w:rFonts w:ascii="Arial" w:hAnsi="Arial" w:cs="Arial"/>
        </w:rPr>
        <w:t>to</w:t>
      </w:r>
      <w:r w:rsidR="0006364D" w:rsidRPr="000809BD">
        <w:rPr>
          <w:rFonts w:ascii="Arial" w:hAnsi="Arial" w:cs="Arial"/>
        </w:rPr>
        <w:t xml:space="preserve"> ensure effective access to justice for persons with disabilities on an equal basis with others, including through the provision of procedural and age-appropriate accommodations.</w:t>
      </w:r>
      <w:r w:rsidR="00494BEB">
        <w:rPr>
          <w:rFonts w:ascii="Arial" w:hAnsi="Arial" w:cs="Arial"/>
        </w:rPr>
        <w:t xml:space="preserve"> Considering that the declaration of</w:t>
      </w:r>
      <w:r w:rsidR="0006364D" w:rsidRPr="000809BD">
        <w:rPr>
          <w:rFonts w:ascii="Arial" w:hAnsi="Arial" w:cs="Arial"/>
        </w:rPr>
        <w:t xml:space="preserve"> </w:t>
      </w:r>
      <w:r w:rsidR="00FC1751">
        <w:rPr>
          <w:rFonts w:ascii="Arial" w:hAnsi="Arial" w:cs="Arial"/>
        </w:rPr>
        <w:t>“</w:t>
      </w:r>
      <w:r w:rsidR="0006364D" w:rsidRPr="000809BD">
        <w:rPr>
          <w:rFonts w:ascii="Arial" w:hAnsi="Arial" w:cs="Arial"/>
        </w:rPr>
        <w:t>unfit</w:t>
      </w:r>
      <w:r w:rsidR="00494BEB">
        <w:rPr>
          <w:rFonts w:ascii="Arial" w:hAnsi="Arial" w:cs="Arial"/>
        </w:rPr>
        <w:t xml:space="preserve">ness </w:t>
      </w:r>
      <w:r w:rsidR="0006364D" w:rsidRPr="000809BD">
        <w:rPr>
          <w:rFonts w:ascii="Arial" w:hAnsi="Arial" w:cs="Arial"/>
        </w:rPr>
        <w:t>to stand trial</w:t>
      </w:r>
      <w:r w:rsidR="00FC1751">
        <w:rPr>
          <w:rFonts w:ascii="Arial" w:hAnsi="Arial" w:cs="Arial"/>
        </w:rPr>
        <w:t>”</w:t>
      </w:r>
      <w:r w:rsidR="0006364D" w:rsidRPr="000809BD">
        <w:rPr>
          <w:rFonts w:ascii="Arial" w:hAnsi="Arial" w:cs="Arial"/>
        </w:rPr>
        <w:t xml:space="preserve"> resulted in a denial of </w:t>
      </w:r>
      <w:r w:rsidR="00494BEB">
        <w:rPr>
          <w:rFonts w:ascii="Arial" w:hAnsi="Arial" w:cs="Arial"/>
        </w:rPr>
        <w:t xml:space="preserve">the author’s </w:t>
      </w:r>
      <w:r w:rsidR="0006364D" w:rsidRPr="000809BD">
        <w:rPr>
          <w:rFonts w:ascii="Arial" w:hAnsi="Arial" w:cs="Arial"/>
        </w:rPr>
        <w:t>right to exercise his legal capacity</w:t>
      </w:r>
      <w:r w:rsidR="00494BEB">
        <w:rPr>
          <w:rFonts w:ascii="Arial" w:hAnsi="Arial" w:cs="Arial"/>
        </w:rPr>
        <w:t xml:space="preserve">, </w:t>
      </w:r>
      <w:r w:rsidR="0006364D" w:rsidRPr="000809BD">
        <w:rPr>
          <w:rFonts w:ascii="Arial" w:hAnsi="Arial" w:cs="Arial"/>
        </w:rPr>
        <w:t>to plead not guilty</w:t>
      </w:r>
      <w:r w:rsidR="00494BEB">
        <w:rPr>
          <w:rFonts w:ascii="Arial" w:hAnsi="Arial" w:cs="Arial"/>
        </w:rPr>
        <w:t>,</w:t>
      </w:r>
      <w:r w:rsidR="0006364D" w:rsidRPr="000809BD">
        <w:rPr>
          <w:rFonts w:ascii="Arial" w:hAnsi="Arial" w:cs="Arial"/>
        </w:rPr>
        <w:t xml:space="preserve"> and to test the evidence against him</w:t>
      </w:r>
      <w:r w:rsidR="00494BEB">
        <w:rPr>
          <w:rFonts w:ascii="Arial" w:hAnsi="Arial" w:cs="Arial"/>
        </w:rPr>
        <w:t xml:space="preserve"> and that </w:t>
      </w:r>
      <w:r w:rsidR="0006364D" w:rsidRPr="000809BD">
        <w:rPr>
          <w:rFonts w:ascii="Arial" w:hAnsi="Arial" w:cs="Arial"/>
        </w:rPr>
        <w:t>no adequate form of support or accommodation was</w:t>
      </w:r>
      <w:r w:rsidR="00B759A2" w:rsidRPr="000809BD">
        <w:rPr>
          <w:rFonts w:ascii="Arial" w:hAnsi="Arial" w:cs="Arial"/>
        </w:rPr>
        <w:t xml:space="preserve"> provided </w:t>
      </w:r>
      <w:r w:rsidR="0006364D" w:rsidRPr="000809BD">
        <w:rPr>
          <w:rFonts w:ascii="Arial" w:hAnsi="Arial" w:cs="Arial"/>
        </w:rPr>
        <w:t>to enable the author exercise legal capacity, the Committee consider</w:t>
      </w:r>
      <w:r w:rsidR="00494BEB">
        <w:rPr>
          <w:rFonts w:ascii="Arial" w:hAnsi="Arial" w:cs="Arial"/>
        </w:rPr>
        <w:t xml:space="preserve">ed </w:t>
      </w:r>
      <w:r w:rsidR="0006364D" w:rsidRPr="000809BD">
        <w:rPr>
          <w:rFonts w:ascii="Arial" w:hAnsi="Arial" w:cs="Arial"/>
        </w:rPr>
        <w:t xml:space="preserve">that </w:t>
      </w:r>
      <w:r w:rsidR="0006364D" w:rsidRPr="000809BD">
        <w:rPr>
          <w:rFonts w:ascii="Arial" w:hAnsi="Arial" w:cs="Arial"/>
          <w:u w:val="single"/>
        </w:rPr>
        <w:t>the situation under review amount</w:t>
      </w:r>
      <w:r w:rsidR="00494BEB">
        <w:rPr>
          <w:rFonts w:ascii="Arial" w:hAnsi="Arial" w:cs="Arial"/>
          <w:u w:val="single"/>
        </w:rPr>
        <w:t>ed</w:t>
      </w:r>
      <w:r w:rsidR="0006364D" w:rsidRPr="000809BD">
        <w:rPr>
          <w:rFonts w:ascii="Arial" w:hAnsi="Arial" w:cs="Arial"/>
          <w:u w:val="single"/>
        </w:rPr>
        <w:t xml:space="preserve"> to a violation of the author’s rights under articles 12(2) and (3) and 13(1)</w:t>
      </w:r>
      <w:r w:rsidR="00494BEB">
        <w:rPr>
          <w:rFonts w:ascii="Arial" w:hAnsi="Arial" w:cs="Arial"/>
          <w:u w:val="single"/>
        </w:rPr>
        <w:t>.</w:t>
      </w:r>
    </w:p>
    <w:p w14:paraId="7A41AF02" w14:textId="54AFE686" w:rsidR="0006364D" w:rsidRPr="000809BD" w:rsidRDefault="00494BEB" w:rsidP="00CC238E">
      <w:pPr>
        <w:spacing w:line="276" w:lineRule="auto"/>
        <w:jc w:val="both"/>
        <w:rPr>
          <w:rFonts w:ascii="Arial" w:hAnsi="Arial" w:cs="Arial"/>
        </w:rPr>
      </w:pPr>
      <w:r>
        <w:rPr>
          <w:rFonts w:ascii="Arial" w:hAnsi="Arial" w:cs="Arial"/>
        </w:rPr>
        <w:t>T</w:t>
      </w:r>
      <w:r w:rsidR="0006364D" w:rsidRPr="000809BD">
        <w:rPr>
          <w:rFonts w:ascii="Arial" w:hAnsi="Arial" w:cs="Arial"/>
        </w:rPr>
        <w:t xml:space="preserve">he Committee </w:t>
      </w:r>
      <w:r w:rsidR="002472FB">
        <w:rPr>
          <w:rFonts w:ascii="Arial" w:hAnsi="Arial" w:cs="Arial"/>
        </w:rPr>
        <w:t>noted that</w:t>
      </w:r>
      <w:r w:rsidR="0006364D" w:rsidRPr="000809BD">
        <w:rPr>
          <w:rFonts w:ascii="Arial" w:hAnsi="Arial" w:cs="Arial"/>
        </w:rPr>
        <w:t xml:space="preserve"> the </w:t>
      </w:r>
      <w:r>
        <w:rPr>
          <w:rFonts w:ascii="Arial" w:hAnsi="Arial" w:cs="Arial"/>
        </w:rPr>
        <w:t xml:space="preserve">declaration of unfitness to stand trial </w:t>
      </w:r>
      <w:r w:rsidR="002472FB">
        <w:rPr>
          <w:rFonts w:ascii="Arial" w:hAnsi="Arial" w:cs="Arial"/>
        </w:rPr>
        <w:t xml:space="preserve">had </w:t>
      </w:r>
      <w:r>
        <w:rPr>
          <w:rFonts w:ascii="Arial" w:hAnsi="Arial" w:cs="Arial"/>
        </w:rPr>
        <w:t xml:space="preserve">derived in the committal of the author to custody in prison. Considering </w:t>
      </w:r>
      <w:r w:rsidR="002472FB">
        <w:rPr>
          <w:rFonts w:ascii="Arial" w:hAnsi="Arial" w:cs="Arial"/>
        </w:rPr>
        <w:t xml:space="preserve">the </w:t>
      </w:r>
      <w:r w:rsidR="0006364D" w:rsidRPr="000809BD">
        <w:rPr>
          <w:rFonts w:ascii="Arial" w:hAnsi="Arial" w:cs="Arial"/>
        </w:rPr>
        <w:t xml:space="preserve">detention was decided </w:t>
      </w:r>
      <w:r w:rsidR="00087596" w:rsidRPr="000809BD">
        <w:rPr>
          <w:rFonts w:ascii="Arial" w:hAnsi="Arial" w:cs="Arial"/>
        </w:rPr>
        <w:t>based on</w:t>
      </w:r>
      <w:r w:rsidR="0006364D" w:rsidRPr="000809BD">
        <w:rPr>
          <w:rFonts w:ascii="Arial" w:hAnsi="Arial" w:cs="Arial"/>
        </w:rPr>
        <w:t xml:space="preserve"> the assessment </w:t>
      </w:r>
      <w:r w:rsidR="002472FB">
        <w:rPr>
          <w:rFonts w:ascii="Arial" w:hAnsi="Arial" w:cs="Arial"/>
        </w:rPr>
        <w:t>of</w:t>
      </w:r>
      <w:r w:rsidR="0006364D" w:rsidRPr="000809BD">
        <w:rPr>
          <w:rFonts w:ascii="Arial" w:hAnsi="Arial" w:cs="Arial"/>
        </w:rPr>
        <w:t xml:space="preserve"> potential consequences of </w:t>
      </w:r>
      <w:r w:rsidR="009A1B74">
        <w:rPr>
          <w:rFonts w:ascii="Arial" w:hAnsi="Arial" w:cs="Arial"/>
        </w:rPr>
        <w:t xml:space="preserve">the author’s </w:t>
      </w:r>
      <w:r w:rsidR="0006364D" w:rsidRPr="000809BD">
        <w:rPr>
          <w:rFonts w:ascii="Arial" w:hAnsi="Arial" w:cs="Arial"/>
        </w:rPr>
        <w:t>disability</w:t>
      </w:r>
      <w:r>
        <w:rPr>
          <w:rFonts w:ascii="Arial" w:hAnsi="Arial" w:cs="Arial"/>
        </w:rPr>
        <w:t xml:space="preserve">, </w:t>
      </w:r>
      <w:r>
        <w:rPr>
          <w:rFonts w:ascii="Arial" w:hAnsi="Arial" w:cs="Arial"/>
          <w:u w:val="single"/>
        </w:rPr>
        <w:t>t</w:t>
      </w:r>
      <w:r w:rsidR="00B759A2" w:rsidRPr="000809BD">
        <w:rPr>
          <w:rFonts w:ascii="Arial" w:hAnsi="Arial" w:cs="Arial"/>
          <w:u w:val="single"/>
        </w:rPr>
        <w:t>he</w:t>
      </w:r>
      <w:r w:rsidR="00B759A2" w:rsidRPr="006726C8">
        <w:rPr>
          <w:rFonts w:ascii="Arial" w:hAnsi="Arial" w:cs="Arial"/>
          <w:u w:val="single"/>
        </w:rPr>
        <w:t xml:space="preserve"> Committee</w:t>
      </w:r>
      <w:r w:rsidR="0006364D" w:rsidRPr="006726C8">
        <w:rPr>
          <w:rFonts w:ascii="Arial" w:hAnsi="Arial" w:cs="Arial"/>
          <w:u w:val="single"/>
        </w:rPr>
        <w:t xml:space="preserve"> </w:t>
      </w:r>
      <w:r w:rsidRPr="006726C8">
        <w:rPr>
          <w:rFonts w:ascii="Arial" w:hAnsi="Arial" w:cs="Arial"/>
          <w:u w:val="single"/>
        </w:rPr>
        <w:t xml:space="preserve">ruled that disability was the core </w:t>
      </w:r>
      <w:r w:rsidR="00087596">
        <w:rPr>
          <w:rFonts w:ascii="Arial" w:hAnsi="Arial" w:cs="Arial"/>
          <w:u w:val="single"/>
        </w:rPr>
        <w:t>reason</w:t>
      </w:r>
      <w:r w:rsidRPr="006726C8">
        <w:rPr>
          <w:rFonts w:ascii="Arial" w:hAnsi="Arial" w:cs="Arial"/>
          <w:u w:val="single"/>
        </w:rPr>
        <w:t xml:space="preserve"> of his detention</w:t>
      </w:r>
      <w:r w:rsidR="00D41B25">
        <w:rPr>
          <w:rFonts w:ascii="Arial" w:hAnsi="Arial" w:cs="Arial"/>
          <w:u w:val="single"/>
        </w:rPr>
        <w:t xml:space="preserve"> and thus </w:t>
      </w:r>
      <w:r w:rsidRPr="006726C8">
        <w:rPr>
          <w:rFonts w:ascii="Arial" w:hAnsi="Arial" w:cs="Arial"/>
          <w:u w:val="single"/>
        </w:rPr>
        <w:t xml:space="preserve">violated </w:t>
      </w:r>
      <w:r w:rsidR="0006364D" w:rsidRPr="006726C8">
        <w:rPr>
          <w:rFonts w:ascii="Arial" w:hAnsi="Arial" w:cs="Arial"/>
          <w:u w:val="single"/>
        </w:rPr>
        <w:t>article 14(1</w:t>
      </w:r>
      <w:r w:rsidR="0006364D" w:rsidRPr="000809BD">
        <w:rPr>
          <w:rFonts w:ascii="Arial" w:hAnsi="Arial" w:cs="Arial"/>
          <w:u w:val="single"/>
        </w:rPr>
        <w:t>)(b)</w:t>
      </w:r>
      <w:r>
        <w:rPr>
          <w:rFonts w:ascii="Arial" w:hAnsi="Arial" w:cs="Arial"/>
          <w:u w:val="single"/>
        </w:rPr>
        <w:t>.</w:t>
      </w:r>
      <w:r w:rsidR="0006364D" w:rsidRPr="000809BD">
        <w:rPr>
          <w:rFonts w:ascii="Arial" w:hAnsi="Arial" w:cs="Arial"/>
        </w:rPr>
        <w:t xml:space="preserve"> </w:t>
      </w:r>
    </w:p>
    <w:p w14:paraId="44E3C6C1" w14:textId="7C2B32FD" w:rsidR="0006364D" w:rsidRPr="000809BD" w:rsidRDefault="00087596" w:rsidP="00CC238E">
      <w:pPr>
        <w:spacing w:after="120" w:line="276" w:lineRule="auto"/>
        <w:jc w:val="both"/>
        <w:rPr>
          <w:rFonts w:ascii="Arial" w:hAnsi="Arial" w:cs="Arial"/>
        </w:rPr>
      </w:pPr>
      <w:r>
        <w:rPr>
          <w:rFonts w:ascii="Arial" w:hAnsi="Arial" w:cs="Arial"/>
        </w:rPr>
        <w:t>T</w:t>
      </w:r>
      <w:r w:rsidR="0006364D" w:rsidRPr="000809BD">
        <w:rPr>
          <w:rFonts w:ascii="Arial" w:hAnsi="Arial" w:cs="Arial"/>
        </w:rPr>
        <w:t>he Committee emphasize</w:t>
      </w:r>
      <w:r>
        <w:rPr>
          <w:rFonts w:ascii="Arial" w:hAnsi="Arial" w:cs="Arial"/>
        </w:rPr>
        <w:t>d</w:t>
      </w:r>
      <w:r w:rsidR="0006364D" w:rsidRPr="000809BD">
        <w:rPr>
          <w:rFonts w:ascii="Arial" w:hAnsi="Arial" w:cs="Arial"/>
        </w:rPr>
        <w:t xml:space="preserve"> that States </w:t>
      </w:r>
      <w:r w:rsidR="00D81C67">
        <w:rPr>
          <w:rFonts w:ascii="Arial" w:hAnsi="Arial" w:cs="Arial"/>
        </w:rPr>
        <w:t>are in a position to</w:t>
      </w:r>
      <w:r w:rsidR="0006364D" w:rsidRPr="000809BD">
        <w:rPr>
          <w:rFonts w:ascii="Arial" w:hAnsi="Arial" w:cs="Arial"/>
        </w:rPr>
        <w:t xml:space="preserve"> safeguard the rights of </w:t>
      </w:r>
      <w:r w:rsidR="00544F57">
        <w:rPr>
          <w:rFonts w:ascii="Arial" w:hAnsi="Arial" w:cs="Arial"/>
        </w:rPr>
        <w:t>detainees</w:t>
      </w:r>
      <w:r>
        <w:rPr>
          <w:rFonts w:ascii="Arial" w:hAnsi="Arial" w:cs="Arial"/>
        </w:rPr>
        <w:t xml:space="preserve"> and that </w:t>
      </w:r>
      <w:r w:rsidR="0006364D" w:rsidRPr="000809BD">
        <w:rPr>
          <w:rFonts w:ascii="Arial" w:hAnsi="Arial" w:cs="Arial"/>
          <w:u w:val="single"/>
        </w:rPr>
        <w:t xml:space="preserve">failure to provide reasonable accommodation when they are persons with disabilities </w:t>
      </w:r>
      <w:r w:rsidR="002C2194">
        <w:rPr>
          <w:rFonts w:ascii="Arial" w:hAnsi="Arial" w:cs="Arial"/>
          <w:u w:val="single"/>
        </w:rPr>
        <w:t>might</w:t>
      </w:r>
      <w:r>
        <w:rPr>
          <w:rFonts w:ascii="Arial" w:hAnsi="Arial" w:cs="Arial"/>
          <w:u w:val="single"/>
        </w:rPr>
        <w:t xml:space="preserve"> </w:t>
      </w:r>
      <w:r w:rsidR="0006364D" w:rsidRPr="000809BD">
        <w:rPr>
          <w:rFonts w:ascii="Arial" w:hAnsi="Arial" w:cs="Arial"/>
          <w:u w:val="single"/>
        </w:rPr>
        <w:t>breach article 15(2)</w:t>
      </w:r>
      <w:r w:rsidR="0006364D" w:rsidRPr="000809BD">
        <w:rPr>
          <w:rFonts w:ascii="Arial" w:hAnsi="Arial" w:cs="Arial"/>
        </w:rPr>
        <w:t xml:space="preserve">. </w:t>
      </w:r>
      <w:r>
        <w:rPr>
          <w:rFonts w:ascii="Arial" w:hAnsi="Arial" w:cs="Arial"/>
        </w:rPr>
        <w:t xml:space="preserve">It noted </w:t>
      </w:r>
      <w:r w:rsidR="002C2194">
        <w:rPr>
          <w:rFonts w:ascii="Arial" w:hAnsi="Arial" w:cs="Arial"/>
        </w:rPr>
        <w:t>that</w:t>
      </w:r>
      <w:r>
        <w:rPr>
          <w:rFonts w:ascii="Arial" w:hAnsi="Arial" w:cs="Arial"/>
        </w:rPr>
        <w:t xml:space="preserve"> </w:t>
      </w:r>
      <w:r w:rsidR="0006364D" w:rsidRPr="000809BD">
        <w:rPr>
          <w:rFonts w:ascii="Arial" w:hAnsi="Arial" w:cs="Arial"/>
        </w:rPr>
        <w:t>the author was held in isolation</w:t>
      </w:r>
      <w:r>
        <w:rPr>
          <w:rFonts w:ascii="Arial" w:hAnsi="Arial" w:cs="Arial"/>
        </w:rPr>
        <w:t>,</w:t>
      </w:r>
      <w:r w:rsidRPr="00087596">
        <w:rPr>
          <w:rFonts w:ascii="Arial" w:hAnsi="Arial" w:cs="Arial"/>
        </w:rPr>
        <w:t xml:space="preserve"> </w:t>
      </w:r>
      <w:r w:rsidRPr="000809BD">
        <w:rPr>
          <w:rFonts w:ascii="Arial" w:hAnsi="Arial" w:cs="Arial"/>
        </w:rPr>
        <w:t>not separated from convicted offenders,</w:t>
      </w:r>
      <w:r>
        <w:rPr>
          <w:rFonts w:ascii="Arial" w:hAnsi="Arial" w:cs="Arial"/>
        </w:rPr>
        <w:t xml:space="preserve"> </w:t>
      </w:r>
      <w:r w:rsidR="0006364D" w:rsidRPr="000809BD">
        <w:rPr>
          <w:rFonts w:ascii="Arial" w:hAnsi="Arial" w:cs="Arial"/>
        </w:rPr>
        <w:t>and subject</w:t>
      </w:r>
      <w:r>
        <w:rPr>
          <w:rFonts w:ascii="Arial" w:hAnsi="Arial" w:cs="Arial"/>
        </w:rPr>
        <w:t>ed</w:t>
      </w:r>
      <w:r w:rsidR="0006364D" w:rsidRPr="000809BD">
        <w:rPr>
          <w:rFonts w:ascii="Arial" w:hAnsi="Arial" w:cs="Arial"/>
        </w:rPr>
        <w:t xml:space="preserve"> to involuntary treatment. </w:t>
      </w:r>
      <w:r w:rsidR="005F2A99">
        <w:rPr>
          <w:rFonts w:ascii="Arial" w:hAnsi="Arial" w:cs="Arial"/>
        </w:rPr>
        <w:t>C</w:t>
      </w:r>
      <w:r>
        <w:rPr>
          <w:rFonts w:ascii="Arial" w:hAnsi="Arial" w:cs="Arial"/>
        </w:rPr>
        <w:t>onsidering</w:t>
      </w:r>
      <w:r w:rsidR="0006364D" w:rsidRPr="000809BD">
        <w:rPr>
          <w:rFonts w:ascii="Arial" w:hAnsi="Arial" w:cs="Arial"/>
        </w:rPr>
        <w:t xml:space="preserve"> the effects that indefinite detention may have, </w:t>
      </w:r>
      <w:r w:rsidR="005F2A99">
        <w:rPr>
          <w:rFonts w:ascii="Arial" w:hAnsi="Arial" w:cs="Arial"/>
        </w:rPr>
        <w:t>it</w:t>
      </w:r>
      <w:r w:rsidR="0006364D" w:rsidRPr="000809BD">
        <w:rPr>
          <w:rFonts w:ascii="Arial" w:hAnsi="Arial" w:cs="Arial"/>
        </w:rPr>
        <w:t xml:space="preserve"> </w:t>
      </w:r>
      <w:r w:rsidR="0006364D" w:rsidRPr="000809BD">
        <w:rPr>
          <w:rFonts w:ascii="Arial" w:hAnsi="Arial" w:cs="Arial"/>
          <w:u w:val="single"/>
        </w:rPr>
        <w:t>consider</w:t>
      </w:r>
      <w:r>
        <w:rPr>
          <w:rFonts w:ascii="Arial" w:hAnsi="Arial" w:cs="Arial"/>
          <w:u w:val="single"/>
        </w:rPr>
        <w:t>ed</w:t>
      </w:r>
      <w:r w:rsidR="0006364D" w:rsidRPr="000809BD">
        <w:rPr>
          <w:rFonts w:ascii="Arial" w:hAnsi="Arial" w:cs="Arial"/>
          <w:u w:val="single"/>
        </w:rPr>
        <w:t xml:space="preserve"> that </w:t>
      </w:r>
      <w:r>
        <w:rPr>
          <w:rFonts w:ascii="Arial" w:hAnsi="Arial" w:cs="Arial"/>
          <w:u w:val="single"/>
        </w:rPr>
        <w:t>the author</w:t>
      </w:r>
      <w:r w:rsidR="005F2A99">
        <w:rPr>
          <w:rFonts w:ascii="Arial" w:hAnsi="Arial" w:cs="Arial"/>
          <w:u w:val="single"/>
        </w:rPr>
        <w:t>’s custody</w:t>
      </w:r>
      <w:r w:rsidR="0006364D" w:rsidRPr="000809BD">
        <w:rPr>
          <w:rFonts w:ascii="Arial" w:hAnsi="Arial" w:cs="Arial"/>
          <w:u w:val="single"/>
        </w:rPr>
        <w:t xml:space="preserve"> </w:t>
      </w:r>
      <w:r w:rsidR="005F2A99">
        <w:rPr>
          <w:rFonts w:ascii="Arial" w:hAnsi="Arial" w:cs="Arial"/>
          <w:u w:val="single"/>
        </w:rPr>
        <w:t>amounted</w:t>
      </w:r>
      <w:r w:rsidR="0006364D" w:rsidRPr="000809BD">
        <w:rPr>
          <w:rFonts w:ascii="Arial" w:hAnsi="Arial" w:cs="Arial"/>
          <w:u w:val="single"/>
        </w:rPr>
        <w:t xml:space="preserve"> to inhuman and degrading treatment</w:t>
      </w:r>
      <w:r w:rsidR="0006364D" w:rsidRPr="000809BD">
        <w:rPr>
          <w:rFonts w:ascii="Arial" w:hAnsi="Arial" w:cs="Arial"/>
        </w:rPr>
        <w:t xml:space="preserve">. Regardless of whether </w:t>
      </w:r>
      <w:r>
        <w:rPr>
          <w:rFonts w:ascii="Arial" w:hAnsi="Arial" w:cs="Arial"/>
        </w:rPr>
        <w:t xml:space="preserve">violence from other prisoners was </w:t>
      </w:r>
      <w:r w:rsidR="002C2194">
        <w:rPr>
          <w:rFonts w:ascii="Arial" w:hAnsi="Arial" w:cs="Arial"/>
        </w:rPr>
        <w:t>proven</w:t>
      </w:r>
      <w:r w:rsidR="0006364D" w:rsidRPr="000809BD">
        <w:rPr>
          <w:rFonts w:ascii="Arial" w:hAnsi="Arial" w:cs="Arial"/>
        </w:rPr>
        <w:t xml:space="preserve">, </w:t>
      </w:r>
      <w:r w:rsidR="0006364D" w:rsidRPr="000809BD">
        <w:rPr>
          <w:rFonts w:ascii="Arial" w:hAnsi="Arial" w:cs="Arial"/>
          <w:u w:val="single"/>
        </w:rPr>
        <w:t xml:space="preserve">the indefinite character of custody, detention </w:t>
      </w:r>
      <w:r w:rsidR="00D81C67">
        <w:rPr>
          <w:rFonts w:ascii="Arial" w:hAnsi="Arial" w:cs="Arial"/>
          <w:u w:val="single"/>
        </w:rPr>
        <w:t>without conviction</w:t>
      </w:r>
      <w:r w:rsidR="0006364D" w:rsidRPr="000809BD">
        <w:rPr>
          <w:rFonts w:ascii="Arial" w:hAnsi="Arial" w:cs="Arial"/>
          <w:u w:val="single"/>
        </w:rPr>
        <w:t xml:space="preserve">, periodic isolation, involuntary </w:t>
      </w:r>
      <w:r w:rsidR="00D81C67" w:rsidRPr="000809BD">
        <w:rPr>
          <w:rFonts w:ascii="Arial" w:hAnsi="Arial" w:cs="Arial"/>
          <w:u w:val="single"/>
        </w:rPr>
        <w:t>treatment,</w:t>
      </w:r>
      <w:r w:rsidR="0006364D" w:rsidRPr="000809BD">
        <w:rPr>
          <w:rFonts w:ascii="Arial" w:hAnsi="Arial" w:cs="Arial"/>
          <w:u w:val="single"/>
        </w:rPr>
        <w:t xml:space="preserve"> and </w:t>
      </w:r>
      <w:r w:rsidR="00D81C67">
        <w:rPr>
          <w:rFonts w:ascii="Arial" w:hAnsi="Arial" w:cs="Arial"/>
          <w:u w:val="single"/>
        </w:rPr>
        <w:t>placement</w:t>
      </w:r>
      <w:r w:rsidR="0006364D" w:rsidRPr="000809BD">
        <w:rPr>
          <w:rFonts w:ascii="Arial" w:hAnsi="Arial" w:cs="Arial"/>
          <w:u w:val="single"/>
        </w:rPr>
        <w:t xml:space="preserve"> with convicted offenders violat</w:t>
      </w:r>
      <w:r w:rsidR="00D81C67">
        <w:rPr>
          <w:rFonts w:ascii="Arial" w:hAnsi="Arial" w:cs="Arial"/>
          <w:u w:val="single"/>
        </w:rPr>
        <w:t xml:space="preserve">ed </w:t>
      </w:r>
      <w:r w:rsidR="0006364D" w:rsidRPr="000809BD">
        <w:rPr>
          <w:rFonts w:ascii="Arial" w:hAnsi="Arial" w:cs="Arial"/>
          <w:u w:val="single"/>
        </w:rPr>
        <w:t>article 15</w:t>
      </w:r>
      <w:r w:rsidR="0006364D" w:rsidRPr="000809BD">
        <w:rPr>
          <w:rFonts w:ascii="Arial" w:hAnsi="Arial" w:cs="Arial"/>
        </w:rPr>
        <w:t>.</w:t>
      </w:r>
    </w:p>
    <w:p w14:paraId="16E648FF" w14:textId="4A617CE5" w:rsidR="00C477C3" w:rsidRPr="00043D57" w:rsidRDefault="002131A7" w:rsidP="00CC238E">
      <w:pPr>
        <w:spacing w:line="276" w:lineRule="auto"/>
        <w:jc w:val="both"/>
        <w:rPr>
          <w:rFonts w:ascii="Arial" w:hAnsi="Arial" w:cs="Arial"/>
          <w:lang w:val="en-CH"/>
        </w:rPr>
      </w:pPr>
      <w:r>
        <w:rPr>
          <w:rFonts w:ascii="Arial" w:hAnsi="Arial" w:cs="Arial"/>
        </w:rPr>
        <w:t xml:space="preserve">Considering </w:t>
      </w:r>
      <w:r w:rsidR="0006364D" w:rsidRPr="000809BD">
        <w:rPr>
          <w:rFonts w:ascii="Arial" w:hAnsi="Arial" w:cs="Arial"/>
        </w:rPr>
        <w:t>the State</w:t>
      </w:r>
      <w:r w:rsidR="00D81C67">
        <w:rPr>
          <w:rFonts w:ascii="Arial" w:hAnsi="Arial" w:cs="Arial"/>
        </w:rPr>
        <w:t xml:space="preserve">’s </w:t>
      </w:r>
      <w:r w:rsidR="0006364D" w:rsidRPr="000809BD">
        <w:rPr>
          <w:rFonts w:ascii="Arial" w:hAnsi="Arial" w:cs="Arial"/>
        </w:rPr>
        <w:t>submission that periodic reviews concluded that no alternative to custody</w:t>
      </w:r>
      <w:r>
        <w:rPr>
          <w:rFonts w:ascii="Arial" w:hAnsi="Arial" w:cs="Arial"/>
        </w:rPr>
        <w:t xml:space="preserve"> was available to the author</w:t>
      </w:r>
      <w:r w:rsidR="00043D57">
        <w:rPr>
          <w:rFonts w:ascii="Arial" w:hAnsi="Arial" w:cs="Arial"/>
        </w:rPr>
        <w:t>, but also</w:t>
      </w:r>
      <w:r>
        <w:rPr>
          <w:rFonts w:ascii="Arial" w:hAnsi="Arial" w:cs="Arial"/>
        </w:rPr>
        <w:t xml:space="preserve"> that he</w:t>
      </w:r>
      <w:r w:rsidR="0006364D" w:rsidRPr="000809BD">
        <w:rPr>
          <w:rFonts w:ascii="Arial" w:hAnsi="Arial" w:cs="Arial"/>
        </w:rPr>
        <w:t xml:space="preserve"> was </w:t>
      </w:r>
      <w:r w:rsidR="00043D57">
        <w:rPr>
          <w:rFonts w:ascii="Arial" w:hAnsi="Arial" w:cs="Arial"/>
        </w:rPr>
        <w:t xml:space="preserve">finally </w:t>
      </w:r>
      <w:r w:rsidR="0006364D" w:rsidRPr="000809BD">
        <w:rPr>
          <w:rFonts w:ascii="Arial" w:hAnsi="Arial" w:cs="Arial"/>
        </w:rPr>
        <w:t xml:space="preserve">granted </w:t>
      </w:r>
      <w:r w:rsidR="00043D57" w:rsidRPr="00043D57">
        <w:rPr>
          <w:rFonts w:ascii="Arial" w:hAnsi="Arial" w:cs="Arial"/>
          <w:lang w:val="en-CH"/>
        </w:rPr>
        <w:t>the possibility of living in a community residence</w:t>
      </w:r>
      <w:r w:rsidR="00D81C67">
        <w:rPr>
          <w:rFonts w:ascii="Arial" w:hAnsi="Arial" w:cs="Arial"/>
        </w:rPr>
        <w:t xml:space="preserve">, </w:t>
      </w:r>
      <w:r w:rsidR="0006364D" w:rsidRPr="000809BD">
        <w:rPr>
          <w:rFonts w:ascii="Arial" w:hAnsi="Arial" w:cs="Arial"/>
          <w:u w:val="single"/>
        </w:rPr>
        <w:t>the Committee consider</w:t>
      </w:r>
      <w:r w:rsidR="00D81C67">
        <w:rPr>
          <w:rFonts w:ascii="Arial" w:hAnsi="Arial" w:cs="Arial"/>
          <w:u w:val="single"/>
        </w:rPr>
        <w:t>ed</w:t>
      </w:r>
      <w:r w:rsidR="0006364D" w:rsidRPr="000809BD">
        <w:rPr>
          <w:rFonts w:ascii="Arial" w:hAnsi="Arial" w:cs="Arial"/>
          <w:u w:val="single"/>
        </w:rPr>
        <w:t xml:space="preserve"> that the issue concerning article 19 </w:t>
      </w:r>
      <w:r w:rsidR="00D81C67">
        <w:rPr>
          <w:rFonts w:ascii="Arial" w:hAnsi="Arial" w:cs="Arial"/>
          <w:u w:val="single"/>
        </w:rPr>
        <w:t>had</w:t>
      </w:r>
      <w:r w:rsidR="0006364D" w:rsidRPr="000809BD">
        <w:rPr>
          <w:rFonts w:ascii="Arial" w:hAnsi="Arial" w:cs="Arial"/>
          <w:u w:val="single"/>
        </w:rPr>
        <w:t xml:space="preserve"> </w:t>
      </w:r>
      <w:r w:rsidR="00EE484E" w:rsidRPr="000809BD">
        <w:rPr>
          <w:rFonts w:ascii="Arial" w:hAnsi="Arial" w:cs="Arial"/>
          <w:u w:val="single"/>
        </w:rPr>
        <w:t>bec</w:t>
      </w:r>
      <w:r w:rsidR="00EE484E">
        <w:rPr>
          <w:rFonts w:ascii="Arial" w:hAnsi="Arial" w:cs="Arial"/>
          <w:u w:val="single"/>
        </w:rPr>
        <w:t>o</w:t>
      </w:r>
      <w:r w:rsidR="00EE484E" w:rsidRPr="000809BD">
        <w:rPr>
          <w:rFonts w:ascii="Arial" w:hAnsi="Arial" w:cs="Arial"/>
          <w:u w:val="single"/>
        </w:rPr>
        <w:t>me</w:t>
      </w:r>
      <w:r w:rsidR="0006364D" w:rsidRPr="000809BD">
        <w:rPr>
          <w:rFonts w:ascii="Arial" w:hAnsi="Arial" w:cs="Arial"/>
          <w:u w:val="single"/>
        </w:rPr>
        <w:t xml:space="preserve"> moot</w:t>
      </w:r>
      <w:r w:rsidR="0006364D" w:rsidRPr="000809BD">
        <w:rPr>
          <w:rFonts w:ascii="Arial" w:hAnsi="Arial" w:cs="Arial"/>
        </w:rPr>
        <w:t>.</w:t>
      </w:r>
      <w:r w:rsidR="009338C1">
        <w:rPr>
          <w:rFonts w:ascii="Arial" w:hAnsi="Arial" w:cs="Arial"/>
        </w:rPr>
        <w:t xml:space="preserve"> </w:t>
      </w:r>
      <w:r w:rsidR="0006364D" w:rsidRPr="000809BD">
        <w:rPr>
          <w:rFonts w:ascii="Arial" w:hAnsi="Arial" w:cs="Arial"/>
        </w:rPr>
        <w:t xml:space="preserve">Finally, </w:t>
      </w:r>
      <w:r>
        <w:rPr>
          <w:rFonts w:ascii="Arial" w:hAnsi="Arial" w:cs="Arial"/>
        </w:rPr>
        <w:t>it ruled</w:t>
      </w:r>
      <w:r w:rsidR="00E826F6" w:rsidRPr="000809BD">
        <w:rPr>
          <w:rFonts w:ascii="Arial" w:hAnsi="Arial" w:cs="Arial"/>
        </w:rPr>
        <w:t xml:space="preserve"> </w:t>
      </w:r>
      <w:r w:rsidR="00EE484E">
        <w:rPr>
          <w:rFonts w:ascii="Arial" w:hAnsi="Arial" w:cs="Arial"/>
        </w:rPr>
        <w:t xml:space="preserve">that information </w:t>
      </w:r>
      <w:r>
        <w:rPr>
          <w:rFonts w:ascii="Arial" w:hAnsi="Arial" w:cs="Arial"/>
        </w:rPr>
        <w:t>provided to it</w:t>
      </w:r>
      <w:r w:rsidR="00EE484E">
        <w:rPr>
          <w:rFonts w:ascii="Arial" w:hAnsi="Arial" w:cs="Arial"/>
        </w:rPr>
        <w:t xml:space="preserve"> </w:t>
      </w:r>
      <w:r w:rsidR="00EE484E" w:rsidRPr="002131A7">
        <w:rPr>
          <w:rFonts w:ascii="Arial" w:hAnsi="Arial" w:cs="Arial"/>
          <w:u w:val="single"/>
        </w:rPr>
        <w:t>did not enable it</w:t>
      </w:r>
      <w:r w:rsidRPr="002131A7">
        <w:rPr>
          <w:rFonts w:ascii="Arial" w:hAnsi="Arial" w:cs="Arial"/>
          <w:u w:val="single"/>
        </w:rPr>
        <w:t xml:space="preserve"> to</w:t>
      </w:r>
      <w:r w:rsidR="00EE484E" w:rsidRPr="002131A7">
        <w:rPr>
          <w:rFonts w:ascii="Arial" w:hAnsi="Arial" w:cs="Arial"/>
          <w:u w:val="single"/>
        </w:rPr>
        <w:t xml:space="preserve"> </w:t>
      </w:r>
      <w:r w:rsidR="005F2A99" w:rsidRPr="002131A7">
        <w:rPr>
          <w:rFonts w:ascii="Arial" w:hAnsi="Arial" w:cs="Arial"/>
          <w:u w:val="single"/>
        </w:rPr>
        <w:t xml:space="preserve">find </w:t>
      </w:r>
      <w:r w:rsidR="0006364D" w:rsidRPr="002131A7">
        <w:rPr>
          <w:rFonts w:ascii="Arial" w:hAnsi="Arial" w:cs="Arial"/>
          <w:u w:val="single"/>
        </w:rPr>
        <w:t>violations of articles 25, 26 and 28.</w:t>
      </w:r>
    </w:p>
    <w:p w14:paraId="62CB6766" w14:textId="489CB690" w:rsidR="00A31760" w:rsidRPr="00755CF4" w:rsidRDefault="00A31760" w:rsidP="00CC238E">
      <w:pPr>
        <w:spacing w:line="276" w:lineRule="auto"/>
        <w:jc w:val="both"/>
        <w:rPr>
          <w:rFonts w:ascii="Arial" w:hAnsi="Arial" w:cs="Arial"/>
          <w:bCs/>
          <w:sz w:val="28"/>
          <w:szCs w:val="28"/>
        </w:rPr>
      </w:pPr>
      <w:r w:rsidRPr="00755CF4">
        <w:rPr>
          <w:rFonts w:ascii="Arial" w:hAnsi="Arial" w:cs="Arial"/>
          <w:bCs/>
          <w:sz w:val="28"/>
          <w:szCs w:val="28"/>
        </w:rPr>
        <w:t>Conclusion</w:t>
      </w:r>
    </w:p>
    <w:p w14:paraId="256A32B5" w14:textId="3C506980" w:rsidR="003C7C08" w:rsidRPr="000809BD" w:rsidRDefault="00B64A49" w:rsidP="00CC238E">
      <w:pPr>
        <w:spacing w:line="276" w:lineRule="auto"/>
        <w:jc w:val="both"/>
        <w:rPr>
          <w:rFonts w:ascii="Arial" w:hAnsi="Arial" w:cs="Arial"/>
        </w:rPr>
      </w:pPr>
      <w:r w:rsidRPr="000809BD">
        <w:rPr>
          <w:rFonts w:ascii="Arial" w:hAnsi="Arial" w:cs="Arial"/>
        </w:rPr>
        <w:t>The Committee</w:t>
      </w:r>
      <w:r w:rsidR="00A772CA">
        <w:rPr>
          <w:rFonts w:ascii="Arial" w:hAnsi="Arial" w:cs="Arial"/>
        </w:rPr>
        <w:t xml:space="preserve"> </w:t>
      </w:r>
      <w:r w:rsidR="00A82DF0">
        <w:rPr>
          <w:rFonts w:ascii="Arial" w:hAnsi="Arial" w:cs="Arial"/>
        </w:rPr>
        <w:t xml:space="preserve">concluded </w:t>
      </w:r>
      <w:r w:rsidRPr="000809BD">
        <w:rPr>
          <w:rFonts w:ascii="Arial" w:hAnsi="Arial" w:cs="Arial"/>
        </w:rPr>
        <w:t xml:space="preserve">the State </w:t>
      </w:r>
      <w:r w:rsidR="007542B1">
        <w:rPr>
          <w:rFonts w:ascii="Arial" w:hAnsi="Arial" w:cs="Arial"/>
        </w:rPr>
        <w:t xml:space="preserve">had </w:t>
      </w:r>
      <w:r w:rsidR="004B060F">
        <w:rPr>
          <w:rFonts w:ascii="Arial" w:hAnsi="Arial" w:cs="Arial"/>
        </w:rPr>
        <w:t xml:space="preserve">violated articles </w:t>
      </w:r>
      <w:r w:rsidRPr="000809BD">
        <w:rPr>
          <w:rFonts w:ascii="Arial" w:hAnsi="Arial" w:cs="Arial"/>
        </w:rPr>
        <w:t xml:space="preserve">5, 12, 13, 14 and 15 </w:t>
      </w:r>
      <w:r w:rsidR="007542B1">
        <w:rPr>
          <w:rFonts w:ascii="Arial" w:hAnsi="Arial" w:cs="Arial"/>
        </w:rPr>
        <w:t>and:</w:t>
      </w:r>
    </w:p>
    <w:p w14:paraId="1D615D47" w14:textId="1CC5F08D" w:rsidR="00B64A49" w:rsidRPr="000809BD" w:rsidRDefault="00B64A49" w:rsidP="00CC238E">
      <w:pPr>
        <w:spacing w:after="0" w:line="276" w:lineRule="auto"/>
        <w:jc w:val="both"/>
        <w:rPr>
          <w:rFonts w:ascii="Arial" w:hAnsi="Arial" w:cs="Arial"/>
        </w:rPr>
      </w:pPr>
      <w:r w:rsidRPr="000809BD">
        <w:rPr>
          <w:rFonts w:ascii="Arial" w:hAnsi="Arial" w:cs="Arial"/>
          <w:u w:val="single"/>
        </w:rPr>
        <w:t>(a) Concerning the author</w:t>
      </w:r>
      <w:r w:rsidRPr="000809BD">
        <w:rPr>
          <w:rFonts w:ascii="Arial" w:hAnsi="Arial" w:cs="Arial"/>
        </w:rPr>
        <w:t xml:space="preserve">, the </w:t>
      </w:r>
      <w:r w:rsidR="007542B1">
        <w:rPr>
          <w:rFonts w:ascii="Arial" w:hAnsi="Arial" w:cs="Arial"/>
        </w:rPr>
        <w:t xml:space="preserve">Committee recommended the </w:t>
      </w:r>
      <w:r w:rsidRPr="000809BD">
        <w:rPr>
          <w:rFonts w:ascii="Arial" w:hAnsi="Arial" w:cs="Arial"/>
        </w:rPr>
        <w:t>State to:</w:t>
      </w:r>
    </w:p>
    <w:p w14:paraId="3FD4E2B7" w14:textId="60412D36" w:rsidR="00A772CA" w:rsidRDefault="00B64A49" w:rsidP="00CC238E">
      <w:pPr>
        <w:spacing w:after="0" w:line="276" w:lineRule="auto"/>
        <w:jc w:val="both"/>
        <w:rPr>
          <w:rFonts w:ascii="Arial" w:hAnsi="Arial" w:cs="Arial"/>
        </w:rPr>
      </w:pPr>
      <w:r w:rsidRPr="000809BD">
        <w:rPr>
          <w:rFonts w:ascii="Arial" w:hAnsi="Arial" w:cs="Arial"/>
        </w:rPr>
        <w:t>(</w:t>
      </w:r>
      <w:proofErr w:type="spellStart"/>
      <w:r w:rsidRPr="000809BD">
        <w:rPr>
          <w:rFonts w:ascii="Arial" w:hAnsi="Arial" w:cs="Arial"/>
        </w:rPr>
        <w:t>i</w:t>
      </w:r>
      <w:proofErr w:type="spellEnd"/>
      <w:r w:rsidRPr="000809BD">
        <w:rPr>
          <w:rFonts w:ascii="Arial" w:hAnsi="Arial" w:cs="Arial"/>
        </w:rPr>
        <w:t xml:space="preserve">) Provide him with </w:t>
      </w:r>
      <w:r w:rsidR="007542B1">
        <w:rPr>
          <w:rFonts w:ascii="Arial" w:hAnsi="Arial" w:cs="Arial"/>
        </w:rPr>
        <w:t xml:space="preserve">effective </w:t>
      </w:r>
      <w:r w:rsidRPr="000809BD">
        <w:rPr>
          <w:rFonts w:ascii="Arial" w:hAnsi="Arial" w:cs="Arial"/>
        </w:rPr>
        <w:t>remedy, including legal costs</w:t>
      </w:r>
      <w:r w:rsidR="00A772CA">
        <w:rPr>
          <w:rFonts w:ascii="Arial" w:hAnsi="Arial" w:cs="Arial"/>
        </w:rPr>
        <w:t xml:space="preserve"> and </w:t>
      </w:r>
      <w:r w:rsidR="00A772CA" w:rsidRPr="000809BD">
        <w:rPr>
          <w:rFonts w:ascii="Arial" w:hAnsi="Arial" w:cs="Arial"/>
        </w:rPr>
        <w:t>compensation.</w:t>
      </w:r>
    </w:p>
    <w:p w14:paraId="363D4D27" w14:textId="07C25E6C" w:rsidR="009D5E83" w:rsidRDefault="00B64A49" w:rsidP="00CC238E">
      <w:pPr>
        <w:spacing w:after="0" w:line="276" w:lineRule="auto"/>
        <w:jc w:val="both"/>
        <w:rPr>
          <w:rFonts w:ascii="Arial" w:hAnsi="Arial" w:cs="Arial"/>
        </w:rPr>
      </w:pPr>
      <w:r w:rsidRPr="000809BD">
        <w:rPr>
          <w:rFonts w:ascii="Arial" w:hAnsi="Arial" w:cs="Arial"/>
        </w:rPr>
        <w:t>(ii)</w:t>
      </w:r>
      <w:r w:rsidR="00043D57">
        <w:rPr>
          <w:rFonts w:ascii="Arial" w:hAnsi="Arial" w:cs="Arial"/>
        </w:rPr>
        <w:t xml:space="preserve"> </w:t>
      </w:r>
      <w:r w:rsidRPr="000809BD">
        <w:rPr>
          <w:rFonts w:ascii="Arial" w:hAnsi="Arial" w:cs="Arial"/>
        </w:rPr>
        <w:t xml:space="preserve">Publish and circulate </w:t>
      </w:r>
      <w:r w:rsidR="007542B1">
        <w:rPr>
          <w:rFonts w:ascii="Arial" w:hAnsi="Arial" w:cs="Arial"/>
        </w:rPr>
        <w:t>th</w:t>
      </w:r>
      <w:r w:rsidR="00043D57">
        <w:rPr>
          <w:rFonts w:ascii="Arial" w:hAnsi="Arial" w:cs="Arial"/>
        </w:rPr>
        <w:t xml:space="preserve">e views on this case </w:t>
      </w:r>
      <w:r w:rsidRPr="000809BD">
        <w:rPr>
          <w:rFonts w:ascii="Arial" w:hAnsi="Arial" w:cs="Arial"/>
        </w:rPr>
        <w:t>widely in accessible formats.</w:t>
      </w:r>
    </w:p>
    <w:p w14:paraId="3CC6BC47" w14:textId="77777777" w:rsidR="00A82DF0" w:rsidRDefault="00A82DF0" w:rsidP="00CC238E">
      <w:pPr>
        <w:spacing w:after="0" w:line="276" w:lineRule="auto"/>
        <w:jc w:val="both"/>
        <w:rPr>
          <w:rFonts w:ascii="Arial" w:hAnsi="Arial" w:cs="Arial"/>
        </w:rPr>
      </w:pPr>
    </w:p>
    <w:p w14:paraId="31008E7A" w14:textId="2CF87919" w:rsidR="00B64A49" w:rsidRPr="000809BD" w:rsidRDefault="00B64A49" w:rsidP="00CC238E">
      <w:pPr>
        <w:spacing w:after="120" w:line="276" w:lineRule="auto"/>
        <w:jc w:val="both"/>
        <w:rPr>
          <w:rFonts w:ascii="Arial" w:hAnsi="Arial" w:cs="Arial"/>
        </w:rPr>
      </w:pPr>
      <w:r w:rsidRPr="000809BD">
        <w:rPr>
          <w:rFonts w:ascii="Arial" w:hAnsi="Arial" w:cs="Arial"/>
          <w:u w:val="single"/>
        </w:rPr>
        <w:t>(b) In general,</w:t>
      </w:r>
      <w:r w:rsidRPr="000809BD">
        <w:rPr>
          <w:rFonts w:ascii="Arial" w:hAnsi="Arial" w:cs="Arial"/>
        </w:rPr>
        <w:t xml:space="preserve"> the</w:t>
      </w:r>
      <w:r w:rsidR="007542B1">
        <w:rPr>
          <w:rFonts w:ascii="Arial" w:hAnsi="Arial" w:cs="Arial"/>
        </w:rPr>
        <w:t xml:space="preserve"> Committee required the State </w:t>
      </w:r>
      <w:r w:rsidRPr="000809BD">
        <w:rPr>
          <w:rFonts w:ascii="Arial" w:hAnsi="Arial" w:cs="Arial"/>
        </w:rPr>
        <w:t xml:space="preserve">to take measures to prevent similar violations </w:t>
      </w:r>
      <w:r w:rsidR="007542B1">
        <w:rPr>
          <w:rFonts w:ascii="Arial" w:hAnsi="Arial" w:cs="Arial"/>
        </w:rPr>
        <w:t xml:space="preserve">and, by referring to its </w:t>
      </w:r>
      <w:r w:rsidRPr="000809BD">
        <w:rPr>
          <w:rFonts w:ascii="Arial" w:hAnsi="Arial" w:cs="Arial"/>
        </w:rPr>
        <w:t>concluding observations</w:t>
      </w:r>
      <w:r w:rsidR="007542B1">
        <w:rPr>
          <w:rFonts w:ascii="Arial" w:hAnsi="Arial" w:cs="Arial"/>
        </w:rPr>
        <w:t>, added it should</w:t>
      </w:r>
      <w:r w:rsidRPr="000809BD">
        <w:rPr>
          <w:rFonts w:ascii="Arial" w:hAnsi="Arial" w:cs="Arial"/>
        </w:rPr>
        <w:t>:</w:t>
      </w:r>
    </w:p>
    <w:p w14:paraId="7D66A978" w14:textId="6A0058C6" w:rsidR="00B64A49" w:rsidRPr="000809BD" w:rsidRDefault="00B64A49" w:rsidP="00CC238E">
      <w:pPr>
        <w:spacing w:after="0" w:line="276" w:lineRule="auto"/>
        <w:jc w:val="both"/>
        <w:rPr>
          <w:rFonts w:ascii="Arial" w:hAnsi="Arial" w:cs="Arial"/>
        </w:rPr>
      </w:pPr>
      <w:r w:rsidRPr="000809BD">
        <w:rPr>
          <w:rFonts w:ascii="Arial" w:hAnsi="Arial" w:cs="Arial"/>
        </w:rPr>
        <w:t xml:space="preserve">(i) </w:t>
      </w:r>
      <w:r w:rsidR="00A772CA">
        <w:rPr>
          <w:rFonts w:ascii="Arial" w:hAnsi="Arial" w:cs="Arial"/>
        </w:rPr>
        <w:t>Amend the NT</w:t>
      </w:r>
      <w:r w:rsidRPr="000809BD">
        <w:rPr>
          <w:rFonts w:ascii="Arial" w:hAnsi="Arial" w:cs="Arial"/>
        </w:rPr>
        <w:t xml:space="preserve"> Criminal Code and all equivalent or relat</w:t>
      </w:r>
      <w:r w:rsidR="007542B1">
        <w:rPr>
          <w:rFonts w:ascii="Arial" w:hAnsi="Arial" w:cs="Arial"/>
        </w:rPr>
        <w:t xml:space="preserve">ed legislation, </w:t>
      </w:r>
      <w:r w:rsidRPr="000809BD">
        <w:rPr>
          <w:rFonts w:ascii="Arial" w:hAnsi="Arial" w:cs="Arial"/>
        </w:rPr>
        <w:t>in close consultation with persons with disabilities</w:t>
      </w:r>
      <w:r w:rsidR="00A772CA">
        <w:rPr>
          <w:rFonts w:ascii="Arial" w:hAnsi="Arial" w:cs="Arial"/>
        </w:rPr>
        <w:t xml:space="preserve"> and</w:t>
      </w:r>
      <w:r w:rsidRPr="000809BD">
        <w:rPr>
          <w:rFonts w:ascii="Arial" w:hAnsi="Arial" w:cs="Arial"/>
        </w:rPr>
        <w:t xml:space="preserve"> ensuring its compliance with the</w:t>
      </w:r>
      <w:r w:rsidR="00A772CA">
        <w:rPr>
          <w:rFonts w:ascii="Arial" w:hAnsi="Arial" w:cs="Arial"/>
        </w:rPr>
        <w:t xml:space="preserve"> CRPD</w:t>
      </w:r>
      <w:r w:rsidR="00A772CA" w:rsidRPr="000809BD">
        <w:rPr>
          <w:rFonts w:ascii="Arial" w:hAnsi="Arial" w:cs="Arial"/>
        </w:rPr>
        <w:t>.</w:t>
      </w:r>
    </w:p>
    <w:p w14:paraId="668067EA" w14:textId="0C5DF5D2" w:rsidR="00B64A49" w:rsidRPr="000809BD" w:rsidRDefault="00B64A49" w:rsidP="00CC238E">
      <w:pPr>
        <w:spacing w:after="0" w:line="276" w:lineRule="auto"/>
        <w:jc w:val="both"/>
        <w:rPr>
          <w:rFonts w:ascii="Arial" w:hAnsi="Arial" w:cs="Arial"/>
        </w:rPr>
      </w:pPr>
      <w:r w:rsidRPr="000809BD">
        <w:rPr>
          <w:rFonts w:ascii="Arial" w:hAnsi="Arial" w:cs="Arial"/>
        </w:rPr>
        <w:t xml:space="preserve">(ii) Ensure adequate support and </w:t>
      </w:r>
      <w:r w:rsidR="00043D57">
        <w:rPr>
          <w:rFonts w:ascii="Arial" w:hAnsi="Arial" w:cs="Arial"/>
        </w:rPr>
        <w:t xml:space="preserve">procedural </w:t>
      </w:r>
      <w:r w:rsidRPr="000809BD">
        <w:rPr>
          <w:rFonts w:ascii="Arial" w:hAnsi="Arial" w:cs="Arial"/>
        </w:rPr>
        <w:t>accommodation</w:t>
      </w:r>
      <w:r w:rsidR="00A772CA">
        <w:rPr>
          <w:rFonts w:ascii="Arial" w:hAnsi="Arial" w:cs="Arial"/>
        </w:rPr>
        <w:t>s</w:t>
      </w:r>
      <w:r w:rsidRPr="000809BD">
        <w:rPr>
          <w:rFonts w:ascii="Arial" w:hAnsi="Arial" w:cs="Arial"/>
        </w:rPr>
        <w:t xml:space="preserve"> to persons with intellectual and psychosocial disabilities to enable them to exercise their legal capacity before the </w:t>
      </w:r>
      <w:r w:rsidR="00A772CA" w:rsidRPr="000809BD">
        <w:rPr>
          <w:rFonts w:ascii="Arial" w:hAnsi="Arial" w:cs="Arial"/>
        </w:rPr>
        <w:t>courts.</w:t>
      </w:r>
    </w:p>
    <w:p w14:paraId="671F57A5" w14:textId="5CB8CA65" w:rsidR="00B64A49" w:rsidRPr="000809BD" w:rsidRDefault="00B64A49" w:rsidP="00CC238E">
      <w:pPr>
        <w:spacing w:after="0" w:line="276" w:lineRule="auto"/>
        <w:jc w:val="both"/>
        <w:rPr>
          <w:rFonts w:ascii="Arial" w:hAnsi="Arial" w:cs="Arial"/>
        </w:rPr>
      </w:pPr>
      <w:r w:rsidRPr="000809BD">
        <w:rPr>
          <w:rFonts w:ascii="Arial" w:hAnsi="Arial" w:cs="Arial"/>
        </w:rPr>
        <w:t xml:space="preserve">(iii) </w:t>
      </w:r>
      <w:r w:rsidR="00A772CA">
        <w:rPr>
          <w:rFonts w:ascii="Arial" w:hAnsi="Arial" w:cs="Arial"/>
        </w:rPr>
        <w:t>A</w:t>
      </w:r>
      <w:r w:rsidRPr="000809BD">
        <w:rPr>
          <w:rFonts w:ascii="Arial" w:hAnsi="Arial" w:cs="Arial"/>
        </w:rPr>
        <w:t xml:space="preserve">llow the exercise of the right to live independently and be included in the community by </w:t>
      </w:r>
      <w:r w:rsidR="007542B1">
        <w:rPr>
          <w:rFonts w:ascii="Arial" w:hAnsi="Arial" w:cs="Arial"/>
        </w:rPr>
        <w:t xml:space="preserve">creating </w:t>
      </w:r>
      <w:r w:rsidRPr="000809BD">
        <w:rPr>
          <w:rFonts w:ascii="Arial" w:hAnsi="Arial" w:cs="Arial"/>
        </w:rPr>
        <w:t>community residences to replace institutionaliz</w:t>
      </w:r>
      <w:r w:rsidR="00A772CA">
        <w:rPr>
          <w:rFonts w:ascii="Arial" w:hAnsi="Arial" w:cs="Arial"/>
        </w:rPr>
        <w:t>ation</w:t>
      </w:r>
      <w:r w:rsidR="00A772CA" w:rsidRPr="000809BD">
        <w:rPr>
          <w:rFonts w:ascii="Arial" w:hAnsi="Arial" w:cs="Arial"/>
        </w:rPr>
        <w:t>.</w:t>
      </w:r>
    </w:p>
    <w:p w14:paraId="05794381" w14:textId="20F5916C" w:rsidR="006D5205" w:rsidRPr="000809BD" w:rsidRDefault="00B64A49" w:rsidP="00CC238E">
      <w:pPr>
        <w:spacing w:after="120" w:line="276" w:lineRule="auto"/>
        <w:jc w:val="both"/>
        <w:rPr>
          <w:rFonts w:ascii="Arial" w:hAnsi="Arial" w:cs="Arial"/>
        </w:rPr>
      </w:pPr>
      <w:r w:rsidRPr="000809BD">
        <w:rPr>
          <w:rFonts w:ascii="Arial" w:hAnsi="Arial" w:cs="Arial"/>
        </w:rPr>
        <w:t>(iv) Ensure training on t</w:t>
      </w:r>
      <w:r w:rsidR="00A772CA">
        <w:rPr>
          <w:rFonts w:ascii="Arial" w:hAnsi="Arial" w:cs="Arial"/>
        </w:rPr>
        <w:t>he CRPD</w:t>
      </w:r>
      <w:r w:rsidRPr="000809BD">
        <w:rPr>
          <w:rFonts w:ascii="Arial" w:hAnsi="Arial" w:cs="Arial"/>
        </w:rPr>
        <w:t xml:space="preserve"> to </w:t>
      </w:r>
      <w:r w:rsidR="00A772CA">
        <w:rPr>
          <w:rFonts w:ascii="Arial" w:hAnsi="Arial" w:cs="Arial"/>
        </w:rPr>
        <w:t xml:space="preserve">judicial and administrative </w:t>
      </w:r>
      <w:r w:rsidRPr="000809BD">
        <w:rPr>
          <w:rFonts w:ascii="Arial" w:hAnsi="Arial" w:cs="Arial"/>
        </w:rPr>
        <w:t>staff</w:t>
      </w:r>
      <w:r w:rsidR="00A772CA">
        <w:rPr>
          <w:rFonts w:ascii="Arial" w:hAnsi="Arial" w:cs="Arial"/>
        </w:rPr>
        <w:t>.</w:t>
      </w:r>
    </w:p>
    <w:sectPr w:rsidR="006D5205" w:rsidRPr="000809BD" w:rsidSect="007B3A98">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5D310" w14:textId="77777777" w:rsidR="00036D11" w:rsidRDefault="00036D11" w:rsidP="00C161EE">
      <w:pPr>
        <w:spacing w:after="0" w:line="240" w:lineRule="auto"/>
      </w:pPr>
      <w:r>
        <w:separator/>
      </w:r>
    </w:p>
  </w:endnote>
  <w:endnote w:type="continuationSeparator" w:id="0">
    <w:p w14:paraId="6BD44424" w14:textId="77777777" w:rsidR="00036D11" w:rsidRDefault="00036D11"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217354"/>
      <w:docPartObj>
        <w:docPartGallery w:val="Page Numbers (Bottom of Page)"/>
        <w:docPartUnique/>
      </w:docPartObj>
    </w:sdtPr>
    <w:sdtEndPr>
      <w:rPr>
        <w:noProof/>
      </w:rPr>
    </w:sdtEndPr>
    <w:sdtContent>
      <w:p w14:paraId="11557E4D" w14:textId="46799776" w:rsidR="00714670" w:rsidRDefault="00714670">
        <w:pPr>
          <w:pStyle w:val="Footer"/>
          <w:jc w:val="right"/>
        </w:pPr>
        <w:r>
          <w:fldChar w:fldCharType="begin"/>
        </w:r>
        <w:r>
          <w:instrText xml:space="preserve"> PAGE   \* MERGEFORMAT </w:instrText>
        </w:r>
        <w:r>
          <w:fldChar w:fldCharType="separate"/>
        </w:r>
        <w:r w:rsidR="00705770">
          <w:rPr>
            <w:noProof/>
          </w:rPr>
          <w:t>4</w:t>
        </w:r>
        <w:r>
          <w:rPr>
            <w:noProof/>
          </w:rPr>
          <w:fldChar w:fldCharType="end"/>
        </w:r>
      </w:p>
    </w:sdtContent>
  </w:sdt>
  <w:p w14:paraId="375F1747" w14:textId="77777777" w:rsidR="00714670" w:rsidRDefault="0071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20E5" w14:textId="77777777" w:rsidR="00036D11" w:rsidRDefault="00036D11" w:rsidP="00C161EE">
      <w:pPr>
        <w:spacing w:after="0" w:line="240" w:lineRule="auto"/>
      </w:pPr>
      <w:r>
        <w:separator/>
      </w:r>
    </w:p>
  </w:footnote>
  <w:footnote w:type="continuationSeparator" w:id="0">
    <w:p w14:paraId="58017820" w14:textId="77777777" w:rsidR="00036D11" w:rsidRDefault="00036D11" w:rsidP="00C161EE">
      <w:pPr>
        <w:spacing w:after="0" w:line="240" w:lineRule="auto"/>
      </w:pPr>
      <w:r>
        <w:continuationSeparator/>
      </w:r>
    </w:p>
  </w:footnote>
  <w:footnote w:id="1">
    <w:p w14:paraId="77494CC2" w14:textId="77777777" w:rsidR="00714670" w:rsidRPr="00725292" w:rsidRDefault="00714670"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895"/>
    <w:multiLevelType w:val="hybridMultilevel"/>
    <w:tmpl w:val="341EE4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E401CE"/>
    <w:multiLevelType w:val="hybridMultilevel"/>
    <w:tmpl w:val="72EE80B8"/>
    <w:lvl w:ilvl="0" w:tplc="57B29B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1EE"/>
    <w:rsid w:val="000015D6"/>
    <w:rsid w:val="0000469F"/>
    <w:rsid w:val="00011E0E"/>
    <w:rsid w:val="00012484"/>
    <w:rsid w:val="0001791C"/>
    <w:rsid w:val="000306D1"/>
    <w:rsid w:val="00034995"/>
    <w:rsid w:val="00036D11"/>
    <w:rsid w:val="00037FEF"/>
    <w:rsid w:val="00043AED"/>
    <w:rsid w:val="00043D57"/>
    <w:rsid w:val="00044959"/>
    <w:rsid w:val="0004519F"/>
    <w:rsid w:val="00045B84"/>
    <w:rsid w:val="000505EB"/>
    <w:rsid w:val="00057D65"/>
    <w:rsid w:val="000614D5"/>
    <w:rsid w:val="000625C4"/>
    <w:rsid w:val="0006364D"/>
    <w:rsid w:val="000665FF"/>
    <w:rsid w:val="000666EC"/>
    <w:rsid w:val="00066E22"/>
    <w:rsid w:val="00067FB8"/>
    <w:rsid w:val="00072FC3"/>
    <w:rsid w:val="00074DFD"/>
    <w:rsid w:val="000809BD"/>
    <w:rsid w:val="0008375D"/>
    <w:rsid w:val="0008573A"/>
    <w:rsid w:val="00085DA0"/>
    <w:rsid w:val="00087596"/>
    <w:rsid w:val="000B0857"/>
    <w:rsid w:val="000B44C5"/>
    <w:rsid w:val="000C2604"/>
    <w:rsid w:val="000C325D"/>
    <w:rsid w:val="000C4F0E"/>
    <w:rsid w:val="000D69B8"/>
    <w:rsid w:val="000E0F05"/>
    <w:rsid w:val="000E464F"/>
    <w:rsid w:val="00103F81"/>
    <w:rsid w:val="00124979"/>
    <w:rsid w:val="00131844"/>
    <w:rsid w:val="001355B8"/>
    <w:rsid w:val="00136EB9"/>
    <w:rsid w:val="00147198"/>
    <w:rsid w:val="00152FAC"/>
    <w:rsid w:val="00164352"/>
    <w:rsid w:val="00166C6B"/>
    <w:rsid w:val="00170EC9"/>
    <w:rsid w:val="00174C18"/>
    <w:rsid w:val="00182F4A"/>
    <w:rsid w:val="00196857"/>
    <w:rsid w:val="001B1541"/>
    <w:rsid w:val="001B1F9A"/>
    <w:rsid w:val="001B33F5"/>
    <w:rsid w:val="001B5760"/>
    <w:rsid w:val="001B608A"/>
    <w:rsid w:val="001B7536"/>
    <w:rsid w:val="001C7E39"/>
    <w:rsid w:val="001D2B9E"/>
    <w:rsid w:val="001D3E06"/>
    <w:rsid w:val="001E5B72"/>
    <w:rsid w:val="001E71CB"/>
    <w:rsid w:val="00205A8F"/>
    <w:rsid w:val="00207007"/>
    <w:rsid w:val="002131A7"/>
    <w:rsid w:val="002132E3"/>
    <w:rsid w:val="002143E3"/>
    <w:rsid w:val="00215A0B"/>
    <w:rsid w:val="00243955"/>
    <w:rsid w:val="002439DB"/>
    <w:rsid w:val="002470F9"/>
    <w:rsid w:val="002472FB"/>
    <w:rsid w:val="002555CF"/>
    <w:rsid w:val="00255A52"/>
    <w:rsid w:val="00263982"/>
    <w:rsid w:val="00276A63"/>
    <w:rsid w:val="00281380"/>
    <w:rsid w:val="00281F87"/>
    <w:rsid w:val="00283A8A"/>
    <w:rsid w:val="002873F2"/>
    <w:rsid w:val="002914E1"/>
    <w:rsid w:val="00294185"/>
    <w:rsid w:val="00296774"/>
    <w:rsid w:val="002B2AE6"/>
    <w:rsid w:val="002B5CA9"/>
    <w:rsid w:val="002C2194"/>
    <w:rsid w:val="002D02E0"/>
    <w:rsid w:val="002D33CF"/>
    <w:rsid w:val="002D7CE7"/>
    <w:rsid w:val="002E604E"/>
    <w:rsid w:val="0030009D"/>
    <w:rsid w:val="0031515F"/>
    <w:rsid w:val="003225E5"/>
    <w:rsid w:val="00322AD5"/>
    <w:rsid w:val="003271C9"/>
    <w:rsid w:val="00333D59"/>
    <w:rsid w:val="00343A8A"/>
    <w:rsid w:val="00345823"/>
    <w:rsid w:val="00345FCF"/>
    <w:rsid w:val="00354FA3"/>
    <w:rsid w:val="0036130E"/>
    <w:rsid w:val="00361A36"/>
    <w:rsid w:val="003661DE"/>
    <w:rsid w:val="00370B32"/>
    <w:rsid w:val="00372ED2"/>
    <w:rsid w:val="00383BAB"/>
    <w:rsid w:val="003913DA"/>
    <w:rsid w:val="003925A1"/>
    <w:rsid w:val="0039284F"/>
    <w:rsid w:val="00397913"/>
    <w:rsid w:val="003A204D"/>
    <w:rsid w:val="003A536D"/>
    <w:rsid w:val="003A56B5"/>
    <w:rsid w:val="003B5E21"/>
    <w:rsid w:val="003C10F7"/>
    <w:rsid w:val="003C7C08"/>
    <w:rsid w:val="003D0A14"/>
    <w:rsid w:val="003E0198"/>
    <w:rsid w:val="003E0258"/>
    <w:rsid w:val="003E55D6"/>
    <w:rsid w:val="003F03EE"/>
    <w:rsid w:val="003F1017"/>
    <w:rsid w:val="003F119A"/>
    <w:rsid w:val="004032EC"/>
    <w:rsid w:val="004049B7"/>
    <w:rsid w:val="00407DAC"/>
    <w:rsid w:val="004108A4"/>
    <w:rsid w:val="00415676"/>
    <w:rsid w:val="00416879"/>
    <w:rsid w:val="00421756"/>
    <w:rsid w:val="00427899"/>
    <w:rsid w:val="00431CE1"/>
    <w:rsid w:val="00434EFF"/>
    <w:rsid w:val="00435491"/>
    <w:rsid w:val="00441DB3"/>
    <w:rsid w:val="00443912"/>
    <w:rsid w:val="0044514E"/>
    <w:rsid w:val="00446064"/>
    <w:rsid w:val="00453361"/>
    <w:rsid w:val="00453E91"/>
    <w:rsid w:val="0045693A"/>
    <w:rsid w:val="00466CA6"/>
    <w:rsid w:val="004711D3"/>
    <w:rsid w:val="00472D90"/>
    <w:rsid w:val="00476B40"/>
    <w:rsid w:val="004819E5"/>
    <w:rsid w:val="00481F3F"/>
    <w:rsid w:val="00484AFD"/>
    <w:rsid w:val="00494BEB"/>
    <w:rsid w:val="004B060F"/>
    <w:rsid w:val="004B4F7B"/>
    <w:rsid w:val="004B6A9A"/>
    <w:rsid w:val="004C0975"/>
    <w:rsid w:val="004C1C52"/>
    <w:rsid w:val="004D35B9"/>
    <w:rsid w:val="004D3C7F"/>
    <w:rsid w:val="004E3D8C"/>
    <w:rsid w:val="004F156A"/>
    <w:rsid w:val="005026E3"/>
    <w:rsid w:val="005033FF"/>
    <w:rsid w:val="00505859"/>
    <w:rsid w:val="005124EB"/>
    <w:rsid w:val="005229B7"/>
    <w:rsid w:val="005275E9"/>
    <w:rsid w:val="00533AFE"/>
    <w:rsid w:val="00543855"/>
    <w:rsid w:val="00544F57"/>
    <w:rsid w:val="00550186"/>
    <w:rsid w:val="00553C64"/>
    <w:rsid w:val="00557E42"/>
    <w:rsid w:val="005601BC"/>
    <w:rsid w:val="00560704"/>
    <w:rsid w:val="00560E50"/>
    <w:rsid w:val="00563B69"/>
    <w:rsid w:val="00566B16"/>
    <w:rsid w:val="005672D3"/>
    <w:rsid w:val="005677CB"/>
    <w:rsid w:val="005821EA"/>
    <w:rsid w:val="00582DB7"/>
    <w:rsid w:val="00583B5F"/>
    <w:rsid w:val="0058558B"/>
    <w:rsid w:val="00586E19"/>
    <w:rsid w:val="005974EB"/>
    <w:rsid w:val="005A241B"/>
    <w:rsid w:val="005A62CB"/>
    <w:rsid w:val="005A681D"/>
    <w:rsid w:val="005A6C34"/>
    <w:rsid w:val="005A7997"/>
    <w:rsid w:val="005B2BDC"/>
    <w:rsid w:val="005B73CF"/>
    <w:rsid w:val="005C23B7"/>
    <w:rsid w:val="005D1166"/>
    <w:rsid w:val="005E15B0"/>
    <w:rsid w:val="005E29CB"/>
    <w:rsid w:val="005E528F"/>
    <w:rsid w:val="005F1CB1"/>
    <w:rsid w:val="005F2A99"/>
    <w:rsid w:val="005F32EE"/>
    <w:rsid w:val="005F43BB"/>
    <w:rsid w:val="005F534F"/>
    <w:rsid w:val="006067D8"/>
    <w:rsid w:val="00611482"/>
    <w:rsid w:val="0061207F"/>
    <w:rsid w:val="006121A7"/>
    <w:rsid w:val="0062203C"/>
    <w:rsid w:val="006224DB"/>
    <w:rsid w:val="00624217"/>
    <w:rsid w:val="00627282"/>
    <w:rsid w:val="0063490B"/>
    <w:rsid w:val="00636DDD"/>
    <w:rsid w:val="0064077C"/>
    <w:rsid w:val="006427F8"/>
    <w:rsid w:val="006447E1"/>
    <w:rsid w:val="006448EA"/>
    <w:rsid w:val="006449EE"/>
    <w:rsid w:val="00661DED"/>
    <w:rsid w:val="00665A17"/>
    <w:rsid w:val="006726C8"/>
    <w:rsid w:val="006776C5"/>
    <w:rsid w:val="00681F97"/>
    <w:rsid w:val="00682C77"/>
    <w:rsid w:val="0068573B"/>
    <w:rsid w:val="00686D2D"/>
    <w:rsid w:val="006913F4"/>
    <w:rsid w:val="006A1E93"/>
    <w:rsid w:val="006A535F"/>
    <w:rsid w:val="006A5AE2"/>
    <w:rsid w:val="006B3B9A"/>
    <w:rsid w:val="006B4DF5"/>
    <w:rsid w:val="006D125E"/>
    <w:rsid w:val="006D5205"/>
    <w:rsid w:val="006F1285"/>
    <w:rsid w:val="006F274D"/>
    <w:rsid w:val="006F464F"/>
    <w:rsid w:val="006F7094"/>
    <w:rsid w:val="00705770"/>
    <w:rsid w:val="00714670"/>
    <w:rsid w:val="00720736"/>
    <w:rsid w:val="00723729"/>
    <w:rsid w:val="00723A9F"/>
    <w:rsid w:val="00725292"/>
    <w:rsid w:val="00737AA2"/>
    <w:rsid w:val="00743ACE"/>
    <w:rsid w:val="00750AC9"/>
    <w:rsid w:val="007542B1"/>
    <w:rsid w:val="00755CF4"/>
    <w:rsid w:val="0075752E"/>
    <w:rsid w:val="00764304"/>
    <w:rsid w:val="00773BF3"/>
    <w:rsid w:val="00780AA2"/>
    <w:rsid w:val="00785FF3"/>
    <w:rsid w:val="0079188A"/>
    <w:rsid w:val="0079215F"/>
    <w:rsid w:val="007A2324"/>
    <w:rsid w:val="007A6317"/>
    <w:rsid w:val="007B0CF6"/>
    <w:rsid w:val="007B3A98"/>
    <w:rsid w:val="007B7DAD"/>
    <w:rsid w:val="007C08C2"/>
    <w:rsid w:val="007C2573"/>
    <w:rsid w:val="007C46B2"/>
    <w:rsid w:val="007C4F1C"/>
    <w:rsid w:val="007D1B50"/>
    <w:rsid w:val="007E7B90"/>
    <w:rsid w:val="007F1CC9"/>
    <w:rsid w:val="007F67EA"/>
    <w:rsid w:val="00802A0A"/>
    <w:rsid w:val="008032C5"/>
    <w:rsid w:val="008069F8"/>
    <w:rsid w:val="008074B0"/>
    <w:rsid w:val="00820762"/>
    <w:rsid w:val="00821C4B"/>
    <w:rsid w:val="00840188"/>
    <w:rsid w:val="00841313"/>
    <w:rsid w:val="00842CB6"/>
    <w:rsid w:val="008445CD"/>
    <w:rsid w:val="00850565"/>
    <w:rsid w:val="00850AD1"/>
    <w:rsid w:val="00852B28"/>
    <w:rsid w:val="008564C4"/>
    <w:rsid w:val="00857F07"/>
    <w:rsid w:val="0086048A"/>
    <w:rsid w:val="00863C79"/>
    <w:rsid w:val="008663DA"/>
    <w:rsid w:val="00875064"/>
    <w:rsid w:val="00875714"/>
    <w:rsid w:val="00882441"/>
    <w:rsid w:val="00882CF3"/>
    <w:rsid w:val="00882F94"/>
    <w:rsid w:val="00886BE9"/>
    <w:rsid w:val="0088717F"/>
    <w:rsid w:val="00887DAC"/>
    <w:rsid w:val="00891C59"/>
    <w:rsid w:val="008A2782"/>
    <w:rsid w:val="008A380B"/>
    <w:rsid w:val="008A42CF"/>
    <w:rsid w:val="008B066B"/>
    <w:rsid w:val="008B1647"/>
    <w:rsid w:val="008B7470"/>
    <w:rsid w:val="008C0C4C"/>
    <w:rsid w:val="008C2E3C"/>
    <w:rsid w:val="008C3D47"/>
    <w:rsid w:val="008E2E90"/>
    <w:rsid w:val="00902E1D"/>
    <w:rsid w:val="009031A9"/>
    <w:rsid w:val="0090640B"/>
    <w:rsid w:val="0090799E"/>
    <w:rsid w:val="00907D8B"/>
    <w:rsid w:val="0091037B"/>
    <w:rsid w:val="00910FB1"/>
    <w:rsid w:val="00922AF7"/>
    <w:rsid w:val="00925467"/>
    <w:rsid w:val="009319B6"/>
    <w:rsid w:val="009338C1"/>
    <w:rsid w:val="009355C4"/>
    <w:rsid w:val="00936DCE"/>
    <w:rsid w:val="0094047E"/>
    <w:rsid w:val="0094784F"/>
    <w:rsid w:val="009556A1"/>
    <w:rsid w:val="00955C98"/>
    <w:rsid w:val="0095626D"/>
    <w:rsid w:val="009576CE"/>
    <w:rsid w:val="009715BF"/>
    <w:rsid w:val="0097509D"/>
    <w:rsid w:val="00980E15"/>
    <w:rsid w:val="00984256"/>
    <w:rsid w:val="00987D59"/>
    <w:rsid w:val="009906BA"/>
    <w:rsid w:val="00990897"/>
    <w:rsid w:val="00993768"/>
    <w:rsid w:val="009969F9"/>
    <w:rsid w:val="00996AA3"/>
    <w:rsid w:val="009A02EE"/>
    <w:rsid w:val="009A1B74"/>
    <w:rsid w:val="009A4561"/>
    <w:rsid w:val="009C2884"/>
    <w:rsid w:val="009C60B0"/>
    <w:rsid w:val="009D05EB"/>
    <w:rsid w:val="009D54A8"/>
    <w:rsid w:val="009D5E83"/>
    <w:rsid w:val="009D65E3"/>
    <w:rsid w:val="009D6C23"/>
    <w:rsid w:val="009D7448"/>
    <w:rsid w:val="009E2168"/>
    <w:rsid w:val="009E27D4"/>
    <w:rsid w:val="009F4CE5"/>
    <w:rsid w:val="00A024ED"/>
    <w:rsid w:val="00A0417A"/>
    <w:rsid w:val="00A118AF"/>
    <w:rsid w:val="00A16613"/>
    <w:rsid w:val="00A16B97"/>
    <w:rsid w:val="00A26DCD"/>
    <w:rsid w:val="00A31760"/>
    <w:rsid w:val="00A31C83"/>
    <w:rsid w:val="00A33B8F"/>
    <w:rsid w:val="00A3746C"/>
    <w:rsid w:val="00A43C12"/>
    <w:rsid w:val="00A43E16"/>
    <w:rsid w:val="00A4522C"/>
    <w:rsid w:val="00A5468A"/>
    <w:rsid w:val="00A570D1"/>
    <w:rsid w:val="00A642B9"/>
    <w:rsid w:val="00A64781"/>
    <w:rsid w:val="00A6714A"/>
    <w:rsid w:val="00A71451"/>
    <w:rsid w:val="00A765CD"/>
    <w:rsid w:val="00A772CA"/>
    <w:rsid w:val="00A77DB8"/>
    <w:rsid w:val="00A82DF0"/>
    <w:rsid w:val="00A934A9"/>
    <w:rsid w:val="00A95438"/>
    <w:rsid w:val="00AA57E7"/>
    <w:rsid w:val="00AA6124"/>
    <w:rsid w:val="00AB5E80"/>
    <w:rsid w:val="00AB6BC6"/>
    <w:rsid w:val="00AC7A7A"/>
    <w:rsid w:val="00AC7EF1"/>
    <w:rsid w:val="00AF3B66"/>
    <w:rsid w:val="00AF60AA"/>
    <w:rsid w:val="00B06B9E"/>
    <w:rsid w:val="00B11D1B"/>
    <w:rsid w:val="00B12838"/>
    <w:rsid w:val="00B159F5"/>
    <w:rsid w:val="00B22123"/>
    <w:rsid w:val="00B2380D"/>
    <w:rsid w:val="00B24ABB"/>
    <w:rsid w:val="00B277DA"/>
    <w:rsid w:val="00B27EB5"/>
    <w:rsid w:val="00B31253"/>
    <w:rsid w:val="00B35B70"/>
    <w:rsid w:val="00B36A78"/>
    <w:rsid w:val="00B64972"/>
    <w:rsid w:val="00B64A49"/>
    <w:rsid w:val="00B65D03"/>
    <w:rsid w:val="00B67DB9"/>
    <w:rsid w:val="00B70CA6"/>
    <w:rsid w:val="00B759A2"/>
    <w:rsid w:val="00B806EA"/>
    <w:rsid w:val="00B81D33"/>
    <w:rsid w:val="00B832F4"/>
    <w:rsid w:val="00B92E20"/>
    <w:rsid w:val="00B93971"/>
    <w:rsid w:val="00B966B7"/>
    <w:rsid w:val="00BA0EAA"/>
    <w:rsid w:val="00BA386E"/>
    <w:rsid w:val="00BC1AD5"/>
    <w:rsid w:val="00BC254D"/>
    <w:rsid w:val="00BC3EE2"/>
    <w:rsid w:val="00BD243B"/>
    <w:rsid w:val="00BD2D47"/>
    <w:rsid w:val="00BD6CDA"/>
    <w:rsid w:val="00BE73CA"/>
    <w:rsid w:val="00BF10F6"/>
    <w:rsid w:val="00BF49B5"/>
    <w:rsid w:val="00BF544E"/>
    <w:rsid w:val="00C04BC2"/>
    <w:rsid w:val="00C06F20"/>
    <w:rsid w:val="00C0779C"/>
    <w:rsid w:val="00C13661"/>
    <w:rsid w:val="00C161EE"/>
    <w:rsid w:val="00C16A39"/>
    <w:rsid w:val="00C45723"/>
    <w:rsid w:val="00C47727"/>
    <w:rsid w:val="00C477C3"/>
    <w:rsid w:val="00C5243F"/>
    <w:rsid w:val="00C6134A"/>
    <w:rsid w:val="00C62E76"/>
    <w:rsid w:val="00C67DDA"/>
    <w:rsid w:val="00C67F46"/>
    <w:rsid w:val="00C74D2A"/>
    <w:rsid w:val="00C83756"/>
    <w:rsid w:val="00C842D7"/>
    <w:rsid w:val="00C8760E"/>
    <w:rsid w:val="00CA33E8"/>
    <w:rsid w:val="00CA43EF"/>
    <w:rsid w:val="00CB687F"/>
    <w:rsid w:val="00CC107D"/>
    <w:rsid w:val="00CC238E"/>
    <w:rsid w:val="00CC34D4"/>
    <w:rsid w:val="00CC41BD"/>
    <w:rsid w:val="00CD2BE7"/>
    <w:rsid w:val="00CE1C93"/>
    <w:rsid w:val="00CE4CD0"/>
    <w:rsid w:val="00CE53AF"/>
    <w:rsid w:val="00CF0C04"/>
    <w:rsid w:val="00CF206A"/>
    <w:rsid w:val="00CF74CB"/>
    <w:rsid w:val="00CF79E8"/>
    <w:rsid w:val="00D00935"/>
    <w:rsid w:val="00D06C08"/>
    <w:rsid w:val="00D10E41"/>
    <w:rsid w:val="00D11D5D"/>
    <w:rsid w:val="00D173A1"/>
    <w:rsid w:val="00D17CAA"/>
    <w:rsid w:val="00D22230"/>
    <w:rsid w:val="00D2479B"/>
    <w:rsid w:val="00D3056D"/>
    <w:rsid w:val="00D30B61"/>
    <w:rsid w:val="00D35D05"/>
    <w:rsid w:val="00D41B25"/>
    <w:rsid w:val="00D42F3F"/>
    <w:rsid w:val="00D44539"/>
    <w:rsid w:val="00D511C1"/>
    <w:rsid w:val="00D52F34"/>
    <w:rsid w:val="00D53902"/>
    <w:rsid w:val="00D54906"/>
    <w:rsid w:val="00D77F1F"/>
    <w:rsid w:val="00D81C67"/>
    <w:rsid w:val="00D94CE5"/>
    <w:rsid w:val="00D968B7"/>
    <w:rsid w:val="00D975CE"/>
    <w:rsid w:val="00DA759B"/>
    <w:rsid w:val="00DB1FD6"/>
    <w:rsid w:val="00DB2B5E"/>
    <w:rsid w:val="00DB4720"/>
    <w:rsid w:val="00DB72CA"/>
    <w:rsid w:val="00DD1AA5"/>
    <w:rsid w:val="00DD4F06"/>
    <w:rsid w:val="00DE01BE"/>
    <w:rsid w:val="00DE0FC3"/>
    <w:rsid w:val="00DE406F"/>
    <w:rsid w:val="00DF197B"/>
    <w:rsid w:val="00E0047D"/>
    <w:rsid w:val="00E06A73"/>
    <w:rsid w:val="00E06A8D"/>
    <w:rsid w:val="00E074AC"/>
    <w:rsid w:val="00E143C6"/>
    <w:rsid w:val="00E339CE"/>
    <w:rsid w:val="00E36AB8"/>
    <w:rsid w:val="00E410FF"/>
    <w:rsid w:val="00E414C4"/>
    <w:rsid w:val="00E423C4"/>
    <w:rsid w:val="00E4433B"/>
    <w:rsid w:val="00E46AD5"/>
    <w:rsid w:val="00E51DBF"/>
    <w:rsid w:val="00E51E3D"/>
    <w:rsid w:val="00E52A57"/>
    <w:rsid w:val="00E6258B"/>
    <w:rsid w:val="00E63FD6"/>
    <w:rsid w:val="00E67C5D"/>
    <w:rsid w:val="00E71B39"/>
    <w:rsid w:val="00E722C7"/>
    <w:rsid w:val="00E727E2"/>
    <w:rsid w:val="00E772F8"/>
    <w:rsid w:val="00E8010B"/>
    <w:rsid w:val="00E826F6"/>
    <w:rsid w:val="00E86525"/>
    <w:rsid w:val="00E86656"/>
    <w:rsid w:val="00E86A1F"/>
    <w:rsid w:val="00E925EE"/>
    <w:rsid w:val="00E96A65"/>
    <w:rsid w:val="00E96C3B"/>
    <w:rsid w:val="00E97638"/>
    <w:rsid w:val="00EA2819"/>
    <w:rsid w:val="00EA4B44"/>
    <w:rsid w:val="00EB09C9"/>
    <w:rsid w:val="00EB3C07"/>
    <w:rsid w:val="00EB5117"/>
    <w:rsid w:val="00EB6CBB"/>
    <w:rsid w:val="00EB7FB0"/>
    <w:rsid w:val="00EC2431"/>
    <w:rsid w:val="00EC7AE3"/>
    <w:rsid w:val="00EE2B0B"/>
    <w:rsid w:val="00EE484E"/>
    <w:rsid w:val="00EE582B"/>
    <w:rsid w:val="00EE6C59"/>
    <w:rsid w:val="00EF0588"/>
    <w:rsid w:val="00EF447D"/>
    <w:rsid w:val="00F03703"/>
    <w:rsid w:val="00F049F0"/>
    <w:rsid w:val="00F26224"/>
    <w:rsid w:val="00F31247"/>
    <w:rsid w:val="00F32924"/>
    <w:rsid w:val="00F32D87"/>
    <w:rsid w:val="00F52740"/>
    <w:rsid w:val="00F531F5"/>
    <w:rsid w:val="00F645D4"/>
    <w:rsid w:val="00F65E47"/>
    <w:rsid w:val="00F850D9"/>
    <w:rsid w:val="00FA2838"/>
    <w:rsid w:val="00FB022E"/>
    <w:rsid w:val="00FB0415"/>
    <w:rsid w:val="00FB3E0D"/>
    <w:rsid w:val="00FB485B"/>
    <w:rsid w:val="00FB6BF1"/>
    <w:rsid w:val="00FC1751"/>
    <w:rsid w:val="00FC618D"/>
    <w:rsid w:val="00FD1C4B"/>
    <w:rsid w:val="00FD2C8E"/>
    <w:rsid w:val="00FD4AEF"/>
    <w:rsid w:val="00FD5E4F"/>
    <w:rsid w:val="00FD6FD7"/>
    <w:rsid w:val="00FD70DF"/>
    <w:rsid w:val="00FD778D"/>
    <w:rsid w:val="00FE4F29"/>
    <w:rsid w:val="00FF4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79926"/>
  <w15:docId w15:val="{B741CCFC-F7BD-6343-B0D4-909F1DB6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uiPriority w:val="99"/>
    <w:unhideWhenUsed/>
    <w:qFormat/>
    <w:rsid w:val="00431CE1"/>
    <w:pPr>
      <w:spacing w:after="0" w:line="240" w:lineRule="auto"/>
    </w:pPr>
    <w:rPr>
      <w:sz w:val="24"/>
      <w:szCs w:val="24"/>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431CE1"/>
    <w:rPr>
      <w:sz w:val="24"/>
      <w:szCs w:val="24"/>
    </w:rPr>
  </w:style>
  <w:style w:type="paragraph" w:styleId="BalloonText">
    <w:name w:val="Balloon Text"/>
    <w:basedOn w:val="Normal"/>
    <w:link w:val="BalloonTextChar"/>
    <w:uiPriority w:val="99"/>
    <w:semiHidden/>
    <w:unhideWhenUsed/>
    <w:rsid w:val="0090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1D"/>
    <w:rPr>
      <w:rFonts w:ascii="Segoe UI" w:hAnsi="Segoe UI" w:cs="Segoe UI"/>
      <w:sz w:val="18"/>
      <w:szCs w:val="18"/>
    </w:rPr>
  </w:style>
  <w:style w:type="character" w:styleId="CommentReference">
    <w:name w:val="annotation reference"/>
    <w:basedOn w:val="DefaultParagraphFont"/>
    <w:uiPriority w:val="99"/>
    <w:semiHidden/>
    <w:unhideWhenUsed/>
    <w:rsid w:val="009355C4"/>
    <w:rPr>
      <w:sz w:val="16"/>
      <w:szCs w:val="16"/>
    </w:rPr>
  </w:style>
  <w:style w:type="paragraph" w:styleId="CommentText">
    <w:name w:val="annotation text"/>
    <w:basedOn w:val="Normal"/>
    <w:link w:val="CommentTextChar"/>
    <w:uiPriority w:val="99"/>
    <w:semiHidden/>
    <w:unhideWhenUsed/>
    <w:rsid w:val="009355C4"/>
    <w:pPr>
      <w:spacing w:line="240" w:lineRule="auto"/>
    </w:pPr>
    <w:rPr>
      <w:sz w:val="20"/>
      <w:szCs w:val="20"/>
    </w:rPr>
  </w:style>
  <w:style w:type="character" w:customStyle="1" w:styleId="CommentTextChar">
    <w:name w:val="Comment Text Char"/>
    <w:basedOn w:val="DefaultParagraphFont"/>
    <w:link w:val="CommentText"/>
    <w:uiPriority w:val="99"/>
    <w:semiHidden/>
    <w:rsid w:val="009355C4"/>
    <w:rPr>
      <w:sz w:val="20"/>
      <w:szCs w:val="20"/>
    </w:rPr>
  </w:style>
  <w:style w:type="paragraph" w:styleId="CommentSubject">
    <w:name w:val="annotation subject"/>
    <w:basedOn w:val="CommentText"/>
    <w:next w:val="CommentText"/>
    <w:link w:val="CommentSubjectChar"/>
    <w:uiPriority w:val="99"/>
    <w:semiHidden/>
    <w:unhideWhenUsed/>
    <w:rsid w:val="009355C4"/>
    <w:rPr>
      <w:b/>
      <w:bCs/>
    </w:rPr>
  </w:style>
  <w:style w:type="character" w:customStyle="1" w:styleId="CommentSubjectChar">
    <w:name w:val="Comment Subject Char"/>
    <w:basedOn w:val="CommentTextChar"/>
    <w:link w:val="CommentSubject"/>
    <w:uiPriority w:val="99"/>
    <w:semiHidden/>
    <w:rsid w:val="009355C4"/>
    <w:rPr>
      <w:b/>
      <w:bCs/>
      <w:sz w:val="20"/>
      <w:szCs w:val="20"/>
    </w:rPr>
  </w:style>
  <w:style w:type="paragraph" w:styleId="NormalWeb">
    <w:name w:val="Normal (Web)"/>
    <w:basedOn w:val="Normal"/>
    <w:uiPriority w:val="99"/>
    <w:semiHidden/>
    <w:unhideWhenUsed/>
    <w:rsid w:val="001249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852">
      <w:bodyDiv w:val="1"/>
      <w:marLeft w:val="0"/>
      <w:marRight w:val="0"/>
      <w:marTop w:val="0"/>
      <w:marBottom w:val="0"/>
      <w:divBdr>
        <w:top w:val="none" w:sz="0" w:space="0" w:color="auto"/>
        <w:left w:val="none" w:sz="0" w:space="0" w:color="auto"/>
        <w:bottom w:val="none" w:sz="0" w:space="0" w:color="auto"/>
        <w:right w:val="none" w:sz="0" w:space="0" w:color="auto"/>
      </w:divBdr>
      <w:divsChild>
        <w:div w:id="457261427">
          <w:marLeft w:val="0"/>
          <w:marRight w:val="0"/>
          <w:marTop w:val="0"/>
          <w:marBottom w:val="0"/>
          <w:divBdr>
            <w:top w:val="none" w:sz="0" w:space="0" w:color="auto"/>
            <w:left w:val="none" w:sz="0" w:space="0" w:color="auto"/>
            <w:bottom w:val="none" w:sz="0" w:space="0" w:color="auto"/>
            <w:right w:val="none" w:sz="0" w:space="0" w:color="auto"/>
          </w:divBdr>
          <w:divsChild>
            <w:div w:id="664670530">
              <w:marLeft w:val="0"/>
              <w:marRight w:val="0"/>
              <w:marTop w:val="0"/>
              <w:marBottom w:val="0"/>
              <w:divBdr>
                <w:top w:val="none" w:sz="0" w:space="0" w:color="auto"/>
                <w:left w:val="none" w:sz="0" w:space="0" w:color="auto"/>
                <w:bottom w:val="none" w:sz="0" w:space="0" w:color="auto"/>
                <w:right w:val="none" w:sz="0" w:space="0" w:color="auto"/>
              </w:divBdr>
              <w:divsChild>
                <w:div w:id="63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600">
      <w:bodyDiv w:val="1"/>
      <w:marLeft w:val="0"/>
      <w:marRight w:val="0"/>
      <w:marTop w:val="0"/>
      <w:marBottom w:val="0"/>
      <w:divBdr>
        <w:top w:val="none" w:sz="0" w:space="0" w:color="auto"/>
        <w:left w:val="none" w:sz="0" w:space="0" w:color="auto"/>
        <w:bottom w:val="none" w:sz="0" w:space="0" w:color="auto"/>
        <w:right w:val="none" w:sz="0" w:space="0" w:color="auto"/>
      </w:divBdr>
      <w:divsChild>
        <w:div w:id="1759132390">
          <w:marLeft w:val="0"/>
          <w:marRight w:val="0"/>
          <w:marTop w:val="0"/>
          <w:marBottom w:val="0"/>
          <w:divBdr>
            <w:top w:val="none" w:sz="0" w:space="0" w:color="auto"/>
            <w:left w:val="none" w:sz="0" w:space="0" w:color="auto"/>
            <w:bottom w:val="none" w:sz="0" w:space="0" w:color="auto"/>
            <w:right w:val="none" w:sz="0" w:space="0" w:color="auto"/>
          </w:divBdr>
          <w:divsChild>
            <w:div w:id="422802399">
              <w:marLeft w:val="0"/>
              <w:marRight w:val="0"/>
              <w:marTop w:val="0"/>
              <w:marBottom w:val="0"/>
              <w:divBdr>
                <w:top w:val="none" w:sz="0" w:space="0" w:color="auto"/>
                <w:left w:val="none" w:sz="0" w:space="0" w:color="auto"/>
                <w:bottom w:val="none" w:sz="0" w:space="0" w:color="auto"/>
                <w:right w:val="none" w:sz="0" w:space="0" w:color="auto"/>
              </w:divBdr>
              <w:divsChild>
                <w:div w:id="10930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0899">
      <w:bodyDiv w:val="1"/>
      <w:marLeft w:val="0"/>
      <w:marRight w:val="0"/>
      <w:marTop w:val="0"/>
      <w:marBottom w:val="0"/>
      <w:divBdr>
        <w:top w:val="none" w:sz="0" w:space="0" w:color="auto"/>
        <w:left w:val="none" w:sz="0" w:space="0" w:color="auto"/>
        <w:bottom w:val="none" w:sz="0" w:space="0" w:color="auto"/>
        <w:right w:val="none" w:sz="0" w:space="0" w:color="auto"/>
      </w:divBdr>
      <w:divsChild>
        <w:div w:id="1600025004">
          <w:marLeft w:val="0"/>
          <w:marRight w:val="0"/>
          <w:marTop w:val="0"/>
          <w:marBottom w:val="0"/>
          <w:divBdr>
            <w:top w:val="none" w:sz="0" w:space="0" w:color="auto"/>
            <w:left w:val="none" w:sz="0" w:space="0" w:color="auto"/>
            <w:bottom w:val="none" w:sz="0" w:space="0" w:color="auto"/>
            <w:right w:val="none" w:sz="0" w:space="0" w:color="auto"/>
          </w:divBdr>
          <w:divsChild>
            <w:div w:id="264190208">
              <w:marLeft w:val="0"/>
              <w:marRight w:val="0"/>
              <w:marTop w:val="0"/>
              <w:marBottom w:val="0"/>
              <w:divBdr>
                <w:top w:val="none" w:sz="0" w:space="0" w:color="auto"/>
                <w:left w:val="none" w:sz="0" w:space="0" w:color="auto"/>
                <w:bottom w:val="none" w:sz="0" w:space="0" w:color="auto"/>
                <w:right w:val="none" w:sz="0" w:space="0" w:color="auto"/>
              </w:divBdr>
              <w:divsChild>
                <w:div w:id="1501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iXdyxfsUw0Uwnk5uW2OiRQFNq7SkIL9xYzgS3l%2fRyUZCE8mvdz3IOJPSfwKTi6xCyR5nmB7WbFmbMIfsATa8si6igG9rb8mphyJTUIQ7g%2fNS5LcpAMmEnlBRRRy78MlYg%3d%3d" TargetMode="External"/><Relationship Id="rId3" Type="http://schemas.openxmlformats.org/officeDocument/2006/relationships/styles" Target="styles.xml"/><Relationship Id="rId21" Type="http://schemas.openxmlformats.org/officeDocument/2006/relationships/hyperlink" Target="http://docstore.ohchr.org/SelfServices/FilesHandler.ashx?enc=6QkG1d%2fPPRiCAqhKb7yhsiXdyxfsUw0Uwnk5uW2OiRQFNq7SkIL9xYzgS3l%2fRyUZCE8mvdz3IOJPSfwKTi6xC8aHnk8chp1ul%2bIPSnY%2bG%2fPaMc3DNQgXsWBH5KVQeZdrpgQTDwXxZRRVXSDH1Dolbg%3d%3d"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iXdyxfsUw0Uwnk5uW2OiRQFNq7SkIL9xYzgS3l%2fRyUZCE8mvdz3IOJPSfwKTi6xCyCbdxCwyXmLIKKyNrj2SMe9%2b2WlfzwGP30tGLgOoRSjGQWVCINApglGVBVRLHhKFA%3d%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docstore.ohchr.org/SelfServices/FilesHandler.ashx?enc=6QkG1d%2fPPRiCAqhKb7yhsiXdyxfsUw0Uwnk5uW2OiRQFNq7SkIL9xYzgS3l%2fRyUZCE8mvdz3IOJPSfwKTi6xC4znslZPI2FUtWpeqmO3ElxNXEMgSH5AR3OOEfdJQfgn9zLLPj7seCLP2PXgvUKWH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footer" Target="footer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iXdyxfsUw0Uwnk5uW2OiRQFNq7SkIL9xYzgS3l%2fRyUZCE8mvdz3IOJPSfwKTi6xC%2f5K5UpGSnNKoHVkibi1Iz6bZndoPJRPSbqrzMn%2feE2KkS8AU7LEB6NG59KqqrrIJQ%3d%3d"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docstore.ohchr.org/SelfServices/FilesHandler.ashx?enc=6QkG1d%2fPPRiCAqhKb7yhsiXdyxfsUw0Uwnk5uW2OiRQFNq7SkIL9xYzgS3l%2fRyUZCE8mvdz3IOJPSfwKTi6xCyLq%2flrSTemBOPLGz71gzDkMuwZSx3KeVrE7iRWtI5nsxBsfMChsYFq5OKsxZjDxug%3d%3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2607E4-D946-E441-8843-281CE291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IDA-JIPB</cp:lastModifiedBy>
  <cp:revision>93</cp:revision>
  <dcterms:created xsi:type="dcterms:W3CDTF">2020-01-09T15:16:00Z</dcterms:created>
  <dcterms:modified xsi:type="dcterms:W3CDTF">2021-03-31T11:53:00Z</dcterms:modified>
</cp:coreProperties>
</file>