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71BD" w14:textId="77777777" w:rsidR="00D73549" w:rsidRPr="0077057D" w:rsidRDefault="00D73549" w:rsidP="00CE533F">
      <w:pPr>
        <w:spacing w:after="120" w:line="240" w:lineRule="auto"/>
        <w:jc w:val="both"/>
        <w:rPr>
          <w:rFonts w:ascii="Arial" w:hAnsi="Arial" w:cs="Arial"/>
          <w:i/>
          <w:sz w:val="28"/>
          <w:lang w:val="en-GB"/>
        </w:rPr>
      </w:pPr>
      <w:r w:rsidRPr="0077057D">
        <w:rPr>
          <w:rFonts w:ascii="Arial" w:hAnsi="Arial" w:cs="Arial"/>
          <w:sz w:val="28"/>
          <w:lang w:val="en-GB"/>
        </w:rPr>
        <w:t>Case summary:</w:t>
      </w:r>
      <w:r w:rsidRPr="0077057D">
        <w:rPr>
          <w:rStyle w:val="FootnoteReference"/>
          <w:rFonts w:ascii="Arial" w:hAnsi="Arial" w:cs="Arial"/>
          <w:sz w:val="24"/>
          <w:lang w:val="en-GB"/>
        </w:rPr>
        <w:footnoteReference w:id="1"/>
      </w:r>
      <w:r w:rsidRPr="0077057D">
        <w:rPr>
          <w:rFonts w:ascii="Arial" w:hAnsi="Arial" w:cs="Arial"/>
          <w:sz w:val="24"/>
          <w:lang w:val="en-GB"/>
        </w:rPr>
        <w:t xml:space="preserve"> </w:t>
      </w:r>
      <w:r>
        <w:rPr>
          <w:rFonts w:ascii="Arial" w:hAnsi="Arial" w:cs="Arial"/>
          <w:i/>
          <w:sz w:val="28"/>
          <w:lang w:val="en-GB"/>
        </w:rPr>
        <w:t xml:space="preserve"> </w:t>
      </w:r>
      <w:r w:rsidRPr="00D73549">
        <w:rPr>
          <w:rFonts w:ascii="Arial" w:hAnsi="Arial" w:cs="Arial"/>
          <w:i/>
          <w:sz w:val="28"/>
          <w:lang w:val="en-GB"/>
        </w:rPr>
        <w:t xml:space="preserve">Richard </w:t>
      </w:r>
      <w:proofErr w:type="spellStart"/>
      <w:r w:rsidRPr="00D73549">
        <w:rPr>
          <w:rFonts w:ascii="Arial" w:hAnsi="Arial" w:cs="Arial"/>
          <w:i/>
          <w:sz w:val="28"/>
          <w:lang w:val="en-GB"/>
        </w:rPr>
        <w:t>Sahlin</w:t>
      </w:r>
      <w:proofErr w:type="spellEnd"/>
      <w:r>
        <w:rPr>
          <w:rFonts w:ascii="Arial" w:hAnsi="Arial" w:cs="Arial"/>
          <w:i/>
          <w:sz w:val="28"/>
          <w:lang w:val="en-GB"/>
        </w:rPr>
        <w:t xml:space="preserve"> </w:t>
      </w:r>
      <w:r w:rsidRPr="0077057D">
        <w:rPr>
          <w:rFonts w:ascii="Arial" w:hAnsi="Arial" w:cs="Arial"/>
          <w:i/>
          <w:sz w:val="28"/>
          <w:lang w:val="en-GB"/>
        </w:rPr>
        <w:t xml:space="preserve">v </w:t>
      </w:r>
      <w:r>
        <w:rPr>
          <w:rFonts w:ascii="Arial" w:hAnsi="Arial" w:cs="Arial"/>
          <w:i/>
          <w:sz w:val="28"/>
          <w:lang w:val="en-GB"/>
        </w:rPr>
        <w:t xml:space="preserve">Sweden </w:t>
      </w:r>
    </w:p>
    <w:p w14:paraId="79763D2B" w14:textId="77777777" w:rsidR="00D73549" w:rsidRPr="0077057D" w:rsidRDefault="00D73549" w:rsidP="00CE533F">
      <w:pPr>
        <w:spacing w:after="120" w:line="240" w:lineRule="auto"/>
        <w:jc w:val="both"/>
        <w:rPr>
          <w:rFonts w:ascii="Arial" w:hAnsi="Arial" w:cs="Arial"/>
          <w:highlight w:val="lightGray"/>
          <w:lang w:val="en-GB"/>
        </w:rPr>
      </w:pPr>
    </w:p>
    <w:p w14:paraId="48158ED6" w14:textId="77777777" w:rsidR="00D73549" w:rsidRDefault="00D73549" w:rsidP="00CE533F">
      <w:pPr>
        <w:spacing w:after="120" w:line="240" w:lineRule="auto"/>
        <w:jc w:val="both"/>
        <w:rPr>
          <w:rFonts w:ascii="Arial" w:hAnsi="Arial" w:cs="Arial"/>
          <w:szCs w:val="20"/>
          <w:lang w:val="en-GB"/>
        </w:rPr>
      </w:pPr>
      <w:r w:rsidRPr="00EE13E8">
        <w:rPr>
          <w:rFonts w:ascii="Arial" w:hAnsi="Arial" w:cs="Arial"/>
          <w:szCs w:val="20"/>
          <w:lang w:val="en-GB"/>
        </w:rPr>
        <w:t>Case code:</w:t>
      </w:r>
      <w:r w:rsidR="0033123A" w:rsidRPr="00C767B7">
        <w:rPr>
          <w:lang w:val="en-US"/>
        </w:rPr>
        <w:t xml:space="preserve"> </w:t>
      </w:r>
      <w:r w:rsidR="0033123A" w:rsidRPr="0033123A">
        <w:rPr>
          <w:rFonts w:ascii="Arial" w:hAnsi="Arial" w:cs="Arial"/>
          <w:szCs w:val="20"/>
          <w:lang w:val="en-GB"/>
        </w:rPr>
        <w:t>CRPD/C/23/D/45/2018</w:t>
      </w:r>
      <w:r w:rsidRPr="00796B99">
        <w:rPr>
          <w:rFonts w:ascii="Arial" w:hAnsi="Arial" w:cs="Arial"/>
          <w:szCs w:val="20"/>
          <w:highlight w:val="yellow"/>
          <w:lang w:val="en-GB"/>
        </w:rPr>
        <w:t xml:space="preserve"> </w:t>
      </w:r>
    </w:p>
    <w:p w14:paraId="7E157716" w14:textId="77777777" w:rsidR="00D73549" w:rsidRPr="0077057D" w:rsidRDefault="0033123A" w:rsidP="00CE533F">
      <w:pPr>
        <w:spacing w:after="120" w:line="240" w:lineRule="auto"/>
        <w:jc w:val="both"/>
        <w:rPr>
          <w:rFonts w:ascii="Arial" w:hAnsi="Arial" w:cs="Arial"/>
          <w:szCs w:val="20"/>
          <w:lang w:val="en-GB"/>
        </w:rPr>
      </w:pPr>
      <w:r>
        <w:rPr>
          <w:rFonts w:ascii="Arial" w:hAnsi="Arial" w:cs="Arial"/>
          <w:szCs w:val="20"/>
          <w:lang w:val="en-GB"/>
        </w:rPr>
        <w:t>Communication no 45/2018</w:t>
      </w:r>
    </w:p>
    <w:p w14:paraId="188694E9" w14:textId="77777777" w:rsidR="00D73549" w:rsidRPr="003F1E21" w:rsidRDefault="00D73549" w:rsidP="00CE533F">
      <w:pPr>
        <w:spacing w:after="120" w:line="240" w:lineRule="auto"/>
        <w:jc w:val="both"/>
        <w:rPr>
          <w:rFonts w:ascii="Arial" w:hAnsi="Arial" w:cs="Arial"/>
          <w:szCs w:val="20"/>
          <w:lang w:val="en-GB"/>
        </w:rPr>
      </w:pPr>
      <w:r w:rsidRPr="003F1E21">
        <w:rPr>
          <w:rFonts w:ascii="Arial" w:hAnsi="Arial" w:cs="Arial"/>
          <w:szCs w:val="20"/>
          <w:lang w:val="en-GB"/>
        </w:rPr>
        <w:t>Date of communication (initial submission):</w:t>
      </w:r>
      <w:r w:rsidRPr="003F1E21">
        <w:rPr>
          <w:rFonts w:ascii="Arial" w:hAnsi="Arial" w:cs="Arial"/>
          <w:szCs w:val="20"/>
          <w:lang w:val="en-GB"/>
        </w:rPr>
        <w:tab/>
      </w:r>
      <w:r w:rsidRPr="003F1E21">
        <w:rPr>
          <w:rFonts w:ascii="Arial" w:hAnsi="Arial" w:cs="Arial"/>
          <w:szCs w:val="20"/>
          <w:lang w:val="en-GB"/>
        </w:rPr>
        <w:tab/>
      </w:r>
      <w:r w:rsidR="0033123A" w:rsidRPr="0033123A">
        <w:rPr>
          <w:rFonts w:ascii="Arial" w:hAnsi="Arial" w:cs="Arial"/>
          <w:szCs w:val="20"/>
          <w:lang w:val="en-GB"/>
        </w:rPr>
        <w:t>23 January 2018</w:t>
      </w:r>
    </w:p>
    <w:p w14:paraId="7E0B6351" w14:textId="77777777" w:rsidR="00D73549" w:rsidRPr="003F1E21" w:rsidRDefault="00D73549" w:rsidP="00CE533F">
      <w:pPr>
        <w:spacing w:after="120" w:line="240" w:lineRule="auto"/>
        <w:jc w:val="both"/>
        <w:rPr>
          <w:rFonts w:ascii="Arial" w:hAnsi="Arial" w:cs="Arial"/>
          <w:szCs w:val="20"/>
          <w:lang w:val="en-GB"/>
        </w:rPr>
      </w:pPr>
      <w:r w:rsidRPr="003F1E21">
        <w:rPr>
          <w:rFonts w:ascii="Arial" w:hAnsi="Arial" w:cs="Arial"/>
          <w:szCs w:val="20"/>
          <w:lang w:val="en-GB"/>
        </w:rPr>
        <w:t>Date of adoption of Views:</w:t>
      </w:r>
      <w:r w:rsidRPr="003F1E21">
        <w:rPr>
          <w:rFonts w:ascii="Arial" w:hAnsi="Arial" w:cs="Arial"/>
          <w:szCs w:val="20"/>
          <w:lang w:val="en-GB"/>
        </w:rPr>
        <w:tab/>
      </w:r>
      <w:r w:rsidRPr="003F1E21">
        <w:rPr>
          <w:rFonts w:ascii="Arial" w:hAnsi="Arial" w:cs="Arial"/>
          <w:szCs w:val="20"/>
          <w:lang w:val="en-GB"/>
        </w:rPr>
        <w:tab/>
      </w:r>
      <w:r w:rsidRPr="003F1E21">
        <w:rPr>
          <w:rFonts w:ascii="Arial" w:hAnsi="Arial" w:cs="Arial"/>
          <w:szCs w:val="20"/>
          <w:lang w:val="en-GB"/>
        </w:rPr>
        <w:tab/>
      </w:r>
      <w:r w:rsidRPr="003F1E21">
        <w:rPr>
          <w:rFonts w:ascii="Arial" w:hAnsi="Arial" w:cs="Arial"/>
          <w:szCs w:val="20"/>
          <w:lang w:val="en-GB"/>
        </w:rPr>
        <w:tab/>
      </w:r>
      <w:r w:rsidR="0033123A" w:rsidRPr="0033123A">
        <w:rPr>
          <w:rFonts w:ascii="Arial" w:hAnsi="Arial" w:cs="Arial"/>
          <w:szCs w:val="20"/>
          <w:lang w:val="en-GB"/>
        </w:rPr>
        <w:t>21 August 2020</w:t>
      </w:r>
    </w:p>
    <w:p w14:paraId="15EE0EDE" w14:textId="77777777" w:rsidR="00D73549" w:rsidRPr="001F504D" w:rsidRDefault="00D73549" w:rsidP="00CE533F">
      <w:pPr>
        <w:spacing w:after="120" w:line="240" w:lineRule="auto"/>
        <w:ind w:left="4962" w:hanging="4962"/>
        <w:jc w:val="both"/>
        <w:rPr>
          <w:rFonts w:ascii="Arial" w:hAnsi="Arial" w:cs="Arial"/>
          <w:szCs w:val="20"/>
          <w:lang w:val="en-GB"/>
        </w:rPr>
      </w:pPr>
      <w:r w:rsidRPr="001F504D">
        <w:rPr>
          <w:rFonts w:ascii="Arial" w:hAnsi="Arial" w:cs="Arial"/>
          <w:szCs w:val="20"/>
          <w:lang w:val="en-GB"/>
        </w:rPr>
        <w:t>Invoked</w:t>
      </w:r>
      <w:r>
        <w:rPr>
          <w:rFonts w:ascii="Arial" w:hAnsi="Arial" w:cs="Arial"/>
          <w:szCs w:val="20"/>
          <w:lang w:val="en-GB"/>
        </w:rPr>
        <w:t xml:space="preserve"> provisions of the Convention:</w:t>
      </w:r>
      <w:r>
        <w:rPr>
          <w:rFonts w:ascii="Arial" w:hAnsi="Arial" w:cs="Arial"/>
          <w:szCs w:val="20"/>
          <w:lang w:val="en-GB"/>
        </w:rPr>
        <w:tab/>
      </w:r>
      <w:hyperlink r:id="rId8" w:history="1">
        <w:r w:rsidR="0033123A" w:rsidRPr="00376C02">
          <w:rPr>
            <w:rStyle w:val="Hyperlink"/>
            <w:rFonts w:ascii="Arial" w:hAnsi="Arial" w:cs="Arial"/>
            <w:szCs w:val="20"/>
            <w:lang w:val="en-GB"/>
          </w:rPr>
          <w:t>3, 4 (2), 5 (2</w:t>
        </w:r>
      </w:hyperlink>
      <w:r w:rsidR="0033123A" w:rsidRPr="0033123A">
        <w:rPr>
          <w:rFonts w:ascii="Arial" w:hAnsi="Arial" w:cs="Arial"/>
          <w:szCs w:val="20"/>
          <w:lang w:val="en-GB"/>
        </w:rPr>
        <w:t xml:space="preserve">) and </w:t>
      </w:r>
      <w:hyperlink r:id="rId9" w:history="1">
        <w:r w:rsidR="0033123A" w:rsidRPr="00376C02">
          <w:rPr>
            <w:rStyle w:val="Hyperlink"/>
            <w:rFonts w:ascii="Arial" w:hAnsi="Arial" w:cs="Arial"/>
            <w:szCs w:val="20"/>
            <w:lang w:val="en-GB"/>
          </w:rPr>
          <w:t>(3)</w:t>
        </w:r>
      </w:hyperlink>
      <w:r w:rsidR="0033123A" w:rsidRPr="0033123A">
        <w:rPr>
          <w:rFonts w:ascii="Arial" w:hAnsi="Arial" w:cs="Arial"/>
          <w:szCs w:val="20"/>
          <w:lang w:val="en-GB"/>
        </w:rPr>
        <w:t xml:space="preserve">, and </w:t>
      </w:r>
      <w:hyperlink r:id="rId10" w:history="1">
        <w:r w:rsidR="0033123A" w:rsidRPr="00376C02">
          <w:rPr>
            <w:rStyle w:val="Hyperlink"/>
            <w:rFonts w:ascii="Arial" w:hAnsi="Arial" w:cs="Arial"/>
            <w:szCs w:val="20"/>
            <w:lang w:val="en-GB"/>
          </w:rPr>
          <w:t>27 (1) (b), (g</w:t>
        </w:r>
      </w:hyperlink>
      <w:r w:rsidR="0033123A" w:rsidRPr="0033123A">
        <w:rPr>
          <w:rFonts w:ascii="Arial" w:hAnsi="Arial" w:cs="Arial"/>
          <w:szCs w:val="20"/>
          <w:lang w:val="en-GB"/>
        </w:rPr>
        <w:t xml:space="preserve">) and </w:t>
      </w:r>
      <w:hyperlink r:id="rId11" w:history="1">
        <w:r w:rsidR="0033123A" w:rsidRPr="00376C02">
          <w:rPr>
            <w:rStyle w:val="Hyperlink"/>
            <w:rFonts w:ascii="Arial" w:hAnsi="Arial" w:cs="Arial"/>
            <w:szCs w:val="20"/>
            <w:lang w:val="en-GB"/>
          </w:rPr>
          <w:t>(</w:t>
        </w:r>
        <w:proofErr w:type="spellStart"/>
        <w:r w:rsidR="0033123A" w:rsidRPr="00376C02">
          <w:rPr>
            <w:rStyle w:val="Hyperlink"/>
            <w:rFonts w:ascii="Arial" w:hAnsi="Arial" w:cs="Arial"/>
            <w:szCs w:val="20"/>
            <w:lang w:val="en-GB"/>
          </w:rPr>
          <w:t>i</w:t>
        </w:r>
        <w:proofErr w:type="spellEnd"/>
        <w:r w:rsidR="0033123A" w:rsidRPr="00376C02">
          <w:rPr>
            <w:rStyle w:val="Hyperlink"/>
            <w:rFonts w:ascii="Arial" w:hAnsi="Arial" w:cs="Arial"/>
            <w:szCs w:val="20"/>
            <w:lang w:val="en-GB"/>
          </w:rPr>
          <w:t>)</w:t>
        </w:r>
      </w:hyperlink>
    </w:p>
    <w:p w14:paraId="68BD189D" w14:textId="77777777" w:rsidR="00D73549" w:rsidRDefault="00D73549" w:rsidP="00CE533F">
      <w:pPr>
        <w:spacing w:after="120" w:line="240" w:lineRule="auto"/>
        <w:jc w:val="both"/>
        <w:rPr>
          <w:rFonts w:ascii="Arial" w:hAnsi="Arial" w:cs="Arial"/>
          <w:szCs w:val="20"/>
          <w:lang w:val="en-GB"/>
        </w:rPr>
      </w:pPr>
      <w:r w:rsidRPr="004C0066">
        <w:rPr>
          <w:rFonts w:ascii="Arial" w:hAnsi="Arial" w:cs="Arial"/>
          <w:szCs w:val="20"/>
          <w:lang w:val="en-GB"/>
        </w:rPr>
        <w:t>Provisi</w:t>
      </w:r>
      <w:r w:rsidR="001F0F74">
        <w:rPr>
          <w:rFonts w:ascii="Arial" w:hAnsi="Arial" w:cs="Arial"/>
          <w:szCs w:val="20"/>
          <w:lang w:val="en-GB"/>
        </w:rPr>
        <w:t xml:space="preserve">ons of the Optional Protocol:                        </w:t>
      </w:r>
      <w:hyperlink r:id="rId12" w:history="1">
        <w:r w:rsidR="001F0F74" w:rsidRPr="001F0F74">
          <w:rPr>
            <w:rStyle w:val="Hyperlink"/>
            <w:rFonts w:ascii="Arial" w:hAnsi="Arial" w:cs="Arial"/>
            <w:szCs w:val="20"/>
            <w:lang w:val="en-GB"/>
          </w:rPr>
          <w:t>2 (d) and (e)</w:t>
        </w:r>
      </w:hyperlink>
    </w:p>
    <w:p w14:paraId="39662131" w14:textId="77777777" w:rsidR="001F0F74" w:rsidRPr="0077057D" w:rsidRDefault="001F0F74" w:rsidP="00CE533F">
      <w:pPr>
        <w:spacing w:after="120" w:line="240" w:lineRule="auto"/>
        <w:jc w:val="both"/>
        <w:rPr>
          <w:rFonts w:ascii="Arial" w:hAnsi="Arial" w:cs="Arial"/>
          <w:szCs w:val="20"/>
          <w:highlight w:val="lightGray"/>
          <w:lang w:val="en-GB"/>
        </w:rPr>
      </w:pPr>
    </w:p>
    <w:p w14:paraId="1E142CB2" w14:textId="77777777" w:rsidR="00D73549" w:rsidRPr="0033123A" w:rsidRDefault="00D73549" w:rsidP="00CE533F">
      <w:pPr>
        <w:spacing w:after="120" w:line="240" w:lineRule="auto"/>
        <w:ind w:left="2124" w:hanging="2124"/>
        <w:jc w:val="both"/>
        <w:rPr>
          <w:rFonts w:ascii="Arial" w:hAnsi="Arial" w:cs="Arial"/>
          <w:szCs w:val="20"/>
          <w:lang w:val="en-GB"/>
        </w:rPr>
      </w:pPr>
      <w:r w:rsidRPr="00C67E32">
        <w:rPr>
          <w:rFonts w:ascii="Arial" w:hAnsi="Arial" w:cs="Arial"/>
          <w:szCs w:val="20"/>
          <w:lang w:val="en-GB"/>
        </w:rPr>
        <w:t xml:space="preserve">Keywords: </w:t>
      </w:r>
      <w:r w:rsidRPr="00C67E32">
        <w:rPr>
          <w:rFonts w:ascii="Arial" w:hAnsi="Arial" w:cs="Arial"/>
          <w:szCs w:val="20"/>
          <w:lang w:val="en-GB"/>
        </w:rPr>
        <w:tab/>
      </w:r>
      <w:r w:rsidR="0033123A" w:rsidRPr="0033123A">
        <w:rPr>
          <w:rFonts w:ascii="Arial" w:hAnsi="Arial" w:cs="Arial"/>
          <w:szCs w:val="20"/>
          <w:lang w:val="en-GB"/>
        </w:rPr>
        <w:t>Equality and non-discrimin</w:t>
      </w:r>
      <w:r w:rsidR="0033123A">
        <w:rPr>
          <w:rFonts w:ascii="Arial" w:hAnsi="Arial" w:cs="Arial"/>
          <w:szCs w:val="20"/>
          <w:lang w:val="en-GB"/>
        </w:rPr>
        <w:t xml:space="preserve">ation; equal </w:t>
      </w:r>
      <w:r w:rsidR="0033123A" w:rsidRPr="0033123A">
        <w:rPr>
          <w:rFonts w:ascii="Arial" w:hAnsi="Arial" w:cs="Arial"/>
          <w:szCs w:val="20"/>
          <w:lang w:val="en-GB"/>
        </w:rPr>
        <w:t xml:space="preserve">recognition before the law; </w:t>
      </w:r>
      <w:r w:rsidR="0033123A">
        <w:rPr>
          <w:rFonts w:ascii="Arial" w:hAnsi="Arial" w:cs="Arial"/>
          <w:szCs w:val="20"/>
          <w:lang w:val="en-GB"/>
        </w:rPr>
        <w:t>work and employment</w:t>
      </w:r>
      <w:r w:rsidR="0033123A" w:rsidRPr="0033123A">
        <w:rPr>
          <w:rFonts w:ascii="Arial" w:hAnsi="Arial" w:cs="Arial"/>
          <w:szCs w:val="20"/>
          <w:lang w:val="en-GB"/>
        </w:rPr>
        <w:cr/>
      </w:r>
    </w:p>
    <w:p w14:paraId="07035E9E" w14:textId="77777777" w:rsidR="00D73549" w:rsidRPr="00A318BA" w:rsidRDefault="00D73549" w:rsidP="00CE533F">
      <w:pPr>
        <w:spacing w:after="120" w:line="240" w:lineRule="auto"/>
        <w:ind w:left="2127" w:hanging="2127"/>
        <w:jc w:val="both"/>
        <w:rPr>
          <w:rFonts w:ascii="Arial" w:hAnsi="Arial" w:cs="Arial"/>
          <w:szCs w:val="20"/>
          <w:lang w:val="en-GB"/>
        </w:rPr>
      </w:pPr>
      <w:r w:rsidRPr="00A54EE4">
        <w:rPr>
          <w:rFonts w:ascii="Arial" w:hAnsi="Arial" w:cs="Arial"/>
          <w:szCs w:val="20"/>
          <w:lang w:val="en-GB"/>
        </w:rPr>
        <w:t xml:space="preserve">Decision: </w:t>
      </w:r>
      <w:r w:rsidRPr="00A54EE4">
        <w:rPr>
          <w:rFonts w:ascii="Arial" w:hAnsi="Arial" w:cs="Arial"/>
          <w:szCs w:val="20"/>
          <w:lang w:val="en-GB"/>
        </w:rPr>
        <w:tab/>
        <w:t xml:space="preserve">Violation of Articles </w:t>
      </w:r>
      <w:hyperlink r:id="rId13" w:history="1">
        <w:r w:rsidR="002B7C07" w:rsidRPr="00376C02">
          <w:rPr>
            <w:rStyle w:val="Hyperlink"/>
            <w:rFonts w:ascii="Arial" w:hAnsi="Arial" w:cs="Arial"/>
            <w:szCs w:val="20"/>
            <w:lang w:val="en-GB"/>
          </w:rPr>
          <w:t>5</w:t>
        </w:r>
      </w:hyperlink>
      <w:r w:rsidR="002B7C07" w:rsidRPr="002B7C07">
        <w:rPr>
          <w:rFonts w:ascii="Arial" w:hAnsi="Arial" w:cs="Arial"/>
          <w:szCs w:val="20"/>
          <w:lang w:val="en-GB"/>
        </w:rPr>
        <w:t xml:space="preserve"> and </w:t>
      </w:r>
      <w:hyperlink r:id="rId14" w:history="1">
        <w:r w:rsidR="002B7C07" w:rsidRPr="00376C02">
          <w:rPr>
            <w:rStyle w:val="Hyperlink"/>
            <w:rFonts w:ascii="Arial" w:hAnsi="Arial" w:cs="Arial"/>
            <w:szCs w:val="20"/>
            <w:lang w:val="en-GB"/>
          </w:rPr>
          <w:t>27</w:t>
        </w:r>
      </w:hyperlink>
      <w:r w:rsidR="002B7C07" w:rsidRPr="002B7C07">
        <w:rPr>
          <w:rFonts w:ascii="Arial" w:hAnsi="Arial" w:cs="Arial"/>
          <w:szCs w:val="20"/>
          <w:lang w:val="en-GB"/>
        </w:rPr>
        <w:t xml:space="preserve"> of the Convention</w:t>
      </w:r>
    </w:p>
    <w:p w14:paraId="27517E7C" w14:textId="77777777" w:rsidR="00D73549" w:rsidRPr="0077057D" w:rsidRDefault="00D73549" w:rsidP="00CE533F">
      <w:pPr>
        <w:spacing w:after="120" w:line="240" w:lineRule="auto"/>
        <w:jc w:val="both"/>
        <w:rPr>
          <w:rFonts w:ascii="Arial" w:hAnsi="Arial" w:cs="Arial"/>
          <w:szCs w:val="20"/>
          <w:highlight w:val="lightGray"/>
          <w:lang w:val="en-GB"/>
        </w:rPr>
      </w:pPr>
    </w:p>
    <w:p w14:paraId="7C6E1F87" w14:textId="77777777" w:rsidR="00D73549" w:rsidRDefault="003C693F" w:rsidP="00CE533F">
      <w:pPr>
        <w:spacing w:after="120" w:line="240" w:lineRule="auto"/>
        <w:jc w:val="both"/>
        <w:rPr>
          <w:rFonts w:ascii="Arial" w:hAnsi="Arial" w:cs="Arial"/>
          <w:szCs w:val="20"/>
          <w:lang w:val="en-GB"/>
        </w:rPr>
      </w:pPr>
      <w:r w:rsidRPr="00EE13E8">
        <w:rPr>
          <w:rFonts w:ascii="Arial" w:hAnsi="Arial" w:cs="Arial"/>
          <w:szCs w:val="20"/>
          <w:lang w:val="en-GB"/>
        </w:rPr>
        <w:t>Full decision in PDF</w:t>
      </w:r>
      <w:r w:rsidR="00D73549" w:rsidRPr="00EE13E8">
        <w:rPr>
          <w:rFonts w:ascii="Arial" w:hAnsi="Arial" w:cs="Arial"/>
          <w:szCs w:val="20"/>
          <w:lang w:val="en-GB"/>
        </w:rPr>
        <w:t xml:space="preserve"> format: </w:t>
      </w:r>
      <w:hyperlink r:id="rId15" w:history="1">
        <w:r w:rsidR="00D73549" w:rsidRPr="00EE13E8">
          <w:rPr>
            <w:rStyle w:val="Hyperlink"/>
            <w:rFonts w:ascii="Arial" w:hAnsi="Arial" w:cs="Arial"/>
            <w:szCs w:val="20"/>
            <w:lang w:val="en-GB"/>
          </w:rPr>
          <w:t>Ara</w:t>
        </w:r>
        <w:r w:rsidR="00D73549" w:rsidRPr="00EE13E8">
          <w:rPr>
            <w:rStyle w:val="Hyperlink"/>
            <w:rFonts w:ascii="Arial" w:hAnsi="Arial" w:cs="Arial"/>
            <w:szCs w:val="20"/>
            <w:lang w:val="en-GB"/>
          </w:rPr>
          <w:t>b</w:t>
        </w:r>
        <w:r w:rsidR="00D73549" w:rsidRPr="00EE13E8">
          <w:rPr>
            <w:rStyle w:val="Hyperlink"/>
            <w:rFonts w:ascii="Arial" w:hAnsi="Arial" w:cs="Arial"/>
            <w:szCs w:val="20"/>
            <w:lang w:val="en-GB"/>
          </w:rPr>
          <w:t>ic</w:t>
        </w:r>
      </w:hyperlink>
      <w:r w:rsidR="00D73549" w:rsidRPr="00EE13E8">
        <w:rPr>
          <w:rFonts w:ascii="Arial" w:hAnsi="Arial" w:cs="Arial"/>
          <w:szCs w:val="20"/>
          <w:lang w:val="en-GB"/>
        </w:rPr>
        <w:t xml:space="preserve">, </w:t>
      </w:r>
      <w:hyperlink r:id="rId16" w:history="1">
        <w:r w:rsidR="00D73549" w:rsidRPr="00EE13E8">
          <w:rPr>
            <w:rStyle w:val="Hyperlink"/>
            <w:rFonts w:ascii="Arial" w:hAnsi="Arial" w:cs="Arial"/>
            <w:szCs w:val="20"/>
            <w:lang w:val="en-GB"/>
          </w:rPr>
          <w:t>Chinese</w:t>
        </w:r>
      </w:hyperlink>
      <w:r w:rsidR="00D73549" w:rsidRPr="00EE13E8">
        <w:rPr>
          <w:rFonts w:ascii="Arial" w:hAnsi="Arial" w:cs="Arial"/>
          <w:szCs w:val="20"/>
          <w:lang w:val="en-GB"/>
        </w:rPr>
        <w:t xml:space="preserve">, </w:t>
      </w:r>
      <w:hyperlink r:id="rId17" w:history="1">
        <w:r w:rsidR="00D73549" w:rsidRPr="00EE13E8">
          <w:rPr>
            <w:rStyle w:val="Hyperlink"/>
            <w:rFonts w:ascii="Arial" w:hAnsi="Arial" w:cs="Arial"/>
            <w:szCs w:val="20"/>
            <w:lang w:val="en-GB"/>
          </w:rPr>
          <w:t>English</w:t>
        </w:r>
      </w:hyperlink>
      <w:r w:rsidR="00D73549" w:rsidRPr="00EE13E8">
        <w:rPr>
          <w:rFonts w:ascii="Arial" w:hAnsi="Arial" w:cs="Arial"/>
          <w:szCs w:val="20"/>
          <w:lang w:val="en-GB"/>
        </w:rPr>
        <w:t xml:space="preserve">, </w:t>
      </w:r>
      <w:hyperlink r:id="rId18" w:history="1">
        <w:r w:rsidR="00D73549" w:rsidRPr="00EE13E8">
          <w:rPr>
            <w:rStyle w:val="Hyperlink"/>
            <w:rFonts w:ascii="Arial" w:hAnsi="Arial" w:cs="Arial"/>
            <w:szCs w:val="20"/>
            <w:lang w:val="en-GB"/>
          </w:rPr>
          <w:t>French</w:t>
        </w:r>
      </w:hyperlink>
      <w:r w:rsidR="00D73549" w:rsidRPr="00EE13E8">
        <w:rPr>
          <w:rFonts w:ascii="Arial" w:hAnsi="Arial" w:cs="Arial"/>
          <w:szCs w:val="20"/>
          <w:lang w:val="en-GB"/>
        </w:rPr>
        <w:t xml:space="preserve">, </w:t>
      </w:r>
      <w:hyperlink r:id="rId19" w:history="1">
        <w:r w:rsidR="00D73549" w:rsidRPr="00EE13E8">
          <w:rPr>
            <w:rStyle w:val="Hyperlink"/>
            <w:rFonts w:ascii="Arial" w:hAnsi="Arial" w:cs="Arial"/>
            <w:szCs w:val="20"/>
            <w:lang w:val="en-GB"/>
          </w:rPr>
          <w:t>Russian</w:t>
        </w:r>
      </w:hyperlink>
      <w:r w:rsidR="00D73549" w:rsidRPr="00EE13E8">
        <w:rPr>
          <w:lang w:val="en-GB"/>
        </w:rPr>
        <w:t xml:space="preserve"> </w:t>
      </w:r>
      <w:r w:rsidR="00D73549" w:rsidRPr="00EE13E8">
        <w:rPr>
          <w:rFonts w:ascii="Arial" w:hAnsi="Arial" w:cs="Arial"/>
          <w:szCs w:val="20"/>
          <w:lang w:val="en-GB"/>
        </w:rPr>
        <w:t xml:space="preserve">and </w:t>
      </w:r>
      <w:hyperlink r:id="rId20" w:history="1">
        <w:r w:rsidR="00D73549" w:rsidRPr="00EE13E8">
          <w:rPr>
            <w:rStyle w:val="Hyperlink"/>
            <w:rFonts w:ascii="Arial" w:hAnsi="Arial" w:cs="Arial"/>
            <w:szCs w:val="20"/>
            <w:lang w:val="en-GB"/>
          </w:rPr>
          <w:t>Spanish</w:t>
        </w:r>
      </w:hyperlink>
      <w:r w:rsidR="00D73549" w:rsidRPr="000E3E18">
        <w:rPr>
          <w:rFonts w:ascii="Arial" w:hAnsi="Arial" w:cs="Arial"/>
          <w:szCs w:val="20"/>
          <w:lang w:val="en-GB"/>
        </w:rPr>
        <w:t xml:space="preserve"> </w:t>
      </w:r>
    </w:p>
    <w:p w14:paraId="27BC7EFF" w14:textId="77777777" w:rsidR="00EC24E4" w:rsidRDefault="00FA3135" w:rsidP="00CE533F">
      <w:pPr>
        <w:spacing w:after="120" w:line="240" w:lineRule="auto"/>
        <w:jc w:val="both"/>
        <w:rPr>
          <w:lang w:val="en-GB"/>
        </w:rPr>
      </w:pPr>
      <w:r>
        <w:rPr>
          <w:lang w:val="en-GB"/>
        </w:rPr>
        <w:t xml:space="preserve"> </w:t>
      </w:r>
    </w:p>
    <w:p w14:paraId="0560C758" w14:textId="77777777" w:rsidR="00FA3135" w:rsidRPr="00596F09" w:rsidRDefault="00FA3135" w:rsidP="00CE533F">
      <w:pPr>
        <w:spacing w:after="120" w:line="240" w:lineRule="auto"/>
        <w:jc w:val="both"/>
        <w:rPr>
          <w:rFonts w:ascii="Arial" w:hAnsi="Arial" w:cs="Arial"/>
          <w:b/>
          <w:lang w:val="en-GB"/>
        </w:rPr>
      </w:pPr>
      <w:r w:rsidRPr="00596F09">
        <w:rPr>
          <w:rFonts w:ascii="Arial" w:hAnsi="Arial" w:cs="Arial"/>
          <w:b/>
          <w:lang w:val="en-GB"/>
        </w:rPr>
        <w:t xml:space="preserve">Facts </w:t>
      </w:r>
    </w:p>
    <w:p w14:paraId="6CCC321D" w14:textId="21E6E1A5" w:rsidR="0019737E" w:rsidRPr="00EE13E8" w:rsidRDefault="00596F09" w:rsidP="00CE533F">
      <w:pPr>
        <w:spacing w:after="120" w:line="240" w:lineRule="auto"/>
        <w:jc w:val="both"/>
        <w:rPr>
          <w:rFonts w:ascii="Arial" w:hAnsi="Arial" w:cs="Arial"/>
          <w:color w:val="000000"/>
          <w:lang w:val="en-GB"/>
        </w:rPr>
      </w:pPr>
      <w:r w:rsidRPr="00EE13E8">
        <w:rPr>
          <w:rFonts w:ascii="Arial" w:hAnsi="Arial" w:cs="Arial"/>
          <w:color w:val="000000"/>
          <w:lang w:val="en-GB"/>
        </w:rPr>
        <w:t xml:space="preserve">The author </w:t>
      </w:r>
      <w:r w:rsidR="0019737E" w:rsidRPr="00EE13E8">
        <w:rPr>
          <w:rFonts w:ascii="Arial" w:hAnsi="Arial" w:cs="Arial"/>
          <w:color w:val="000000"/>
          <w:lang w:val="en-GB"/>
        </w:rPr>
        <w:t xml:space="preserve">is Richard </w:t>
      </w:r>
      <w:proofErr w:type="spellStart"/>
      <w:r w:rsidR="0019737E" w:rsidRPr="00EE13E8">
        <w:rPr>
          <w:rFonts w:ascii="Arial" w:hAnsi="Arial" w:cs="Arial"/>
          <w:color w:val="000000"/>
          <w:lang w:val="en-GB"/>
        </w:rPr>
        <w:t>Sahlin</w:t>
      </w:r>
      <w:proofErr w:type="spellEnd"/>
      <w:r w:rsidR="0019737E" w:rsidRPr="00EE13E8">
        <w:rPr>
          <w:rFonts w:ascii="Arial" w:hAnsi="Arial" w:cs="Arial"/>
          <w:color w:val="000000"/>
          <w:lang w:val="en-GB"/>
        </w:rPr>
        <w:t xml:space="preserve">, a national of Sweden, born on 23 June 1967. The author is deaf. The author obtained a doctorate in public law in 2004. In spring 2015, </w:t>
      </w:r>
      <w:proofErr w:type="spellStart"/>
      <w:r w:rsidR="0019737E" w:rsidRPr="00EE13E8">
        <w:rPr>
          <w:rFonts w:ascii="Arial" w:hAnsi="Arial" w:cs="Arial"/>
          <w:color w:val="000000"/>
          <w:lang w:val="en-GB"/>
        </w:rPr>
        <w:t>Södertörn</w:t>
      </w:r>
      <w:proofErr w:type="spellEnd"/>
      <w:r w:rsidR="0019737E" w:rsidRPr="00EE13E8">
        <w:rPr>
          <w:rFonts w:ascii="Arial" w:hAnsi="Arial" w:cs="Arial"/>
          <w:color w:val="000000"/>
          <w:lang w:val="en-GB"/>
        </w:rPr>
        <w:t xml:space="preserve"> University, a public institution, advertised a permanent position as a lecturer (associate professor) in public law. The author had previously been temporarily hired at </w:t>
      </w:r>
      <w:proofErr w:type="spellStart"/>
      <w:r w:rsidR="0019737E" w:rsidRPr="00EE13E8">
        <w:rPr>
          <w:rFonts w:ascii="Arial" w:hAnsi="Arial" w:cs="Arial"/>
          <w:color w:val="000000"/>
          <w:lang w:val="en-GB"/>
        </w:rPr>
        <w:t>Södertörn</w:t>
      </w:r>
      <w:proofErr w:type="spellEnd"/>
      <w:r w:rsidR="0019737E" w:rsidRPr="00EE13E8">
        <w:rPr>
          <w:rFonts w:ascii="Arial" w:hAnsi="Arial" w:cs="Arial"/>
          <w:color w:val="000000"/>
          <w:lang w:val="en-GB"/>
        </w:rPr>
        <w:t xml:space="preserve"> University, whose authorities knew of his needs for sign language interpretation. He was considered to be the most qualified candidate for the position by the recruiters and was given the opportunity to give a trial lecture as a step in the recruitment process. Despite his qualifications, the university cancelled the recruitment process on 17 May 2016, claiming that it would be too expensive to finance sign language interpretation as a means of guaranteeing the author’s right to employment on an equal basis with others. </w:t>
      </w:r>
      <w:r w:rsidRPr="00EE13E8">
        <w:rPr>
          <w:rFonts w:ascii="Arial" w:hAnsi="Arial" w:cs="Arial"/>
          <w:color w:val="000000"/>
          <w:lang w:val="en-GB"/>
        </w:rPr>
        <w:t>A</w:t>
      </w:r>
      <w:r w:rsidR="0019737E" w:rsidRPr="00EE13E8">
        <w:rPr>
          <w:rFonts w:ascii="Arial" w:hAnsi="Arial" w:cs="Arial"/>
          <w:color w:val="000000"/>
          <w:lang w:val="en-GB"/>
        </w:rPr>
        <w:t>lternative forms of work adaptations or reasonable accommodation, including tasks that wo</w:t>
      </w:r>
      <w:r w:rsidRPr="00EE13E8">
        <w:rPr>
          <w:rFonts w:ascii="Arial" w:hAnsi="Arial" w:cs="Arial"/>
          <w:color w:val="000000"/>
          <w:lang w:val="en-GB"/>
        </w:rPr>
        <w:t xml:space="preserve">uld not require interpretation </w:t>
      </w:r>
      <w:r w:rsidR="0019737E" w:rsidRPr="00EE13E8">
        <w:rPr>
          <w:rFonts w:ascii="Arial" w:hAnsi="Arial" w:cs="Arial"/>
          <w:color w:val="000000"/>
          <w:lang w:val="en-GB"/>
        </w:rPr>
        <w:t xml:space="preserve">were not </w:t>
      </w:r>
      <w:r w:rsidR="00C767B7">
        <w:rPr>
          <w:rFonts w:ascii="Arial" w:hAnsi="Arial" w:cs="Arial"/>
          <w:color w:val="000000"/>
          <w:lang w:val="en-GB"/>
        </w:rPr>
        <w:t>considered</w:t>
      </w:r>
      <w:r w:rsidR="0019737E" w:rsidRPr="00EE13E8">
        <w:rPr>
          <w:rFonts w:ascii="Arial" w:hAnsi="Arial" w:cs="Arial"/>
          <w:color w:val="000000"/>
          <w:lang w:val="en-GB"/>
        </w:rPr>
        <w:t xml:space="preserve"> </w:t>
      </w:r>
      <w:r w:rsidR="00C767B7">
        <w:rPr>
          <w:rFonts w:ascii="Arial" w:hAnsi="Arial" w:cs="Arial"/>
          <w:color w:val="000000"/>
          <w:lang w:val="en-GB"/>
        </w:rPr>
        <w:t>during</w:t>
      </w:r>
      <w:r w:rsidR="0019737E" w:rsidRPr="00EE13E8">
        <w:rPr>
          <w:rFonts w:ascii="Arial" w:hAnsi="Arial" w:cs="Arial"/>
          <w:color w:val="000000"/>
          <w:lang w:val="en-GB"/>
        </w:rPr>
        <w:t xml:space="preserve"> the recruitment process.</w:t>
      </w:r>
    </w:p>
    <w:p w14:paraId="7062C2CA" w14:textId="77777777" w:rsidR="00C767B7" w:rsidRDefault="0019737E" w:rsidP="00CE533F">
      <w:pPr>
        <w:spacing w:after="120" w:line="240" w:lineRule="auto"/>
        <w:jc w:val="both"/>
        <w:rPr>
          <w:rFonts w:ascii="Arial" w:hAnsi="Arial" w:cs="Arial"/>
          <w:color w:val="000000"/>
          <w:lang w:val="en-GB"/>
        </w:rPr>
      </w:pPr>
      <w:r w:rsidRPr="00EE13E8">
        <w:rPr>
          <w:rFonts w:ascii="Arial" w:hAnsi="Arial" w:cs="Arial"/>
          <w:color w:val="000000"/>
          <w:lang w:val="en-GB"/>
        </w:rPr>
        <w:t>The author filed a complaint to the Discrimination Ombudsman, which brought a civil suit on his behalf before the Swedish Labour Court, claiming that the decision to cancel the position was discriminatory, in violation of chapter 1, section 4(3), and chapter 2, section 1, of the Discrimination Act</w:t>
      </w:r>
      <w:r w:rsidR="00C767B7">
        <w:rPr>
          <w:rFonts w:ascii="Arial" w:hAnsi="Arial" w:cs="Arial"/>
          <w:color w:val="000000"/>
          <w:lang w:val="en-GB"/>
        </w:rPr>
        <w:t>.</w:t>
      </w:r>
      <w:r w:rsidRPr="00EE13E8">
        <w:rPr>
          <w:rFonts w:ascii="Arial" w:hAnsi="Arial" w:cs="Arial"/>
          <w:color w:val="000000"/>
          <w:lang w:val="en-GB"/>
        </w:rPr>
        <w:t xml:space="preserve"> </w:t>
      </w:r>
      <w:r w:rsidR="00C767B7">
        <w:rPr>
          <w:rFonts w:ascii="Arial" w:hAnsi="Arial" w:cs="Arial"/>
          <w:color w:val="000000"/>
          <w:lang w:val="en-GB"/>
        </w:rPr>
        <w:t>T</w:t>
      </w:r>
      <w:r w:rsidRPr="00EE13E8">
        <w:rPr>
          <w:rFonts w:ascii="Arial" w:hAnsi="Arial" w:cs="Arial"/>
          <w:color w:val="000000"/>
          <w:lang w:val="en-GB"/>
        </w:rPr>
        <w:t>he Discrimination Ombudsman claimed that the author was entitled to 100,000 Swedish krona ($10,695) compensation for the discrimination he had suffered.</w:t>
      </w:r>
      <w:r w:rsidR="00C767B7">
        <w:rPr>
          <w:rFonts w:ascii="Arial" w:hAnsi="Arial" w:cs="Arial"/>
          <w:color w:val="000000"/>
          <w:lang w:val="en-GB"/>
        </w:rPr>
        <w:t xml:space="preserve"> </w:t>
      </w:r>
    </w:p>
    <w:p w14:paraId="3C076DB5" w14:textId="17D7A43D" w:rsidR="00EE13E8" w:rsidRPr="00C767B7" w:rsidRDefault="0019737E" w:rsidP="00CE533F">
      <w:pPr>
        <w:spacing w:after="120" w:line="240" w:lineRule="auto"/>
        <w:jc w:val="both"/>
        <w:rPr>
          <w:rFonts w:ascii="Arial" w:hAnsi="Arial" w:cs="Arial"/>
          <w:color w:val="000000"/>
          <w:lang w:val="en-GB"/>
        </w:rPr>
      </w:pPr>
      <w:r w:rsidRPr="00EE13E8">
        <w:rPr>
          <w:rFonts w:ascii="Arial" w:hAnsi="Arial" w:cs="Arial"/>
          <w:color w:val="000000"/>
          <w:lang w:val="en-GB"/>
        </w:rPr>
        <w:t xml:space="preserve">On 11 October 2017, the Court found that the university had not discriminated against the author, considering that the appointment had been cancelled because it was too expensive for the university to finance the required sign language interpretation. It found that it was not reasonable to demand the university to finance interpreting expenses despite the size of its staff budget. </w:t>
      </w:r>
    </w:p>
    <w:p w14:paraId="04089AB0" w14:textId="77777777" w:rsidR="00596F09" w:rsidRPr="00C767B7" w:rsidRDefault="00596F09" w:rsidP="00CE533F">
      <w:pPr>
        <w:spacing w:after="120" w:line="240" w:lineRule="auto"/>
        <w:jc w:val="both"/>
        <w:rPr>
          <w:rFonts w:ascii="Arial" w:hAnsi="Arial" w:cs="Arial"/>
          <w:b/>
          <w:color w:val="000000"/>
          <w:lang w:val="en-US"/>
        </w:rPr>
      </w:pPr>
      <w:r w:rsidRPr="00C767B7">
        <w:rPr>
          <w:rFonts w:ascii="Arial" w:hAnsi="Arial" w:cs="Arial"/>
          <w:b/>
          <w:color w:val="000000"/>
          <w:lang w:val="en-US"/>
        </w:rPr>
        <w:t>The complaint</w:t>
      </w:r>
      <w:r w:rsidR="00933632" w:rsidRPr="00C767B7">
        <w:rPr>
          <w:lang w:val="en-US"/>
        </w:rPr>
        <w:t xml:space="preserve"> </w:t>
      </w:r>
      <w:r w:rsidR="00933632" w:rsidRPr="00C767B7">
        <w:rPr>
          <w:rFonts w:ascii="Arial" w:hAnsi="Arial" w:cs="Arial"/>
          <w:b/>
          <w:color w:val="000000"/>
          <w:lang w:val="en-US"/>
        </w:rPr>
        <w:t>submitted to the Committee</w:t>
      </w:r>
    </w:p>
    <w:p w14:paraId="592314EC" w14:textId="5EFC7517" w:rsidR="005B1F22" w:rsidRPr="00C767B7" w:rsidRDefault="0036003A" w:rsidP="00CE533F">
      <w:pPr>
        <w:spacing w:after="120" w:line="240" w:lineRule="auto"/>
        <w:jc w:val="both"/>
        <w:rPr>
          <w:rFonts w:ascii="Arial" w:hAnsi="Arial" w:cs="Arial"/>
          <w:color w:val="000000"/>
          <w:lang w:val="en-US"/>
        </w:rPr>
      </w:pPr>
      <w:r w:rsidRPr="00C767B7">
        <w:rPr>
          <w:rFonts w:ascii="Arial" w:hAnsi="Arial" w:cs="Arial"/>
          <w:color w:val="000000"/>
          <w:u w:val="single"/>
          <w:lang w:val="en-US"/>
        </w:rPr>
        <w:t>Regarding articles 5 (2) and (3) and 27 (1) (b), (g) and (</w:t>
      </w:r>
      <w:proofErr w:type="spellStart"/>
      <w:r w:rsidRPr="00C767B7">
        <w:rPr>
          <w:rFonts w:ascii="Arial" w:hAnsi="Arial" w:cs="Arial"/>
          <w:color w:val="000000"/>
          <w:u w:val="single"/>
          <w:lang w:val="en-US"/>
        </w:rPr>
        <w:t>i</w:t>
      </w:r>
      <w:proofErr w:type="spellEnd"/>
      <w:r w:rsidRPr="00C767B7">
        <w:rPr>
          <w:rFonts w:ascii="Arial" w:hAnsi="Arial" w:cs="Arial"/>
          <w:color w:val="000000"/>
          <w:u w:val="single"/>
          <w:lang w:val="en-US"/>
        </w:rPr>
        <w:t>),</w:t>
      </w:r>
      <w:r w:rsidRPr="00C767B7">
        <w:rPr>
          <w:rFonts w:ascii="Arial" w:hAnsi="Arial" w:cs="Arial"/>
          <w:color w:val="000000"/>
          <w:lang w:val="en-US"/>
        </w:rPr>
        <w:t xml:space="preserve"> t</w:t>
      </w:r>
      <w:r w:rsidR="00596F09" w:rsidRPr="00C767B7">
        <w:rPr>
          <w:rFonts w:ascii="Arial" w:hAnsi="Arial" w:cs="Arial"/>
          <w:color w:val="000000"/>
          <w:lang w:val="en-US"/>
        </w:rPr>
        <w:t>he auth</w:t>
      </w:r>
      <w:r w:rsidR="00CE4724" w:rsidRPr="00C767B7">
        <w:rPr>
          <w:rFonts w:ascii="Arial" w:hAnsi="Arial" w:cs="Arial"/>
          <w:color w:val="000000"/>
          <w:lang w:val="en-US"/>
        </w:rPr>
        <w:t>or alleges that the State</w:t>
      </w:r>
      <w:r w:rsidRPr="00C767B7">
        <w:rPr>
          <w:rFonts w:ascii="Arial" w:hAnsi="Arial" w:cs="Arial"/>
          <w:color w:val="000000"/>
          <w:lang w:val="en-US"/>
        </w:rPr>
        <w:t xml:space="preserve"> </w:t>
      </w:r>
      <w:r w:rsidR="00596F09" w:rsidRPr="00C767B7">
        <w:rPr>
          <w:rFonts w:ascii="Arial" w:hAnsi="Arial" w:cs="Arial"/>
          <w:color w:val="000000"/>
          <w:lang w:val="en-US"/>
        </w:rPr>
        <w:t>has failed to provide him with an equal right to work and reasonable accommodation in employment in contrave</w:t>
      </w:r>
      <w:r w:rsidRPr="00C767B7">
        <w:rPr>
          <w:rFonts w:ascii="Arial" w:hAnsi="Arial" w:cs="Arial"/>
          <w:color w:val="000000"/>
          <w:lang w:val="en-US"/>
        </w:rPr>
        <w:t>ntion of its obligations</w:t>
      </w:r>
      <w:r w:rsidR="00596F09" w:rsidRPr="00C767B7">
        <w:rPr>
          <w:rFonts w:ascii="Arial" w:hAnsi="Arial" w:cs="Arial"/>
          <w:color w:val="000000"/>
          <w:lang w:val="en-US"/>
        </w:rPr>
        <w:t xml:space="preserve">. </w:t>
      </w:r>
      <w:r w:rsidR="005B1F22" w:rsidRPr="00C767B7">
        <w:rPr>
          <w:rFonts w:ascii="Arial" w:hAnsi="Arial" w:cs="Arial"/>
          <w:color w:val="000000"/>
          <w:lang w:val="en-US"/>
        </w:rPr>
        <w:t xml:space="preserve">He claims that the prevention of rights violation is the obligation of both the employer and the State. In his case, it would not have been disproportionate or </w:t>
      </w:r>
      <w:r w:rsidR="005B1F22" w:rsidRPr="00C767B7">
        <w:rPr>
          <w:rFonts w:ascii="Arial" w:hAnsi="Arial" w:cs="Arial"/>
          <w:color w:val="000000"/>
          <w:lang w:val="en-US"/>
        </w:rPr>
        <w:lastRenderedPageBreak/>
        <w:t xml:space="preserve">unreasonable to require the State and employer to provide the reasonable accommodation that was necessary to enable him to carry out the functions </w:t>
      </w:r>
      <w:r w:rsidR="00C767B7">
        <w:rPr>
          <w:rFonts w:ascii="Arial" w:hAnsi="Arial" w:cs="Arial"/>
          <w:color w:val="000000"/>
          <w:lang w:val="en-US"/>
        </w:rPr>
        <w:t>in</w:t>
      </w:r>
      <w:r w:rsidR="005B1F22" w:rsidRPr="00C767B7">
        <w:rPr>
          <w:rFonts w:ascii="Arial" w:hAnsi="Arial" w:cs="Arial"/>
          <w:color w:val="000000"/>
          <w:lang w:val="en-US"/>
        </w:rPr>
        <w:t xml:space="preserve"> the position for which he had applied.</w:t>
      </w:r>
    </w:p>
    <w:p w14:paraId="31E68A69" w14:textId="1624DC2F" w:rsidR="005B1F22" w:rsidRPr="00C767B7" w:rsidRDefault="005B1F22" w:rsidP="00CE533F">
      <w:pPr>
        <w:spacing w:after="120" w:line="240" w:lineRule="auto"/>
        <w:jc w:val="both"/>
        <w:rPr>
          <w:rFonts w:ascii="Arial" w:hAnsi="Arial" w:cs="Arial"/>
          <w:color w:val="000000"/>
          <w:lang w:val="en-US"/>
        </w:rPr>
      </w:pPr>
      <w:r w:rsidRPr="00C767B7">
        <w:rPr>
          <w:rFonts w:ascii="Arial" w:hAnsi="Arial" w:cs="Arial"/>
          <w:color w:val="000000"/>
          <w:u w:val="single"/>
          <w:lang w:val="en-US"/>
        </w:rPr>
        <w:t>Regarding article 9, paragraph 1(a</w:t>
      </w:r>
      <w:r w:rsidR="0036003A" w:rsidRPr="00C767B7">
        <w:rPr>
          <w:rFonts w:ascii="Arial" w:hAnsi="Arial" w:cs="Arial"/>
          <w:color w:val="000000"/>
          <w:u w:val="single"/>
          <w:lang w:val="en-US"/>
        </w:rPr>
        <w:t>),</w:t>
      </w:r>
      <w:r w:rsidR="0036003A" w:rsidRPr="00C767B7">
        <w:rPr>
          <w:rFonts w:ascii="Arial" w:hAnsi="Arial" w:cs="Arial"/>
          <w:color w:val="000000"/>
          <w:lang w:val="en-US"/>
        </w:rPr>
        <w:t xml:space="preserve"> workplaces have to be accessible, therefore, a refusal to adapt the workplace constitutes a prohibited act of disability-based discrimination.</w:t>
      </w:r>
    </w:p>
    <w:p w14:paraId="7458AE77" w14:textId="4422ED16" w:rsidR="00B43311" w:rsidRPr="00C767B7" w:rsidRDefault="0036003A" w:rsidP="00CE533F">
      <w:pPr>
        <w:spacing w:after="120" w:line="240" w:lineRule="auto"/>
        <w:jc w:val="both"/>
        <w:rPr>
          <w:rFonts w:ascii="Arial" w:hAnsi="Arial" w:cs="Arial"/>
          <w:color w:val="000000"/>
          <w:lang w:val="en-US"/>
        </w:rPr>
      </w:pPr>
      <w:r w:rsidRPr="00C767B7">
        <w:rPr>
          <w:rFonts w:ascii="Arial" w:hAnsi="Arial" w:cs="Arial"/>
          <w:color w:val="000000"/>
          <w:u w:val="single"/>
          <w:lang w:val="en-US"/>
        </w:rPr>
        <w:t>Regarding article 4 (2),</w:t>
      </w:r>
      <w:r w:rsidRPr="00C767B7">
        <w:rPr>
          <w:rFonts w:ascii="Arial" w:hAnsi="Arial" w:cs="Arial"/>
          <w:color w:val="000000"/>
          <w:lang w:val="en-US"/>
        </w:rPr>
        <w:t xml:space="preserve"> both the State and </w:t>
      </w:r>
      <w:proofErr w:type="spellStart"/>
      <w:r w:rsidRPr="00C767B7">
        <w:rPr>
          <w:rFonts w:ascii="Arial" w:hAnsi="Arial" w:cs="Arial"/>
          <w:color w:val="000000"/>
          <w:lang w:val="en-US"/>
        </w:rPr>
        <w:t>Södertörn</w:t>
      </w:r>
      <w:proofErr w:type="spellEnd"/>
      <w:r w:rsidRPr="00C767B7">
        <w:rPr>
          <w:rFonts w:ascii="Arial" w:hAnsi="Arial" w:cs="Arial"/>
          <w:color w:val="000000"/>
          <w:lang w:val="en-US"/>
        </w:rPr>
        <w:t xml:space="preserve"> University had a budget surplus for the 2016 fiscal year. Since the State has not shown that surpl</w:t>
      </w:r>
      <w:r w:rsidR="00B43311" w:rsidRPr="00C767B7">
        <w:rPr>
          <w:rFonts w:ascii="Arial" w:hAnsi="Arial" w:cs="Arial"/>
          <w:color w:val="000000"/>
          <w:lang w:val="en-US"/>
        </w:rPr>
        <w:t xml:space="preserve">us covered other </w:t>
      </w:r>
      <w:r w:rsidRPr="00C767B7">
        <w:rPr>
          <w:rFonts w:ascii="Arial" w:hAnsi="Arial" w:cs="Arial"/>
          <w:color w:val="000000"/>
          <w:lang w:val="en-US"/>
        </w:rPr>
        <w:t>pressing needs, it was not unreasonable to require to cover sign interpretation.</w:t>
      </w:r>
      <w:r w:rsidR="00B43311" w:rsidRPr="00C767B7">
        <w:rPr>
          <w:rFonts w:ascii="Arial" w:hAnsi="Arial" w:cs="Arial"/>
          <w:color w:val="000000"/>
          <w:lang w:val="en-US"/>
        </w:rPr>
        <w:t xml:space="preserve"> The author claims that the employer failed to provide alternative reasonable accommodation not requir</w:t>
      </w:r>
      <w:r w:rsidR="00C767B7">
        <w:rPr>
          <w:rFonts w:ascii="Arial" w:hAnsi="Arial" w:cs="Arial"/>
          <w:color w:val="000000"/>
          <w:lang w:val="en-US"/>
        </w:rPr>
        <w:t>ing</w:t>
      </w:r>
      <w:r w:rsidR="00B43311" w:rsidRPr="00C767B7">
        <w:rPr>
          <w:rFonts w:ascii="Arial" w:hAnsi="Arial" w:cs="Arial"/>
          <w:color w:val="000000"/>
          <w:lang w:val="en-US"/>
        </w:rPr>
        <w:t xml:space="preserve"> sign language interpretation.</w:t>
      </w:r>
    </w:p>
    <w:p w14:paraId="092A00A6" w14:textId="51EA9E6A" w:rsidR="00B43311" w:rsidRPr="00C767B7" w:rsidRDefault="00B43311" w:rsidP="00CE533F">
      <w:pPr>
        <w:spacing w:after="120" w:line="240" w:lineRule="auto"/>
        <w:jc w:val="both"/>
        <w:rPr>
          <w:rFonts w:ascii="Arial" w:hAnsi="Arial" w:cs="Arial"/>
          <w:color w:val="000000"/>
          <w:lang w:val="en-US"/>
        </w:rPr>
      </w:pPr>
      <w:r w:rsidRPr="00C767B7">
        <w:rPr>
          <w:rFonts w:ascii="Arial" w:hAnsi="Arial" w:cs="Arial"/>
          <w:color w:val="000000"/>
          <w:u w:val="single"/>
          <w:lang w:val="en-US"/>
        </w:rPr>
        <w:t>Regarding article 8,</w:t>
      </w:r>
      <w:r w:rsidRPr="00C767B7">
        <w:rPr>
          <w:rFonts w:ascii="Arial" w:hAnsi="Arial" w:cs="Arial"/>
          <w:color w:val="000000"/>
          <w:lang w:val="en-US"/>
        </w:rPr>
        <w:t xml:space="preserve"> he claims that the State failed to consider the benefits of employing </w:t>
      </w:r>
      <w:r w:rsidR="00633C62">
        <w:rPr>
          <w:rFonts w:ascii="Arial" w:hAnsi="Arial" w:cs="Arial"/>
          <w:color w:val="000000"/>
          <w:lang w:val="en-US"/>
        </w:rPr>
        <w:t>him</w:t>
      </w:r>
      <w:r w:rsidRPr="00C767B7">
        <w:rPr>
          <w:rFonts w:ascii="Arial" w:hAnsi="Arial" w:cs="Arial"/>
          <w:color w:val="000000"/>
          <w:lang w:val="en-US"/>
        </w:rPr>
        <w:t xml:space="preserve"> as a senior lecturer.</w:t>
      </w:r>
      <w:r w:rsidR="00122DDB" w:rsidRPr="00C767B7">
        <w:rPr>
          <w:rFonts w:ascii="Arial" w:hAnsi="Arial" w:cs="Arial"/>
          <w:color w:val="000000"/>
          <w:lang w:val="en-US"/>
        </w:rPr>
        <w:t xml:space="preserve"> As </w:t>
      </w:r>
      <w:r w:rsidR="00633C62">
        <w:rPr>
          <w:rFonts w:ascii="Arial" w:hAnsi="Arial" w:cs="Arial"/>
          <w:color w:val="000000"/>
          <w:lang w:val="en-US"/>
        </w:rPr>
        <w:t>he</w:t>
      </w:r>
      <w:r w:rsidR="00122DDB" w:rsidRPr="00C767B7">
        <w:rPr>
          <w:rFonts w:ascii="Arial" w:hAnsi="Arial" w:cs="Arial"/>
          <w:color w:val="000000"/>
          <w:lang w:val="en-US"/>
        </w:rPr>
        <w:t xml:space="preserve"> has a</w:t>
      </w:r>
      <w:r w:rsidR="00633C62">
        <w:rPr>
          <w:rFonts w:ascii="Arial" w:hAnsi="Arial" w:cs="Arial"/>
          <w:color w:val="000000"/>
          <w:lang w:val="en-US"/>
        </w:rPr>
        <w:t>n impairment</w:t>
      </w:r>
      <w:r w:rsidR="00122DDB" w:rsidRPr="00C767B7">
        <w:rPr>
          <w:rFonts w:ascii="Arial" w:hAnsi="Arial" w:cs="Arial"/>
          <w:color w:val="000000"/>
          <w:lang w:val="en-US"/>
        </w:rPr>
        <w:t xml:space="preserve"> </w:t>
      </w:r>
      <w:r w:rsidR="00633C62">
        <w:rPr>
          <w:rFonts w:ascii="Arial" w:hAnsi="Arial" w:cs="Arial"/>
          <w:color w:val="000000"/>
          <w:lang w:val="en-US"/>
        </w:rPr>
        <w:t>with expertise</w:t>
      </w:r>
      <w:r w:rsidR="00122DDB" w:rsidRPr="00C767B7">
        <w:rPr>
          <w:rFonts w:ascii="Arial" w:hAnsi="Arial" w:cs="Arial"/>
          <w:color w:val="000000"/>
          <w:lang w:val="en-US"/>
        </w:rPr>
        <w:t xml:space="preserve"> o</w:t>
      </w:r>
      <w:r w:rsidR="00633C62">
        <w:rPr>
          <w:rFonts w:ascii="Arial" w:hAnsi="Arial" w:cs="Arial"/>
          <w:color w:val="000000"/>
          <w:lang w:val="en-US"/>
        </w:rPr>
        <w:t>n</w:t>
      </w:r>
      <w:r w:rsidR="00122DDB" w:rsidRPr="00C767B7">
        <w:rPr>
          <w:rFonts w:ascii="Arial" w:hAnsi="Arial" w:cs="Arial"/>
          <w:color w:val="000000"/>
          <w:lang w:val="en-US"/>
        </w:rPr>
        <w:t xml:space="preserve"> disability rights, he could have provided a valuable contribution to </w:t>
      </w:r>
      <w:r w:rsidR="00633C62">
        <w:rPr>
          <w:rFonts w:ascii="Arial" w:hAnsi="Arial" w:cs="Arial"/>
          <w:color w:val="000000"/>
          <w:lang w:val="en-US"/>
        </w:rPr>
        <w:t xml:space="preserve">the </w:t>
      </w:r>
      <w:r w:rsidR="00122DDB" w:rsidRPr="00C767B7">
        <w:rPr>
          <w:rFonts w:ascii="Arial" w:hAnsi="Arial" w:cs="Arial"/>
          <w:color w:val="000000"/>
          <w:lang w:val="en-US"/>
        </w:rPr>
        <w:t xml:space="preserve">University, </w:t>
      </w:r>
      <w:r w:rsidR="00633C62">
        <w:rPr>
          <w:rFonts w:ascii="Arial" w:hAnsi="Arial" w:cs="Arial"/>
          <w:color w:val="000000"/>
          <w:lang w:val="en-US"/>
        </w:rPr>
        <w:t xml:space="preserve">which would be </w:t>
      </w:r>
      <w:r w:rsidR="00122DDB" w:rsidRPr="00C767B7">
        <w:rPr>
          <w:rFonts w:ascii="Arial" w:hAnsi="Arial" w:cs="Arial"/>
          <w:color w:val="000000"/>
          <w:lang w:val="en-US"/>
        </w:rPr>
        <w:t xml:space="preserve">inclusive </w:t>
      </w:r>
      <w:r w:rsidR="00633C62">
        <w:rPr>
          <w:rFonts w:ascii="Arial" w:hAnsi="Arial" w:cs="Arial"/>
          <w:color w:val="000000"/>
          <w:lang w:val="en-US"/>
        </w:rPr>
        <w:t>of</w:t>
      </w:r>
      <w:r w:rsidR="00122DDB" w:rsidRPr="00C767B7">
        <w:rPr>
          <w:rFonts w:ascii="Arial" w:hAnsi="Arial" w:cs="Arial"/>
          <w:color w:val="000000"/>
          <w:lang w:val="en-US"/>
        </w:rPr>
        <w:t xml:space="preserve"> underrepresented groups.</w:t>
      </w:r>
    </w:p>
    <w:p w14:paraId="2B6785B2" w14:textId="30CC31EF" w:rsidR="00B43311" w:rsidRPr="00C767B7" w:rsidRDefault="00122DDB" w:rsidP="00CE533F">
      <w:pPr>
        <w:spacing w:after="120" w:line="240" w:lineRule="auto"/>
        <w:jc w:val="both"/>
        <w:rPr>
          <w:rFonts w:ascii="Arial" w:hAnsi="Arial" w:cs="Arial"/>
          <w:color w:val="000000"/>
          <w:lang w:val="en-US"/>
        </w:rPr>
      </w:pPr>
      <w:r w:rsidRPr="00C767B7">
        <w:rPr>
          <w:rFonts w:ascii="Arial" w:hAnsi="Arial" w:cs="Arial"/>
          <w:color w:val="000000"/>
          <w:u w:val="single"/>
          <w:lang w:val="en-US"/>
        </w:rPr>
        <w:t>Regarding articles 4 (2), 5, 9 and 27, in conjunction with article 3</w:t>
      </w:r>
      <w:r w:rsidRPr="00C767B7">
        <w:rPr>
          <w:rFonts w:ascii="Arial" w:hAnsi="Arial" w:cs="Arial"/>
          <w:color w:val="000000"/>
          <w:lang w:val="en-US"/>
        </w:rPr>
        <w:t>, by cancelling the recruitment procedure, the State violated the author’s right to equal opportunity for public employment.</w:t>
      </w:r>
    </w:p>
    <w:p w14:paraId="3D80C9A4" w14:textId="77777777" w:rsidR="00847CD6" w:rsidRPr="00234159" w:rsidRDefault="00847CD6" w:rsidP="00CE533F">
      <w:pPr>
        <w:pStyle w:val="H1G"/>
        <w:spacing w:after="120" w:line="240" w:lineRule="auto"/>
        <w:jc w:val="both"/>
        <w:rPr>
          <w:rFonts w:ascii="Arial" w:hAnsi="Arial" w:cs="Arial"/>
          <w:sz w:val="22"/>
          <w:szCs w:val="22"/>
        </w:rPr>
      </w:pPr>
      <w:r w:rsidRPr="00234159">
        <w:rPr>
          <w:rFonts w:ascii="Arial" w:hAnsi="Arial" w:cs="Arial"/>
          <w:sz w:val="22"/>
          <w:szCs w:val="22"/>
        </w:rPr>
        <w:t>State party’s observations on admissibility and the merits</w:t>
      </w:r>
    </w:p>
    <w:p w14:paraId="10C47977" w14:textId="43C8D34B" w:rsidR="00847CD6" w:rsidRDefault="00633C62" w:rsidP="00CE533F">
      <w:pPr>
        <w:spacing w:after="120" w:line="240" w:lineRule="auto"/>
        <w:jc w:val="both"/>
        <w:rPr>
          <w:rFonts w:ascii="Arial" w:hAnsi="Arial" w:cs="Arial"/>
          <w:color w:val="000000"/>
          <w:lang w:val="en-GB"/>
        </w:rPr>
      </w:pPr>
      <w:r>
        <w:rPr>
          <w:rFonts w:ascii="Arial" w:hAnsi="Arial" w:cs="Arial"/>
          <w:color w:val="000000"/>
          <w:lang w:val="en-GB"/>
        </w:rPr>
        <w:t>T</w:t>
      </w:r>
      <w:r w:rsidR="00CD3AE8" w:rsidRPr="00CD3AE8">
        <w:rPr>
          <w:rFonts w:ascii="Arial" w:hAnsi="Arial" w:cs="Arial"/>
          <w:color w:val="000000"/>
          <w:lang w:val="en-GB"/>
        </w:rPr>
        <w:t>he State maintains that the communication is manifestly ill-founded and</w:t>
      </w:r>
      <w:r>
        <w:rPr>
          <w:rFonts w:ascii="Arial" w:hAnsi="Arial" w:cs="Arial"/>
          <w:color w:val="000000"/>
          <w:lang w:val="en-GB"/>
        </w:rPr>
        <w:t xml:space="preserve"> that the authors failed to exhaust domestic remedies, rendering the communication</w:t>
      </w:r>
      <w:r w:rsidR="00CD3AE8" w:rsidRPr="00CD3AE8">
        <w:rPr>
          <w:rFonts w:ascii="Arial" w:hAnsi="Arial" w:cs="Arial"/>
          <w:color w:val="000000"/>
          <w:lang w:val="en-GB"/>
        </w:rPr>
        <w:t xml:space="preserve"> inadmissible pursuant to article 2</w:t>
      </w:r>
      <w:r w:rsidR="00BD067F">
        <w:rPr>
          <w:rFonts w:ascii="Arial" w:hAnsi="Arial" w:cs="Arial"/>
          <w:color w:val="000000"/>
          <w:lang w:val="en-GB"/>
        </w:rPr>
        <w:t xml:space="preserve">(d) and </w:t>
      </w:r>
      <w:r w:rsidR="00CD3AE8" w:rsidRPr="00CD3AE8">
        <w:rPr>
          <w:rFonts w:ascii="Arial" w:hAnsi="Arial" w:cs="Arial"/>
          <w:color w:val="000000"/>
          <w:lang w:val="en-GB"/>
        </w:rPr>
        <w:t>(e) of the Optional Protocol</w:t>
      </w:r>
      <w:r>
        <w:rPr>
          <w:rFonts w:ascii="Arial" w:hAnsi="Arial" w:cs="Arial"/>
          <w:color w:val="000000"/>
          <w:lang w:val="en-GB"/>
        </w:rPr>
        <w:t>.</w:t>
      </w:r>
    </w:p>
    <w:p w14:paraId="5C747863" w14:textId="496B1E50" w:rsidR="00234159" w:rsidRDefault="00234159" w:rsidP="00CE533F">
      <w:pPr>
        <w:spacing w:after="120" w:line="240" w:lineRule="auto"/>
        <w:jc w:val="both"/>
        <w:rPr>
          <w:rFonts w:ascii="Arial" w:hAnsi="Arial" w:cs="Arial"/>
          <w:color w:val="000000"/>
          <w:lang w:val="en-GB"/>
        </w:rPr>
      </w:pPr>
      <w:r w:rsidRPr="00234159">
        <w:rPr>
          <w:rFonts w:ascii="Arial" w:hAnsi="Arial" w:cs="Arial"/>
          <w:color w:val="000000"/>
          <w:u w:val="single"/>
          <w:lang w:val="en-GB"/>
        </w:rPr>
        <w:t>Regarding the exhaustion of available domestic remedies</w:t>
      </w:r>
      <w:r w:rsidRPr="00234159">
        <w:rPr>
          <w:rFonts w:ascii="Arial" w:hAnsi="Arial" w:cs="Arial"/>
          <w:color w:val="000000"/>
          <w:lang w:val="en-GB"/>
        </w:rPr>
        <w:t xml:space="preserve">, the State notes that the author appealed the Administrative Court’s decision to the Administrative Court of Appeal in Stockholm, which decided not to grant leave to appeal. The Administrative Court of Appeal’s decision could </w:t>
      </w:r>
      <w:r w:rsidR="00BD067F">
        <w:rPr>
          <w:rFonts w:ascii="Arial" w:hAnsi="Arial" w:cs="Arial"/>
          <w:color w:val="000000"/>
          <w:lang w:val="en-GB"/>
        </w:rPr>
        <w:t>have been</w:t>
      </w:r>
      <w:r w:rsidRPr="00234159">
        <w:rPr>
          <w:rFonts w:ascii="Arial" w:hAnsi="Arial" w:cs="Arial"/>
          <w:color w:val="000000"/>
          <w:lang w:val="en-GB"/>
        </w:rPr>
        <w:t xml:space="preserve"> appealed to the Supreme Administrative Court and included a reference to an annex with information on how to appeal. The author did not do so, despite the fact that such an appeal could have led to a finding that the author was entitled to appeal the decision of the university and, ultimately, to an examination of his claim that the university’s decision should be revoked.</w:t>
      </w:r>
    </w:p>
    <w:p w14:paraId="7B3B439B" w14:textId="4AF46A57" w:rsidR="00CD3AE8" w:rsidRDefault="00CD3AE8" w:rsidP="00CE533F">
      <w:pPr>
        <w:spacing w:after="120" w:line="240" w:lineRule="auto"/>
        <w:jc w:val="both"/>
        <w:rPr>
          <w:rFonts w:ascii="Arial" w:hAnsi="Arial" w:cs="Arial"/>
          <w:color w:val="000000"/>
          <w:lang w:val="en-GB"/>
        </w:rPr>
      </w:pPr>
      <w:r>
        <w:rPr>
          <w:rFonts w:ascii="Arial" w:hAnsi="Arial" w:cs="Arial"/>
          <w:color w:val="000000"/>
          <w:u w:val="single"/>
          <w:lang w:val="en-GB"/>
        </w:rPr>
        <w:t xml:space="preserve">Regarding </w:t>
      </w:r>
      <w:r w:rsidRPr="00CD3AE8">
        <w:rPr>
          <w:rFonts w:ascii="Arial" w:hAnsi="Arial" w:cs="Arial"/>
          <w:color w:val="000000"/>
          <w:u w:val="single"/>
          <w:lang w:val="en-GB"/>
        </w:rPr>
        <w:t>alternative reasonable accommodation</w:t>
      </w:r>
      <w:r w:rsidRPr="00BD067F">
        <w:rPr>
          <w:rFonts w:ascii="Arial" w:hAnsi="Arial" w:cs="Arial"/>
          <w:color w:val="000000"/>
          <w:lang w:val="en-GB"/>
        </w:rPr>
        <w:t xml:space="preserve">, </w:t>
      </w:r>
      <w:r w:rsidRPr="00CD3AE8">
        <w:rPr>
          <w:rFonts w:ascii="Arial" w:hAnsi="Arial" w:cs="Arial"/>
          <w:color w:val="000000"/>
          <w:lang w:val="en-GB"/>
        </w:rPr>
        <w:t xml:space="preserve">the Court’s judgment clearly shows that the author did not raise </w:t>
      </w:r>
      <w:r>
        <w:rPr>
          <w:rFonts w:ascii="Arial" w:hAnsi="Arial" w:cs="Arial"/>
          <w:color w:val="000000"/>
          <w:lang w:val="en-GB"/>
        </w:rPr>
        <w:t>any issue relating to alternative adjustments</w:t>
      </w:r>
      <w:r w:rsidRPr="00CD3AE8">
        <w:rPr>
          <w:rFonts w:ascii="Arial" w:hAnsi="Arial" w:cs="Arial"/>
          <w:color w:val="000000"/>
          <w:lang w:val="en-GB"/>
        </w:rPr>
        <w:t xml:space="preserve"> before national jurisdictions. The dispute before the Court exclusively concerned the costs and reasonab</w:t>
      </w:r>
      <w:r w:rsidR="00BD067F">
        <w:rPr>
          <w:rFonts w:ascii="Arial" w:hAnsi="Arial" w:cs="Arial"/>
          <w:color w:val="000000"/>
          <w:lang w:val="en-GB"/>
        </w:rPr>
        <w:t>leness</w:t>
      </w:r>
      <w:r w:rsidRPr="00CD3AE8">
        <w:rPr>
          <w:rFonts w:ascii="Arial" w:hAnsi="Arial" w:cs="Arial"/>
          <w:color w:val="000000"/>
          <w:lang w:val="en-GB"/>
        </w:rPr>
        <w:t xml:space="preserve"> of deaf interpretation</w:t>
      </w:r>
      <w:r>
        <w:rPr>
          <w:rFonts w:ascii="Arial" w:hAnsi="Arial" w:cs="Arial"/>
          <w:color w:val="000000"/>
          <w:lang w:val="en-GB"/>
        </w:rPr>
        <w:t>.</w:t>
      </w:r>
      <w:r w:rsidRPr="00C767B7">
        <w:rPr>
          <w:lang w:val="en-US"/>
        </w:rPr>
        <w:t xml:space="preserve"> </w:t>
      </w:r>
      <w:r w:rsidRPr="00C767B7">
        <w:rPr>
          <w:rFonts w:ascii="Arial" w:hAnsi="Arial" w:cs="Arial"/>
          <w:color w:val="000000"/>
          <w:lang w:val="en-US"/>
        </w:rPr>
        <w:t>T</w:t>
      </w:r>
      <w:r w:rsidRPr="00CD3AE8">
        <w:rPr>
          <w:rFonts w:ascii="Arial" w:hAnsi="Arial" w:cs="Arial"/>
          <w:color w:val="000000"/>
          <w:lang w:val="en-GB"/>
        </w:rPr>
        <w:t xml:space="preserve">he author did not raise any issue regarding a lack of inquiry into accommodation measures before the Labour Court, which was </w:t>
      </w:r>
      <w:r w:rsidR="00BD067F">
        <w:rPr>
          <w:rFonts w:ascii="Arial" w:hAnsi="Arial" w:cs="Arial"/>
          <w:color w:val="000000"/>
          <w:lang w:val="en-GB"/>
        </w:rPr>
        <w:t>thus</w:t>
      </w:r>
      <w:r w:rsidRPr="00CD3AE8">
        <w:rPr>
          <w:rFonts w:ascii="Arial" w:hAnsi="Arial" w:cs="Arial"/>
          <w:color w:val="000000"/>
          <w:lang w:val="en-GB"/>
        </w:rPr>
        <w:t xml:space="preserve"> precluded from assessing </w:t>
      </w:r>
      <w:r w:rsidR="00BD067F">
        <w:rPr>
          <w:rFonts w:ascii="Arial" w:hAnsi="Arial" w:cs="Arial"/>
          <w:color w:val="000000"/>
          <w:lang w:val="en-GB"/>
        </w:rPr>
        <w:t>the issue</w:t>
      </w:r>
      <w:r w:rsidRPr="00CD3AE8">
        <w:rPr>
          <w:rFonts w:ascii="Arial" w:hAnsi="Arial" w:cs="Arial"/>
          <w:color w:val="000000"/>
          <w:lang w:val="en-GB"/>
        </w:rPr>
        <w:t>.</w:t>
      </w:r>
    </w:p>
    <w:p w14:paraId="2B9D82C0" w14:textId="140DBECA" w:rsidR="00CD3AE8" w:rsidRDefault="007D5FDB" w:rsidP="00CE533F">
      <w:pPr>
        <w:spacing w:after="120" w:line="240" w:lineRule="auto"/>
        <w:jc w:val="both"/>
        <w:rPr>
          <w:rFonts w:ascii="Arial" w:hAnsi="Arial" w:cs="Arial"/>
          <w:color w:val="000000"/>
          <w:lang w:val="en-GB"/>
        </w:rPr>
      </w:pPr>
      <w:r w:rsidRPr="007D5FDB">
        <w:rPr>
          <w:rFonts w:ascii="Arial" w:hAnsi="Arial" w:cs="Arial"/>
          <w:color w:val="000000"/>
          <w:u w:val="single"/>
          <w:lang w:val="en-GB"/>
        </w:rPr>
        <w:t>Regarding financial support</w:t>
      </w:r>
      <w:r w:rsidRPr="00BD067F">
        <w:rPr>
          <w:rFonts w:ascii="Arial" w:hAnsi="Arial" w:cs="Arial"/>
          <w:color w:val="000000"/>
          <w:lang w:val="en-GB"/>
        </w:rPr>
        <w:t>,</w:t>
      </w:r>
      <w:r>
        <w:rPr>
          <w:rFonts w:ascii="Arial" w:hAnsi="Arial" w:cs="Arial"/>
          <w:color w:val="000000"/>
          <w:lang w:val="en-GB"/>
        </w:rPr>
        <w:t xml:space="preserve"> the State </w:t>
      </w:r>
      <w:r w:rsidRPr="007D5FDB">
        <w:rPr>
          <w:rFonts w:ascii="Arial" w:hAnsi="Arial" w:cs="Arial"/>
          <w:color w:val="000000"/>
          <w:lang w:val="en-GB"/>
        </w:rPr>
        <w:t>submits that, in the case of the author, considerable funding measures were available to facilitate the author’s employment in the form of support through everyday interpretation and, more importantly, an annual wage subsidy.</w:t>
      </w:r>
      <w:r w:rsidRPr="00C767B7">
        <w:rPr>
          <w:lang w:val="en-US"/>
        </w:rPr>
        <w:t xml:space="preserve"> </w:t>
      </w:r>
      <w:r>
        <w:rPr>
          <w:rFonts w:ascii="Arial" w:hAnsi="Arial" w:cs="Arial"/>
          <w:color w:val="000000"/>
          <w:lang w:val="en-GB"/>
        </w:rPr>
        <w:t xml:space="preserve">The State </w:t>
      </w:r>
      <w:r w:rsidRPr="007D5FDB">
        <w:rPr>
          <w:rFonts w:ascii="Arial" w:hAnsi="Arial" w:cs="Arial"/>
          <w:color w:val="000000"/>
          <w:lang w:val="en-GB"/>
        </w:rPr>
        <w:t xml:space="preserve">submits that even though the above-mentioned State-funded measures were the only ones involved in the Labour Court’s judgment, this does not necessarily mean that other funding measures were not available. Since the Equality Ombudsman did not question whether the costs of interpretation should be calculated with consideration of the support in the form of wage subsidy and everyday interpretation alone, and </w:t>
      </w:r>
      <w:r w:rsidR="00CE533F">
        <w:rPr>
          <w:rFonts w:ascii="Arial" w:hAnsi="Arial" w:cs="Arial"/>
          <w:color w:val="000000"/>
          <w:lang w:val="en-GB"/>
        </w:rPr>
        <w:t>neither</w:t>
      </w:r>
      <w:r w:rsidRPr="007D5FDB">
        <w:rPr>
          <w:rFonts w:ascii="Arial" w:hAnsi="Arial" w:cs="Arial"/>
          <w:color w:val="000000"/>
          <w:lang w:val="en-GB"/>
        </w:rPr>
        <w:t xml:space="preserve"> the extent of those measures, the Court was precluded from considering the possibility of other funding measures.</w:t>
      </w:r>
    </w:p>
    <w:p w14:paraId="505D7ABD" w14:textId="56B08EFB" w:rsidR="00CE533F" w:rsidRDefault="007D5FDB" w:rsidP="00CE533F">
      <w:pPr>
        <w:spacing w:before="100" w:beforeAutospacing="1" w:after="120" w:line="240" w:lineRule="auto"/>
        <w:jc w:val="both"/>
        <w:rPr>
          <w:rFonts w:ascii="Arial" w:hAnsi="Arial" w:cs="Arial"/>
          <w:color w:val="000000"/>
          <w:lang w:val="en-GB"/>
        </w:rPr>
      </w:pPr>
      <w:r w:rsidRPr="007D5FDB">
        <w:rPr>
          <w:rFonts w:ascii="Arial" w:hAnsi="Arial" w:cs="Arial"/>
          <w:color w:val="000000"/>
          <w:u w:val="single"/>
          <w:lang w:val="en-GB"/>
        </w:rPr>
        <w:t>Regarding the modification of working responsibilities</w:t>
      </w:r>
      <w:r>
        <w:rPr>
          <w:rFonts w:ascii="Arial" w:hAnsi="Arial" w:cs="Arial"/>
          <w:color w:val="000000"/>
          <w:u w:val="single"/>
          <w:lang w:val="en-GB"/>
        </w:rPr>
        <w:t>,</w:t>
      </w:r>
      <w:r w:rsidRPr="00CE533F">
        <w:rPr>
          <w:rFonts w:ascii="Arial" w:hAnsi="Arial" w:cs="Arial"/>
          <w:color w:val="000000"/>
          <w:lang w:val="en-GB"/>
        </w:rPr>
        <w:t xml:space="preserve"> </w:t>
      </w:r>
      <w:r w:rsidR="00CE533F">
        <w:rPr>
          <w:rFonts w:ascii="Arial" w:hAnsi="Arial" w:cs="Arial"/>
          <w:color w:val="000000"/>
          <w:lang w:val="en-GB"/>
        </w:rPr>
        <w:t>t</w:t>
      </w:r>
      <w:r w:rsidRPr="00D40AC5">
        <w:rPr>
          <w:rFonts w:ascii="Arial" w:hAnsi="Arial" w:cs="Arial"/>
          <w:color w:val="000000"/>
          <w:lang w:val="en-GB"/>
        </w:rPr>
        <w:t>he State</w:t>
      </w:r>
      <w:r w:rsidR="00D40AC5">
        <w:rPr>
          <w:rFonts w:ascii="Arial" w:hAnsi="Arial" w:cs="Arial"/>
          <w:color w:val="000000"/>
          <w:lang w:val="en-GB"/>
        </w:rPr>
        <w:t xml:space="preserve"> </w:t>
      </w:r>
      <w:r w:rsidRPr="00D40AC5">
        <w:rPr>
          <w:rFonts w:ascii="Arial" w:hAnsi="Arial" w:cs="Arial"/>
          <w:color w:val="000000"/>
          <w:lang w:val="en-GB"/>
        </w:rPr>
        <w:t xml:space="preserve">notes the author’s claim that his rights have been violated since the university failed to inquire into adjustment measures other than interpretation. </w:t>
      </w:r>
      <w:r w:rsidR="00D40AC5" w:rsidRPr="00D40AC5">
        <w:rPr>
          <w:rFonts w:ascii="Arial" w:hAnsi="Arial" w:cs="Arial"/>
          <w:color w:val="000000"/>
          <w:lang w:val="en-GB"/>
        </w:rPr>
        <w:t>The State</w:t>
      </w:r>
      <w:r w:rsidRPr="00D40AC5">
        <w:rPr>
          <w:rFonts w:ascii="Arial" w:hAnsi="Arial" w:cs="Arial"/>
          <w:color w:val="000000"/>
          <w:lang w:val="en-GB"/>
        </w:rPr>
        <w:t xml:space="preserve"> refers to the un</w:t>
      </w:r>
      <w:r w:rsidR="00D40AC5" w:rsidRPr="00D40AC5">
        <w:rPr>
          <w:rFonts w:ascii="Arial" w:hAnsi="Arial" w:cs="Arial"/>
          <w:color w:val="000000"/>
          <w:lang w:val="en-GB"/>
        </w:rPr>
        <w:t xml:space="preserve">iversity’s reply </w:t>
      </w:r>
      <w:r w:rsidRPr="00D40AC5">
        <w:rPr>
          <w:rFonts w:ascii="Arial" w:hAnsi="Arial" w:cs="Arial"/>
          <w:color w:val="000000"/>
          <w:lang w:val="en-GB"/>
        </w:rPr>
        <w:t xml:space="preserve">to the Equality Ombudsman, where it concluded that the proposed measures would </w:t>
      </w:r>
      <w:r w:rsidR="00CE533F" w:rsidRPr="00D40AC5">
        <w:rPr>
          <w:rFonts w:ascii="Arial" w:hAnsi="Arial" w:cs="Arial"/>
          <w:color w:val="000000"/>
          <w:lang w:val="en-GB"/>
        </w:rPr>
        <w:t>disproportionate</w:t>
      </w:r>
      <w:r w:rsidR="00CE533F">
        <w:rPr>
          <w:rFonts w:ascii="Arial" w:hAnsi="Arial" w:cs="Arial"/>
          <w:color w:val="000000"/>
          <w:lang w:val="en-GB"/>
        </w:rPr>
        <w:t>ly</w:t>
      </w:r>
      <w:r w:rsidRPr="00D40AC5">
        <w:rPr>
          <w:rFonts w:ascii="Arial" w:hAnsi="Arial" w:cs="Arial"/>
          <w:color w:val="000000"/>
          <w:lang w:val="en-GB"/>
        </w:rPr>
        <w:t xml:space="preserve"> change the advertised post. </w:t>
      </w:r>
    </w:p>
    <w:p w14:paraId="54ADD9E3" w14:textId="2D3A931B" w:rsidR="007D5FDB" w:rsidRDefault="007D5FDB" w:rsidP="00CE533F">
      <w:pPr>
        <w:spacing w:before="100" w:beforeAutospacing="1" w:after="120" w:line="240" w:lineRule="auto"/>
        <w:jc w:val="both"/>
        <w:rPr>
          <w:rFonts w:ascii="Arial" w:hAnsi="Arial" w:cs="Arial"/>
          <w:color w:val="000000"/>
          <w:lang w:val="en-GB"/>
        </w:rPr>
      </w:pPr>
      <w:r w:rsidRPr="00D40AC5">
        <w:rPr>
          <w:rFonts w:ascii="Arial" w:hAnsi="Arial" w:cs="Arial"/>
          <w:color w:val="000000"/>
          <w:lang w:val="en-GB"/>
        </w:rPr>
        <w:t xml:space="preserve">The State </w:t>
      </w:r>
      <w:r w:rsidR="00CE533F">
        <w:rPr>
          <w:rFonts w:ascii="Arial" w:hAnsi="Arial" w:cs="Arial"/>
          <w:color w:val="000000"/>
          <w:lang w:val="en-GB"/>
        </w:rPr>
        <w:t>thus</w:t>
      </w:r>
      <w:r w:rsidRPr="00D40AC5">
        <w:rPr>
          <w:rFonts w:ascii="Arial" w:hAnsi="Arial" w:cs="Arial"/>
          <w:color w:val="000000"/>
          <w:lang w:val="en-GB"/>
        </w:rPr>
        <w:t xml:space="preserve"> considers the communication reveals no violation of the Convention.</w:t>
      </w:r>
    </w:p>
    <w:p w14:paraId="2C8CC703" w14:textId="77777777" w:rsidR="000A63E1" w:rsidRDefault="000A63E1" w:rsidP="00CE533F">
      <w:pPr>
        <w:spacing w:before="100" w:beforeAutospacing="1" w:after="120" w:line="240" w:lineRule="auto"/>
        <w:jc w:val="both"/>
        <w:rPr>
          <w:rFonts w:ascii="Arial" w:hAnsi="Arial" w:cs="Arial"/>
          <w:b/>
          <w:color w:val="000000"/>
          <w:lang w:val="en-GB"/>
        </w:rPr>
      </w:pPr>
      <w:r w:rsidRPr="000A63E1">
        <w:rPr>
          <w:rFonts w:ascii="Arial" w:hAnsi="Arial" w:cs="Arial"/>
          <w:b/>
          <w:color w:val="000000"/>
          <w:lang w:val="en-GB"/>
        </w:rPr>
        <w:t>Author’s comments on the State party’s observations</w:t>
      </w:r>
    </w:p>
    <w:p w14:paraId="2FBB86FF" w14:textId="77777777" w:rsidR="00F50628" w:rsidRPr="00F50628" w:rsidRDefault="00234159" w:rsidP="00CE533F">
      <w:pPr>
        <w:spacing w:before="100" w:beforeAutospacing="1" w:after="120" w:line="240" w:lineRule="auto"/>
        <w:jc w:val="both"/>
        <w:rPr>
          <w:rFonts w:ascii="Arial" w:hAnsi="Arial" w:cs="Arial"/>
          <w:color w:val="000000"/>
          <w:lang w:val="en-GB"/>
        </w:rPr>
      </w:pPr>
      <w:r w:rsidRPr="00234159">
        <w:rPr>
          <w:rFonts w:ascii="Arial" w:hAnsi="Arial" w:cs="Arial"/>
          <w:color w:val="000000"/>
          <w:u w:val="single"/>
          <w:lang w:val="en-GB"/>
        </w:rPr>
        <w:t>Regarding the exhaustion of available domestic remedies</w:t>
      </w:r>
      <w:r>
        <w:rPr>
          <w:rFonts w:ascii="Arial" w:hAnsi="Arial" w:cs="Arial"/>
          <w:color w:val="000000"/>
          <w:lang w:val="en-GB"/>
        </w:rPr>
        <w:t>, t</w:t>
      </w:r>
      <w:r w:rsidR="00F50628" w:rsidRPr="00F50628">
        <w:rPr>
          <w:rFonts w:ascii="Arial" w:hAnsi="Arial" w:cs="Arial"/>
          <w:color w:val="000000"/>
          <w:lang w:val="en-GB"/>
        </w:rPr>
        <w:t xml:space="preserve">he author claims that he did not appeal the Administrative Court of Appeal’s decision to the Supreme Administrative Court. He submits, however, that such appeal was not necessary to exhaust relevant domestic remedies. He submits </w:t>
      </w:r>
      <w:r w:rsidR="00F50628" w:rsidRPr="00F50628">
        <w:rPr>
          <w:rFonts w:ascii="Arial" w:hAnsi="Arial" w:cs="Arial"/>
          <w:color w:val="000000"/>
          <w:lang w:val="en-GB"/>
        </w:rPr>
        <w:lastRenderedPageBreak/>
        <w:t>that the Equality Ombudsman advised him not to appeal, in compliance with chapter 6, section 9, of the Discrimination Act.</w:t>
      </w:r>
    </w:p>
    <w:p w14:paraId="4836B45C" w14:textId="4E6A047B" w:rsidR="00056044" w:rsidRPr="00056044" w:rsidRDefault="00056044" w:rsidP="00CE533F">
      <w:pPr>
        <w:spacing w:before="100" w:beforeAutospacing="1" w:after="120" w:line="240" w:lineRule="auto"/>
        <w:jc w:val="both"/>
        <w:rPr>
          <w:rFonts w:ascii="Arial" w:hAnsi="Arial" w:cs="Arial"/>
          <w:color w:val="000000"/>
          <w:lang w:val="en-GB"/>
        </w:rPr>
      </w:pPr>
      <w:r w:rsidRPr="00056044">
        <w:rPr>
          <w:rFonts w:ascii="Arial" w:hAnsi="Arial" w:cs="Arial"/>
          <w:color w:val="000000"/>
          <w:u w:val="single"/>
          <w:lang w:val="en-GB"/>
        </w:rPr>
        <w:t>Regarding alternative reasonable accommodation</w:t>
      </w:r>
      <w:r w:rsidRPr="00CE533F">
        <w:rPr>
          <w:rFonts w:ascii="Arial" w:hAnsi="Arial" w:cs="Arial"/>
          <w:color w:val="000000"/>
          <w:lang w:val="en-GB"/>
        </w:rPr>
        <w:t xml:space="preserve">, </w:t>
      </w:r>
      <w:r w:rsidRPr="00056044">
        <w:rPr>
          <w:rFonts w:ascii="Arial" w:hAnsi="Arial" w:cs="Arial"/>
          <w:color w:val="000000"/>
          <w:lang w:val="en-GB"/>
        </w:rPr>
        <w:t>the author claims, that he could not raise concerns about alternative accommodations, as the employment procedure was clearly focused on the need for sign language interpretation as the only appropriate and reasonable accommodation, and that accommodation was later denied by the employer. The author considers that the university should have continued the negotiations with him.</w:t>
      </w:r>
    </w:p>
    <w:p w14:paraId="75B21173" w14:textId="6605B6B1" w:rsidR="00056044" w:rsidRPr="00056044" w:rsidRDefault="00056044" w:rsidP="00CE533F">
      <w:pPr>
        <w:spacing w:before="100" w:beforeAutospacing="1" w:after="120" w:line="240" w:lineRule="auto"/>
        <w:jc w:val="both"/>
        <w:rPr>
          <w:rFonts w:ascii="Arial" w:hAnsi="Arial" w:cs="Arial"/>
          <w:color w:val="000000"/>
          <w:lang w:val="en-GB"/>
        </w:rPr>
      </w:pPr>
      <w:r w:rsidRPr="00056044">
        <w:rPr>
          <w:rFonts w:ascii="Arial" w:hAnsi="Arial" w:cs="Arial"/>
          <w:color w:val="000000"/>
          <w:u w:val="single"/>
          <w:lang w:val="en-GB"/>
        </w:rPr>
        <w:t>Regarding financial support</w:t>
      </w:r>
      <w:r w:rsidRPr="00CE533F">
        <w:rPr>
          <w:rFonts w:ascii="Arial" w:hAnsi="Arial" w:cs="Arial"/>
          <w:color w:val="000000"/>
          <w:lang w:val="en-GB"/>
        </w:rPr>
        <w:t xml:space="preserve">, </w:t>
      </w:r>
      <w:r>
        <w:rPr>
          <w:rFonts w:ascii="Arial" w:hAnsi="Arial" w:cs="Arial"/>
          <w:color w:val="000000"/>
          <w:lang w:val="en-GB"/>
        </w:rPr>
        <w:t>a</w:t>
      </w:r>
      <w:r w:rsidRPr="00056044">
        <w:rPr>
          <w:rFonts w:ascii="Arial" w:hAnsi="Arial" w:cs="Arial"/>
          <w:color w:val="000000"/>
          <w:lang w:val="en-GB"/>
        </w:rPr>
        <w:t xml:space="preserve">s argued by the State, considerable funding can be made available for accommodation such as everyday interpretation and wage subsidy. However, the author highlights that such funding cannot be claimed before courts, as it is not a legally enforceable act. The author </w:t>
      </w:r>
      <w:r w:rsidR="00CE533F">
        <w:rPr>
          <w:rFonts w:ascii="Arial" w:hAnsi="Arial" w:cs="Arial"/>
          <w:color w:val="000000"/>
          <w:lang w:val="en-GB"/>
        </w:rPr>
        <w:t>unsuccessfully requested</w:t>
      </w:r>
      <w:r w:rsidRPr="00056044">
        <w:rPr>
          <w:rFonts w:ascii="Arial" w:hAnsi="Arial" w:cs="Arial"/>
          <w:color w:val="000000"/>
          <w:lang w:val="en-GB"/>
        </w:rPr>
        <w:t xml:space="preserve"> the university </w:t>
      </w:r>
      <w:r w:rsidR="00CE533F">
        <w:rPr>
          <w:rFonts w:ascii="Arial" w:hAnsi="Arial" w:cs="Arial"/>
          <w:color w:val="000000"/>
          <w:lang w:val="en-GB"/>
        </w:rPr>
        <w:t>to</w:t>
      </w:r>
      <w:r w:rsidRPr="00056044">
        <w:rPr>
          <w:rFonts w:ascii="Arial" w:hAnsi="Arial" w:cs="Arial"/>
          <w:color w:val="000000"/>
          <w:lang w:val="en-GB"/>
        </w:rPr>
        <w:t xml:space="preserve"> check with external donors about the possibility of covering the costs required by the reasonable accommodation </w:t>
      </w:r>
      <w:r w:rsidR="00CE533F" w:rsidRPr="00056044">
        <w:rPr>
          <w:rFonts w:ascii="Arial" w:hAnsi="Arial" w:cs="Arial"/>
          <w:color w:val="000000"/>
          <w:lang w:val="en-GB"/>
        </w:rPr>
        <w:t>measures</w:t>
      </w:r>
      <w:r w:rsidR="00CE533F">
        <w:rPr>
          <w:rFonts w:ascii="Arial" w:hAnsi="Arial" w:cs="Arial"/>
          <w:color w:val="000000"/>
          <w:lang w:val="en-GB"/>
        </w:rPr>
        <w:t>.</w:t>
      </w:r>
      <w:r w:rsidRPr="00056044">
        <w:rPr>
          <w:rFonts w:ascii="Arial" w:hAnsi="Arial" w:cs="Arial"/>
          <w:color w:val="000000"/>
          <w:lang w:val="en-GB"/>
        </w:rPr>
        <w:t xml:space="preserve"> </w:t>
      </w:r>
    </w:p>
    <w:p w14:paraId="4B54556C" w14:textId="77777777" w:rsidR="000A63E1" w:rsidRDefault="000A63E1" w:rsidP="00CE533F">
      <w:pPr>
        <w:spacing w:before="100" w:beforeAutospacing="1" w:after="120" w:line="240" w:lineRule="auto"/>
        <w:jc w:val="both"/>
        <w:rPr>
          <w:rFonts w:ascii="Arial" w:hAnsi="Arial" w:cs="Arial"/>
          <w:color w:val="000000"/>
          <w:lang w:val="en-GB"/>
        </w:rPr>
      </w:pPr>
      <w:r w:rsidRPr="007D5FDB">
        <w:rPr>
          <w:rFonts w:ascii="Arial" w:hAnsi="Arial" w:cs="Arial"/>
          <w:color w:val="000000"/>
          <w:u w:val="single"/>
          <w:lang w:val="en-GB"/>
        </w:rPr>
        <w:t>Regarding the modification of working responsibilities</w:t>
      </w:r>
      <w:r w:rsidRPr="0081767A">
        <w:rPr>
          <w:rFonts w:ascii="Arial" w:hAnsi="Arial" w:cs="Arial"/>
          <w:color w:val="000000"/>
          <w:lang w:val="en-GB"/>
        </w:rPr>
        <w:t xml:space="preserve">, </w:t>
      </w:r>
      <w:r w:rsidRPr="000A63E1">
        <w:rPr>
          <w:rFonts w:ascii="Arial" w:hAnsi="Arial" w:cs="Arial"/>
          <w:color w:val="000000"/>
          <w:lang w:val="en-GB"/>
        </w:rPr>
        <w:t>the</w:t>
      </w:r>
      <w:r w:rsidR="00056044">
        <w:rPr>
          <w:rFonts w:ascii="Arial" w:hAnsi="Arial" w:cs="Arial"/>
          <w:color w:val="000000"/>
          <w:lang w:val="en-GB"/>
        </w:rPr>
        <w:t xml:space="preserve"> author </w:t>
      </w:r>
      <w:r w:rsidRPr="000A63E1">
        <w:rPr>
          <w:rFonts w:ascii="Arial" w:hAnsi="Arial" w:cs="Arial"/>
          <w:color w:val="000000"/>
          <w:lang w:val="en-GB"/>
        </w:rPr>
        <w:t xml:space="preserve">submits that the State did not describe all the work duties for the advertised position as lecturer. </w:t>
      </w:r>
      <w:r w:rsidR="00555222">
        <w:rPr>
          <w:rFonts w:ascii="Arial" w:hAnsi="Arial" w:cs="Arial"/>
          <w:color w:val="000000"/>
          <w:lang w:val="en-GB"/>
        </w:rPr>
        <w:t>First</w:t>
      </w:r>
      <w:r w:rsidR="00056044">
        <w:rPr>
          <w:rFonts w:ascii="Arial" w:hAnsi="Arial" w:cs="Arial"/>
          <w:color w:val="000000"/>
          <w:lang w:val="en-GB"/>
        </w:rPr>
        <w:t xml:space="preserve">, </w:t>
      </w:r>
      <w:r w:rsidRPr="000A63E1">
        <w:rPr>
          <w:rFonts w:ascii="Arial" w:hAnsi="Arial" w:cs="Arial"/>
          <w:color w:val="000000"/>
          <w:lang w:val="en-GB"/>
        </w:rPr>
        <w:t>the lecturer enjoys research opportunities after two y</w:t>
      </w:r>
      <w:r w:rsidR="00555222">
        <w:rPr>
          <w:rFonts w:ascii="Arial" w:hAnsi="Arial" w:cs="Arial"/>
          <w:color w:val="000000"/>
          <w:lang w:val="en-GB"/>
        </w:rPr>
        <w:t>ears of employment. Second</w:t>
      </w:r>
      <w:r w:rsidR="00056044">
        <w:rPr>
          <w:rFonts w:ascii="Arial" w:hAnsi="Arial" w:cs="Arial"/>
          <w:color w:val="000000"/>
          <w:lang w:val="en-GB"/>
        </w:rPr>
        <w:t>,</w:t>
      </w:r>
      <w:r w:rsidRPr="000A63E1">
        <w:rPr>
          <w:rFonts w:ascii="Arial" w:hAnsi="Arial" w:cs="Arial"/>
          <w:color w:val="000000"/>
          <w:lang w:val="en-GB"/>
        </w:rPr>
        <w:t xml:space="preserve"> all universities are legally obliged to offer a career programme for lecturers with an opportunity to apply for a position as a professor that requires less teaching as an ultimate goal. </w:t>
      </w:r>
      <w:r w:rsidR="00056044">
        <w:rPr>
          <w:rFonts w:ascii="Arial" w:hAnsi="Arial" w:cs="Arial"/>
          <w:color w:val="000000"/>
          <w:lang w:val="en-GB"/>
        </w:rPr>
        <w:t>Finally, n</w:t>
      </w:r>
      <w:r w:rsidRPr="000A63E1">
        <w:rPr>
          <w:rFonts w:ascii="Arial" w:hAnsi="Arial" w:cs="Arial"/>
          <w:color w:val="000000"/>
          <w:lang w:val="en-GB"/>
        </w:rPr>
        <w:t>ot all aspects of the work require interpretation. Some allow the lecturer to use a computer as an auxiliary aid.</w:t>
      </w:r>
    </w:p>
    <w:p w14:paraId="7D5DF8C2" w14:textId="77777777" w:rsidR="00F50628" w:rsidRDefault="00F50628" w:rsidP="00CE533F">
      <w:pPr>
        <w:spacing w:before="100" w:beforeAutospacing="1" w:after="120" w:line="240" w:lineRule="auto"/>
        <w:jc w:val="both"/>
        <w:rPr>
          <w:rFonts w:ascii="Arial" w:hAnsi="Arial" w:cs="Arial"/>
          <w:b/>
          <w:color w:val="000000"/>
          <w:lang w:val="en-GB"/>
        </w:rPr>
      </w:pPr>
      <w:r w:rsidRPr="00F50628">
        <w:rPr>
          <w:rFonts w:ascii="Arial" w:hAnsi="Arial" w:cs="Arial"/>
          <w:b/>
          <w:color w:val="000000"/>
          <w:lang w:val="en-GB"/>
        </w:rPr>
        <w:t>State party’s additional observations</w:t>
      </w:r>
    </w:p>
    <w:p w14:paraId="191D133B" w14:textId="77777777" w:rsidR="00056044" w:rsidRDefault="00621FFE" w:rsidP="00CE533F">
      <w:pPr>
        <w:spacing w:before="100" w:beforeAutospacing="1" w:after="120" w:line="240" w:lineRule="auto"/>
        <w:jc w:val="both"/>
        <w:rPr>
          <w:rFonts w:ascii="Arial" w:hAnsi="Arial" w:cs="Arial"/>
          <w:color w:val="000000"/>
          <w:lang w:val="en-GB"/>
        </w:rPr>
      </w:pPr>
      <w:r w:rsidRPr="00621FFE">
        <w:rPr>
          <w:rFonts w:ascii="Arial" w:hAnsi="Arial" w:cs="Arial"/>
          <w:color w:val="000000"/>
          <w:u w:val="single"/>
          <w:lang w:val="en-GB"/>
        </w:rPr>
        <w:t>Regarding the exhaustion of available domestic remedies</w:t>
      </w:r>
      <w:r w:rsidRPr="0081767A">
        <w:rPr>
          <w:rFonts w:ascii="Arial" w:hAnsi="Arial" w:cs="Arial"/>
          <w:color w:val="000000"/>
          <w:lang w:val="en-GB"/>
        </w:rPr>
        <w:t xml:space="preserve">, </w:t>
      </w:r>
      <w:r w:rsidR="00CB6F70" w:rsidRPr="0081767A">
        <w:rPr>
          <w:rFonts w:ascii="Arial" w:hAnsi="Arial" w:cs="Arial"/>
          <w:color w:val="000000"/>
          <w:lang w:val="en-GB"/>
        </w:rPr>
        <w:t>t</w:t>
      </w:r>
      <w:r w:rsidRPr="00CB6F70">
        <w:rPr>
          <w:rFonts w:ascii="Arial" w:hAnsi="Arial" w:cs="Arial"/>
          <w:color w:val="000000"/>
          <w:lang w:val="en-GB"/>
        </w:rPr>
        <w:t>he State claims that the author should have exhausted all judicial and administrative avenues that offered him a reasonable pros</w:t>
      </w:r>
      <w:r w:rsidR="00CB6F70" w:rsidRPr="00CB6F70">
        <w:rPr>
          <w:rFonts w:ascii="Arial" w:hAnsi="Arial" w:cs="Arial"/>
          <w:color w:val="000000"/>
          <w:lang w:val="en-GB"/>
        </w:rPr>
        <w:t xml:space="preserve">pect of redress. As for </w:t>
      </w:r>
      <w:r w:rsidRPr="00CB6F70">
        <w:rPr>
          <w:rFonts w:ascii="Arial" w:hAnsi="Arial" w:cs="Arial"/>
          <w:color w:val="000000"/>
          <w:lang w:val="en-GB"/>
        </w:rPr>
        <w:t>the author’s argumen</w:t>
      </w:r>
      <w:r w:rsidR="00CB6F70" w:rsidRPr="00CB6F70">
        <w:rPr>
          <w:rFonts w:ascii="Arial" w:hAnsi="Arial" w:cs="Arial"/>
          <w:color w:val="000000"/>
          <w:lang w:val="en-GB"/>
        </w:rPr>
        <w:t xml:space="preserve">t that </w:t>
      </w:r>
      <w:r w:rsidRPr="00CB6F70">
        <w:rPr>
          <w:rFonts w:ascii="Arial" w:hAnsi="Arial" w:cs="Arial"/>
          <w:color w:val="000000"/>
          <w:lang w:val="en-GB"/>
        </w:rPr>
        <w:t>the Equality Ombudsman encouraged him not to appeal, the State party argues that the author did not provide any evidence in that regard.</w:t>
      </w:r>
    </w:p>
    <w:p w14:paraId="0B776F84" w14:textId="47E3C3D5" w:rsidR="00F96960" w:rsidRPr="008B6EF5" w:rsidRDefault="00CB6F70" w:rsidP="00CE533F">
      <w:pPr>
        <w:spacing w:before="100" w:beforeAutospacing="1" w:after="120" w:line="240" w:lineRule="auto"/>
        <w:jc w:val="both"/>
        <w:rPr>
          <w:rFonts w:ascii="Arial" w:hAnsi="Arial" w:cs="Arial"/>
          <w:color w:val="000000"/>
          <w:lang w:val="en-GB"/>
        </w:rPr>
      </w:pPr>
      <w:r w:rsidRPr="00CB6F70">
        <w:rPr>
          <w:rFonts w:ascii="Arial" w:hAnsi="Arial" w:cs="Arial"/>
          <w:color w:val="000000"/>
          <w:u w:val="single"/>
          <w:lang w:val="en-GB"/>
        </w:rPr>
        <w:t>Regarding alternative reasonable accommodation</w:t>
      </w:r>
      <w:r w:rsidR="008B6EF5" w:rsidRPr="0081767A">
        <w:rPr>
          <w:rFonts w:ascii="Arial" w:hAnsi="Arial" w:cs="Arial"/>
          <w:color w:val="000000"/>
          <w:lang w:val="en-GB"/>
        </w:rPr>
        <w:t>, the</w:t>
      </w:r>
      <w:r w:rsidR="008B6EF5">
        <w:rPr>
          <w:rFonts w:ascii="Arial" w:hAnsi="Arial" w:cs="Arial"/>
          <w:color w:val="000000"/>
          <w:lang w:val="en-GB"/>
        </w:rPr>
        <w:t xml:space="preserve"> State claims that </w:t>
      </w:r>
      <w:r w:rsidR="008B6EF5" w:rsidRPr="008B6EF5">
        <w:rPr>
          <w:rFonts w:ascii="Arial" w:hAnsi="Arial" w:cs="Arial"/>
          <w:color w:val="000000"/>
          <w:lang w:val="en-GB"/>
        </w:rPr>
        <w:t>the Court is not permitted to elaborate on or supplement any shortcomings in the citing of legal facts.</w:t>
      </w:r>
      <w:r w:rsidR="008B6EF5" w:rsidRPr="00C767B7">
        <w:rPr>
          <w:lang w:val="en-US"/>
        </w:rPr>
        <w:t xml:space="preserve"> </w:t>
      </w:r>
      <w:r w:rsidR="008B6EF5" w:rsidRPr="00C767B7">
        <w:rPr>
          <w:rFonts w:ascii="Arial" w:hAnsi="Arial" w:cs="Arial"/>
          <w:color w:val="000000"/>
          <w:lang w:val="en-US"/>
        </w:rPr>
        <w:t>T</w:t>
      </w:r>
      <w:r w:rsidR="008B6EF5" w:rsidRPr="008B6EF5">
        <w:rPr>
          <w:rFonts w:ascii="Arial" w:hAnsi="Arial" w:cs="Arial"/>
          <w:color w:val="000000"/>
          <w:lang w:val="en-GB"/>
        </w:rPr>
        <w:t>he author did not raise any issue relating to inquir</w:t>
      </w:r>
      <w:r w:rsidR="0081767A">
        <w:rPr>
          <w:rFonts w:ascii="Arial" w:hAnsi="Arial" w:cs="Arial"/>
          <w:color w:val="000000"/>
          <w:lang w:val="en-GB"/>
        </w:rPr>
        <w:t>ing</w:t>
      </w:r>
      <w:r w:rsidR="008B6EF5" w:rsidRPr="008B6EF5">
        <w:rPr>
          <w:rFonts w:ascii="Arial" w:hAnsi="Arial" w:cs="Arial"/>
          <w:color w:val="000000"/>
          <w:lang w:val="en-GB"/>
        </w:rPr>
        <w:t xml:space="preserve"> into accommodation measures before the Labour Court, </w:t>
      </w:r>
      <w:r w:rsidR="0081767A">
        <w:rPr>
          <w:rFonts w:ascii="Arial" w:hAnsi="Arial" w:cs="Arial"/>
          <w:color w:val="000000"/>
          <w:lang w:val="en-GB"/>
        </w:rPr>
        <w:t xml:space="preserve">which </w:t>
      </w:r>
      <w:r w:rsidR="008B6EF5" w:rsidRPr="008B6EF5">
        <w:rPr>
          <w:rFonts w:ascii="Arial" w:hAnsi="Arial" w:cs="Arial"/>
          <w:color w:val="000000"/>
          <w:lang w:val="en-GB"/>
        </w:rPr>
        <w:t>was</w:t>
      </w:r>
      <w:r w:rsidR="0081767A">
        <w:rPr>
          <w:rFonts w:ascii="Arial" w:hAnsi="Arial" w:cs="Arial"/>
          <w:color w:val="000000"/>
          <w:lang w:val="en-GB"/>
        </w:rPr>
        <w:t xml:space="preserve"> then</w:t>
      </w:r>
      <w:r w:rsidR="008B6EF5" w:rsidRPr="008B6EF5">
        <w:rPr>
          <w:rFonts w:ascii="Arial" w:hAnsi="Arial" w:cs="Arial"/>
          <w:color w:val="000000"/>
          <w:lang w:val="en-GB"/>
        </w:rPr>
        <w:t xml:space="preserve"> precluded from assessing whether the university should have made such inquiries.</w:t>
      </w:r>
    </w:p>
    <w:p w14:paraId="7FFDCD74" w14:textId="77777777" w:rsidR="00F96960" w:rsidRPr="00F96960" w:rsidRDefault="00F96960" w:rsidP="00CE533F">
      <w:pPr>
        <w:spacing w:before="100" w:beforeAutospacing="1" w:after="120" w:line="240" w:lineRule="auto"/>
        <w:jc w:val="both"/>
        <w:rPr>
          <w:rFonts w:ascii="Arial" w:hAnsi="Arial" w:cs="Arial"/>
          <w:color w:val="000000"/>
          <w:lang w:val="en-GB"/>
        </w:rPr>
      </w:pPr>
      <w:r w:rsidRPr="00F96960">
        <w:rPr>
          <w:rFonts w:ascii="Arial" w:hAnsi="Arial" w:cs="Arial"/>
          <w:color w:val="000000"/>
          <w:u w:val="single"/>
          <w:lang w:val="en-GB"/>
        </w:rPr>
        <w:t>Regarding university’s net surplus,</w:t>
      </w:r>
      <w:r w:rsidRPr="00F96960">
        <w:rPr>
          <w:rFonts w:ascii="Arial" w:hAnsi="Arial" w:cs="Arial"/>
          <w:color w:val="000000"/>
          <w:lang w:val="en-GB"/>
        </w:rPr>
        <w:t xml:space="preserve"> the </w:t>
      </w:r>
      <w:r>
        <w:rPr>
          <w:rFonts w:ascii="Arial" w:hAnsi="Arial" w:cs="Arial"/>
          <w:color w:val="000000"/>
          <w:lang w:val="en-GB"/>
        </w:rPr>
        <w:t>State notes</w:t>
      </w:r>
      <w:r w:rsidRPr="00F96960">
        <w:rPr>
          <w:rFonts w:ascii="Arial" w:hAnsi="Arial" w:cs="Arial"/>
          <w:color w:val="000000"/>
          <w:lang w:val="en-GB"/>
        </w:rPr>
        <w:t xml:space="preserve"> that funds earmarked for certain purposes cannot be used for others, and that a university cannot be equated with a private company where funds can be redistributed.</w:t>
      </w:r>
    </w:p>
    <w:p w14:paraId="46BFC550" w14:textId="77777777" w:rsidR="00CF747C" w:rsidRDefault="00555222" w:rsidP="00CE533F">
      <w:pPr>
        <w:spacing w:before="100" w:beforeAutospacing="1" w:after="120" w:line="240" w:lineRule="auto"/>
        <w:jc w:val="both"/>
        <w:rPr>
          <w:rFonts w:ascii="Arial" w:hAnsi="Arial" w:cs="Arial"/>
          <w:color w:val="000000"/>
          <w:lang w:val="en-GB"/>
        </w:rPr>
      </w:pPr>
      <w:r w:rsidRPr="00555222">
        <w:rPr>
          <w:rFonts w:ascii="Arial" w:hAnsi="Arial" w:cs="Arial"/>
          <w:color w:val="000000"/>
          <w:u w:val="single"/>
          <w:lang w:val="en-GB"/>
        </w:rPr>
        <w:t>Regarding the modification of working responsibilities,</w:t>
      </w:r>
      <w:r>
        <w:rPr>
          <w:rFonts w:ascii="Arial" w:hAnsi="Arial" w:cs="Arial"/>
          <w:color w:val="000000"/>
          <w:u w:val="single"/>
          <w:lang w:val="en-GB"/>
        </w:rPr>
        <w:t xml:space="preserve"> </w:t>
      </w:r>
      <w:r>
        <w:rPr>
          <w:rFonts w:ascii="Arial" w:hAnsi="Arial" w:cs="Arial"/>
          <w:color w:val="000000"/>
          <w:lang w:val="en-GB"/>
        </w:rPr>
        <w:t xml:space="preserve">the State notes that </w:t>
      </w:r>
      <w:r w:rsidRPr="00555222">
        <w:rPr>
          <w:rFonts w:ascii="Arial" w:hAnsi="Arial" w:cs="Arial"/>
          <w:color w:val="000000"/>
          <w:lang w:val="en-GB"/>
        </w:rPr>
        <w:t>the author’s claim</w:t>
      </w:r>
      <w:r>
        <w:rPr>
          <w:rFonts w:ascii="Arial" w:hAnsi="Arial" w:cs="Arial"/>
          <w:color w:val="000000"/>
          <w:lang w:val="en-GB"/>
        </w:rPr>
        <w:t xml:space="preserve"> about research opportunities and a career programme </w:t>
      </w:r>
      <w:r w:rsidRPr="00555222">
        <w:rPr>
          <w:rFonts w:ascii="Arial" w:hAnsi="Arial" w:cs="Arial"/>
          <w:color w:val="000000"/>
          <w:lang w:val="en-GB"/>
        </w:rPr>
        <w:t>are incorrect</w:t>
      </w:r>
      <w:r>
        <w:rPr>
          <w:rFonts w:ascii="Arial" w:hAnsi="Arial" w:cs="Arial"/>
          <w:color w:val="000000"/>
          <w:lang w:val="en-GB"/>
        </w:rPr>
        <w:t xml:space="preserve">. </w:t>
      </w:r>
      <w:r w:rsidRPr="00555222">
        <w:rPr>
          <w:rFonts w:ascii="Arial" w:hAnsi="Arial" w:cs="Arial"/>
          <w:color w:val="000000"/>
          <w:lang w:val="en-GB"/>
        </w:rPr>
        <w:t>First, the job advertisement stated that the position could include research, provided that the necessary funds were obtained. Second, Swedish universities are not obligated to offer lecturers career programmes. Determining future requirements of the position, including interpretation needs, would therefore essentially have to be based on speculation.</w:t>
      </w:r>
      <w:r w:rsidRPr="00C767B7">
        <w:rPr>
          <w:lang w:val="en-US"/>
        </w:rPr>
        <w:t xml:space="preserve"> </w:t>
      </w:r>
      <w:r w:rsidRPr="00555222">
        <w:rPr>
          <w:rFonts w:ascii="Arial" w:hAnsi="Arial" w:cs="Arial"/>
          <w:color w:val="000000"/>
          <w:lang w:val="en-GB"/>
        </w:rPr>
        <w:t>Regarding the author’s submission that not all aspects of the employment would require sign language interpretation, the State party submits that this argument was common ground between the parties to the Labour Court dispute, who agreed on the extent of sign language interpretation required by the position</w:t>
      </w:r>
      <w:r>
        <w:rPr>
          <w:rFonts w:ascii="Arial" w:hAnsi="Arial" w:cs="Arial"/>
          <w:color w:val="000000"/>
          <w:lang w:val="en-GB"/>
        </w:rPr>
        <w:t xml:space="preserve">. </w:t>
      </w:r>
    </w:p>
    <w:p w14:paraId="460176BD" w14:textId="77777777" w:rsidR="00CF747C" w:rsidRPr="00CF747C" w:rsidRDefault="00CF747C" w:rsidP="00CE533F">
      <w:pPr>
        <w:spacing w:before="100" w:beforeAutospacing="1" w:after="120" w:line="240" w:lineRule="auto"/>
        <w:jc w:val="both"/>
        <w:rPr>
          <w:rFonts w:ascii="Arial" w:hAnsi="Arial" w:cs="Arial"/>
          <w:color w:val="000000"/>
          <w:lang w:val="en-GB"/>
        </w:rPr>
      </w:pPr>
      <w:r w:rsidRPr="00CF747C">
        <w:rPr>
          <w:rFonts w:ascii="Arial" w:hAnsi="Arial" w:cs="Arial"/>
          <w:b/>
          <w:bCs/>
          <w:color w:val="000000"/>
          <w:lang w:val="en-US"/>
        </w:rPr>
        <w:t>Committee’s consideration of admissibility and the merits</w:t>
      </w:r>
    </w:p>
    <w:p w14:paraId="413500FC" w14:textId="77777777" w:rsidR="00CF747C" w:rsidRDefault="00CF747C" w:rsidP="00CE533F">
      <w:pPr>
        <w:spacing w:before="100" w:beforeAutospacing="1" w:after="120" w:line="240" w:lineRule="auto"/>
        <w:jc w:val="both"/>
        <w:rPr>
          <w:rFonts w:ascii="Arial" w:hAnsi="Arial" w:cs="Arial"/>
          <w:b/>
          <w:bCs/>
          <w:color w:val="000000"/>
          <w:lang w:val="en-US"/>
        </w:rPr>
      </w:pPr>
      <w:r w:rsidRPr="00CF747C">
        <w:rPr>
          <w:rFonts w:ascii="Arial" w:hAnsi="Arial" w:cs="Arial"/>
          <w:b/>
          <w:bCs/>
          <w:color w:val="000000"/>
          <w:lang w:val="en-US"/>
        </w:rPr>
        <w:t>Consideration of admissibility</w:t>
      </w:r>
    </w:p>
    <w:p w14:paraId="29739299" w14:textId="6537AEE0" w:rsidR="00A64D1C" w:rsidRPr="00AE54BB" w:rsidRDefault="00A64D1C" w:rsidP="00AE54BB">
      <w:pPr>
        <w:spacing w:after="120"/>
        <w:jc w:val="both"/>
        <w:rPr>
          <w:rFonts w:ascii="Arial" w:hAnsi="Arial" w:cs="Arial"/>
          <w:bCs/>
          <w:color w:val="000000"/>
          <w:lang w:val="en-CH"/>
        </w:rPr>
      </w:pPr>
      <w:r w:rsidRPr="00AE54BB">
        <w:rPr>
          <w:rFonts w:ascii="Arial" w:hAnsi="Arial" w:cs="Arial"/>
          <w:bCs/>
          <w:color w:val="000000"/>
          <w:u w:val="single"/>
          <w:lang w:val="en-US"/>
        </w:rPr>
        <w:t>Regarding the exhaustion of available domestic remedies,</w:t>
      </w:r>
      <w:r w:rsidRPr="00AE54BB">
        <w:rPr>
          <w:rFonts w:ascii="Arial" w:hAnsi="Arial" w:cs="Arial"/>
          <w:bCs/>
          <w:color w:val="000000"/>
          <w:lang w:val="en-US"/>
        </w:rPr>
        <w:t xml:space="preserve"> as concluded by the Administrative Court, the author’s claim relates to employment matters</w:t>
      </w:r>
      <w:r w:rsidR="00AE54BB">
        <w:rPr>
          <w:rFonts w:ascii="Arial" w:hAnsi="Arial" w:cs="Arial"/>
          <w:bCs/>
          <w:color w:val="000000"/>
          <w:lang w:val="en-US"/>
        </w:rPr>
        <w:t>, excluded from the possibility of appeal under</w:t>
      </w:r>
      <w:r w:rsidRPr="00AE54BB">
        <w:rPr>
          <w:rFonts w:ascii="Arial" w:hAnsi="Arial" w:cs="Arial"/>
          <w:bCs/>
          <w:color w:val="000000"/>
          <w:lang w:val="en-US"/>
        </w:rPr>
        <w:t xml:space="preserve"> </w:t>
      </w:r>
      <w:r w:rsidR="00AE54BB" w:rsidRPr="00AE54BB">
        <w:rPr>
          <w:rFonts w:ascii="Arial" w:hAnsi="Arial" w:cs="Arial"/>
          <w:bCs/>
          <w:color w:val="000000"/>
          <w:lang w:val="en-CH"/>
        </w:rPr>
        <w:t>section 22a of the Administrative Procedure Ac</w:t>
      </w:r>
      <w:r w:rsidR="00AE54BB" w:rsidRPr="00AE54BB">
        <w:rPr>
          <w:rFonts w:ascii="Arial" w:hAnsi="Arial" w:cs="Arial"/>
          <w:bCs/>
          <w:color w:val="000000"/>
          <w:lang w:val="en-US"/>
        </w:rPr>
        <w:t>t</w:t>
      </w:r>
      <w:r w:rsidRPr="00A64D1C">
        <w:rPr>
          <w:rFonts w:ascii="Arial" w:hAnsi="Arial" w:cs="Arial"/>
          <w:bCs/>
          <w:color w:val="000000"/>
          <w:lang w:val="en-US"/>
        </w:rPr>
        <w:t>. As reported to the author by the Equality Ombudsman – a public authority specialized in</w:t>
      </w:r>
      <w:r>
        <w:rPr>
          <w:rFonts w:ascii="Arial" w:hAnsi="Arial" w:cs="Arial"/>
          <w:bCs/>
          <w:color w:val="000000"/>
          <w:lang w:val="en-US"/>
        </w:rPr>
        <w:t xml:space="preserve"> the subject of discrimination</w:t>
      </w:r>
      <w:r w:rsidRPr="00A64D1C">
        <w:rPr>
          <w:rFonts w:ascii="Arial" w:hAnsi="Arial" w:cs="Arial"/>
          <w:bCs/>
          <w:color w:val="000000"/>
          <w:lang w:val="en-US"/>
        </w:rPr>
        <w:t xml:space="preserve"> – an appeal to the </w:t>
      </w:r>
      <w:r w:rsidRPr="00A64D1C">
        <w:rPr>
          <w:rFonts w:ascii="Arial" w:hAnsi="Arial" w:cs="Arial"/>
          <w:bCs/>
          <w:color w:val="000000"/>
          <w:lang w:val="en-US"/>
        </w:rPr>
        <w:lastRenderedPageBreak/>
        <w:t>Supreme Administrative Court was therefore unlikely to bring effective relief.</w:t>
      </w:r>
      <w:r>
        <w:rPr>
          <w:rFonts w:ascii="Arial" w:hAnsi="Arial" w:cs="Arial"/>
          <w:bCs/>
          <w:color w:val="000000"/>
          <w:lang w:val="en-US"/>
        </w:rPr>
        <w:t xml:space="preserve"> Therefore, the author exhausted all domestic remedies.</w:t>
      </w:r>
    </w:p>
    <w:p w14:paraId="51CBC342" w14:textId="68F4EC7D" w:rsidR="00A64D1C" w:rsidRDefault="00A64D1C" w:rsidP="00CE533F">
      <w:pPr>
        <w:spacing w:before="100" w:beforeAutospacing="1" w:after="120" w:line="240" w:lineRule="auto"/>
        <w:jc w:val="both"/>
        <w:rPr>
          <w:rFonts w:ascii="Arial" w:hAnsi="Arial" w:cs="Arial"/>
          <w:bCs/>
          <w:color w:val="000000"/>
          <w:lang w:val="en-US"/>
        </w:rPr>
      </w:pPr>
      <w:r w:rsidRPr="00A64D1C">
        <w:rPr>
          <w:rFonts w:ascii="Arial" w:hAnsi="Arial" w:cs="Arial"/>
          <w:bCs/>
          <w:color w:val="000000"/>
          <w:u w:val="single"/>
          <w:lang w:val="en-US"/>
        </w:rPr>
        <w:t>Regarding alternative reasonable accommodation</w:t>
      </w:r>
      <w:r w:rsidR="009718E5">
        <w:rPr>
          <w:rFonts w:ascii="Arial" w:hAnsi="Arial" w:cs="Arial"/>
          <w:bCs/>
          <w:color w:val="000000"/>
          <w:u w:val="single"/>
          <w:lang w:val="en-US"/>
        </w:rPr>
        <w:t xml:space="preserve"> and the State’s argument that the related claim should be inadmissible as not raised in domestic proceedings</w:t>
      </w:r>
      <w:r w:rsidRPr="00A64D1C">
        <w:rPr>
          <w:rFonts w:ascii="Arial" w:hAnsi="Arial" w:cs="Arial"/>
          <w:bCs/>
          <w:color w:val="000000"/>
          <w:u w:val="single"/>
          <w:lang w:val="en-US"/>
        </w:rPr>
        <w:t>,</w:t>
      </w:r>
      <w:r w:rsidR="00E71231" w:rsidRPr="00E71231">
        <w:rPr>
          <w:rFonts w:ascii="Times New Roman" w:eastAsia="Times New Roman" w:hAnsi="Times New Roman"/>
          <w:color w:val="000000"/>
          <w:sz w:val="27"/>
          <w:szCs w:val="27"/>
          <w:lang w:val="en-US" w:eastAsia="ru-RU"/>
        </w:rPr>
        <w:t xml:space="preserve"> </w:t>
      </w:r>
      <w:r w:rsidR="00E71231" w:rsidRPr="00E71231">
        <w:rPr>
          <w:rFonts w:ascii="Arial" w:hAnsi="Arial" w:cs="Arial"/>
          <w:bCs/>
          <w:color w:val="000000"/>
          <w:lang w:val="en-US"/>
        </w:rPr>
        <w:t xml:space="preserve">the Committee notes the author’s agreement with the position of the State that the proceedings in the </w:t>
      </w:r>
      <w:proofErr w:type="spellStart"/>
      <w:r w:rsidR="00E71231" w:rsidRPr="00E71231">
        <w:rPr>
          <w:rFonts w:ascii="Arial" w:hAnsi="Arial" w:cs="Arial"/>
          <w:bCs/>
          <w:color w:val="000000"/>
          <w:lang w:val="en-US"/>
        </w:rPr>
        <w:t>Labour</w:t>
      </w:r>
      <w:proofErr w:type="spellEnd"/>
      <w:r w:rsidR="00E71231" w:rsidRPr="00E71231">
        <w:rPr>
          <w:rFonts w:ascii="Arial" w:hAnsi="Arial" w:cs="Arial"/>
          <w:bCs/>
          <w:color w:val="000000"/>
          <w:lang w:val="en-US"/>
        </w:rPr>
        <w:t xml:space="preserve"> Court were not focused primarily on a lack of inquiry</w:t>
      </w:r>
      <w:r w:rsidR="00AE54BB">
        <w:rPr>
          <w:rFonts w:ascii="Arial" w:hAnsi="Arial" w:cs="Arial"/>
          <w:bCs/>
          <w:color w:val="000000"/>
          <w:lang w:val="en-US"/>
        </w:rPr>
        <w:t xml:space="preserve"> on alternatives</w:t>
      </w:r>
      <w:r w:rsidR="00E71231" w:rsidRPr="00E71231">
        <w:rPr>
          <w:rFonts w:ascii="Arial" w:hAnsi="Arial" w:cs="Arial"/>
          <w:bCs/>
          <w:color w:val="000000"/>
          <w:lang w:val="en-US"/>
        </w:rPr>
        <w:t xml:space="preserve">. However, it also notes that the issue of a lack of inquiry was clearly brought to the attention of the Ombudsman, and that the subject matter of the author’s complaint was obviously raising the issue of reasonable accommodation, which in itself implies an analysis of </w:t>
      </w:r>
      <w:r w:rsidR="009718E5">
        <w:rPr>
          <w:rFonts w:ascii="Arial" w:hAnsi="Arial" w:cs="Arial"/>
          <w:bCs/>
          <w:color w:val="000000"/>
          <w:lang w:val="en-US"/>
        </w:rPr>
        <w:t>whether</w:t>
      </w:r>
      <w:r w:rsidR="00E71231" w:rsidRPr="00E71231">
        <w:rPr>
          <w:rFonts w:ascii="Arial" w:hAnsi="Arial" w:cs="Arial"/>
          <w:bCs/>
          <w:color w:val="000000"/>
          <w:lang w:val="en-US"/>
        </w:rPr>
        <w:t xml:space="preserve"> alternative measures </w:t>
      </w:r>
      <w:r w:rsidR="00AE54BB">
        <w:rPr>
          <w:rFonts w:ascii="Arial" w:hAnsi="Arial" w:cs="Arial"/>
          <w:bCs/>
          <w:color w:val="000000"/>
          <w:lang w:val="en-US"/>
        </w:rPr>
        <w:t>are</w:t>
      </w:r>
      <w:r w:rsidR="00E71231" w:rsidRPr="00E71231">
        <w:rPr>
          <w:rFonts w:ascii="Arial" w:hAnsi="Arial" w:cs="Arial"/>
          <w:bCs/>
          <w:color w:val="000000"/>
          <w:lang w:val="en-US"/>
        </w:rPr>
        <w:t xml:space="preserve"> contemplated by the employer.</w:t>
      </w:r>
    </w:p>
    <w:p w14:paraId="110EA65A" w14:textId="02628997" w:rsidR="00CA08FB" w:rsidRPr="009718E5" w:rsidRDefault="00E71231" w:rsidP="009718E5">
      <w:pPr>
        <w:spacing w:after="120"/>
        <w:jc w:val="both"/>
        <w:rPr>
          <w:rFonts w:ascii="Arial" w:hAnsi="Arial" w:cs="Arial"/>
          <w:bCs/>
          <w:color w:val="000000"/>
          <w:u w:val="single"/>
          <w:lang w:val="en-CH"/>
        </w:rPr>
      </w:pPr>
      <w:r w:rsidRPr="009718E5">
        <w:rPr>
          <w:rFonts w:ascii="Arial" w:hAnsi="Arial" w:cs="Arial"/>
          <w:color w:val="000000"/>
          <w:u w:val="single"/>
          <w:lang w:val="en-GB"/>
        </w:rPr>
        <w:t xml:space="preserve">Regarding </w:t>
      </w:r>
      <w:r w:rsidR="009718E5" w:rsidRPr="009718E5">
        <w:rPr>
          <w:rFonts w:ascii="Arial" w:hAnsi="Arial" w:cs="Arial"/>
          <w:bCs/>
          <w:color w:val="000000"/>
          <w:u w:val="single"/>
          <w:lang w:val="en-US"/>
        </w:rPr>
        <w:t>the State’s argument</w:t>
      </w:r>
      <w:r w:rsidR="009718E5" w:rsidRPr="009718E5">
        <w:rPr>
          <w:rFonts w:ascii="Arial" w:hAnsi="Arial" w:cs="Arial"/>
          <w:bCs/>
          <w:color w:val="000000"/>
          <w:u w:val="single"/>
          <w:lang w:val="en-US"/>
        </w:rPr>
        <w:t xml:space="preserve"> that domestic proceedings </w:t>
      </w:r>
      <w:r w:rsidR="009718E5" w:rsidRPr="009718E5">
        <w:rPr>
          <w:rFonts w:ascii="Arial" w:hAnsi="Arial" w:cs="Arial"/>
          <w:bCs/>
          <w:color w:val="000000"/>
          <w:u w:val="single"/>
          <w:lang w:val="en-CH"/>
        </w:rPr>
        <w:t>maintained a high standard</w:t>
      </w:r>
      <w:r w:rsidR="009718E5" w:rsidRPr="009718E5">
        <w:rPr>
          <w:rFonts w:ascii="Arial" w:hAnsi="Arial" w:cs="Arial"/>
          <w:bCs/>
          <w:color w:val="000000"/>
          <w:u w:val="single"/>
          <w:lang w:val="en-US"/>
        </w:rPr>
        <w:t xml:space="preserve"> not revealing a denial of justice and thus the communication should be declared inadmissible</w:t>
      </w:r>
      <w:r w:rsidRPr="009718E5">
        <w:rPr>
          <w:rFonts w:ascii="Arial" w:hAnsi="Arial" w:cs="Arial"/>
          <w:color w:val="000000"/>
          <w:lang w:val="en-GB"/>
        </w:rPr>
        <w:t xml:space="preserve">, </w:t>
      </w:r>
      <w:r w:rsidR="00CA08FB" w:rsidRPr="009718E5">
        <w:rPr>
          <w:rFonts w:ascii="Arial" w:hAnsi="Arial" w:cs="Arial"/>
          <w:bCs/>
          <w:color w:val="000000"/>
          <w:lang w:val="en-US"/>
        </w:rPr>
        <w:t xml:space="preserve">the Committee </w:t>
      </w:r>
      <w:r w:rsidR="00F71E95" w:rsidRPr="009718E5">
        <w:rPr>
          <w:rFonts w:ascii="Arial" w:hAnsi="Arial" w:cs="Arial"/>
          <w:bCs/>
          <w:color w:val="000000"/>
          <w:lang w:val="en-US"/>
        </w:rPr>
        <w:t>notes the author’s argument that the</w:t>
      </w:r>
      <w:r w:rsidR="00F71E95" w:rsidRPr="00F71E95">
        <w:rPr>
          <w:rFonts w:ascii="Arial" w:hAnsi="Arial" w:cs="Arial"/>
          <w:bCs/>
          <w:color w:val="000000"/>
          <w:lang w:val="en-US"/>
        </w:rPr>
        <w:t xml:space="preserve"> recruitment process of the position to which he applied was cancelled because of the cost of the sign language interpretation that would have been required for him to perform the functions of the position to which he had applied; that the alternative forms of work adaptations or reasonable accommodation other than sign language interpretation that he suggested, such as online teaching that is used by more and more universities, were not taken into account at any stage of the recruitment process; and that the </w:t>
      </w:r>
      <w:proofErr w:type="spellStart"/>
      <w:r w:rsidR="00F71E95" w:rsidRPr="00F71E95">
        <w:rPr>
          <w:rFonts w:ascii="Arial" w:hAnsi="Arial" w:cs="Arial"/>
          <w:bCs/>
          <w:color w:val="000000"/>
          <w:lang w:val="en-US"/>
        </w:rPr>
        <w:t>Labour</w:t>
      </w:r>
      <w:proofErr w:type="spellEnd"/>
      <w:r w:rsidR="00F71E95" w:rsidRPr="00F71E95">
        <w:rPr>
          <w:rFonts w:ascii="Arial" w:hAnsi="Arial" w:cs="Arial"/>
          <w:bCs/>
          <w:color w:val="000000"/>
          <w:lang w:val="en-US"/>
        </w:rPr>
        <w:t xml:space="preserve"> Court did not properly assess the accommodation</w:t>
      </w:r>
      <w:r w:rsidR="009718E5">
        <w:rPr>
          <w:rFonts w:ascii="Arial" w:hAnsi="Arial" w:cs="Arial"/>
          <w:bCs/>
          <w:color w:val="000000"/>
          <w:lang w:val="en-US"/>
        </w:rPr>
        <w:t>s</w:t>
      </w:r>
      <w:r w:rsidR="00F71E95" w:rsidRPr="00F71E95">
        <w:rPr>
          <w:rFonts w:ascii="Arial" w:hAnsi="Arial" w:cs="Arial"/>
          <w:bCs/>
          <w:color w:val="000000"/>
          <w:lang w:val="en-US"/>
        </w:rPr>
        <w:t xml:space="preserve"> suggested by the author</w:t>
      </w:r>
      <w:r w:rsidR="009718E5">
        <w:rPr>
          <w:rFonts w:ascii="Arial" w:hAnsi="Arial" w:cs="Arial"/>
          <w:bCs/>
          <w:color w:val="000000"/>
          <w:lang w:val="en-US"/>
        </w:rPr>
        <w:t>.</w:t>
      </w:r>
      <w:r w:rsidR="00F71E95" w:rsidRPr="00F71E95">
        <w:rPr>
          <w:rFonts w:ascii="Arial" w:hAnsi="Arial" w:cs="Arial"/>
          <w:bCs/>
          <w:color w:val="000000"/>
          <w:lang w:val="en-US"/>
        </w:rPr>
        <w:t xml:space="preserve"> </w:t>
      </w:r>
    </w:p>
    <w:p w14:paraId="7A108955" w14:textId="77777777" w:rsidR="00CA4926" w:rsidRDefault="00CA4926" w:rsidP="00CE533F">
      <w:pPr>
        <w:spacing w:before="100" w:beforeAutospacing="1" w:after="120" w:line="240" w:lineRule="auto"/>
        <w:jc w:val="both"/>
        <w:rPr>
          <w:rFonts w:ascii="Arial" w:hAnsi="Arial" w:cs="Arial"/>
          <w:bCs/>
          <w:color w:val="000000"/>
          <w:lang w:val="en-US"/>
        </w:rPr>
      </w:pPr>
      <w:r w:rsidRPr="00CA4926">
        <w:rPr>
          <w:rFonts w:ascii="Arial" w:hAnsi="Arial" w:cs="Arial"/>
          <w:bCs/>
          <w:color w:val="000000"/>
          <w:lang w:val="en-US"/>
        </w:rPr>
        <w:t>Therefore, the Committee claims that the author has sufficiently substantiated his complaint for purposes of admissibility and proceeds with its examination of the merits.</w:t>
      </w:r>
    </w:p>
    <w:p w14:paraId="67717C62" w14:textId="77777777" w:rsidR="00CA08FB" w:rsidRDefault="00CA08FB" w:rsidP="00CE533F">
      <w:pPr>
        <w:spacing w:before="100" w:beforeAutospacing="1" w:after="120" w:line="240" w:lineRule="auto"/>
        <w:jc w:val="both"/>
        <w:rPr>
          <w:rFonts w:ascii="Arial" w:hAnsi="Arial" w:cs="Arial"/>
          <w:b/>
          <w:bCs/>
          <w:color w:val="000000"/>
          <w:lang w:val="en-US"/>
        </w:rPr>
      </w:pPr>
      <w:r w:rsidRPr="00CA08FB">
        <w:rPr>
          <w:rFonts w:ascii="Arial" w:hAnsi="Arial" w:cs="Arial"/>
          <w:b/>
          <w:bCs/>
          <w:color w:val="000000"/>
          <w:lang w:val="en-US"/>
        </w:rPr>
        <w:t>Consideration of the merits</w:t>
      </w:r>
    </w:p>
    <w:p w14:paraId="7A066B23" w14:textId="77777777" w:rsidR="00CA570C" w:rsidRDefault="005E0D93" w:rsidP="00CE533F">
      <w:pPr>
        <w:spacing w:before="100" w:beforeAutospacing="1" w:after="120" w:line="240" w:lineRule="auto"/>
        <w:jc w:val="both"/>
        <w:rPr>
          <w:lang w:val="en-US"/>
        </w:rPr>
      </w:pPr>
      <w:r w:rsidRPr="005E0D93">
        <w:rPr>
          <w:rFonts w:ascii="Arial" w:hAnsi="Arial" w:cs="Arial"/>
          <w:bCs/>
          <w:color w:val="000000"/>
          <w:u w:val="single"/>
          <w:lang w:val="en-US"/>
        </w:rPr>
        <w:t>Regarding articles 5 and 27</w:t>
      </w:r>
      <w:r w:rsidRPr="00F16458">
        <w:rPr>
          <w:rFonts w:ascii="Arial" w:hAnsi="Arial" w:cs="Arial"/>
          <w:bCs/>
          <w:color w:val="000000"/>
          <w:lang w:val="en-US"/>
        </w:rPr>
        <w:t xml:space="preserve">, </w:t>
      </w:r>
      <w:r w:rsidRPr="005E0D93">
        <w:rPr>
          <w:rFonts w:ascii="Arial" w:hAnsi="Arial" w:cs="Arial"/>
          <w:bCs/>
          <w:color w:val="000000"/>
          <w:lang w:val="en-US"/>
        </w:rPr>
        <w:t>t</w:t>
      </w:r>
      <w:r>
        <w:rPr>
          <w:rFonts w:ascii="Arial" w:hAnsi="Arial" w:cs="Arial"/>
          <w:bCs/>
          <w:color w:val="000000"/>
          <w:lang w:val="en-US"/>
        </w:rPr>
        <w:t xml:space="preserve">he Committee </w:t>
      </w:r>
      <w:r w:rsidRPr="005E0D93">
        <w:rPr>
          <w:rFonts w:ascii="Arial" w:hAnsi="Arial" w:cs="Arial"/>
          <w:bCs/>
          <w:color w:val="000000"/>
          <w:lang w:val="en-US"/>
        </w:rPr>
        <w:t xml:space="preserve">notes the author’s </w:t>
      </w:r>
      <w:r w:rsidR="00CA570C">
        <w:rPr>
          <w:rFonts w:ascii="Arial" w:hAnsi="Arial" w:cs="Arial"/>
          <w:bCs/>
          <w:color w:val="000000"/>
          <w:lang w:val="en-US"/>
        </w:rPr>
        <w:t xml:space="preserve">argument that his </w:t>
      </w:r>
      <w:r w:rsidRPr="005E0D93">
        <w:rPr>
          <w:rFonts w:ascii="Arial" w:hAnsi="Arial" w:cs="Arial"/>
          <w:bCs/>
          <w:color w:val="000000"/>
          <w:lang w:val="en-US"/>
        </w:rPr>
        <w:t xml:space="preserve">rights have been violated because the university and the </w:t>
      </w:r>
      <w:proofErr w:type="spellStart"/>
      <w:r w:rsidRPr="005E0D93">
        <w:rPr>
          <w:rFonts w:ascii="Arial" w:hAnsi="Arial" w:cs="Arial"/>
          <w:bCs/>
          <w:color w:val="000000"/>
          <w:lang w:val="en-US"/>
        </w:rPr>
        <w:t>Labour</w:t>
      </w:r>
      <w:proofErr w:type="spellEnd"/>
      <w:r w:rsidRPr="005E0D93">
        <w:rPr>
          <w:rFonts w:ascii="Arial" w:hAnsi="Arial" w:cs="Arial"/>
          <w:bCs/>
          <w:color w:val="000000"/>
          <w:lang w:val="en-US"/>
        </w:rPr>
        <w:t xml:space="preserve"> Court made an erroneous proportionality assessment of the costs of sign language </w:t>
      </w:r>
      <w:proofErr w:type="gramStart"/>
      <w:r w:rsidRPr="005E0D93">
        <w:rPr>
          <w:rFonts w:ascii="Arial" w:hAnsi="Arial" w:cs="Arial"/>
          <w:bCs/>
          <w:color w:val="000000"/>
          <w:lang w:val="en-US"/>
        </w:rPr>
        <w:t>interpretation,</w:t>
      </w:r>
      <w:r w:rsidR="00F16458">
        <w:rPr>
          <w:rFonts w:ascii="Arial" w:hAnsi="Arial" w:cs="Arial"/>
          <w:bCs/>
          <w:color w:val="000000"/>
          <w:lang w:val="en-US"/>
        </w:rPr>
        <w:t xml:space="preserve"> </w:t>
      </w:r>
      <w:r w:rsidRPr="005E0D93">
        <w:rPr>
          <w:rFonts w:ascii="Arial" w:hAnsi="Arial" w:cs="Arial"/>
          <w:bCs/>
          <w:color w:val="000000"/>
          <w:lang w:val="en-US"/>
        </w:rPr>
        <w:t>and</w:t>
      </w:r>
      <w:proofErr w:type="gramEnd"/>
      <w:r w:rsidRPr="005E0D93">
        <w:rPr>
          <w:rFonts w:ascii="Arial" w:hAnsi="Arial" w:cs="Arial"/>
          <w:bCs/>
          <w:color w:val="000000"/>
          <w:lang w:val="en-US"/>
        </w:rPr>
        <w:t xml:space="preserve"> failed to inquire into other possible accommodation measures.</w:t>
      </w:r>
      <w:r w:rsidRPr="00C767B7">
        <w:rPr>
          <w:lang w:val="en-US"/>
        </w:rPr>
        <w:t xml:space="preserve"> </w:t>
      </w:r>
    </w:p>
    <w:p w14:paraId="14C3A08C" w14:textId="69D331C3" w:rsidR="00E669A3" w:rsidRDefault="00CA570C" w:rsidP="00CE533F">
      <w:pPr>
        <w:spacing w:before="100" w:beforeAutospacing="1" w:after="120" w:line="240" w:lineRule="auto"/>
        <w:jc w:val="both"/>
        <w:rPr>
          <w:rFonts w:ascii="Arial" w:hAnsi="Arial" w:cs="Arial"/>
          <w:bCs/>
          <w:color w:val="000000"/>
          <w:lang w:val="en-US"/>
        </w:rPr>
      </w:pPr>
      <w:r>
        <w:rPr>
          <w:lang w:val="en-US"/>
        </w:rPr>
        <w:t xml:space="preserve">The Committee notes that </w:t>
      </w:r>
      <w:r>
        <w:rPr>
          <w:rFonts w:ascii="Arial" w:hAnsi="Arial" w:cs="Arial"/>
          <w:bCs/>
          <w:color w:val="000000"/>
          <w:lang w:val="en-US"/>
        </w:rPr>
        <w:t>t</w:t>
      </w:r>
      <w:r w:rsidR="005E0D93" w:rsidRPr="005E0D93">
        <w:rPr>
          <w:rFonts w:ascii="Arial" w:hAnsi="Arial" w:cs="Arial"/>
          <w:bCs/>
          <w:color w:val="000000"/>
          <w:lang w:val="en-US"/>
        </w:rPr>
        <w:t>he possibility of holding a dialogue for the purpose of evaluating and building the author’s capacities as a permanent lecturer was ruled out because the recruitment process was cancelled before any consultation and analysis of alternative measures of adjustment could be carried out</w:t>
      </w:r>
      <w:r w:rsidR="005E0D93">
        <w:rPr>
          <w:rFonts w:ascii="Arial" w:hAnsi="Arial" w:cs="Arial"/>
          <w:bCs/>
          <w:color w:val="000000"/>
          <w:lang w:val="en-US"/>
        </w:rPr>
        <w:t xml:space="preserve">. </w:t>
      </w:r>
      <w:r w:rsidR="005E0D93" w:rsidRPr="005E0D93">
        <w:rPr>
          <w:rFonts w:ascii="Arial" w:hAnsi="Arial" w:cs="Arial"/>
          <w:bCs/>
          <w:color w:val="000000"/>
          <w:lang w:val="en-US"/>
        </w:rPr>
        <w:t>This absence of dialogue impacted the judicial proceedings throughout which the authorities focused their reasoning on the cost of sign language interpretation, without considering other possible adjustment measures.</w:t>
      </w:r>
      <w:r>
        <w:rPr>
          <w:rFonts w:ascii="Arial" w:hAnsi="Arial" w:cs="Arial"/>
          <w:bCs/>
          <w:color w:val="000000"/>
          <w:lang w:val="en-US"/>
        </w:rPr>
        <w:t xml:space="preserve"> Further, t</w:t>
      </w:r>
      <w:r w:rsidR="00E669A3" w:rsidRPr="00E669A3">
        <w:rPr>
          <w:rFonts w:ascii="Arial" w:hAnsi="Arial" w:cs="Arial"/>
          <w:bCs/>
          <w:color w:val="000000"/>
          <w:lang w:val="en-US"/>
        </w:rPr>
        <w:t>he Committee recalls that the process of seeking reasonable accommodation should be cooperative and interactive and aim to strike the best possible balance between the needs of the employee and the employer. In determining which reasonable accommodation measures to adopt, the State party must ensure that the public authorities identify the effective adjustments that can be made to enable the employee to carry out his or her key duties.</w:t>
      </w:r>
    </w:p>
    <w:p w14:paraId="2FF2C87E" w14:textId="4A6D189F" w:rsidR="00E669A3" w:rsidRDefault="00E669A3" w:rsidP="00CE533F">
      <w:pPr>
        <w:spacing w:before="100" w:beforeAutospacing="1" w:after="120" w:line="240" w:lineRule="auto"/>
        <w:jc w:val="both"/>
        <w:rPr>
          <w:rFonts w:ascii="Arial" w:hAnsi="Arial" w:cs="Arial"/>
          <w:bCs/>
          <w:color w:val="000000"/>
          <w:lang w:val="en-US"/>
        </w:rPr>
      </w:pPr>
      <w:r w:rsidRPr="00E669A3">
        <w:rPr>
          <w:rFonts w:ascii="Arial" w:hAnsi="Arial" w:cs="Arial"/>
          <w:bCs/>
          <w:color w:val="000000"/>
          <w:u w:val="single"/>
          <w:lang w:val="en-US"/>
        </w:rPr>
        <w:t>Regarding financial support,</w:t>
      </w:r>
      <w:r>
        <w:rPr>
          <w:rFonts w:ascii="Arial" w:hAnsi="Arial" w:cs="Arial"/>
          <w:bCs/>
          <w:color w:val="000000"/>
          <w:lang w:val="en-US"/>
        </w:rPr>
        <w:t xml:space="preserve"> the Committee </w:t>
      </w:r>
      <w:r w:rsidRPr="00E669A3">
        <w:rPr>
          <w:rFonts w:ascii="Arial" w:hAnsi="Arial" w:cs="Arial"/>
          <w:bCs/>
          <w:color w:val="000000"/>
          <w:lang w:val="en-US"/>
        </w:rPr>
        <w:t xml:space="preserve">notes that according to the State party, even though the above-mentioned State-funded measures were the only ones involved in the </w:t>
      </w:r>
      <w:proofErr w:type="spellStart"/>
      <w:r w:rsidRPr="00E669A3">
        <w:rPr>
          <w:rFonts w:ascii="Arial" w:hAnsi="Arial" w:cs="Arial"/>
          <w:bCs/>
          <w:color w:val="000000"/>
          <w:lang w:val="en-US"/>
        </w:rPr>
        <w:t>Labour</w:t>
      </w:r>
      <w:proofErr w:type="spellEnd"/>
      <w:r w:rsidRPr="00E669A3">
        <w:rPr>
          <w:rFonts w:ascii="Arial" w:hAnsi="Arial" w:cs="Arial"/>
          <w:bCs/>
          <w:color w:val="000000"/>
          <w:lang w:val="en-US"/>
        </w:rPr>
        <w:t xml:space="preserve"> Court’s judgment, that did not necessarily mean that other funding measures were not available, but that the failure of the Equality Ombudsman to raise this issue prevented the Court from considering the possibility of such funding measures. Through such a statement, the State recognizes the responsibility of public authorities to properly inform the parties involved in the judicial proceedings as to funding that could have been made available to support the author’s employment.</w:t>
      </w:r>
    </w:p>
    <w:p w14:paraId="10025501" w14:textId="1FE976A6" w:rsidR="0019737E" w:rsidRPr="00E669A3" w:rsidRDefault="00E669A3" w:rsidP="00CE533F">
      <w:pPr>
        <w:spacing w:before="100" w:beforeAutospacing="1" w:after="120" w:line="240" w:lineRule="auto"/>
        <w:jc w:val="both"/>
        <w:rPr>
          <w:rFonts w:ascii="Arial" w:hAnsi="Arial" w:cs="Arial"/>
          <w:bCs/>
          <w:color w:val="000000"/>
          <w:lang w:val="en-US"/>
        </w:rPr>
      </w:pPr>
      <w:r w:rsidRPr="00E669A3">
        <w:rPr>
          <w:rFonts w:ascii="Arial" w:hAnsi="Arial" w:cs="Arial"/>
          <w:bCs/>
          <w:color w:val="000000"/>
          <w:lang w:val="en-US"/>
        </w:rPr>
        <w:t xml:space="preserve">The Committee finally notes that according to the author, State authorities did not take into account the positive impact that hiring a deaf lecturer could have had on the attitude of students and co-workers to promote diversity and reflect the composition of society, but also for future </w:t>
      </w:r>
      <w:r w:rsidRPr="00E669A3">
        <w:rPr>
          <w:rFonts w:ascii="Arial" w:hAnsi="Arial" w:cs="Arial"/>
          <w:bCs/>
          <w:color w:val="000000"/>
          <w:lang w:val="en-US"/>
        </w:rPr>
        <w:lastRenderedPageBreak/>
        <w:t xml:space="preserve">candidates with hearing impairments. </w:t>
      </w:r>
      <w:r w:rsidR="00CA570C">
        <w:rPr>
          <w:rFonts w:ascii="Arial" w:hAnsi="Arial" w:cs="Arial"/>
          <w:bCs/>
          <w:color w:val="000000"/>
          <w:lang w:val="en-US"/>
        </w:rPr>
        <w:t>T</w:t>
      </w:r>
      <w:r w:rsidRPr="00E669A3">
        <w:rPr>
          <w:rFonts w:ascii="Arial" w:hAnsi="Arial" w:cs="Arial"/>
          <w:bCs/>
          <w:color w:val="000000"/>
          <w:lang w:val="en-US"/>
        </w:rPr>
        <w:t xml:space="preserve">he Committee welcomes that the </w:t>
      </w:r>
      <w:proofErr w:type="spellStart"/>
      <w:r w:rsidRPr="00E669A3">
        <w:rPr>
          <w:rFonts w:ascii="Arial" w:hAnsi="Arial" w:cs="Arial"/>
          <w:bCs/>
          <w:color w:val="000000"/>
          <w:lang w:val="en-US"/>
        </w:rPr>
        <w:t>Labour</w:t>
      </w:r>
      <w:proofErr w:type="spellEnd"/>
      <w:r w:rsidRPr="00E669A3">
        <w:rPr>
          <w:rFonts w:ascii="Arial" w:hAnsi="Arial" w:cs="Arial"/>
          <w:bCs/>
          <w:color w:val="000000"/>
          <w:lang w:val="en-US"/>
        </w:rPr>
        <w:t xml:space="preserve"> Court </w:t>
      </w:r>
      <w:r w:rsidR="00CA570C">
        <w:rPr>
          <w:rFonts w:ascii="Arial" w:hAnsi="Arial" w:cs="Arial"/>
          <w:bCs/>
          <w:color w:val="000000"/>
          <w:lang w:val="en-US"/>
        </w:rPr>
        <w:t xml:space="preserve">mentioned </w:t>
      </w:r>
      <w:r w:rsidRPr="00E669A3">
        <w:rPr>
          <w:rFonts w:ascii="Arial" w:hAnsi="Arial" w:cs="Arial"/>
          <w:bCs/>
          <w:color w:val="000000"/>
          <w:lang w:val="en-US"/>
        </w:rPr>
        <w:t>the benefit that the employment of the author could have had for other employees with disabilities.</w:t>
      </w:r>
    </w:p>
    <w:p w14:paraId="4483C8ED" w14:textId="77777777" w:rsidR="00FA3135" w:rsidRPr="00FA3135" w:rsidRDefault="00FA3135" w:rsidP="00CE533F">
      <w:pPr>
        <w:spacing w:before="100" w:beforeAutospacing="1" w:after="120" w:line="240" w:lineRule="auto"/>
        <w:jc w:val="both"/>
        <w:outlineLvl w:val="2"/>
        <w:rPr>
          <w:rFonts w:ascii="Arial" w:eastAsia="Times New Roman" w:hAnsi="Arial" w:cs="Arial"/>
          <w:b/>
          <w:bCs/>
          <w:color w:val="000000"/>
          <w:lang w:val="en-US" w:eastAsia="ru-RU"/>
        </w:rPr>
      </w:pPr>
      <w:r w:rsidRPr="00596F09">
        <w:rPr>
          <w:rFonts w:ascii="Arial" w:eastAsia="Times New Roman" w:hAnsi="Arial" w:cs="Arial"/>
          <w:b/>
          <w:bCs/>
          <w:color w:val="000000"/>
          <w:lang w:val="en-US" w:eastAsia="ru-RU"/>
        </w:rPr>
        <w:t>R</w:t>
      </w:r>
      <w:r w:rsidRPr="00FA3135">
        <w:rPr>
          <w:rFonts w:ascii="Arial" w:eastAsia="Times New Roman" w:hAnsi="Arial" w:cs="Arial"/>
          <w:b/>
          <w:bCs/>
          <w:color w:val="000000"/>
          <w:lang w:val="en-US" w:eastAsia="ru-RU"/>
        </w:rPr>
        <w:t>ecommendations</w:t>
      </w:r>
    </w:p>
    <w:p w14:paraId="0EC00378" w14:textId="77777777" w:rsidR="00FA3135" w:rsidRPr="00FA3135" w:rsidRDefault="00FA3135" w:rsidP="00CE533F">
      <w:pPr>
        <w:spacing w:before="100" w:beforeAutospacing="1" w:after="120" w:line="240" w:lineRule="auto"/>
        <w:jc w:val="both"/>
        <w:rPr>
          <w:rFonts w:ascii="Arial" w:eastAsia="Times New Roman" w:hAnsi="Arial" w:cs="Arial"/>
          <w:color w:val="000000"/>
          <w:lang w:val="en-US" w:eastAsia="ru-RU"/>
        </w:rPr>
      </w:pPr>
      <w:r w:rsidRPr="00FA3135">
        <w:rPr>
          <w:rFonts w:ascii="Arial" w:eastAsia="Times New Roman" w:hAnsi="Arial" w:cs="Arial"/>
          <w:color w:val="000000"/>
          <w:lang w:val="en-US" w:eastAsia="ru-RU"/>
        </w:rPr>
        <w:t>The Committee, acting under article 5 of the Optional Protocol, is of the view that the State party has failed to fulfil its obligations under articles 5 and 27 of the Convention. The Committee therefore makes the following recommendations to the State party:</w:t>
      </w:r>
    </w:p>
    <w:p w14:paraId="21119B76" w14:textId="77777777" w:rsidR="00CA570C" w:rsidRDefault="00FA3135" w:rsidP="00CE533F">
      <w:pPr>
        <w:spacing w:before="100" w:beforeAutospacing="1" w:after="120" w:line="240" w:lineRule="auto"/>
        <w:jc w:val="both"/>
        <w:rPr>
          <w:rFonts w:ascii="Arial" w:eastAsia="Times New Roman" w:hAnsi="Arial" w:cs="Arial"/>
          <w:color w:val="000000"/>
          <w:lang w:val="en-US" w:eastAsia="ru-RU"/>
        </w:rPr>
      </w:pPr>
      <w:r w:rsidRPr="00596F09">
        <w:rPr>
          <w:rFonts w:ascii="Arial" w:eastAsia="Times New Roman" w:hAnsi="Arial" w:cs="Arial"/>
          <w:color w:val="000000"/>
          <w:u w:val="single"/>
          <w:lang w:val="en-US" w:eastAsia="ru-RU"/>
        </w:rPr>
        <w:t>Regarding</w:t>
      </w:r>
      <w:r w:rsidRPr="00FA3135">
        <w:rPr>
          <w:rFonts w:ascii="Arial" w:eastAsia="Times New Roman" w:hAnsi="Arial" w:cs="Arial"/>
          <w:color w:val="000000"/>
          <w:u w:val="single"/>
          <w:lang w:val="en-US" w:eastAsia="ru-RU"/>
        </w:rPr>
        <w:t xml:space="preserve"> the author</w:t>
      </w:r>
      <w:r w:rsidRPr="00596F09">
        <w:rPr>
          <w:rFonts w:ascii="Arial" w:eastAsia="Times New Roman" w:hAnsi="Arial" w:cs="Arial"/>
          <w:color w:val="000000"/>
          <w:lang w:val="en-US" w:eastAsia="ru-RU"/>
        </w:rPr>
        <w:t xml:space="preserve">, </w:t>
      </w:r>
    </w:p>
    <w:p w14:paraId="0319D449" w14:textId="14FC771B" w:rsidR="00CA570C" w:rsidRDefault="00FA3135" w:rsidP="00CE533F">
      <w:pPr>
        <w:spacing w:before="100" w:beforeAutospacing="1" w:after="120" w:line="240" w:lineRule="auto"/>
        <w:jc w:val="both"/>
        <w:rPr>
          <w:rFonts w:ascii="Arial" w:eastAsia="Times New Roman" w:hAnsi="Arial" w:cs="Arial"/>
          <w:color w:val="000000"/>
          <w:lang w:val="en-US" w:eastAsia="ru-RU"/>
        </w:rPr>
      </w:pPr>
      <w:r w:rsidRPr="00FA3135">
        <w:rPr>
          <w:rFonts w:ascii="Arial" w:eastAsia="Times New Roman" w:hAnsi="Arial" w:cs="Arial"/>
          <w:color w:val="000000"/>
          <w:lang w:val="en-US" w:eastAsia="ru-RU"/>
        </w:rPr>
        <w:t>(</w:t>
      </w:r>
      <w:proofErr w:type="spellStart"/>
      <w:r w:rsidRPr="00FA3135">
        <w:rPr>
          <w:rFonts w:ascii="Arial" w:eastAsia="Times New Roman" w:hAnsi="Arial" w:cs="Arial"/>
          <w:color w:val="000000"/>
          <w:lang w:val="en-US" w:eastAsia="ru-RU"/>
        </w:rPr>
        <w:t>i</w:t>
      </w:r>
      <w:proofErr w:type="spellEnd"/>
      <w:r w:rsidRPr="00FA3135">
        <w:rPr>
          <w:rFonts w:ascii="Arial" w:eastAsia="Times New Roman" w:hAnsi="Arial" w:cs="Arial"/>
          <w:color w:val="000000"/>
          <w:lang w:val="en-US" w:eastAsia="ru-RU"/>
        </w:rPr>
        <w:t>)</w:t>
      </w:r>
      <w:r w:rsidRPr="00596F09">
        <w:rPr>
          <w:rFonts w:ascii="Arial" w:eastAsia="Times New Roman" w:hAnsi="Arial" w:cs="Arial"/>
          <w:color w:val="000000"/>
          <w:lang w:val="en-US" w:eastAsia="ru-RU"/>
        </w:rPr>
        <w:t xml:space="preserve"> to p</w:t>
      </w:r>
      <w:r w:rsidRPr="00FA3135">
        <w:rPr>
          <w:rFonts w:ascii="Arial" w:eastAsia="Times New Roman" w:hAnsi="Arial" w:cs="Arial"/>
          <w:color w:val="000000"/>
          <w:lang w:val="en-US" w:eastAsia="ru-RU"/>
        </w:rPr>
        <w:t xml:space="preserve">rovide him with an effective remedy, including reimbursement of any legal costs incurred by him, together with </w:t>
      </w:r>
      <w:r w:rsidR="00CA570C" w:rsidRPr="00FA3135">
        <w:rPr>
          <w:rFonts w:ascii="Arial" w:eastAsia="Times New Roman" w:hAnsi="Arial" w:cs="Arial"/>
          <w:color w:val="000000"/>
          <w:lang w:val="en-US" w:eastAsia="ru-RU"/>
        </w:rPr>
        <w:t>compensation.</w:t>
      </w:r>
      <w:r w:rsidRPr="00596F09">
        <w:rPr>
          <w:rFonts w:ascii="Arial" w:eastAsia="Times New Roman" w:hAnsi="Arial" w:cs="Arial"/>
          <w:color w:val="000000"/>
          <w:lang w:val="en-US" w:eastAsia="ru-RU"/>
        </w:rPr>
        <w:t xml:space="preserve"> </w:t>
      </w:r>
    </w:p>
    <w:p w14:paraId="7751BE20" w14:textId="261A0564" w:rsidR="00FA3135" w:rsidRPr="00FA3135" w:rsidRDefault="00FA3135" w:rsidP="00CE533F">
      <w:pPr>
        <w:spacing w:before="100" w:beforeAutospacing="1" w:after="120" w:line="240" w:lineRule="auto"/>
        <w:jc w:val="both"/>
        <w:rPr>
          <w:rFonts w:ascii="Arial" w:eastAsia="Times New Roman" w:hAnsi="Arial" w:cs="Arial"/>
          <w:color w:val="000000"/>
          <w:lang w:val="en-US" w:eastAsia="ru-RU"/>
        </w:rPr>
      </w:pPr>
      <w:r w:rsidRPr="00FA3135">
        <w:rPr>
          <w:rFonts w:ascii="Arial" w:eastAsia="Times New Roman" w:hAnsi="Arial" w:cs="Arial"/>
          <w:color w:val="000000"/>
          <w:lang w:val="en-US" w:eastAsia="ru-RU"/>
        </w:rPr>
        <w:t>(ii)</w:t>
      </w:r>
      <w:r w:rsidRPr="00596F09">
        <w:rPr>
          <w:rFonts w:ascii="Arial" w:eastAsia="Times New Roman" w:hAnsi="Arial" w:cs="Arial"/>
          <w:color w:val="000000"/>
          <w:lang w:val="en-US" w:eastAsia="ru-RU"/>
        </w:rPr>
        <w:t xml:space="preserve"> to p</w:t>
      </w:r>
      <w:r w:rsidRPr="00FA3135">
        <w:rPr>
          <w:rFonts w:ascii="Arial" w:eastAsia="Times New Roman" w:hAnsi="Arial" w:cs="Arial"/>
          <w:color w:val="000000"/>
          <w:lang w:val="en-US" w:eastAsia="ru-RU"/>
        </w:rPr>
        <w:t>ublish th</w:t>
      </w:r>
      <w:r w:rsidR="00CA570C">
        <w:rPr>
          <w:rFonts w:ascii="Arial" w:eastAsia="Times New Roman" w:hAnsi="Arial" w:cs="Arial"/>
          <w:color w:val="000000"/>
          <w:lang w:val="en-US" w:eastAsia="ru-RU"/>
        </w:rPr>
        <w:t>ese v</w:t>
      </w:r>
      <w:r w:rsidRPr="00FA3135">
        <w:rPr>
          <w:rFonts w:ascii="Arial" w:eastAsia="Times New Roman" w:hAnsi="Arial" w:cs="Arial"/>
          <w:color w:val="000000"/>
          <w:lang w:val="en-US" w:eastAsia="ru-RU"/>
        </w:rPr>
        <w:t xml:space="preserve">iews in accessible formats </w:t>
      </w:r>
      <w:r w:rsidR="00CA570C">
        <w:rPr>
          <w:rFonts w:ascii="Arial" w:eastAsia="Times New Roman" w:hAnsi="Arial" w:cs="Arial"/>
          <w:color w:val="000000"/>
          <w:lang w:val="en-US" w:eastAsia="ru-RU"/>
        </w:rPr>
        <w:t>making them</w:t>
      </w:r>
      <w:r w:rsidRPr="00FA3135">
        <w:rPr>
          <w:rFonts w:ascii="Arial" w:eastAsia="Times New Roman" w:hAnsi="Arial" w:cs="Arial"/>
          <w:color w:val="000000"/>
          <w:lang w:val="en-US" w:eastAsia="ru-RU"/>
        </w:rPr>
        <w:t xml:space="preserve"> available to all sectors of </w:t>
      </w:r>
      <w:r w:rsidR="00CA570C">
        <w:rPr>
          <w:rFonts w:ascii="Arial" w:eastAsia="Times New Roman" w:hAnsi="Arial" w:cs="Arial"/>
          <w:color w:val="000000"/>
          <w:lang w:val="en-US" w:eastAsia="ru-RU"/>
        </w:rPr>
        <w:t>society</w:t>
      </w:r>
      <w:r w:rsidRPr="00FA3135">
        <w:rPr>
          <w:rFonts w:ascii="Arial" w:eastAsia="Times New Roman" w:hAnsi="Arial" w:cs="Arial"/>
          <w:color w:val="000000"/>
          <w:lang w:val="en-US" w:eastAsia="ru-RU"/>
        </w:rPr>
        <w:t>.</w:t>
      </w:r>
    </w:p>
    <w:p w14:paraId="6FB9FDCF" w14:textId="77777777" w:rsidR="00CA570C" w:rsidRPr="00CA570C" w:rsidRDefault="00FA3135" w:rsidP="00CE533F">
      <w:pPr>
        <w:spacing w:before="100" w:beforeAutospacing="1" w:after="120" w:line="240" w:lineRule="auto"/>
        <w:jc w:val="both"/>
        <w:rPr>
          <w:rFonts w:ascii="Arial" w:eastAsia="Times New Roman" w:hAnsi="Arial" w:cs="Arial"/>
          <w:color w:val="000000"/>
          <w:u w:val="single"/>
          <w:lang w:val="en-US" w:eastAsia="ru-RU"/>
        </w:rPr>
      </w:pPr>
      <w:r w:rsidRPr="00CA570C">
        <w:rPr>
          <w:rFonts w:ascii="Arial" w:eastAsia="Times New Roman" w:hAnsi="Arial" w:cs="Arial"/>
          <w:color w:val="000000"/>
          <w:u w:val="single"/>
          <w:lang w:val="en-US" w:eastAsia="ru-RU"/>
        </w:rPr>
        <w:t xml:space="preserve">In general, </w:t>
      </w:r>
    </w:p>
    <w:p w14:paraId="2AAD88E2" w14:textId="0F4EFA01" w:rsidR="00CA570C" w:rsidRDefault="00FA3135" w:rsidP="00CE533F">
      <w:pPr>
        <w:spacing w:before="100" w:beforeAutospacing="1" w:after="120" w:line="240" w:lineRule="auto"/>
        <w:jc w:val="both"/>
        <w:rPr>
          <w:rFonts w:ascii="Arial" w:eastAsia="Times New Roman" w:hAnsi="Arial" w:cs="Arial"/>
          <w:color w:val="000000"/>
          <w:lang w:val="en-US" w:eastAsia="ru-RU"/>
        </w:rPr>
      </w:pPr>
      <w:r w:rsidRPr="00596F09">
        <w:rPr>
          <w:rFonts w:ascii="Arial" w:eastAsia="Times New Roman" w:hAnsi="Arial" w:cs="Arial"/>
          <w:color w:val="000000"/>
          <w:lang w:val="en-US" w:eastAsia="ru-RU"/>
        </w:rPr>
        <w:t>(</w:t>
      </w:r>
      <w:proofErr w:type="spellStart"/>
      <w:r w:rsidRPr="00596F09">
        <w:rPr>
          <w:rFonts w:ascii="Arial" w:eastAsia="Times New Roman" w:hAnsi="Arial" w:cs="Arial"/>
          <w:color w:val="000000"/>
          <w:lang w:val="en-US" w:eastAsia="ru-RU"/>
        </w:rPr>
        <w:t>i</w:t>
      </w:r>
      <w:proofErr w:type="spellEnd"/>
      <w:r w:rsidRPr="00596F09">
        <w:rPr>
          <w:rFonts w:ascii="Arial" w:eastAsia="Times New Roman" w:hAnsi="Arial" w:cs="Arial"/>
          <w:color w:val="000000"/>
          <w:lang w:val="en-US" w:eastAsia="ru-RU"/>
        </w:rPr>
        <w:t xml:space="preserve">) to </w:t>
      </w:r>
      <w:r w:rsidRPr="00FA3135">
        <w:rPr>
          <w:rFonts w:ascii="Arial" w:eastAsia="Times New Roman" w:hAnsi="Arial" w:cs="Arial"/>
          <w:color w:val="000000"/>
          <w:lang w:val="en-US" w:eastAsia="ru-RU"/>
        </w:rPr>
        <w:t xml:space="preserve">ensure that employment of persons with disability is promoted in practice, </w:t>
      </w:r>
      <w:r w:rsidR="009B6EED">
        <w:rPr>
          <w:rFonts w:ascii="Arial" w:eastAsia="Times New Roman" w:hAnsi="Arial" w:cs="Arial"/>
          <w:color w:val="000000"/>
          <w:lang w:val="en-US" w:eastAsia="ru-RU"/>
        </w:rPr>
        <w:t>and</w:t>
      </w:r>
      <w:r w:rsidRPr="00FA3135">
        <w:rPr>
          <w:rFonts w:ascii="Arial" w:eastAsia="Times New Roman" w:hAnsi="Arial" w:cs="Arial"/>
          <w:color w:val="000000"/>
          <w:lang w:val="en-US" w:eastAsia="ru-RU"/>
        </w:rPr>
        <w:t xml:space="preserve"> that the criteria applied to assess the reasonableness and proportionality of the accommodation measures </w:t>
      </w:r>
      <w:r w:rsidR="00CA570C">
        <w:rPr>
          <w:rFonts w:ascii="Arial" w:eastAsia="Times New Roman" w:hAnsi="Arial" w:cs="Arial"/>
          <w:color w:val="000000"/>
          <w:lang w:val="en-US" w:eastAsia="ru-RU"/>
        </w:rPr>
        <w:t xml:space="preserve">is </w:t>
      </w:r>
      <w:r w:rsidRPr="00FA3135">
        <w:rPr>
          <w:rFonts w:ascii="Arial" w:eastAsia="Times New Roman" w:hAnsi="Arial" w:cs="Arial"/>
          <w:color w:val="000000"/>
          <w:lang w:val="en-US" w:eastAsia="ru-RU"/>
        </w:rPr>
        <w:t xml:space="preserve">in </w:t>
      </w:r>
      <w:r w:rsidR="00CA570C">
        <w:rPr>
          <w:rFonts w:ascii="Arial" w:eastAsia="Times New Roman" w:hAnsi="Arial" w:cs="Arial"/>
          <w:color w:val="000000"/>
          <w:lang w:val="en-US" w:eastAsia="ru-RU"/>
        </w:rPr>
        <w:t>line</w:t>
      </w:r>
      <w:r w:rsidRPr="00FA3135">
        <w:rPr>
          <w:rFonts w:ascii="Arial" w:eastAsia="Times New Roman" w:hAnsi="Arial" w:cs="Arial"/>
          <w:color w:val="000000"/>
          <w:lang w:val="en-US" w:eastAsia="ru-RU"/>
        </w:rPr>
        <w:t xml:space="preserve"> with </w:t>
      </w:r>
      <w:r w:rsidR="00CA570C">
        <w:rPr>
          <w:rFonts w:ascii="Arial" w:eastAsia="Times New Roman" w:hAnsi="Arial" w:cs="Arial"/>
          <w:color w:val="000000"/>
          <w:lang w:val="en-US" w:eastAsia="ru-RU"/>
        </w:rPr>
        <w:t xml:space="preserve">the </w:t>
      </w:r>
      <w:r w:rsidRPr="00FA3135">
        <w:rPr>
          <w:rFonts w:ascii="Arial" w:eastAsia="Times New Roman" w:hAnsi="Arial" w:cs="Arial"/>
          <w:color w:val="000000"/>
          <w:lang w:val="en-US" w:eastAsia="ru-RU"/>
        </w:rPr>
        <w:t>Convention and the</w:t>
      </w:r>
      <w:r w:rsidR="00CA570C">
        <w:rPr>
          <w:rFonts w:ascii="Arial" w:eastAsia="Times New Roman" w:hAnsi="Arial" w:cs="Arial"/>
          <w:color w:val="000000"/>
          <w:lang w:val="en-US" w:eastAsia="ru-RU"/>
        </w:rPr>
        <w:t>se</w:t>
      </w:r>
      <w:r w:rsidRPr="00FA3135">
        <w:rPr>
          <w:rFonts w:ascii="Arial" w:eastAsia="Times New Roman" w:hAnsi="Arial" w:cs="Arial"/>
          <w:color w:val="000000"/>
          <w:lang w:val="en-US" w:eastAsia="ru-RU"/>
        </w:rPr>
        <w:t xml:space="preserve"> recommendations, and that a dialogue with the person with disability is systematically carried out to </w:t>
      </w:r>
      <w:r w:rsidR="00CA570C">
        <w:rPr>
          <w:rFonts w:ascii="Arial" w:eastAsia="Times New Roman" w:hAnsi="Arial" w:cs="Arial"/>
          <w:color w:val="000000"/>
          <w:lang w:val="en-US" w:eastAsia="ru-RU"/>
        </w:rPr>
        <w:t>implement</w:t>
      </w:r>
      <w:r w:rsidRPr="00FA3135">
        <w:rPr>
          <w:rFonts w:ascii="Arial" w:eastAsia="Times New Roman" w:hAnsi="Arial" w:cs="Arial"/>
          <w:color w:val="000000"/>
          <w:lang w:val="en-US" w:eastAsia="ru-RU"/>
        </w:rPr>
        <w:t xml:space="preserve"> his or her rights on an equal basis with others;</w:t>
      </w:r>
      <w:r w:rsidRPr="00596F09">
        <w:rPr>
          <w:rFonts w:ascii="Arial" w:eastAsia="Times New Roman" w:hAnsi="Arial" w:cs="Arial"/>
          <w:color w:val="000000"/>
          <w:lang w:val="en-US" w:eastAsia="ru-RU"/>
        </w:rPr>
        <w:t xml:space="preserve"> </w:t>
      </w:r>
    </w:p>
    <w:p w14:paraId="15F7BFEC" w14:textId="179ED031" w:rsidR="00FA3135" w:rsidRPr="00FA3135" w:rsidRDefault="00FA3135" w:rsidP="00CE533F">
      <w:pPr>
        <w:spacing w:before="100" w:beforeAutospacing="1" w:after="120" w:line="240" w:lineRule="auto"/>
        <w:jc w:val="both"/>
        <w:rPr>
          <w:rFonts w:ascii="Arial" w:eastAsia="Times New Roman" w:hAnsi="Arial" w:cs="Arial"/>
          <w:color w:val="000000"/>
          <w:lang w:val="en-US" w:eastAsia="ru-RU"/>
        </w:rPr>
      </w:pPr>
      <w:r w:rsidRPr="00FA3135">
        <w:rPr>
          <w:rFonts w:ascii="Arial" w:eastAsia="Times New Roman" w:hAnsi="Arial" w:cs="Arial"/>
          <w:color w:val="000000"/>
          <w:lang w:val="en-US" w:eastAsia="ru-RU"/>
        </w:rPr>
        <w:t>(ii)</w:t>
      </w:r>
      <w:r w:rsidRPr="00596F09">
        <w:rPr>
          <w:rFonts w:ascii="Arial" w:eastAsia="Times New Roman" w:hAnsi="Arial" w:cs="Arial"/>
          <w:color w:val="000000"/>
          <w:lang w:val="en-US" w:eastAsia="ru-RU"/>
        </w:rPr>
        <w:t xml:space="preserve"> to ensure</w:t>
      </w:r>
      <w:r w:rsidRPr="00FA3135">
        <w:rPr>
          <w:rFonts w:ascii="Arial" w:eastAsia="Times New Roman" w:hAnsi="Arial" w:cs="Arial"/>
          <w:color w:val="000000"/>
          <w:lang w:val="en-US" w:eastAsia="ru-RU"/>
        </w:rPr>
        <w:t xml:space="preserve"> that appropriate and regular training is provided to State agents involved in recruitment process and to legal servants, especially those of the </w:t>
      </w:r>
      <w:proofErr w:type="spellStart"/>
      <w:r w:rsidRPr="00FA3135">
        <w:rPr>
          <w:rFonts w:ascii="Arial" w:eastAsia="Times New Roman" w:hAnsi="Arial" w:cs="Arial"/>
          <w:color w:val="000000"/>
          <w:lang w:val="en-US" w:eastAsia="ru-RU"/>
        </w:rPr>
        <w:t>Labour</w:t>
      </w:r>
      <w:proofErr w:type="spellEnd"/>
      <w:r w:rsidRPr="00FA3135">
        <w:rPr>
          <w:rFonts w:ascii="Arial" w:eastAsia="Times New Roman" w:hAnsi="Arial" w:cs="Arial"/>
          <w:color w:val="000000"/>
          <w:lang w:val="en-US" w:eastAsia="ru-RU"/>
        </w:rPr>
        <w:t xml:space="preserve"> Court, on the Convention and its Optional Protocol, in particular </w:t>
      </w:r>
      <w:r w:rsidR="009B6EED">
        <w:rPr>
          <w:rFonts w:ascii="Arial" w:eastAsia="Times New Roman" w:hAnsi="Arial" w:cs="Arial"/>
          <w:color w:val="000000"/>
          <w:lang w:val="en-US" w:eastAsia="ru-RU"/>
        </w:rPr>
        <w:t xml:space="preserve">on </w:t>
      </w:r>
      <w:r w:rsidRPr="00FA3135">
        <w:rPr>
          <w:rFonts w:ascii="Arial" w:eastAsia="Times New Roman" w:hAnsi="Arial" w:cs="Arial"/>
          <w:color w:val="000000"/>
          <w:lang w:val="en-US" w:eastAsia="ru-RU"/>
        </w:rPr>
        <w:t>articles 9 and 27.</w:t>
      </w:r>
    </w:p>
    <w:p w14:paraId="5C8A8298" w14:textId="77777777" w:rsidR="00FA3135" w:rsidRPr="00596F09" w:rsidRDefault="00FA3135" w:rsidP="00CE533F">
      <w:pPr>
        <w:spacing w:after="120" w:line="240" w:lineRule="auto"/>
        <w:jc w:val="both"/>
        <w:rPr>
          <w:rFonts w:ascii="Arial" w:hAnsi="Arial" w:cs="Arial"/>
          <w:b/>
          <w:lang w:val="en-GB"/>
        </w:rPr>
      </w:pPr>
    </w:p>
    <w:sectPr w:rsidR="00FA3135" w:rsidRPr="00596F09">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13B9C" w14:textId="77777777" w:rsidR="00DD318C" w:rsidRDefault="00DD318C" w:rsidP="00D73549">
      <w:pPr>
        <w:spacing w:after="0" w:line="240" w:lineRule="auto"/>
      </w:pPr>
      <w:r>
        <w:separator/>
      </w:r>
    </w:p>
  </w:endnote>
  <w:endnote w:type="continuationSeparator" w:id="0">
    <w:p w14:paraId="5D5D3271" w14:textId="77777777" w:rsidR="00DD318C" w:rsidRDefault="00DD318C" w:rsidP="00D7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921042"/>
      <w:docPartObj>
        <w:docPartGallery w:val="Page Numbers (Bottom of Page)"/>
        <w:docPartUnique/>
      </w:docPartObj>
    </w:sdtPr>
    <w:sdtEndPr/>
    <w:sdtContent>
      <w:p w14:paraId="24647E53" w14:textId="77777777" w:rsidR="00E669A3" w:rsidRDefault="00E669A3">
        <w:pPr>
          <w:pStyle w:val="Footer"/>
          <w:jc w:val="center"/>
        </w:pPr>
        <w:r>
          <w:fldChar w:fldCharType="begin"/>
        </w:r>
        <w:r>
          <w:instrText>PAGE   \* MERGEFORMAT</w:instrText>
        </w:r>
        <w:r>
          <w:fldChar w:fldCharType="separate"/>
        </w:r>
        <w:r w:rsidR="00307647" w:rsidRPr="00307647">
          <w:rPr>
            <w:noProof/>
            <w:lang w:val="ru-RU"/>
          </w:rPr>
          <w:t>1</w:t>
        </w:r>
        <w:r>
          <w:fldChar w:fldCharType="end"/>
        </w:r>
      </w:p>
    </w:sdtContent>
  </w:sdt>
  <w:p w14:paraId="3E4EF82A" w14:textId="77777777" w:rsidR="00E669A3" w:rsidRDefault="00E6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E8F13" w14:textId="77777777" w:rsidR="00DD318C" w:rsidRDefault="00DD318C" w:rsidP="00D73549">
      <w:pPr>
        <w:spacing w:after="0" w:line="240" w:lineRule="auto"/>
      </w:pPr>
      <w:r>
        <w:separator/>
      </w:r>
    </w:p>
  </w:footnote>
  <w:footnote w:type="continuationSeparator" w:id="0">
    <w:p w14:paraId="4C826B3B" w14:textId="77777777" w:rsidR="00DD318C" w:rsidRDefault="00DD318C" w:rsidP="00D73549">
      <w:pPr>
        <w:spacing w:after="0" w:line="240" w:lineRule="auto"/>
      </w:pPr>
      <w:r>
        <w:continuationSeparator/>
      </w:r>
    </w:p>
  </w:footnote>
  <w:footnote w:id="1">
    <w:p w14:paraId="4FC55B28" w14:textId="77777777" w:rsidR="00D73549" w:rsidRPr="00575A24" w:rsidRDefault="00D73549" w:rsidP="00D73549">
      <w:pPr>
        <w:spacing w:after="0"/>
        <w:jc w:val="both"/>
        <w:rPr>
          <w:rFonts w:ascii="Arial" w:hAnsi="Arial" w:cs="Arial"/>
          <w:sz w:val="18"/>
          <w:szCs w:val="18"/>
          <w:lang w:val="en-GB"/>
        </w:rPr>
      </w:pPr>
      <w:r w:rsidRPr="000E3E18">
        <w:rPr>
          <w:rStyle w:val="FootnoteReference"/>
          <w:rFonts w:ascii="Arial" w:hAnsi="Arial"/>
          <w:sz w:val="16"/>
          <w:szCs w:val="16"/>
        </w:rPr>
        <w:footnoteRef/>
      </w:r>
      <w:r w:rsidRPr="000E3E18">
        <w:rPr>
          <w:rFonts w:ascii="Arial" w:hAnsi="Arial"/>
          <w:sz w:val="16"/>
          <w:szCs w:val="16"/>
          <w:lang w:val="en-US"/>
        </w:rPr>
        <w:t xml:space="preserve"> </w:t>
      </w:r>
      <w:r w:rsidRPr="000E3E18">
        <w:rPr>
          <w:rFonts w:ascii="Arial" w:hAnsi="Arial" w:cs="Arial"/>
          <w:sz w:val="16"/>
          <w:szCs w:val="16"/>
          <w:lang w:val="en-GB"/>
        </w:rPr>
        <w:t>T</w:t>
      </w:r>
      <w:r w:rsidRPr="00FD4FA3">
        <w:rPr>
          <w:rFonts w:ascii="Arial" w:hAnsi="Arial" w:cs="Arial"/>
          <w:sz w:val="16"/>
          <w:szCs w:val="16"/>
          <w:lang w:val="en-GB"/>
        </w:rPr>
        <w:t xml:space="preserve">his summary has been prepared by the International Disability Alliance. For more information on how to lodge individual communications under the Optional Protocol to the CRPD, visit </w:t>
      </w:r>
      <w:hyperlink r:id="rId1" w:history="1">
        <w:r w:rsidRPr="00FD4FA3">
          <w:rPr>
            <w:rStyle w:val="Hyperlink"/>
            <w:rFonts w:ascii="Arial" w:hAnsi="Arial" w:cs="Arial"/>
            <w:sz w:val="16"/>
            <w:szCs w:val="16"/>
            <w:lang w:val="en-GB"/>
          </w:rPr>
          <w:t xml:space="preserve">IDA’s disability rights litigation website.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C39A2"/>
    <w:multiLevelType w:val="hybridMultilevel"/>
    <w:tmpl w:val="7286F2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7B"/>
    <w:rsid w:val="0002101D"/>
    <w:rsid w:val="00056044"/>
    <w:rsid w:val="000A63E1"/>
    <w:rsid w:val="000C1F75"/>
    <w:rsid w:val="00103D48"/>
    <w:rsid w:val="00122DDB"/>
    <w:rsid w:val="00143FB4"/>
    <w:rsid w:val="0019737E"/>
    <w:rsid w:val="001B299F"/>
    <w:rsid w:val="001F0F74"/>
    <w:rsid w:val="00234159"/>
    <w:rsid w:val="002B7C07"/>
    <w:rsid w:val="00307647"/>
    <w:rsid w:val="0033123A"/>
    <w:rsid w:val="00354935"/>
    <w:rsid w:val="0036003A"/>
    <w:rsid w:val="00376C02"/>
    <w:rsid w:val="003C693F"/>
    <w:rsid w:val="00471EBC"/>
    <w:rsid w:val="00477DEF"/>
    <w:rsid w:val="00555222"/>
    <w:rsid w:val="00596F09"/>
    <w:rsid w:val="005B0912"/>
    <w:rsid w:val="005B1F22"/>
    <w:rsid w:val="005C2983"/>
    <w:rsid w:val="005E0D93"/>
    <w:rsid w:val="0061705B"/>
    <w:rsid w:val="00621FFE"/>
    <w:rsid w:val="00633C62"/>
    <w:rsid w:val="00635C4B"/>
    <w:rsid w:val="006C777B"/>
    <w:rsid w:val="0077196A"/>
    <w:rsid w:val="00771F93"/>
    <w:rsid w:val="00781B87"/>
    <w:rsid w:val="007D5FDB"/>
    <w:rsid w:val="008150B9"/>
    <w:rsid w:val="0081767A"/>
    <w:rsid w:val="00847CD6"/>
    <w:rsid w:val="008A1D0D"/>
    <w:rsid w:val="008B6EF5"/>
    <w:rsid w:val="008C6BC8"/>
    <w:rsid w:val="00931D27"/>
    <w:rsid w:val="00933632"/>
    <w:rsid w:val="009718E5"/>
    <w:rsid w:val="009B6EED"/>
    <w:rsid w:val="009F2BE0"/>
    <w:rsid w:val="00A64D1C"/>
    <w:rsid w:val="00AE54BB"/>
    <w:rsid w:val="00B43311"/>
    <w:rsid w:val="00BD067F"/>
    <w:rsid w:val="00C767B7"/>
    <w:rsid w:val="00CA08FB"/>
    <w:rsid w:val="00CA4926"/>
    <w:rsid w:val="00CA570C"/>
    <w:rsid w:val="00CB6F70"/>
    <w:rsid w:val="00CD3AE8"/>
    <w:rsid w:val="00CE4724"/>
    <w:rsid w:val="00CE533F"/>
    <w:rsid w:val="00CF0177"/>
    <w:rsid w:val="00CF747C"/>
    <w:rsid w:val="00D20BED"/>
    <w:rsid w:val="00D40AC5"/>
    <w:rsid w:val="00D73549"/>
    <w:rsid w:val="00DD318C"/>
    <w:rsid w:val="00E669A3"/>
    <w:rsid w:val="00E71231"/>
    <w:rsid w:val="00EA2EC6"/>
    <w:rsid w:val="00EC24E4"/>
    <w:rsid w:val="00EE03C8"/>
    <w:rsid w:val="00EE13E8"/>
    <w:rsid w:val="00F16458"/>
    <w:rsid w:val="00F50628"/>
    <w:rsid w:val="00F71E95"/>
    <w:rsid w:val="00F96960"/>
    <w:rsid w:val="00FA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9722"/>
  <w15:chartTrackingRefBased/>
  <w15:docId w15:val="{C8060A49-215D-4139-8C15-D45F93B5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49"/>
    <w:pPr>
      <w:spacing w:after="200" w:line="276" w:lineRule="auto"/>
    </w:pPr>
    <w:rPr>
      <w:rFonts w:ascii="Calibri" w:eastAsia="Calibri" w:hAnsi="Calibri" w:cs="Times New Roman"/>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3549"/>
    <w:rPr>
      <w:color w:val="0000FF"/>
      <w:u w:val="single"/>
    </w:rPr>
  </w:style>
  <w:style w:type="character" w:styleId="FootnoteReference">
    <w:name w:val="footnote reference"/>
    <w:aliases w:val="4_G,Footnote number"/>
    <w:uiPriority w:val="99"/>
    <w:rsid w:val="00D73549"/>
    <w:rPr>
      <w:rFonts w:ascii="Times New Roman" w:hAnsi="Times New Roman"/>
      <w:sz w:val="18"/>
      <w:vertAlign w:val="superscript"/>
    </w:rPr>
  </w:style>
  <w:style w:type="character" w:styleId="CommentReference">
    <w:name w:val="annotation reference"/>
    <w:basedOn w:val="DefaultParagraphFont"/>
    <w:semiHidden/>
    <w:unhideWhenUsed/>
    <w:rsid w:val="00D73549"/>
    <w:rPr>
      <w:sz w:val="16"/>
      <w:szCs w:val="16"/>
    </w:rPr>
  </w:style>
  <w:style w:type="paragraph" w:styleId="CommentText">
    <w:name w:val="annotation text"/>
    <w:basedOn w:val="Normal"/>
    <w:link w:val="CommentTextChar"/>
    <w:semiHidden/>
    <w:unhideWhenUsed/>
    <w:rsid w:val="00D73549"/>
    <w:pPr>
      <w:spacing w:line="240" w:lineRule="auto"/>
    </w:pPr>
    <w:rPr>
      <w:sz w:val="20"/>
      <w:szCs w:val="20"/>
    </w:rPr>
  </w:style>
  <w:style w:type="character" w:customStyle="1" w:styleId="CommentTextChar">
    <w:name w:val="Comment Text Char"/>
    <w:basedOn w:val="DefaultParagraphFont"/>
    <w:link w:val="CommentText"/>
    <w:semiHidden/>
    <w:rsid w:val="00D73549"/>
    <w:rPr>
      <w:rFonts w:ascii="Calibri" w:eastAsia="Calibri" w:hAnsi="Calibri" w:cs="Times New Roman"/>
      <w:sz w:val="20"/>
      <w:szCs w:val="20"/>
      <w:lang w:val="fr-FR"/>
    </w:rPr>
  </w:style>
  <w:style w:type="character" w:styleId="FollowedHyperlink">
    <w:name w:val="FollowedHyperlink"/>
    <w:basedOn w:val="DefaultParagraphFont"/>
    <w:uiPriority w:val="99"/>
    <w:semiHidden/>
    <w:unhideWhenUsed/>
    <w:rsid w:val="00D73549"/>
    <w:rPr>
      <w:color w:val="954F72" w:themeColor="followedHyperlink"/>
      <w:u w:val="single"/>
    </w:rPr>
  </w:style>
  <w:style w:type="paragraph" w:styleId="BalloonText">
    <w:name w:val="Balloon Text"/>
    <w:basedOn w:val="Normal"/>
    <w:link w:val="BalloonTextChar"/>
    <w:uiPriority w:val="99"/>
    <w:semiHidden/>
    <w:unhideWhenUsed/>
    <w:rsid w:val="00D73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549"/>
    <w:rPr>
      <w:rFonts w:ascii="Segoe UI" w:eastAsia="Calibri" w:hAnsi="Segoe UI" w:cs="Segoe UI"/>
      <w:sz w:val="18"/>
      <w:szCs w:val="18"/>
      <w:lang w:val="fr-FR"/>
    </w:rPr>
  </w:style>
  <w:style w:type="paragraph" w:styleId="NormalWeb">
    <w:name w:val="Normal (Web)"/>
    <w:basedOn w:val="Normal"/>
    <w:uiPriority w:val="99"/>
    <w:semiHidden/>
    <w:unhideWhenUsed/>
    <w:rsid w:val="0019737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1G">
    <w:name w:val="_ H_1_G"/>
    <w:basedOn w:val="Normal"/>
    <w:next w:val="Normal"/>
    <w:rsid w:val="00847CD6"/>
    <w:pPr>
      <w:keepNext/>
      <w:keepLines/>
      <w:tabs>
        <w:tab w:val="right" w:pos="851"/>
      </w:tabs>
      <w:suppressAutoHyphens/>
      <w:spacing w:before="360" w:after="240" w:line="270" w:lineRule="exact"/>
      <w:ind w:left="1134" w:right="1134" w:hanging="1134"/>
      <w:outlineLvl w:val="2"/>
    </w:pPr>
    <w:rPr>
      <w:rFonts w:ascii="Times New Roman" w:eastAsia="SimSun" w:hAnsi="Times New Roman"/>
      <w:b/>
      <w:sz w:val="24"/>
      <w:szCs w:val="20"/>
      <w:lang w:val="en-GB" w:eastAsia="zh-CN"/>
    </w:rPr>
  </w:style>
  <w:style w:type="paragraph" w:styleId="ListParagraph">
    <w:name w:val="List Paragraph"/>
    <w:basedOn w:val="Normal"/>
    <w:uiPriority w:val="34"/>
    <w:qFormat/>
    <w:rsid w:val="00CD3AE8"/>
    <w:pPr>
      <w:ind w:left="720"/>
      <w:contextualSpacing/>
    </w:pPr>
  </w:style>
  <w:style w:type="paragraph" w:styleId="Header">
    <w:name w:val="header"/>
    <w:basedOn w:val="Normal"/>
    <w:link w:val="HeaderChar"/>
    <w:uiPriority w:val="99"/>
    <w:unhideWhenUsed/>
    <w:rsid w:val="00E669A3"/>
    <w:pPr>
      <w:tabs>
        <w:tab w:val="center" w:pos="4677"/>
        <w:tab w:val="right" w:pos="9355"/>
      </w:tabs>
      <w:spacing w:after="0" w:line="240" w:lineRule="auto"/>
    </w:pPr>
  </w:style>
  <w:style w:type="character" w:customStyle="1" w:styleId="HeaderChar">
    <w:name w:val="Header Char"/>
    <w:basedOn w:val="DefaultParagraphFont"/>
    <w:link w:val="Header"/>
    <w:uiPriority w:val="99"/>
    <w:rsid w:val="00E669A3"/>
    <w:rPr>
      <w:rFonts w:ascii="Calibri" w:eastAsia="Calibri" w:hAnsi="Calibri" w:cs="Times New Roman"/>
      <w:lang w:val="fr-FR"/>
    </w:rPr>
  </w:style>
  <w:style w:type="paragraph" w:styleId="Footer">
    <w:name w:val="footer"/>
    <w:basedOn w:val="Normal"/>
    <w:link w:val="FooterChar"/>
    <w:uiPriority w:val="99"/>
    <w:unhideWhenUsed/>
    <w:rsid w:val="00E669A3"/>
    <w:pPr>
      <w:tabs>
        <w:tab w:val="center" w:pos="4677"/>
        <w:tab w:val="right" w:pos="9355"/>
      </w:tabs>
      <w:spacing w:after="0" w:line="240" w:lineRule="auto"/>
    </w:pPr>
  </w:style>
  <w:style w:type="character" w:customStyle="1" w:styleId="FooterChar">
    <w:name w:val="Footer Char"/>
    <w:basedOn w:val="DefaultParagraphFont"/>
    <w:link w:val="Footer"/>
    <w:uiPriority w:val="99"/>
    <w:rsid w:val="00E669A3"/>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5989">
      <w:bodyDiv w:val="1"/>
      <w:marLeft w:val="0"/>
      <w:marRight w:val="0"/>
      <w:marTop w:val="0"/>
      <w:marBottom w:val="0"/>
      <w:divBdr>
        <w:top w:val="none" w:sz="0" w:space="0" w:color="auto"/>
        <w:left w:val="none" w:sz="0" w:space="0" w:color="auto"/>
        <w:bottom w:val="none" w:sz="0" w:space="0" w:color="auto"/>
        <w:right w:val="none" w:sz="0" w:space="0" w:color="auto"/>
      </w:divBdr>
      <w:divsChild>
        <w:div w:id="653342063">
          <w:marLeft w:val="0"/>
          <w:marRight w:val="0"/>
          <w:marTop w:val="0"/>
          <w:marBottom w:val="0"/>
          <w:divBdr>
            <w:top w:val="none" w:sz="0" w:space="0" w:color="auto"/>
            <w:left w:val="none" w:sz="0" w:space="0" w:color="auto"/>
            <w:bottom w:val="none" w:sz="0" w:space="0" w:color="auto"/>
            <w:right w:val="none" w:sz="0" w:space="0" w:color="auto"/>
          </w:divBdr>
          <w:divsChild>
            <w:div w:id="790368702">
              <w:marLeft w:val="0"/>
              <w:marRight w:val="0"/>
              <w:marTop w:val="0"/>
              <w:marBottom w:val="0"/>
              <w:divBdr>
                <w:top w:val="none" w:sz="0" w:space="0" w:color="auto"/>
                <w:left w:val="none" w:sz="0" w:space="0" w:color="auto"/>
                <w:bottom w:val="none" w:sz="0" w:space="0" w:color="auto"/>
                <w:right w:val="none" w:sz="0" w:space="0" w:color="auto"/>
              </w:divBdr>
              <w:divsChild>
                <w:div w:id="1171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2641">
      <w:bodyDiv w:val="1"/>
      <w:marLeft w:val="0"/>
      <w:marRight w:val="0"/>
      <w:marTop w:val="0"/>
      <w:marBottom w:val="0"/>
      <w:divBdr>
        <w:top w:val="none" w:sz="0" w:space="0" w:color="auto"/>
        <w:left w:val="none" w:sz="0" w:space="0" w:color="auto"/>
        <w:bottom w:val="none" w:sz="0" w:space="0" w:color="auto"/>
        <w:right w:val="none" w:sz="0" w:space="0" w:color="auto"/>
      </w:divBdr>
    </w:div>
    <w:div w:id="1077477629">
      <w:bodyDiv w:val="1"/>
      <w:marLeft w:val="0"/>
      <w:marRight w:val="0"/>
      <w:marTop w:val="0"/>
      <w:marBottom w:val="0"/>
      <w:divBdr>
        <w:top w:val="none" w:sz="0" w:space="0" w:color="auto"/>
        <w:left w:val="none" w:sz="0" w:space="0" w:color="auto"/>
        <w:bottom w:val="none" w:sz="0" w:space="0" w:color="auto"/>
        <w:right w:val="none" w:sz="0" w:space="0" w:color="auto"/>
      </w:divBdr>
      <w:divsChild>
        <w:div w:id="758253343">
          <w:marLeft w:val="0"/>
          <w:marRight w:val="0"/>
          <w:marTop w:val="0"/>
          <w:marBottom w:val="0"/>
          <w:divBdr>
            <w:top w:val="none" w:sz="0" w:space="0" w:color="auto"/>
            <w:left w:val="none" w:sz="0" w:space="0" w:color="auto"/>
            <w:bottom w:val="none" w:sz="0" w:space="0" w:color="auto"/>
            <w:right w:val="none" w:sz="0" w:space="0" w:color="auto"/>
          </w:divBdr>
          <w:divsChild>
            <w:div w:id="1291085032">
              <w:marLeft w:val="0"/>
              <w:marRight w:val="0"/>
              <w:marTop w:val="0"/>
              <w:marBottom w:val="0"/>
              <w:divBdr>
                <w:top w:val="none" w:sz="0" w:space="0" w:color="auto"/>
                <w:left w:val="none" w:sz="0" w:space="0" w:color="auto"/>
                <w:bottom w:val="none" w:sz="0" w:space="0" w:color="auto"/>
                <w:right w:val="none" w:sz="0" w:space="0" w:color="auto"/>
              </w:divBdr>
              <w:divsChild>
                <w:div w:id="10867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1645">
      <w:bodyDiv w:val="1"/>
      <w:marLeft w:val="0"/>
      <w:marRight w:val="0"/>
      <w:marTop w:val="0"/>
      <w:marBottom w:val="0"/>
      <w:divBdr>
        <w:top w:val="none" w:sz="0" w:space="0" w:color="auto"/>
        <w:left w:val="none" w:sz="0" w:space="0" w:color="auto"/>
        <w:bottom w:val="none" w:sz="0" w:space="0" w:color="auto"/>
        <w:right w:val="none" w:sz="0" w:space="0" w:color="auto"/>
      </w:divBdr>
      <w:divsChild>
        <w:div w:id="1216313741">
          <w:marLeft w:val="0"/>
          <w:marRight w:val="0"/>
          <w:marTop w:val="0"/>
          <w:marBottom w:val="0"/>
          <w:divBdr>
            <w:top w:val="none" w:sz="0" w:space="0" w:color="auto"/>
            <w:left w:val="none" w:sz="0" w:space="0" w:color="auto"/>
            <w:bottom w:val="none" w:sz="0" w:space="0" w:color="auto"/>
            <w:right w:val="none" w:sz="0" w:space="0" w:color="auto"/>
          </w:divBdr>
          <w:divsChild>
            <w:div w:id="1917785451">
              <w:marLeft w:val="0"/>
              <w:marRight w:val="0"/>
              <w:marTop w:val="0"/>
              <w:marBottom w:val="0"/>
              <w:divBdr>
                <w:top w:val="none" w:sz="0" w:space="0" w:color="auto"/>
                <w:left w:val="none" w:sz="0" w:space="0" w:color="auto"/>
                <w:bottom w:val="none" w:sz="0" w:space="0" w:color="auto"/>
                <w:right w:val="none" w:sz="0" w:space="0" w:color="auto"/>
              </w:divBdr>
              <w:divsChild>
                <w:div w:id="1932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044">
      <w:bodyDiv w:val="1"/>
      <w:marLeft w:val="0"/>
      <w:marRight w:val="0"/>
      <w:marTop w:val="0"/>
      <w:marBottom w:val="0"/>
      <w:divBdr>
        <w:top w:val="none" w:sz="0" w:space="0" w:color="auto"/>
        <w:left w:val="none" w:sz="0" w:space="0" w:color="auto"/>
        <w:bottom w:val="none" w:sz="0" w:space="0" w:color="auto"/>
        <w:right w:val="none" w:sz="0" w:space="0" w:color="auto"/>
      </w:divBdr>
    </w:div>
    <w:div w:id="19756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s://undocs.org/fr/CRPD/C/23/D/45/20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hchr.org/EN/HRBodies/CRPD/Pages/OptionalProtocolRightsPersonsWithDisabilities.aspx" TargetMode="External"/><Relationship Id="rId17" Type="http://schemas.openxmlformats.org/officeDocument/2006/relationships/hyperlink" Target="https://undocs.org/CRPD/C/23/D/45/2018" TargetMode="External"/><Relationship Id="rId2" Type="http://schemas.openxmlformats.org/officeDocument/2006/relationships/numbering" Target="numbering.xml"/><Relationship Id="rId16" Type="http://schemas.openxmlformats.org/officeDocument/2006/relationships/hyperlink" Target="https://undocs.org/zh/CRPD/C/23/D/45/2018" TargetMode="External"/><Relationship Id="rId20" Type="http://schemas.openxmlformats.org/officeDocument/2006/relationships/hyperlink" Target="https://undocs.org/es/CRPD/C/23/D/45/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webSettings" Target="webSettings.xml"/><Relationship Id="rId15" Type="http://schemas.openxmlformats.org/officeDocument/2006/relationships/hyperlink" Target="https://undocs.org/ar/CRPD/C/23/D/45/2018" TargetMode="External"/><Relationship Id="rId23" Type="http://schemas.openxmlformats.org/officeDocument/2006/relationships/theme" Target="theme/theme1.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s://undocs.org/ru/CRPD/C/23/D/45/2018" TargetMode="External"/><Relationship Id="rId4" Type="http://schemas.openxmlformats.org/officeDocument/2006/relationships/settings" Target="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FB09-B440-4E76-A1E0-0D95F337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2635</Words>
  <Characters>15024</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IDA-JIPB</cp:lastModifiedBy>
  <cp:revision>11</cp:revision>
  <dcterms:created xsi:type="dcterms:W3CDTF">2021-01-04T10:51:00Z</dcterms:created>
  <dcterms:modified xsi:type="dcterms:W3CDTF">2021-05-06T14:23:00Z</dcterms:modified>
</cp:coreProperties>
</file>