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5"/>
      </w:tblGrid>
      <w:tr w:rsidR="00605DB9" w:rsidRPr="002C55B1" w14:paraId="5789C5D5" w14:textId="77777777" w:rsidTr="00342F13">
        <w:trPr>
          <w:trHeight w:val="3130"/>
        </w:trPr>
        <w:tc>
          <w:tcPr>
            <w:tcW w:w="9225" w:type="dxa"/>
          </w:tcPr>
          <w:p w14:paraId="201A38C6" w14:textId="77777777" w:rsidR="0091412B" w:rsidRPr="0091412B" w:rsidRDefault="0091412B" w:rsidP="00342F13">
            <w:pPr>
              <w:ind w:left="35"/>
              <w:jc w:val="both"/>
              <w:rPr>
                <w:rFonts w:ascii="Arial" w:hAnsi="Arial" w:cs="Arial"/>
                <w:i/>
                <w:lang w:val="en-US"/>
              </w:rPr>
            </w:pPr>
            <w:r w:rsidRPr="0091412B">
              <w:rPr>
                <w:rFonts w:ascii="Arial" w:hAnsi="Arial" w:cs="Arial"/>
                <w:i/>
                <w:lang w:val="en-US"/>
              </w:rPr>
              <w:t>Case summary:</w:t>
            </w:r>
            <w:r w:rsidR="00852511">
              <w:rPr>
                <w:rStyle w:val="FootnoteReference"/>
                <w:rFonts w:cs="Arial"/>
                <w:i/>
                <w:lang w:val="en-US"/>
              </w:rPr>
              <w:footnoteReference w:id="1"/>
            </w:r>
            <w:r w:rsidRPr="0091412B">
              <w:rPr>
                <w:rFonts w:ascii="Arial" w:hAnsi="Arial" w:cs="Arial"/>
                <w:i/>
                <w:lang w:val="en-US"/>
              </w:rPr>
              <w:t xml:space="preserve">   Rubén Calleja Loma and Alejandro Calleja Lucas v Spain</w:t>
            </w:r>
          </w:p>
          <w:p w14:paraId="2900C5B8" w14:textId="77777777" w:rsidR="0091412B" w:rsidRPr="00342F13" w:rsidRDefault="00852511" w:rsidP="00342F13">
            <w:pPr>
              <w:ind w:left="35"/>
              <w:jc w:val="both"/>
              <w:rPr>
                <w:rFonts w:ascii="Arial" w:hAnsi="Arial" w:cs="Arial"/>
                <w:iCs/>
                <w:lang w:val="en-US"/>
              </w:rPr>
            </w:pPr>
            <w:hyperlink r:id="rId8" w:history="1">
              <w:r w:rsidR="0091412B" w:rsidRPr="00342F13">
                <w:rPr>
                  <w:rStyle w:val="Hyperlink"/>
                  <w:rFonts w:ascii="Arial" w:hAnsi="Arial" w:cs="Arial"/>
                  <w:iCs/>
                  <w:lang w:val="en-US"/>
                </w:rPr>
                <w:t>CRPD/C/23/D/41/2017</w:t>
              </w:r>
            </w:hyperlink>
          </w:p>
          <w:p w14:paraId="0F5DC2CA" w14:textId="77777777" w:rsidR="005E2E66" w:rsidRDefault="005E2E66" w:rsidP="00342F13">
            <w:pPr>
              <w:ind w:left="35"/>
              <w:jc w:val="both"/>
              <w:rPr>
                <w:rFonts w:ascii="Arial" w:hAnsi="Arial" w:cs="Arial"/>
                <w:iCs/>
                <w:lang w:val="en-US"/>
              </w:rPr>
            </w:pPr>
          </w:p>
          <w:p w14:paraId="1DADE9C1" w14:textId="4231E652" w:rsidR="0091412B" w:rsidRDefault="0091412B" w:rsidP="00342F13">
            <w:pPr>
              <w:ind w:left="35"/>
              <w:jc w:val="both"/>
              <w:rPr>
                <w:rFonts w:ascii="Arial" w:hAnsi="Arial" w:cs="Arial"/>
                <w:iCs/>
                <w:lang w:val="en-US"/>
              </w:rPr>
            </w:pPr>
            <w:r w:rsidRPr="00342F13">
              <w:rPr>
                <w:rFonts w:ascii="Arial" w:hAnsi="Arial" w:cs="Arial"/>
                <w:iCs/>
                <w:lang w:val="en-US"/>
              </w:rPr>
              <w:t>Communication No.</w:t>
            </w:r>
            <w:r w:rsidRPr="00342F13">
              <w:rPr>
                <w:iCs/>
                <w:lang w:val="en-US"/>
              </w:rPr>
              <w:t xml:space="preserve"> </w:t>
            </w:r>
            <w:r w:rsidRPr="00342F13">
              <w:rPr>
                <w:rFonts w:ascii="Arial" w:hAnsi="Arial" w:cs="Arial"/>
                <w:iCs/>
                <w:lang w:val="en-US"/>
              </w:rPr>
              <w:t>41/2017</w:t>
            </w:r>
          </w:p>
          <w:p w14:paraId="38B63C3E" w14:textId="77777777" w:rsidR="005E2E66" w:rsidRPr="00342F13" w:rsidRDefault="005E2E66" w:rsidP="00342F13">
            <w:pPr>
              <w:ind w:left="35"/>
              <w:jc w:val="both"/>
              <w:rPr>
                <w:rFonts w:ascii="Arial" w:hAnsi="Arial" w:cs="Arial"/>
                <w:iCs/>
                <w:lang w:val="en-US"/>
              </w:rPr>
            </w:pPr>
          </w:p>
          <w:p w14:paraId="33ED56A6" w14:textId="77777777" w:rsidR="0091412B" w:rsidRPr="00342F13" w:rsidRDefault="0091412B" w:rsidP="00342F13">
            <w:pPr>
              <w:ind w:left="35"/>
              <w:jc w:val="both"/>
              <w:rPr>
                <w:rFonts w:ascii="Arial" w:hAnsi="Arial" w:cs="Arial"/>
                <w:iCs/>
                <w:lang w:val="en-US"/>
              </w:rPr>
            </w:pPr>
            <w:r w:rsidRPr="00342F13">
              <w:rPr>
                <w:rFonts w:ascii="Arial" w:hAnsi="Arial" w:cs="Arial"/>
                <w:iCs/>
                <w:lang w:val="en-US"/>
              </w:rPr>
              <w:t>Date of communication (initi</w:t>
            </w:r>
            <w:r w:rsidR="00F72FB0" w:rsidRPr="00342F13">
              <w:rPr>
                <w:rFonts w:ascii="Arial" w:hAnsi="Arial" w:cs="Arial"/>
                <w:iCs/>
                <w:lang w:val="en-US"/>
              </w:rPr>
              <w:t>al submission):</w:t>
            </w:r>
            <w:r w:rsidR="00F72FB0" w:rsidRPr="00342F13">
              <w:rPr>
                <w:rFonts w:ascii="Arial" w:hAnsi="Arial" w:cs="Arial"/>
                <w:iCs/>
                <w:lang w:val="en-US"/>
              </w:rPr>
              <w:tab/>
            </w:r>
            <w:r w:rsidR="00F72FB0" w:rsidRPr="00342F13">
              <w:rPr>
                <w:rFonts w:ascii="Arial" w:hAnsi="Arial" w:cs="Arial"/>
                <w:iCs/>
                <w:lang w:val="en-US"/>
              </w:rPr>
              <w:tab/>
              <w:t>2 May 2017</w:t>
            </w:r>
          </w:p>
          <w:p w14:paraId="3321E75C" w14:textId="77777777" w:rsidR="0091412B" w:rsidRPr="00342F13" w:rsidRDefault="0091412B" w:rsidP="00342F13">
            <w:pPr>
              <w:ind w:left="35"/>
              <w:jc w:val="both"/>
              <w:rPr>
                <w:rFonts w:ascii="Arial" w:hAnsi="Arial" w:cs="Arial"/>
                <w:iCs/>
                <w:lang w:val="en-US"/>
              </w:rPr>
            </w:pPr>
            <w:r w:rsidRPr="00342F13">
              <w:rPr>
                <w:rFonts w:ascii="Arial" w:hAnsi="Arial" w:cs="Arial"/>
                <w:iCs/>
                <w:lang w:val="en-US"/>
              </w:rPr>
              <w:t>Date of adoption of Views:</w:t>
            </w:r>
            <w:r w:rsidRPr="00342F13">
              <w:rPr>
                <w:rFonts w:ascii="Arial" w:hAnsi="Arial" w:cs="Arial"/>
                <w:iCs/>
                <w:lang w:val="en-US"/>
              </w:rPr>
              <w:tab/>
            </w:r>
            <w:r w:rsidRPr="00342F13">
              <w:rPr>
                <w:rFonts w:ascii="Arial" w:hAnsi="Arial" w:cs="Arial"/>
                <w:iCs/>
                <w:lang w:val="en-US"/>
              </w:rPr>
              <w:tab/>
            </w:r>
            <w:r w:rsidRPr="00342F13">
              <w:rPr>
                <w:rFonts w:ascii="Arial" w:hAnsi="Arial" w:cs="Arial"/>
                <w:iCs/>
                <w:lang w:val="en-US"/>
              </w:rPr>
              <w:tab/>
            </w:r>
            <w:r w:rsidRPr="00342F13">
              <w:rPr>
                <w:rFonts w:ascii="Arial" w:hAnsi="Arial" w:cs="Arial"/>
                <w:iCs/>
                <w:lang w:val="en-US"/>
              </w:rPr>
              <w:tab/>
            </w:r>
            <w:r w:rsidR="00F72FB0" w:rsidRPr="00342F13">
              <w:rPr>
                <w:rFonts w:ascii="Arial" w:hAnsi="Arial" w:cs="Arial"/>
                <w:iCs/>
                <w:lang w:val="en-US"/>
              </w:rPr>
              <w:t>28 August 2020</w:t>
            </w:r>
          </w:p>
          <w:p w14:paraId="36B59215" w14:textId="77777777" w:rsidR="00F72FB0" w:rsidRPr="00342F13" w:rsidRDefault="0091412B" w:rsidP="00342F13">
            <w:pPr>
              <w:spacing w:line="276" w:lineRule="auto"/>
              <w:ind w:left="35"/>
              <w:jc w:val="both"/>
              <w:rPr>
                <w:rFonts w:ascii="Arial" w:eastAsia="Calibri" w:hAnsi="Arial" w:cs="Arial"/>
                <w:iCs/>
                <w:lang w:val="en-US"/>
              </w:rPr>
            </w:pPr>
            <w:r w:rsidRPr="00342F13">
              <w:rPr>
                <w:rFonts w:ascii="Arial" w:hAnsi="Arial" w:cs="Arial"/>
                <w:iCs/>
                <w:lang w:val="en-US"/>
              </w:rPr>
              <w:t>Invoked provisions of t</w:t>
            </w:r>
            <w:r w:rsidR="00F72FB0" w:rsidRPr="00342F13">
              <w:rPr>
                <w:rFonts w:ascii="Arial" w:hAnsi="Arial" w:cs="Arial"/>
                <w:iCs/>
                <w:lang w:val="en-US"/>
              </w:rPr>
              <w:t>he Convention:</w:t>
            </w:r>
            <w:r w:rsidR="00F72FB0" w:rsidRPr="00342F13">
              <w:rPr>
                <w:rFonts w:ascii="Arial" w:hAnsi="Arial" w:cs="Arial"/>
                <w:iCs/>
                <w:lang w:val="en-US"/>
              </w:rPr>
              <w:tab/>
              <w:t xml:space="preserve">            </w:t>
            </w:r>
            <w:hyperlink r:id="rId9" w:anchor="4" w:history="1">
              <w:r w:rsidR="00F72FB0" w:rsidRPr="00342F13">
                <w:rPr>
                  <w:rStyle w:val="Hyperlink"/>
                  <w:rFonts w:ascii="Arial" w:eastAsia="Calibri" w:hAnsi="Arial" w:cs="Arial"/>
                  <w:iCs/>
                  <w:lang w:val="en-US"/>
                </w:rPr>
                <w:t>4</w:t>
              </w:r>
            </w:hyperlink>
            <w:r w:rsidR="00F72FB0" w:rsidRPr="00342F13">
              <w:rPr>
                <w:rFonts w:ascii="Arial" w:eastAsia="Calibri" w:hAnsi="Arial" w:cs="Arial"/>
                <w:iCs/>
                <w:lang w:val="en-US"/>
              </w:rPr>
              <w:t xml:space="preserve">, </w:t>
            </w:r>
            <w:hyperlink r:id="rId10" w:anchor="7" w:history="1">
              <w:r w:rsidR="00F72FB0" w:rsidRPr="00342F13">
                <w:rPr>
                  <w:rFonts w:ascii="Arial" w:eastAsia="Calibri" w:hAnsi="Arial" w:cs="Arial"/>
                  <w:iCs/>
                  <w:color w:val="0000FF"/>
                  <w:u w:val="single"/>
                  <w:lang w:val="en-GB"/>
                </w:rPr>
                <w:t>7</w:t>
              </w:r>
            </w:hyperlink>
            <w:r w:rsidR="00F72FB0" w:rsidRPr="00342F13">
              <w:rPr>
                <w:rFonts w:ascii="Arial" w:eastAsia="Calibri" w:hAnsi="Arial" w:cs="Arial"/>
                <w:iCs/>
                <w:lang w:val="en-GB"/>
              </w:rPr>
              <w:t>,</w:t>
            </w:r>
            <w:hyperlink r:id="rId11" w:anchor="23" w:history="1">
              <w:r w:rsidR="00F72FB0" w:rsidRPr="00342F13">
                <w:rPr>
                  <w:rStyle w:val="Hyperlink"/>
                  <w:rFonts w:ascii="Arial" w:eastAsia="Calibri" w:hAnsi="Arial" w:cs="Arial"/>
                  <w:iCs/>
                  <w:lang w:val="en-US"/>
                </w:rPr>
                <w:t>13</w:t>
              </w:r>
            </w:hyperlink>
            <w:r w:rsidR="00F72FB0" w:rsidRPr="00342F13">
              <w:rPr>
                <w:rFonts w:ascii="Arial" w:eastAsia="Calibri" w:hAnsi="Arial" w:cs="Arial"/>
                <w:iCs/>
                <w:lang w:val="en-US"/>
              </w:rPr>
              <w:t xml:space="preserve">, </w:t>
            </w:r>
            <w:hyperlink r:id="rId12" w:anchor="15" w:history="1">
              <w:r w:rsidR="00F72FB0" w:rsidRPr="00342F13">
                <w:rPr>
                  <w:rStyle w:val="Hyperlink"/>
                  <w:rFonts w:ascii="Arial" w:eastAsia="Calibri" w:hAnsi="Arial" w:cs="Arial"/>
                  <w:iCs/>
                  <w:lang w:val="en-US"/>
                </w:rPr>
                <w:t>15</w:t>
              </w:r>
            </w:hyperlink>
            <w:r w:rsidR="00F72FB0" w:rsidRPr="00342F13">
              <w:rPr>
                <w:rFonts w:ascii="Arial" w:eastAsia="Calibri" w:hAnsi="Arial" w:cs="Arial"/>
                <w:iCs/>
                <w:lang w:val="en-US"/>
              </w:rPr>
              <w:t xml:space="preserve">,  </w:t>
            </w:r>
            <w:hyperlink r:id="rId13" w:anchor="17" w:history="1">
              <w:r w:rsidR="00F72FB0" w:rsidRPr="00342F13">
                <w:rPr>
                  <w:rStyle w:val="Hyperlink"/>
                  <w:rFonts w:ascii="Arial" w:eastAsia="Calibri" w:hAnsi="Arial" w:cs="Arial"/>
                  <w:iCs/>
                  <w:lang w:val="en-US"/>
                </w:rPr>
                <w:t>17</w:t>
              </w:r>
            </w:hyperlink>
            <w:r w:rsidR="00F72FB0" w:rsidRPr="00342F13">
              <w:rPr>
                <w:rFonts w:ascii="Arial" w:eastAsia="Calibri" w:hAnsi="Arial" w:cs="Arial"/>
                <w:iCs/>
                <w:lang w:val="en-US"/>
              </w:rPr>
              <w:t xml:space="preserve"> </w:t>
            </w:r>
            <w:hyperlink r:id="rId14" w:anchor="23" w:history="1">
              <w:r w:rsidR="00F72FB0" w:rsidRPr="00342F13">
                <w:rPr>
                  <w:rStyle w:val="Hyperlink"/>
                  <w:rFonts w:ascii="Arial" w:eastAsia="Calibri" w:hAnsi="Arial" w:cs="Arial"/>
                  <w:iCs/>
                  <w:lang w:val="en-US"/>
                </w:rPr>
                <w:t>23</w:t>
              </w:r>
            </w:hyperlink>
            <w:r w:rsidR="00F72FB0" w:rsidRPr="00342F13">
              <w:rPr>
                <w:rFonts w:ascii="Arial" w:eastAsia="Calibri" w:hAnsi="Arial" w:cs="Arial"/>
                <w:iCs/>
                <w:lang w:val="en-US"/>
              </w:rPr>
              <w:t xml:space="preserve">, and </w:t>
            </w:r>
            <w:hyperlink r:id="rId15" w:anchor="24" w:history="1">
              <w:r w:rsidR="00F72FB0" w:rsidRPr="00342F13">
                <w:rPr>
                  <w:rStyle w:val="Hyperlink"/>
                  <w:rFonts w:ascii="Arial" w:eastAsia="Calibri" w:hAnsi="Arial" w:cs="Arial"/>
                  <w:iCs/>
                  <w:lang w:val="en-US"/>
                </w:rPr>
                <w:t>24</w:t>
              </w:r>
            </w:hyperlink>
          </w:p>
          <w:p w14:paraId="3F6CCEE7" w14:textId="77777777" w:rsidR="0091412B" w:rsidRPr="00342F13" w:rsidRDefault="0091412B" w:rsidP="00687598">
            <w:pPr>
              <w:jc w:val="both"/>
              <w:rPr>
                <w:rFonts w:ascii="Arial" w:hAnsi="Arial" w:cs="Arial"/>
                <w:iCs/>
                <w:lang w:val="en-US"/>
              </w:rPr>
            </w:pPr>
            <w:r w:rsidRPr="00342F13">
              <w:rPr>
                <w:rFonts w:ascii="Arial" w:hAnsi="Arial" w:cs="Arial"/>
                <w:iCs/>
                <w:lang w:val="en-US"/>
              </w:rPr>
              <w:t>Provisions o</w:t>
            </w:r>
            <w:r w:rsidR="00F72FB0" w:rsidRPr="00342F13">
              <w:rPr>
                <w:rFonts w:ascii="Arial" w:hAnsi="Arial" w:cs="Arial"/>
                <w:iCs/>
                <w:lang w:val="en-US"/>
              </w:rPr>
              <w:t>f the Optional Protocol:</w:t>
            </w:r>
            <w:r w:rsidR="00F72FB0" w:rsidRPr="00342F13">
              <w:rPr>
                <w:rFonts w:ascii="Arial" w:hAnsi="Arial" w:cs="Arial"/>
                <w:iCs/>
                <w:lang w:val="en-US"/>
              </w:rPr>
              <w:tab/>
            </w:r>
            <w:r w:rsidR="00F72FB0" w:rsidRPr="00342F13">
              <w:rPr>
                <w:rFonts w:ascii="Arial" w:hAnsi="Arial" w:cs="Arial"/>
                <w:iCs/>
                <w:lang w:val="en-US"/>
              </w:rPr>
              <w:tab/>
            </w:r>
            <w:r w:rsidR="00F72FB0" w:rsidRPr="00342F13">
              <w:rPr>
                <w:rFonts w:ascii="Arial" w:hAnsi="Arial" w:cs="Arial"/>
                <w:iCs/>
                <w:lang w:val="en-US"/>
              </w:rPr>
              <w:tab/>
            </w:r>
            <w:hyperlink r:id="rId16" w:anchor="1" w:history="1">
              <w:r w:rsidR="00F72FB0" w:rsidRPr="00342F13">
                <w:rPr>
                  <w:rStyle w:val="Hyperlink"/>
                  <w:rFonts w:ascii="Arial" w:hAnsi="Arial" w:cs="Arial"/>
                  <w:iCs/>
                  <w:lang w:val="en-US"/>
                </w:rPr>
                <w:t>1</w:t>
              </w:r>
            </w:hyperlink>
            <w:r w:rsidR="00F72FB0" w:rsidRPr="00342F13">
              <w:rPr>
                <w:rFonts w:ascii="Arial" w:hAnsi="Arial" w:cs="Arial"/>
                <w:iCs/>
                <w:lang w:val="en-US"/>
              </w:rPr>
              <w:t xml:space="preserve">, </w:t>
            </w:r>
            <w:hyperlink r:id="rId17" w:anchor="1" w:history="1">
              <w:r w:rsidR="00F72FB0" w:rsidRPr="00342F13">
                <w:rPr>
                  <w:rStyle w:val="Hyperlink"/>
                  <w:rFonts w:ascii="Arial" w:hAnsi="Arial" w:cs="Arial"/>
                  <w:iCs/>
                  <w:lang w:val="en-US"/>
                </w:rPr>
                <w:t>2</w:t>
              </w:r>
            </w:hyperlink>
          </w:p>
          <w:p w14:paraId="4C4A5540" w14:textId="77777777" w:rsidR="00F72FB0" w:rsidRPr="00342F13" w:rsidRDefault="0091412B" w:rsidP="00342F13">
            <w:pPr>
              <w:ind w:left="-106"/>
              <w:jc w:val="both"/>
              <w:rPr>
                <w:rFonts w:ascii="Arial" w:hAnsi="Arial" w:cs="Arial"/>
                <w:iCs/>
                <w:lang w:val="en-US"/>
              </w:rPr>
            </w:pPr>
            <w:r w:rsidRPr="00342F13">
              <w:rPr>
                <w:rFonts w:ascii="Arial" w:hAnsi="Arial" w:cs="Arial"/>
                <w:iCs/>
                <w:lang w:val="en-US"/>
              </w:rPr>
              <w:tab/>
            </w:r>
          </w:p>
          <w:tbl>
            <w:tblPr>
              <w:tblStyle w:val="TableGrid"/>
              <w:tblW w:w="8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427"/>
            </w:tblGrid>
            <w:tr w:rsidR="00F72FB0" w:rsidRPr="00342F13" w14:paraId="2E5AF8FB" w14:textId="77777777" w:rsidTr="00767017">
              <w:trPr>
                <w:trHeight w:val="597"/>
              </w:trPr>
              <w:tc>
                <w:tcPr>
                  <w:tcW w:w="1270" w:type="dxa"/>
                </w:tcPr>
                <w:p w14:paraId="5AB55037" w14:textId="77777777" w:rsidR="00F72FB0" w:rsidRPr="00342F13" w:rsidRDefault="00F72FB0" w:rsidP="00342F13">
                  <w:pPr>
                    <w:ind w:left="-106"/>
                    <w:rPr>
                      <w:iCs/>
                      <w:lang w:val="en-US"/>
                    </w:rPr>
                  </w:pPr>
                  <w:r w:rsidRPr="00342F13">
                    <w:rPr>
                      <w:rFonts w:ascii="Arial" w:hAnsi="Arial" w:cs="Arial"/>
                      <w:iCs/>
                      <w:lang w:val="en-US"/>
                    </w:rPr>
                    <w:t>Keywords:</w:t>
                  </w:r>
                </w:p>
              </w:tc>
              <w:tc>
                <w:tcPr>
                  <w:tcW w:w="7427" w:type="dxa"/>
                </w:tcPr>
                <w:p w14:paraId="5915A4AA" w14:textId="2C0D2621" w:rsidR="00342F13" w:rsidRPr="00342F13" w:rsidRDefault="00F72FB0" w:rsidP="00342F13">
                  <w:pPr>
                    <w:ind w:left="-106"/>
                    <w:jc w:val="both"/>
                    <w:rPr>
                      <w:rFonts w:ascii="Arial" w:hAnsi="Arial" w:cs="Arial"/>
                      <w:iCs/>
                      <w:lang w:val="en-US"/>
                    </w:rPr>
                  </w:pPr>
                  <w:r w:rsidRPr="00342F13">
                    <w:rPr>
                      <w:rFonts w:ascii="Arial" w:hAnsi="Arial" w:cs="Arial"/>
                      <w:iCs/>
                      <w:lang w:val="en-US"/>
                    </w:rPr>
                    <w:t>Down syndrome; children with disabilities; right to inclusive education; respect for home and the family; freedom from torture or cruel</w:t>
                  </w:r>
                  <w:r w:rsidR="005E2E66">
                    <w:rPr>
                      <w:rFonts w:ascii="Arial" w:hAnsi="Arial" w:cs="Arial"/>
                      <w:iCs/>
                      <w:lang w:val="en-US"/>
                    </w:rPr>
                    <w:t>.</w:t>
                  </w:r>
                  <w:r w:rsidRPr="00342F13">
                    <w:rPr>
                      <w:rFonts w:ascii="Arial" w:hAnsi="Arial" w:cs="Arial"/>
                      <w:iCs/>
                      <w:lang w:val="en-US"/>
                    </w:rPr>
                    <w:t xml:space="preserve"> </w:t>
                  </w:r>
                </w:p>
              </w:tc>
            </w:tr>
            <w:tr w:rsidR="00F72FB0" w:rsidRPr="00342F13" w14:paraId="4F26F8B4" w14:textId="77777777" w:rsidTr="00767017">
              <w:trPr>
                <w:trHeight w:val="591"/>
              </w:trPr>
              <w:tc>
                <w:tcPr>
                  <w:tcW w:w="1270" w:type="dxa"/>
                </w:tcPr>
                <w:p w14:paraId="730E8C3F" w14:textId="77777777" w:rsidR="00F72FB0" w:rsidRPr="00342F13" w:rsidRDefault="00F72FB0" w:rsidP="00342F13">
                  <w:pPr>
                    <w:ind w:left="-106"/>
                    <w:rPr>
                      <w:rFonts w:ascii="Arial" w:hAnsi="Arial" w:cs="Arial"/>
                      <w:iCs/>
                      <w:lang w:val="en-US"/>
                    </w:rPr>
                  </w:pPr>
                  <w:r w:rsidRPr="00342F13">
                    <w:rPr>
                      <w:rFonts w:ascii="Arial" w:hAnsi="Arial" w:cs="Arial"/>
                      <w:iCs/>
                      <w:lang w:val="en-US"/>
                    </w:rPr>
                    <w:t>Decision:</w:t>
                  </w:r>
                </w:p>
              </w:tc>
              <w:tc>
                <w:tcPr>
                  <w:tcW w:w="7427" w:type="dxa"/>
                </w:tcPr>
                <w:p w14:paraId="3F4D9D9D" w14:textId="72C07D6C" w:rsidR="00F72FB0" w:rsidRDefault="00F72FB0" w:rsidP="00342F13">
                  <w:pPr>
                    <w:ind w:left="-106"/>
                    <w:jc w:val="both"/>
                    <w:rPr>
                      <w:rFonts w:ascii="Arial" w:hAnsi="Arial" w:cs="Arial"/>
                      <w:iCs/>
                      <w:lang w:val="en-US"/>
                    </w:rPr>
                  </w:pPr>
                  <w:r w:rsidRPr="00342F13">
                    <w:rPr>
                      <w:rFonts w:ascii="Arial" w:hAnsi="Arial" w:cs="Arial"/>
                      <w:iCs/>
                      <w:lang w:val="en-US"/>
                    </w:rPr>
                    <w:t xml:space="preserve">The State has failed to fulfil its obligations under articles 7, 15, 17, 23 and 24, read alone and in conjunction with article 4 </w:t>
                  </w:r>
                  <w:r w:rsidR="00767017" w:rsidRPr="00342F13">
                    <w:rPr>
                      <w:rFonts w:ascii="Arial" w:hAnsi="Arial" w:cs="Arial"/>
                      <w:iCs/>
                      <w:lang w:val="en-US"/>
                    </w:rPr>
                    <w:t>of the Convention</w:t>
                  </w:r>
                  <w:r w:rsidR="00B237CC" w:rsidRPr="00342F13">
                    <w:rPr>
                      <w:rFonts w:ascii="Arial" w:hAnsi="Arial" w:cs="Arial"/>
                      <w:iCs/>
                      <w:lang w:val="en-US"/>
                    </w:rPr>
                    <w:t>.</w:t>
                  </w:r>
                </w:p>
                <w:p w14:paraId="10274FA4" w14:textId="25C98705" w:rsidR="00342F13" w:rsidRPr="00342F13" w:rsidRDefault="00342F13" w:rsidP="00342F13">
                  <w:pPr>
                    <w:ind w:left="-106"/>
                    <w:jc w:val="both"/>
                    <w:rPr>
                      <w:rFonts w:ascii="Arial" w:hAnsi="Arial" w:cs="Arial"/>
                      <w:iCs/>
                      <w:lang w:val="en-US"/>
                    </w:rPr>
                  </w:pPr>
                </w:p>
              </w:tc>
            </w:tr>
          </w:tbl>
          <w:p w14:paraId="251FFF16" w14:textId="77777777" w:rsidR="0091412B" w:rsidRPr="002E2521" w:rsidRDefault="0091412B" w:rsidP="00342F13">
            <w:pPr>
              <w:ind w:left="-106"/>
              <w:jc w:val="both"/>
              <w:rPr>
                <w:rFonts w:ascii="Arial" w:hAnsi="Arial" w:cs="Arial"/>
                <w:i/>
                <w:lang w:val="en-US"/>
              </w:rPr>
            </w:pPr>
          </w:p>
        </w:tc>
      </w:tr>
    </w:tbl>
    <w:p w14:paraId="5B776A39" w14:textId="77777777" w:rsidR="00272A5E" w:rsidRPr="00767017" w:rsidRDefault="00767017" w:rsidP="00767017">
      <w:pPr>
        <w:spacing w:after="0" w:line="240" w:lineRule="auto"/>
        <w:rPr>
          <w:rFonts w:ascii="Arial" w:hAnsi="Arial" w:cs="Arial"/>
          <w:lang w:val="en-US"/>
        </w:rPr>
      </w:pPr>
      <w:r w:rsidRPr="00767017">
        <w:rPr>
          <w:rFonts w:ascii="Arial" w:hAnsi="Arial" w:cs="Arial"/>
          <w:lang w:val="en-US"/>
        </w:rPr>
        <w:t xml:space="preserve">Full decision: </w:t>
      </w:r>
      <w:hyperlink r:id="rId18" w:history="1">
        <w:r w:rsidRPr="008F4414">
          <w:rPr>
            <w:rStyle w:val="Hyperlink"/>
            <w:rFonts w:ascii="Arial" w:hAnsi="Arial" w:cs="Arial"/>
            <w:lang w:val="en-US"/>
          </w:rPr>
          <w:t>Arabic</w:t>
        </w:r>
      </w:hyperlink>
      <w:r w:rsidRPr="008F4414">
        <w:rPr>
          <w:rFonts w:ascii="Arial" w:hAnsi="Arial" w:cs="Arial"/>
          <w:lang w:val="en-US"/>
        </w:rPr>
        <w:t xml:space="preserve">, </w:t>
      </w:r>
      <w:hyperlink r:id="rId19" w:history="1">
        <w:r w:rsidRPr="008F4414">
          <w:rPr>
            <w:rStyle w:val="Hyperlink"/>
            <w:rFonts w:ascii="Arial" w:hAnsi="Arial" w:cs="Arial"/>
            <w:lang w:val="en-US"/>
          </w:rPr>
          <w:t>English</w:t>
        </w:r>
      </w:hyperlink>
      <w:r w:rsidRPr="008F4414">
        <w:rPr>
          <w:rFonts w:ascii="Arial" w:hAnsi="Arial" w:cs="Arial"/>
          <w:lang w:val="en-US"/>
        </w:rPr>
        <w:t xml:space="preserve">, </w:t>
      </w:r>
      <w:hyperlink r:id="rId20" w:history="1">
        <w:r w:rsidR="00936212" w:rsidRPr="008F4414">
          <w:rPr>
            <w:rStyle w:val="Hyperlink"/>
            <w:rFonts w:ascii="Arial" w:hAnsi="Arial" w:cs="Arial"/>
            <w:lang w:val="en-US"/>
          </w:rPr>
          <w:t>French</w:t>
        </w:r>
      </w:hyperlink>
      <w:r w:rsidR="00936212" w:rsidRPr="008F4414">
        <w:rPr>
          <w:rFonts w:ascii="Arial" w:hAnsi="Arial" w:cs="Arial"/>
          <w:lang w:val="en-US"/>
        </w:rPr>
        <w:t xml:space="preserve">, </w:t>
      </w:r>
      <w:hyperlink r:id="rId21" w:history="1">
        <w:r w:rsidRPr="008F4414">
          <w:rPr>
            <w:rStyle w:val="Hyperlink"/>
            <w:rFonts w:ascii="Arial" w:hAnsi="Arial" w:cs="Arial"/>
            <w:lang w:val="en-US"/>
          </w:rPr>
          <w:t>Russian</w:t>
        </w:r>
      </w:hyperlink>
      <w:r w:rsidRPr="008F4414">
        <w:rPr>
          <w:rFonts w:ascii="Arial" w:hAnsi="Arial" w:cs="Arial"/>
          <w:lang w:val="en-US"/>
        </w:rPr>
        <w:t xml:space="preserve"> and </w:t>
      </w:r>
      <w:hyperlink r:id="rId22" w:history="1">
        <w:r w:rsidRPr="008F4414">
          <w:rPr>
            <w:rStyle w:val="Hyperlink"/>
            <w:rFonts w:ascii="Arial" w:hAnsi="Arial" w:cs="Arial"/>
            <w:lang w:val="en-US"/>
          </w:rPr>
          <w:t>Spanish</w:t>
        </w:r>
      </w:hyperlink>
    </w:p>
    <w:p w14:paraId="0F32F17D" w14:textId="77777777" w:rsidR="00767017" w:rsidRDefault="00767017" w:rsidP="00605DB9">
      <w:pPr>
        <w:autoSpaceDE w:val="0"/>
        <w:autoSpaceDN w:val="0"/>
        <w:adjustRightInd w:val="0"/>
        <w:spacing w:after="0" w:line="240" w:lineRule="auto"/>
        <w:rPr>
          <w:rFonts w:ascii="Arial" w:eastAsia="Calibri" w:hAnsi="Arial" w:cs="Arial"/>
          <w:b/>
          <w:lang w:val="en-US"/>
        </w:rPr>
      </w:pPr>
    </w:p>
    <w:p w14:paraId="306707A7" w14:textId="77777777" w:rsidR="00605DB9" w:rsidRPr="002E2521" w:rsidRDefault="00605DB9" w:rsidP="00342F13">
      <w:pPr>
        <w:autoSpaceDE w:val="0"/>
        <w:autoSpaceDN w:val="0"/>
        <w:adjustRightInd w:val="0"/>
        <w:spacing w:after="120" w:line="240" w:lineRule="auto"/>
        <w:rPr>
          <w:rFonts w:ascii="Arial" w:eastAsia="Calibri" w:hAnsi="Arial" w:cs="Arial"/>
          <w:b/>
          <w:lang w:val="en-US"/>
        </w:rPr>
      </w:pPr>
      <w:r w:rsidRPr="002E2521">
        <w:rPr>
          <w:rFonts w:ascii="Arial" w:eastAsia="Calibri" w:hAnsi="Arial" w:cs="Arial"/>
          <w:b/>
          <w:lang w:val="en-US"/>
        </w:rPr>
        <w:t>The facts as submitted by the authors</w:t>
      </w:r>
    </w:p>
    <w:p w14:paraId="7B9D50D4" w14:textId="7B57CF81" w:rsidR="00CA2134" w:rsidRPr="00CA2134" w:rsidRDefault="00CA2134" w:rsidP="00342F13">
      <w:pPr>
        <w:pStyle w:val="SingleTxtG"/>
        <w:tabs>
          <w:tab w:val="left" w:pos="8221"/>
        </w:tabs>
        <w:ind w:left="0"/>
        <w:rPr>
          <w:rFonts w:ascii="Arial" w:hAnsi="Arial" w:cs="Arial"/>
          <w:sz w:val="22"/>
          <w:szCs w:val="22"/>
        </w:rPr>
      </w:pPr>
      <w:r w:rsidRPr="00CA2134">
        <w:rPr>
          <w:rFonts w:ascii="Arial" w:hAnsi="Arial" w:cs="Arial"/>
          <w:sz w:val="22"/>
          <w:szCs w:val="22"/>
        </w:rPr>
        <w:t>The author is Rubén Calleja L</w:t>
      </w:r>
      <w:r w:rsidR="003B644F">
        <w:rPr>
          <w:rFonts w:ascii="Arial" w:hAnsi="Arial" w:cs="Arial"/>
          <w:sz w:val="22"/>
          <w:szCs w:val="22"/>
        </w:rPr>
        <w:t>oma</w:t>
      </w:r>
      <w:r w:rsidR="0095459B">
        <w:rPr>
          <w:rFonts w:ascii="Arial" w:hAnsi="Arial" w:cs="Arial"/>
          <w:sz w:val="22"/>
          <w:szCs w:val="22"/>
        </w:rPr>
        <w:t>,</w:t>
      </w:r>
      <w:r w:rsidR="003B644F">
        <w:rPr>
          <w:rFonts w:ascii="Arial" w:hAnsi="Arial" w:cs="Arial"/>
          <w:sz w:val="22"/>
          <w:szCs w:val="22"/>
        </w:rPr>
        <w:t xml:space="preserve"> a Spain national with Down s</w:t>
      </w:r>
      <w:r w:rsidRPr="00CA2134">
        <w:rPr>
          <w:rFonts w:ascii="Arial" w:hAnsi="Arial" w:cs="Arial"/>
          <w:sz w:val="22"/>
          <w:szCs w:val="22"/>
        </w:rPr>
        <w:t xml:space="preserve">yndrome born </w:t>
      </w:r>
      <w:r w:rsidR="0095459B">
        <w:rPr>
          <w:rFonts w:ascii="Arial" w:hAnsi="Arial" w:cs="Arial"/>
          <w:sz w:val="22"/>
          <w:szCs w:val="22"/>
        </w:rPr>
        <w:t xml:space="preserve">on </w:t>
      </w:r>
      <w:r w:rsidRPr="00CA2134">
        <w:rPr>
          <w:rFonts w:ascii="Arial" w:hAnsi="Arial" w:cs="Arial"/>
          <w:sz w:val="22"/>
          <w:szCs w:val="22"/>
        </w:rPr>
        <w:t>25 August 1999</w:t>
      </w:r>
      <w:r w:rsidR="003B644F" w:rsidRPr="003B644F">
        <w:rPr>
          <w:rFonts w:ascii="Arial" w:hAnsi="Arial" w:cs="Arial"/>
          <w:sz w:val="22"/>
          <w:szCs w:val="22"/>
          <w:lang w:val="en-US"/>
        </w:rPr>
        <w:t>,</w:t>
      </w:r>
      <w:r w:rsidRPr="00CA2134">
        <w:rPr>
          <w:rFonts w:ascii="Arial" w:hAnsi="Arial" w:cs="Arial"/>
          <w:sz w:val="22"/>
          <w:szCs w:val="22"/>
        </w:rPr>
        <w:t xml:space="preserve"> represented by his father Alejandro Calleja Lucas. The authors claim that they are the victims of violations by the State of their rights under articles </w:t>
      </w:r>
      <w:hyperlink r:id="rId23" w:anchor="23" w:history="1">
        <w:r w:rsidRPr="0020485C">
          <w:rPr>
            <w:rStyle w:val="Hyperlink"/>
            <w:rFonts w:ascii="Arial" w:hAnsi="Arial" w:cs="Arial"/>
            <w:sz w:val="22"/>
            <w:szCs w:val="22"/>
          </w:rPr>
          <w:t>7</w:t>
        </w:r>
      </w:hyperlink>
      <w:r w:rsidRPr="00CA2134">
        <w:rPr>
          <w:rFonts w:ascii="Arial" w:hAnsi="Arial" w:cs="Arial"/>
          <w:sz w:val="22"/>
          <w:szCs w:val="22"/>
        </w:rPr>
        <w:t xml:space="preserve">, </w:t>
      </w:r>
      <w:hyperlink r:id="rId24" w:anchor="23" w:history="1">
        <w:r w:rsidRPr="0020485C">
          <w:rPr>
            <w:rStyle w:val="Hyperlink"/>
            <w:rFonts w:ascii="Arial" w:hAnsi="Arial" w:cs="Arial"/>
            <w:sz w:val="22"/>
            <w:szCs w:val="22"/>
          </w:rPr>
          <w:t>13</w:t>
        </w:r>
      </w:hyperlink>
      <w:r w:rsidRPr="00CA2134">
        <w:rPr>
          <w:rFonts w:ascii="Arial" w:hAnsi="Arial" w:cs="Arial"/>
          <w:sz w:val="22"/>
          <w:szCs w:val="22"/>
        </w:rPr>
        <w:t xml:space="preserve">, </w:t>
      </w:r>
      <w:hyperlink r:id="rId25" w:anchor="23" w:history="1">
        <w:r w:rsidRPr="0020485C">
          <w:rPr>
            <w:rStyle w:val="Hyperlink"/>
            <w:rFonts w:ascii="Arial" w:hAnsi="Arial" w:cs="Arial"/>
            <w:sz w:val="22"/>
            <w:szCs w:val="22"/>
          </w:rPr>
          <w:t>15</w:t>
        </w:r>
      </w:hyperlink>
      <w:r w:rsidRPr="00CA2134">
        <w:rPr>
          <w:rFonts w:ascii="Arial" w:hAnsi="Arial" w:cs="Arial"/>
          <w:sz w:val="22"/>
          <w:szCs w:val="22"/>
        </w:rPr>
        <w:t xml:space="preserve">, </w:t>
      </w:r>
      <w:hyperlink r:id="rId26" w:anchor="23" w:history="1">
        <w:r w:rsidRPr="0020485C">
          <w:rPr>
            <w:rStyle w:val="Hyperlink"/>
            <w:rFonts w:ascii="Arial" w:hAnsi="Arial" w:cs="Arial"/>
            <w:sz w:val="22"/>
            <w:szCs w:val="22"/>
          </w:rPr>
          <w:t>17</w:t>
        </w:r>
      </w:hyperlink>
      <w:r w:rsidRPr="00CA2134">
        <w:rPr>
          <w:rFonts w:ascii="Arial" w:hAnsi="Arial" w:cs="Arial"/>
          <w:sz w:val="22"/>
          <w:szCs w:val="22"/>
        </w:rPr>
        <w:t xml:space="preserve">, </w:t>
      </w:r>
      <w:hyperlink r:id="rId27" w:anchor="23" w:history="1">
        <w:r w:rsidRPr="0020485C">
          <w:rPr>
            <w:rStyle w:val="Hyperlink"/>
            <w:rFonts w:ascii="Arial" w:hAnsi="Arial" w:cs="Arial"/>
            <w:sz w:val="22"/>
            <w:szCs w:val="22"/>
          </w:rPr>
          <w:t>23</w:t>
        </w:r>
      </w:hyperlink>
      <w:r w:rsidRPr="00CA2134">
        <w:rPr>
          <w:rFonts w:ascii="Arial" w:hAnsi="Arial" w:cs="Arial"/>
          <w:sz w:val="22"/>
          <w:szCs w:val="22"/>
        </w:rPr>
        <w:t xml:space="preserve"> and </w:t>
      </w:r>
      <w:hyperlink r:id="rId28" w:anchor="23" w:history="1">
        <w:r w:rsidRPr="0020485C">
          <w:rPr>
            <w:rStyle w:val="Hyperlink"/>
            <w:rFonts w:ascii="Arial" w:hAnsi="Arial" w:cs="Arial"/>
            <w:sz w:val="22"/>
            <w:szCs w:val="22"/>
          </w:rPr>
          <w:t>24</w:t>
        </w:r>
      </w:hyperlink>
      <w:r w:rsidRPr="00CA2134">
        <w:rPr>
          <w:rFonts w:ascii="Arial" w:hAnsi="Arial" w:cs="Arial"/>
          <w:sz w:val="22"/>
          <w:szCs w:val="22"/>
        </w:rPr>
        <w:t xml:space="preserve">, read in conjunction with article </w:t>
      </w:r>
      <w:hyperlink r:id="rId29" w:anchor="23" w:history="1">
        <w:r w:rsidRPr="0020485C">
          <w:rPr>
            <w:rStyle w:val="Hyperlink"/>
            <w:rFonts w:ascii="Arial" w:hAnsi="Arial" w:cs="Arial"/>
            <w:sz w:val="22"/>
            <w:szCs w:val="22"/>
          </w:rPr>
          <w:t>4</w:t>
        </w:r>
      </w:hyperlink>
      <w:r w:rsidRPr="00CA2134">
        <w:rPr>
          <w:rFonts w:ascii="Arial" w:hAnsi="Arial" w:cs="Arial"/>
          <w:sz w:val="22"/>
          <w:szCs w:val="22"/>
        </w:rPr>
        <w:t>, of the Convention.</w:t>
      </w:r>
    </w:p>
    <w:p w14:paraId="02DFAF06" w14:textId="421712B1" w:rsidR="00CA2134" w:rsidRPr="00CA2134" w:rsidRDefault="00CA2134" w:rsidP="00342F13">
      <w:pPr>
        <w:pStyle w:val="SingleTxtG"/>
        <w:tabs>
          <w:tab w:val="left" w:pos="8221"/>
        </w:tabs>
        <w:ind w:left="0"/>
        <w:rPr>
          <w:rFonts w:ascii="Arial" w:hAnsi="Arial" w:cs="Arial"/>
          <w:sz w:val="22"/>
          <w:szCs w:val="22"/>
        </w:rPr>
      </w:pPr>
      <w:r w:rsidRPr="00CA2134">
        <w:rPr>
          <w:rFonts w:ascii="Arial" w:hAnsi="Arial" w:cs="Arial"/>
          <w:sz w:val="22"/>
          <w:szCs w:val="22"/>
        </w:rPr>
        <w:t>Rubén, then aged 10, entered grade 4 of compulsory primary education at the mainstream public school where he had been studying with the support of a special education assistant. His integration at the school had been going well. From the outset of grade 4, a teacher X subjected Ruben to discrimination, neglect and abuse based on disability.</w:t>
      </w:r>
      <w:r w:rsidR="00646FC8">
        <w:rPr>
          <w:rFonts w:ascii="Arial" w:hAnsi="Arial" w:cs="Arial"/>
          <w:sz w:val="22"/>
          <w:szCs w:val="22"/>
        </w:rPr>
        <w:t xml:space="preserve"> </w:t>
      </w:r>
      <w:r w:rsidRPr="00CA2134">
        <w:rPr>
          <w:rFonts w:ascii="Arial" w:hAnsi="Arial" w:cs="Arial"/>
          <w:sz w:val="22"/>
          <w:szCs w:val="22"/>
        </w:rPr>
        <w:t>In September 2010, Rubén entered grade 5 of compulsory primary education with teacher Z. From the beginning of term up until 28 October 2010, Rubén received no support from the special education assistant because teacher Z</w:t>
      </w:r>
      <w:r>
        <w:rPr>
          <w:rFonts w:ascii="Arial" w:hAnsi="Arial" w:cs="Arial"/>
          <w:sz w:val="22"/>
          <w:szCs w:val="22"/>
        </w:rPr>
        <w:t xml:space="preserve"> did not consider it necessary.</w:t>
      </w:r>
      <w:r w:rsidR="00DE4BBE">
        <w:rPr>
          <w:rFonts w:ascii="Arial" w:hAnsi="Arial" w:cs="Arial"/>
          <w:sz w:val="22"/>
          <w:szCs w:val="22"/>
        </w:rPr>
        <w:t xml:space="preserve"> </w:t>
      </w:r>
      <w:r w:rsidRPr="00CA2134">
        <w:rPr>
          <w:rFonts w:ascii="Arial" w:hAnsi="Arial" w:cs="Arial"/>
          <w:sz w:val="22"/>
          <w:szCs w:val="22"/>
        </w:rPr>
        <w:t xml:space="preserve">Although the special education assistance was resumed after complaints of Rubén`s parents, the neglect and abuse by teaching staff continued. Despite the complaints submitted by Rubén’s parents to the Provincial Directorate of Education, </w:t>
      </w:r>
      <w:r w:rsidR="00687598">
        <w:rPr>
          <w:rFonts w:ascii="Arial" w:hAnsi="Arial" w:cs="Arial"/>
          <w:sz w:val="22"/>
          <w:szCs w:val="22"/>
        </w:rPr>
        <w:t xml:space="preserve">the </w:t>
      </w:r>
      <w:r w:rsidRPr="00CA2134">
        <w:rPr>
          <w:rFonts w:ascii="Arial" w:hAnsi="Arial" w:cs="Arial"/>
          <w:sz w:val="22"/>
          <w:szCs w:val="22"/>
        </w:rPr>
        <w:t xml:space="preserve">school’s management failed to take any measures to resolve the situation. In 2010 and 2011, schooling reports recommend </w:t>
      </w:r>
      <w:r w:rsidR="0063693B" w:rsidRPr="00CA2134">
        <w:rPr>
          <w:rFonts w:ascii="Arial" w:hAnsi="Arial" w:cs="Arial"/>
          <w:sz w:val="22"/>
          <w:szCs w:val="22"/>
        </w:rPr>
        <w:t>placing</w:t>
      </w:r>
      <w:r w:rsidRPr="00CA2134">
        <w:rPr>
          <w:rFonts w:ascii="Arial" w:hAnsi="Arial" w:cs="Arial"/>
          <w:sz w:val="22"/>
          <w:szCs w:val="22"/>
        </w:rPr>
        <w:t xml:space="preserve"> Ruben in a special education centre based on “psychotic outbreaks” and a general developmental delay “associated with Down syndrome”. In author`s opinion, the report’s conclusion is invalid </w:t>
      </w:r>
      <w:r w:rsidR="00687598">
        <w:rPr>
          <w:rFonts w:ascii="Arial" w:hAnsi="Arial" w:cs="Arial"/>
          <w:sz w:val="22"/>
          <w:szCs w:val="22"/>
        </w:rPr>
        <w:t>for not</w:t>
      </w:r>
      <w:r w:rsidRPr="00CA2134">
        <w:rPr>
          <w:rFonts w:ascii="Arial" w:hAnsi="Arial" w:cs="Arial"/>
          <w:sz w:val="22"/>
          <w:szCs w:val="22"/>
        </w:rPr>
        <w:t xml:space="preserve"> tak</w:t>
      </w:r>
      <w:r w:rsidR="00687598">
        <w:rPr>
          <w:rFonts w:ascii="Arial" w:hAnsi="Arial" w:cs="Arial"/>
          <w:sz w:val="22"/>
          <w:szCs w:val="22"/>
        </w:rPr>
        <w:t>ing</w:t>
      </w:r>
      <w:r w:rsidRPr="00CA2134">
        <w:rPr>
          <w:rFonts w:ascii="Arial" w:hAnsi="Arial" w:cs="Arial"/>
          <w:sz w:val="22"/>
          <w:szCs w:val="22"/>
        </w:rPr>
        <w:t xml:space="preserve"> into account the discrimination and abuse against Rubén. On 6 May 2011, Rubén’s parents reported the abuse and discrimination against Rubén during the 2009/10 and 2010/11 school years to the León juvenile prosecution service. </w:t>
      </w:r>
    </w:p>
    <w:p w14:paraId="5A4A1CB2" w14:textId="77777777" w:rsidR="00CA2134" w:rsidRDefault="00CA2134" w:rsidP="00342F13">
      <w:pPr>
        <w:pStyle w:val="SingleTxtG"/>
        <w:tabs>
          <w:tab w:val="left" w:pos="8221"/>
        </w:tabs>
        <w:ind w:left="0"/>
        <w:rPr>
          <w:rFonts w:ascii="Arial" w:hAnsi="Arial" w:cs="Arial"/>
          <w:sz w:val="22"/>
          <w:szCs w:val="22"/>
        </w:rPr>
      </w:pPr>
      <w:r w:rsidRPr="00CA2134">
        <w:rPr>
          <w:rFonts w:ascii="Arial" w:hAnsi="Arial" w:cs="Arial"/>
          <w:sz w:val="22"/>
          <w:szCs w:val="22"/>
        </w:rPr>
        <w:t xml:space="preserve">On 20 June 2011, the Provincial Directorate of Education authorized Rubén’s enrolment in the special education centre. </w:t>
      </w:r>
      <w:r w:rsidR="00670F8A">
        <w:rPr>
          <w:rFonts w:ascii="Arial" w:hAnsi="Arial" w:cs="Arial"/>
          <w:sz w:val="22"/>
          <w:szCs w:val="22"/>
          <w:lang w:val="en-US"/>
        </w:rPr>
        <w:t xml:space="preserve"> </w:t>
      </w:r>
      <w:r w:rsidRPr="00CA2134">
        <w:rPr>
          <w:rFonts w:ascii="Arial" w:hAnsi="Arial" w:cs="Arial"/>
          <w:sz w:val="22"/>
          <w:szCs w:val="22"/>
        </w:rPr>
        <w:t xml:space="preserve">On 12 May 2014, the León provincial prosecution service submitted a report to Court of Investigation No. 3 of León regarding Rubén’s parents’ decision not to take him to the special education centre, where he was enrolled. The prosecution service claimed that their actions constituted the criminal offence of neglect. On 20 April 2015, Criminal Court No. 1 of León acquitted Rubén’s parents of the charges of neglect. </w:t>
      </w:r>
    </w:p>
    <w:p w14:paraId="683BB640" w14:textId="61E9BC47" w:rsidR="00244AC7" w:rsidRPr="00244AC7" w:rsidRDefault="00244AC7" w:rsidP="00342F13">
      <w:pPr>
        <w:pStyle w:val="SingleTxtG"/>
        <w:tabs>
          <w:tab w:val="left" w:pos="8221"/>
        </w:tabs>
        <w:ind w:left="0"/>
        <w:rPr>
          <w:rFonts w:ascii="Arial" w:hAnsi="Arial" w:cs="Arial"/>
          <w:sz w:val="22"/>
          <w:szCs w:val="22"/>
          <w:lang w:val="en-US"/>
        </w:rPr>
      </w:pPr>
      <w:r w:rsidRPr="00244AC7">
        <w:rPr>
          <w:rFonts w:ascii="Arial" w:hAnsi="Arial" w:cs="Arial"/>
          <w:sz w:val="22"/>
          <w:szCs w:val="22"/>
          <w:lang w:val="en-US"/>
        </w:rPr>
        <w:t>The authors argue that they have exhausted all</w:t>
      </w:r>
      <w:r w:rsidR="00E31721">
        <w:rPr>
          <w:rFonts w:ascii="Arial" w:hAnsi="Arial" w:cs="Arial"/>
          <w:sz w:val="22"/>
          <w:szCs w:val="22"/>
          <w:lang w:val="en-US"/>
        </w:rPr>
        <w:t xml:space="preserve"> effective</w:t>
      </w:r>
      <w:r w:rsidRPr="00244AC7">
        <w:rPr>
          <w:rFonts w:ascii="Arial" w:hAnsi="Arial" w:cs="Arial"/>
          <w:sz w:val="22"/>
          <w:szCs w:val="22"/>
          <w:lang w:val="en-US"/>
        </w:rPr>
        <w:t xml:space="preserve"> domestic remedies to address the violations of Rubén’s rights. On 22 March 2013, the High Court of Justice of Castile and León rejected </w:t>
      </w:r>
      <w:r w:rsidR="00687598">
        <w:rPr>
          <w:rFonts w:ascii="Arial" w:hAnsi="Arial" w:cs="Arial"/>
          <w:sz w:val="22"/>
          <w:szCs w:val="22"/>
          <w:lang w:val="en-US"/>
        </w:rPr>
        <w:t xml:space="preserve">the </w:t>
      </w:r>
      <w:r w:rsidRPr="00244AC7">
        <w:rPr>
          <w:rFonts w:ascii="Arial" w:hAnsi="Arial" w:cs="Arial"/>
          <w:sz w:val="22"/>
          <w:szCs w:val="22"/>
          <w:lang w:val="en-US"/>
        </w:rPr>
        <w:t>parent`s requirements to fulfill Rubén’s right to be educated in a mainstream school.</w:t>
      </w:r>
    </w:p>
    <w:p w14:paraId="55CBA112" w14:textId="77777777" w:rsidR="004864F2" w:rsidRPr="002E2521" w:rsidRDefault="004864F2" w:rsidP="00342F13">
      <w:pPr>
        <w:spacing w:after="120" w:line="240" w:lineRule="auto"/>
        <w:rPr>
          <w:rFonts w:ascii="Arial" w:eastAsia="Calibri" w:hAnsi="Arial" w:cs="Arial"/>
          <w:b/>
          <w:bCs/>
          <w:color w:val="000000"/>
          <w:lang w:val="en-GB"/>
        </w:rPr>
      </w:pPr>
      <w:r w:rsidRPr="004864F2">
        <w:rPr>
          <w:rFonts w:ascii="Arial" w:eastAsia="Calibri" w:hAnsi="Arial" w:cs="Arial"/>
          <w:b/>
          <w:bCs/>
          <w:color w:val="000000"/>
          <w:lang w:val="en-GB"/>
        </w:rPr>
        <w:t>The complaint submitted to the Committee</w:t>
      </w:r>
    </w:p>
    <w:p w14:paraId="7FEF17FC" w14:textId="5EE8EA13" w:rsidR="00A05E0C" w:rsidRPr="002E2521" w:rsidRDefault="004864F2" w:rsidP="00342F13">
      <w:pPr>
        <w:pStyle w:val="SingleTxtG"/>
        <w:tabs>
          <w:tab w:val="left" w:pos="7088"/>
          <w:tab w:val="left" w:pos="8221"/>
        </w:tabs>
        <w:ind w:left="0"/>
        <w:rPr>
          <w:rFonts w:ascii="Arial" w:hAnsi="Arial" w:cs="Arial"/>
          <w:sz w:val="22"/>
          <w:szCs w:val="22"/>
        </w:rPr>
      </w:pPr>
      <w:r w:rsidRPr="004864F2">
        <w:rPr>
          <w:rFonts w:ascii="Arial" w:hAnsi="Arial" w:cs="Arial"/>
          <w:sz w:val="22"/>
          <w:szCs w:val="22"/>
        </w:rPr>
        <w:t xml:space="preserve">The author claims that the State violated its </w:t>
      </w:r>
      <w:r w:rsidRPr="004864F2">
        <w:rPr>
          <w:rFonts w:ascii="Arial" w:hAnsi="Arial" w:cs="Arial"/>
          <w:sz w:val="22"/>
          <w:szCs w:val="22"/>
          <w:u w:val="single"/>
        </w:rPr>
        <w:t>obligations under article</w:t>
      </w:r>
      <w:r w:rsidR="003A4853" w:rsidRPr="002E2521">
        <w:rPr>
          <w:rFonts w:ascii="Arial" w:hAnsi="Arial" w:cs="Arial"/>
          <w:sz w:val="22"/>
          <w:szCs w:val="22"/>
          <w:u w:val="single"/>
        </w:rPr>
        <w:t>s</w:t>
      </w:r>
      <w:r w:rsidRPr="004864F2">
        <w:rPr>
          <w:rFonts w:ascii="Arial" w:hAnsi="Arial" w:cs="Arial"/>
          <w:sz w:val="22"/>
          <w:szCs w:val="22"/>
          <w:u w:val="single"/>
        </w:rPr>
        <w:t xml:space="preserve"> </w:t>
      </w:r>
      <w:r w:rsidR="00903641">
        <w:rPr>
          <w:rFonts w:ascii="Arial" w:hAnsi="Arial" w:cs="Arial"/>
          <w:sz w:val="22"/>
          <w:szCs w:val="22"/>
          <w:u w:val="single"/>
        </w:rPr>
        <w:t xml:space="preserve">4, </w:t>
      </w:r>
      <w:r w:rsidR="003A4853" w:rsidRPr="002E2521">
        <w:rPr>
          <w:rFonts w:ascii="Arial" w:hAnsi="Arial" w:cs="Arial"/>
          <w:sz w:val="22"/>
          <w:szCs w:val="22"/>
          <w:u w:val="single"/>
        </w:rPr>
        <w:t>7, 13, 15, 17, 23 and 24</w:t>
      </w:r>
      <w:r w:rsidR="003A4853" w:rsidRPr="002E2521">
        <w:rPr>
          <w:rFonts w:ascii="Arial" w:hAnsi="Arial" w:cs="Arial"/>
          <w:sz w:val="22"/>
          <w:szCs w:val="22"/>
        </w:rPr>
        <w:t xml:space="preserve">, </w:t>
      </w:r>
      <w:r w:rsidR="00A05E0C" w:rsidRPr="002E2521">
        <w:rPr>
          <w:rFonts w:ascii="Arial" w:hAnsi="Arial" w:cs="Arial"/>
          <w:sz w:val="22"/>
          <w:szCs w:val="22"/>
        </w:rPr>
        <w:t>of the CRPD.</w:t>
      </w:r>
    </w:p>
    <w:p w14:paraId="127826B2" w14:textId="1CAAA389" w:rsidR="00231994" w:rsidRPr="00DE4BBE" w:rsidRDefault="003A4853" w:rsidP="00342F13">
      <w:pPr>
        <w:pStyle w:val="SingleTxtG"/>
        <w:tabs>
          <w:tab w:val="left" w:pos="7088"/>
          <w:tab w:val="left" w:pos="8221"/>
        </w:tabs>
        <w:ind w:left="0"/>
        <w:rPr>
          <w:rFonts w:ascii="Arial" w:hAnsi="Arial" w:cs="Arial"/>
          <w:sz w:val="22"/>
          <w:szCs w:val="22"/>
        </w:rPr>
      </w:pPr>
      <w:r w:rsidRPr="00524314">
        <w:rPr>
          <w:rFonts w:ascii="Arial" w:hAnsi="Arial" w:cs="Arial"/>
          <w:iCs/>
          <w:sz w:val="22"/>
          <w:szCs w:val="22"/>
          <w:u w:val="single"/>
        </w:rPr>
        <w:lastRenderedPageBreak/>
        <w:t>Regarding article 24</w:t>
      </w:r>
      <w:r w:rsidRPr="00524314">
        <w:rPr>
          <w:rFonts w:ascii="Arial" w:hAnsi="Arial" w:cs="Arial"/>
          <w:iCs/>
          <w:sz w:val="22"/>
          <w:szCs w:val="22"/>
        </w:rPr>
        <w:t>,</w:t>
      </w:r>
      <w:r w:rsidR="00231994" w:rsidRPr="00B25C4E">
        <w:rPr>
          <w:rFonts w:ascii="Arial" w:hAnsi="Arial" w:cs="Arial"/>
          <w:i/>
          <w:sz w:val="22"/>
          <w:szCs w:val="22"/>
        </w:rPr>
        <w:t xml:space="preserve"> </w:t>
      </w:r>
      <w:r w:rsidR="00231994" w:rsidRPr="00DE4BBE">
        <w:rPr>
          <w:rFonts w:ascii="Arial" w:hAnsi="Arial" w:cs="Arial"/>
          <w:sz w:val="22"/>
          <w:szCs w:val="22"/>
        </w:rPr>
        <w:t>they argue that the admi</w:t>
      </w:r>
      <w:r w:rsidR="00AA0441" w:rsidRPr="00DE4BBE">
        <w:rPr>
          <w:rFonts w:ascii="Arial" w:hAnsi="Arial" w:cs="Arial"/>
          <w:sz w:val="22"/>
          <w:szCs w:val="22"/>
        </w:rPr>
        <w:t>nistrative decision to enrol Ruben</w:t>
      </w:r>
      <w:r w:rsidR="00231994" w:rsidRPr="00DE4BBE">
        <w:rPr>
          <w:rFonts w:ascii="Arial" w:hAnsi="Arial" w:cs="Arial"/>
          <w:sz w:val="22"/>
          <w:szCs w:val="22"/>
        </w:rPr>
        <w:t xml:space="preserve"> in the spec</w:t>
      </w:r>
      <w:r w:rsidR="00AA0441" w:rsidRPr="00DE4BBE">
        <w:rPr>
          <w:rFonts w:ascii="Arial" w:hAnsi="Arial" w:cs="Arial"/>
          <w:sz w:val="22"/>
          <w:szCs w:val="22"/>
        </w:rPr>
        <w:t>ial education centre leads to</w:t>
      </w:r>
      <w:r w:rsidR="00231994" w:rsidRPr="00DE4BBE">
        <w:rPr>
          <w:rFonts w:ascii="Arial" w:hAnsi="Arial" w:cs="Arial"/>
          <w:sz w:val="22"/>
          <w:szCs w:val="22"/>
        </w:rPr>
        <w:t xml:space="preserve"> a violation of his right to inclusive education. They claim that the courts of the State dismissed their request on the basis of the guidance team’s reports, which were prepared in close cooperation with and at the behest of the teachers who subjected Rubén to rejection, discrimination, neglect and abuse, with no respect for his rights or dignity. They also claim that the</w:t>
      </w:r>
      <w:r w:rsidR="00524314">
        <w:rPr>
          <w:rFonts w:ascii="Arial" w:hAnsi="Arial" w:cs="Arial"/>
          <w:sz w:val="22"/>
          <w:szCs w:val="22"/>
        </w:rPr>
        <w:t>ir</w:t>
      </w:r>
      <w:r w:rsidR="00231994" w:rsidRPr="00DE4BBE">
        <w:rPr>
          <w:rFonts w:ascii="Arial" w:hAnsi="Arial" w:cs="Arial"/>
          <w:sz w:val="22"/>
          <w:szCs w:val="22"/>
        </w:rPr>
        <w:t xml:space="preserve"> right </w:t>
      </w:r>
      <w:r w:rsidR="00524314">
        <w:rPr>
          <w:rFonts w:ascii="Arial" w:hAnsi="Arial" w:cs="Arial"/>
          <w:sz w:val="22"/>
          <w:szCs w:val="22"/>
        </w:rPr>
        <w:t>as</w:t>
      </w:r>
      <w:r w:rsidR="00231994" w:rsidRPr="00DE4BBE">
        <w:rPr>
          <w:rFonts w:ascii="Arial" w:hAnsi="Arial" w:cs="Arial"/>
          <w:sz w:val="22"/>
          <w:szCs w:val="22"/>
        </w:rPr>
        <w:t xml:space="preserve"> parents to be an active and respected</w:t>
      </w:r>
      <w:r w:rsidR="00524314">
        <w:rPr>
          <w:rFonts w:ascii="Arial" w:hAnsi="Arial" w:cs="Arial"/>
          <w:sz w:val="22"/>
          <w:szCs w:val="22"/>
        </w:rPr>
        <w:t xml:space="preserve"> party</w:t>
      </w:r>
      <w:r w:rsidR="00231994" w:rsidRPr="00DE4BBE">
        <w:rPr>
          <w:rFonts w:ascii="Arial" w:hAnsi="Arial" w:cs="Arial"/>
          <w:sz w:val="22"/>
          <w:szCs w:val="22"/>
        </w:rPr>
        <w:t xml:space="preserve"> to the process was violated.</w:t>
      </w:r>
    </w:p>
    <w:p w14:paraId="26712FCA" w14:textId="2F80F870" w:rsidR="00C254D8" w:rsidRPr="00DE4BBE" w:rsidRDefault="00AA0441" w:rsidP="00342F13">
      <w:pPr>
        <w:pStyle w:val="SingleTxtG"/>
        <w:tabs>
          <w:tab w:val="left" w:pos="7088"/>
          <w:tab w:val="left" w:pos="8221"/>
        </w:tabs>
        <w:ind w:left="0"/>
        <w:rPr>
          <w:rFonts w:ascii="Arial" w:hAnsi="Arial" w:cs="Arial"/>
          <w:sz w:val="22"/>
          <w:szCs w:val="22"/>
        </w:rPr>
      </w:pPr>
      <w:r w:rsidRPr="000A2394">
        <w:rPr>
          <w:rFonts w:ascii="Arial" w:hAnsi="Arial" w:cs="Arial"/>
          <w:iCs/>
          <w:sz w:val="22"/>
          <w:szCs w:val="22"/>
          <w:u w:val="single"/>
        </w:rPr>
        <w:t>Regarding article 23,</w:t>
      </w:r>
      <w:r w:rsidRPr="00B25C4E">
        <w:rPr>
          <w:rFonts w:ascii="Arial" w:hAnsi="Arial" w:cs="Arial"/>
          <w:i/>
          <w:sz w:val="22"/>
          <w:szCs w:val="22"/>
        </w:rPr>
        <w:t xml:space="preserve"> </w:t>
      </w:r>
      <w:r w:rsidRPr="00DE4BBE">
        <w:rPr>
          <w:rFonts w:ascii="Arial" w:hAnsi="Arial" w:cs="Arial"/>
          <w:sz w:val="22"/>
          <w:szCs w:val="22"/>
        </w:rPr>
        <w:t>the authors</w:t>
      </w:r>
      <w:r w:rsidR="0088308C" w:rsidRPr="00DE4BBE">
        <w:rPr>
          <w:rFonts w:ascii="Arial" w:hAnsi="Arial" w:cs="Arial"/>
          <w:sz w:val="22"/>
          <w:szCs w:val="22"/>
        </w:rPr>
        <w:t xml:space="preserve"> </w:t>
      </w:r>
      <w:r w:rsidRPr="00DE4BBE">
        <w:rPr>
          <w:rFonts w:ascii="Arial" w:hAnsi="Arial" w:cs="Arial"/>
          <w:sz w:val="22"/>
          <w:szCs w:val="22"/>
        </w:rPr>
        <w:t>argue</w:t>
      </w:r>
      <w:r w:rsidR="0088308C" w:rsidRPr="00DE4BBE">
        <w:rPr>
          <w:rFonts w:ascii="Arial" w:hAnsi="Arial" w:cs="Arial"/>
          <w:sz w:val="22"/>
          <w:szCs w:val="22"/>
        </w:rPr>
        <w:t xml:space="preserve"> that</w:t>
      </w:r>
      <w:r w:rsidRPr="00DE4BBE">
        <w:rPr>
          <w:rFonts w:ascii="Arial" w:hAnsi="Arial" w:cs="Arial"/>
          <w:sz w:val="22"/>
          <w:szCs w:val="22"/>
        </w:rPr>
        <w:t xml:space="preserve"> </w:t>
      </w:r>
      <w:r w:rsidR="00C254D8" w:rsidRPr="00DE4BBE">
        <w:rPr>
          <w:rFonts w:ascii="Arial" w:hAnsi="Arial" w:cs="Arial"/>
          <w:sz w:val="22"/>
          <w:szCs w:val="22"/>
        </w:rPr>
        <w:t>their right to family life was violated, since the decisions of the State ’s authorities implied Rubén’s internment and separation from his parents. Besides, the accusation of neglect made by the León provincial prosecution service against Rubén’s parents could have led to the loss by Rubén’s parents of their custodial authority.</w:t>
      </w:r>
    </w:p>
    <w:p w14:paraId="5F4329E7" w14:textId="434127F7" w:rsidR="00C254D8" w:rsidRPr="00DE4BBE" w:rsidRDefault="00C254D8" w:rsidP="00342F13">
      <w:pPr>
        <w:pStyle w:val="SingleTxtG"/>
        <w:tabs>
          <w:tab w:val="left" w:pos="7088"/>
          <w:tab w:val="left" w:pos="8221"/>
        </w:tabs>
        <w:ind w:left="0"/>
        <w:rPr>
          <w:rFonts w:ascii="Arial" w:hAnsi="Arial" w:cs="Arial"/>
          <w:sz w:val="22"/>
          <w:szCs w:val="22"/>
        </w:rPr>
      </w:pPr>
      <w:r w:rsidRPr="00524314">
        <w:rPr>
          <w:rFonts w:ascii="Arial" w:hAnsi="Arial" w:cs="Arial"/>
          <w:iCs/>
          <w:sz w:val="22"/>
          <w:szCs w:val="22"/>
          <w:u w:val="single"/>
        </w:rPr>
        <w:t>Regarding article 7</w:t>
      </w:r>
      <w:r w:rsidRPr="00524314">
        <w:rPr>
          <w:rFonts w:ascii="Arial" w:hAnsi="Arial" w:cs="Arial"/>
          <w:iCs/>
          <w:sz w:val="22"/>
          <w:szCs w:val="22"/>
        </w:rPr>
        <w:t>,</w:t>
      </w:r>
      <w:r w:rsidRPr="002E2521">
        <w:rPr>
          <w:sz w:val="22"/>
          <w:szCs w:val="22"/>
        </w:rPr>
        <w:t xml:space="preserve"> </w:t>
      </w:r>
      <w:r w:rsidRPr="00DE4BBE">
        <w:rPr>
          <w:rFonts w:ascii="Arial" w:hAnsi="Arial" w:cs="Arial"/>
          <w:sz w:val="22"/>
          <w:szCs w:val="22"/>
        </w:rPr>
        <w:t>they argue</w:t>
      </w:r>
      <w:r w:rsidR="0088308C" w:rsidRPr="00DE4BBE">
        <w:rPr>
          <w:rFonts w:ascii="Arial" w:hAnsi="Arial" w:cs="Arial"/>
          <w:sz w:val="22"/>
          <w:szCs w:val="22"/>
        </w:rPr>
        <w:t xml:space="preserve"> that</w:t>
      </w:r>
      <w:r w:rsidRPr="00DE4BBE">
        <w:rPr>
          <w:rFonts w:ascii="Arial" w:hAnsi="Arial" w:cs="Arial"/>
          <w:sz w:val="22"/>
          <w:szCs w:val="22"/>
        </w:rPr>
        <w:t xml:space="preserve"> the State has not taken the necessary measures to ensure his full enjoyment of all human rights on an equal basis with other children.</w:t>
      </w:r>
    </w:p>
    <w:p w14:paraId="2EAB74BC" w14:textId="21D55AB1" w:rsidR="0088308C" w:rsidRPr="00DE4BBE" w:rsidRDefault="0088308C" w:rsidP="00342F13">
      <w:pPr>
        <w:pStyle w:val="SingleTxtG"/>
        <w:tabs>
          <w:tab w:val="left" w:pos="7088"/>
          <w:tab w:val="left" w:pos="8221"/>
        </w:tabs>
        <w:ind w:left="0"/>
        <w:rPr>
          <w:rFonts w:ascii="Arial" w:hAnsi="Arial" w:cs="Arial"/>
          <w:sz w:val="22"/>
          <w:szCs w:val="22"/>
        </w:rPr>
      </w:pPr>
      <w:r w:rsidRPr="00524314">
        <w:rPr>
          <w:rFonts w:ascii="Arial" w:hAnsi="Arial" w:cs="Arial"/>
          <w:iCs/>
          <w:sz w:val="22"/>
          <w:szCs w:val="22"/>
          <w:u w:val="single"/>
        </w:rPr>
        <w:t>Regarding article</w:t>
      </w:r>
      <w:r w:rsidR="00524314" w:rsidRPr="00524314">
        <w:rPr>
          <w:rFonts w:ascii="Arial" w:hAnsi="Arial" w:cs="Arial"/>
          <w:iCs/>
          <w:sz w:val="22"/>
          <w:szCs w:val="22"/>
          <w:u w:val="single"/>
        </w:rPr>
        <w:t xml:space="preserve"> </w:t>
      </w:r>
      <w:r w:rsidRPr="00524314">
        <w:rPr>
          <w:rFonts w:ascii="Arial" w:hAnsi="Arial" w:cs="Arial"/>
          <w:iCs/>
          <w:sz w:val="22"/>
          <w:szCs w:val="22"/>
          <w:u w:val="single"/>
        </w:rPr>
        <w:t>13,</w:t>
      </w:r>
      <w:r w:rsidRPr="00B25C4E">
        <w:rPr>
          <w:rFonts w:ascii="Arial" w:hAnsi="Arial" w:cs="Arial"/>
          <w:i/>
          <w:sz w:val="22"/>
          <w:szCs w:val="22"/>
        </w:rPr>
        <w:t xml:space="preserve"> </w:t>
      </w:r>
      <w:r w:rsidRPr="00DE4BBE">
        <w:rPr>
          <w:rFonts w:ascii="Arial" w:hAnsi="Arial" w:cs="Arial"/>
          <w:sz w:val="22"/>
          <w:szCs w:val="22"/>
        </w:rPr>
        <w:t xml:space="preserve">the authors claims that none of the rulings, decisions or decrees by the </w:t>
      </w:r>
      <w:r w:rsidR="000A2394" w:rsidRPr="00DE4BBE">
        <w:rPr>
          <w:rFonts w:ascii="Arial" w:hAnsi="Arial" w:cs="Arial"/>
          <w:sz w:val="22"/>
          <w:szCs w:val="22"/>
        </w:rPr>
        <w:t>State</w:t>
      </w:r>
      <w:r w:rsidR="000A2394" w:rsidRPr="00DE4BBE">
        <w:rPr>
          <w:rFonts w:ascii="Arial" w:hAnsi="Arial" w:cs="Arial"/>
          <w:sz w:val="22"/>
          <w:szCs w:val="22"/>
        </w:rPr>
        <w:t xml:space="preserve"> </w:t>
      </w:r>
      <w:r w:rsidRPr="00DE4BBE">
        <w:rPr>
          <w:rFonts w:ascii="Arial" w:hAnsi="Arial" w:cs="Arial"/>
          <w:sz w:val="22"/>
          <w:szCs w:val="22"/>
        </w:rPr>
        <w:t>authorities during</w:t>
      </w:r>
      <w:r w:rsidR="000A2394">
        <w:rPr>
          <w:rFonts w:ascii="Arial" w:hAnsi="Arial" w:cs="Arial"/>
          <w:sz w:val="22"/>
          <w:szCs w:val="22"/>
        </w:rPr>
        <w:t xml:space="preserve"> </w:t>
      </w:r>
      <w:r w:rsidRPr="00DE4BBE">
        <w:rPr>
          <w:rFonts w:ascii="Arial" w:hAnsi="Arial" w:cs="Arial"/>
          <w:sz w:val="22"/>
          <w:szCs w:val="22"/>
        </w:rPr>
        <w:t>the domestic proceedings referred to the Convention or the right to inclusive education</w:t>
      </w:r>
      <w:r w:rsidR="000A2394">
        <w:rPr>
          <w:rFonts w:ascii="Arial" w:hAnsi="Arial" w:cs="Arial"/>
          <w:sz w:val="22"/>
          <w:szCs w:val="22"/>
        </w:rPr>
        <w:t>.</w:t>
      </w:r>
      <w:r w:rsidRPr="00DE4BBE">
        <w:rPr>
          <w:rFonts w:ascii="Arial" w:hAnsi="Arial" w:cs="Arial"/>
          <w:sz w:val="22"/>
          <w:szCs w:val="22"/>
        </w:rPr>
        <w:t xml:space="preserve"> </w:t>
      </w:r>
      <w:r w:rsidR="000A2394">
        <w:rPr>
          <w:rFonts w:ascii="Arial" w:hAnsi="Arial" w:cs="Arial"/>
          <w:sz w:val="22"/>
          <w:szCs w:val="22"/>
        </w:rPr>
        <w:t>T</w:t>
      </w:r>
      <w:r w:rsidRPr="00DE4BBE">
        <w:rPr>
          <w:rFonts w:ascii="Arial" w:hAnsi="Arial" w:cs="Arial"/>
          <w:sz w:val="22"/>
          <w:szCs w:val="22"/>
        </w:rPr>
        <w:t>he authors referred to both in every document that they have submitted.</w:t>
      </w:r>
    </w:p>
    <w:p w14:paraId="02AA26C5" w14:textId="403A2F80" w:rsidR="00A05E0C" w:rsidRPr="00B25C4E" w:rsidRDefault="00A05E0C" w:rsidP="00342F13">
      <w:pPr>
        <w:pStyle w:val="SingleTxtG"/>
        <w:tabs>
          <w:tab w:val="left" w:pos="7088"/>
          <w:tab w:val="left" w:pos="8221"/>
        </w:tabs>
        <w:ind w:left="0"/>
        <w:rPr>
          <w:rFonts w:ascii="Arial" w:hAnsi="Arial" w:cs="Arial"/>
          <w:sz w:val="22"/>
          <w:szCs w:val="22"/>
          <w:u w:val="single"/>
        </w:rPr>
      </w:pPr>
      <w:r w:rsidRPr="000A2394">
        <w:rPr>
          <w:rFonts w:ascii="Arial" w:hAnsi="Arial" w:cs="Arial"/>
          <w:iCs/>
          <w:sz w:val="22"/>
          <w:szCs w:val="22"/>
          <w:u w:val="single"/>
        </w:rPr>
        <w:t>Regarding article</w:t>
      </w:r>
      <w:r w:rsidR="00352590" w:rsidRPr="000A2394">
        <w:rPr>
          <w:rFonts w:ascii="Arial" w:hAnsi="Arial" w:cs="Arial"/>
          <w:iCs/>
          <w:sz w:val="22"/>
          <w:szCs w:val="22"/>
          <w:u w:val="single"/>
        </w:rPr>
        <w:t xml:space="preserve"> </w:t>
      </w:r>
      <w:r w:rsidRPr="000A2394">
        <w:rPr>
          <w:rFonts w:ascii="Arial" w:hAnsi="Arial" w:cs="Arial"/>
          <w:iCs/>
          <w:sz w:val="22"/>
          <w:szCs w:val="22"/>
          <w:u w:val="single"/>
        </w:rPr>
        <w:t>15,</w:t>
      </w:r>
      <w:r w:rsidRPr="000A2394">
        <w:rPr>
          <w:iCs/>
          <w:sz w:val="22"/>
          <w:szCs w:val="22"/>
          <w:u w:val="single"/>
        </w:rPr>
        <w:t xml:space="preserve"> </w:t>
      </w:r>
      <w:r w:rsidRPr="000A2394">
        <w:rPr>
          <w:rFonts w:ascii="Arial" w:hAnsi="Arial" w:cs="Arial"/>
          <w:iCs/>
          <w:sz w:val="22"/>
          <w:szCs w:val="22"/>
          <w:u w:val="single"/>
        </w:rPr>
        <w:t>read in conjunction with article 17,</w:t>
      </w:r>
      <w:r w:rsidR="00464B77" w:rsidRPr="00B25C4E">
        <w:rPr>
          <w:rFonts w:ascii="Arial" w:hAnsi="Arial" w:cs="Arial"/>
          <w:sz w:val="22"/>
          <w:szCs w:val="22"/>
        </w:rPr>
        <w:t xml:space="preserve"> t</w:t>
      </w:r>
      <w:r w:rsidRPr="00B25C4E">
        <w:rPr>
          <w:rFonts w:ascii="Arial" w:hAnsi="Arial" w:cs="Arial"/>
          <w:sz w:val="22"/>
          <w:szCs w:val="22"/>
        </w:rPr>
        <w:t>he authors maintain that Rubén was subjected to</w:t>
      </w:r>
      <w:r w:rsidRPr="00B25C4E">
        <w:rPr>
          <w:rFonts w:ascii="Arial" w:hAnsi="Arial" w:cs="Arial"/>
          <w:sz w:val="22"/>
          <w:szCs w:val="22"/>
          <w:lang w:val="en-US"/>
        </w:rPr>
        <w:t xml:space="preserve"> </w:t>
      </w:r>
      <w:r w:rsidRPr="00B25C4E">
        <w:rPr>
          <w:rFonts w:ascii="Arial" w:hAnsi="Arial" w:cs="Arial"/>
          <w:sz w:val="22"/>
          <w:szCs w:val="22"/>
        </w:rPr>
        <w:t xml:space="preserve">rejection, discrimination, neglect and abuse that during the academic years 2009/10 and 2010/11 at </w:t>
      </w:r>
      <w:r w:rsidR="00837233" w:rsidRPr="00B25C4E">
        <w:rPr>
          <w:rFonts w:ascii="Arial" w:hAnsi="Arial" w:cs="Arial"/>
          <w:sz w:val="22"/>
          <w:szCs w:val="22"/>
        </w:rPr>
        <w:t xml:space="preserve">the </w:t>
      </w:r>
      <w:r w:rsidRPr="00B25C4E">
        <w:rPr>
          <w:rFonts w:ascii="Arial" w:hAnsi="Arial" w:cs="Arial"/>
          <w:sz w:val="22"/>
          <w:szCs w:val="22"/>
        </w:rPr>
        <w:t>mainstream public school</w:t>
      </w:r>
      <w:r w:rsidR="000A2394">
        <w:rPr>
          <w:rFonts w:ascii="Arial" w:hAnsi="Arial" w:cs="Arial"/>
          <w:sz w:val="22"/>
          <w:szCs w:val="22"/>
        </w:rPr>
        <w:t xml:space="preserve">, and </w:t>
      </w:r>
      <w:r w:rsidRPr="00B25C4E">
        <w:rPr>
          <w:rFonts w:ascii="Arial" w:hAnsi="Arial" w:cs="Arial"/>
          <w:sz w:val="22"/>
          <w:szCs w:val="22"/>
        </w:rPr>
        <w:t xml:space="preserve">that the mistreatment at the hands of teaching staff endangered </w:t>
      </w:r>
      <w:r w:rsidR="000A2394">
        <w:rPr>
          <w:rFonts w:ascii="Arial" w:hAnsi="Arial" w:cs="Arial"/>
          <w:sz w:val="22"/>
          <w:szCs w:val="22"/>
        </w:rPr>
        <w:t>Ruben’s</w:t>
      </w:r>
      <w:r w:rsidRPr="00B25C4E">
        <w:rPr>
          <w:rFonts w:ascii="Arial" w:hAnsi="Arial" w:cs="Arial"/>
          <w:sz w:val="22"/>
          <w:szCs w:val="22"/>
        </w:rPr>
        <w:t xml:space="preserve"> physical integrity. They claim that the León provisional prosecution service, twice informed of the events that had occurred, never offered to meet with Rubén’s parents, ignored the witness evidence and did not take any action to protect Rubén’s rights.</w:t>
      </w:r>
    </w:p>
    <w:p w14:paraId="549DF835" w14:textId="0FE558BA" w:rsidR="004864F2" w:rsidRPr="00B25C4E" w:rsidRDefault="00352590" w:rsidP="00342F13">
      <w:pPr>
        <w:pStyle w:val="SingleTxtG"/>
        <w:tabs>
          <w:tab w:val="left" w:pos="7088"/>
          <w:tab w:val="left" w:pos="8221"/>
        </w:tabs>
        <w:ind w:left="0"/>
        <w:rPr>
          <w:rFonts w:ascii="Arial" w:hAnsi="Arial" w:cs="Arial"/>
          <w:sz w:val="22"/>
          <w:szCs w:val="22"/>
        </w:rPr>
      </w:pPr>
      <w:r w:rsidRPr="000A2394">
        <w:rPr>
          <w:rFonts w:ascii="Arial" w:hAnsi="Arial" w:cs="Arial"/>
          <w:iCs/>
          <w:sz w:val="22"/>
          <w:szCs w:val="22"/>
          <w:u w:val="single"/>
          <w:lang w:val="en-US"/>
        </w:rPr>
        <w:t>Regarding article 4</w:t>
      </w:r>
      <w:r w:rsidRPr="000A2394">
        <w:rPr>
          <w:rFonts w:ascii="Arial" w:hAnsi="Arial" w:cs="Arial"/>
          <w:iCs/>
          <w:sz w:val="22"/>
          <w:szCs w:val="22"/>
          <w:lang w:val="en-US"/>
        </w:rPr>
        <w:t>,</w:t>
      </w:r>
      <w:r w:rsidRPr="002E2521">
        <w:rPr>
          <w:rFonts w:ascii="Arial" w:hAnsi="Arial" w:cs="Arial"/>
          <w:i/>
          <w:sz w:val="22"/>
          <w:szCs w:val="22"/>
          <w:lang w:val="en-US"/>
        </w:rPr>
        <w:t xml:space="preserve"> </w:t>
      </w:r>
      <w:r w:rsidRPr="00B25C4E">
        <w:rPr>
          <w:rFonts w:ascii="Arial" w:hAnsi="Arial" w:cs="Arial"/>
          <w:sz w:val="22"/>
          <w:szCs w:val="22"/>
        </w:rPr>
        <w:t>the authors claim the State has not yet adopted a legislative framework, an education policy or administrative measures that could ensure the full realization of Rubén’s right to inclusive education</w:t>
      </w:r>
      <w:r w:rsidR="000233DD">
        <w:rPr>
          <w:rFonts w:ascii="Arial" w:hAnsi="Arial" w:cs="Arial"/>
          <w:sz w:val="22"/>
          <w:szCs w:val="22"/>
        </w:rPr>
        <w:t xml:space="preserve"> in line with</w:t>
      </w:r>
      <w:r w:rsidRPr="00B25C4E">
        <w:rPr>
          <w:rFonts w:ascii="Arial" w:hAnsi="Arial" w:cs="Arial"/>
          <w:sz w:val="22"/>
          <w:szCs w:val="22"/>
        </w:rPr>
        <w:t xml:space="preserve"> the Convention</w:t>
      </w:r>
      <w:r w:rsidR="000233DD">
        <w:rPr>
          <w:rFonts w:ascii="Arial" w:hAnsi="Arial" w:cs="Arial"/>
          <w:sz w:val="22"/>
          <w:szCs w:val="22"/>
        </w:rPr>
        <w:t>,</w:t>
      </w:r>
      <w:r w:rsidRPr="00B25C4E">
        <w:rPr>
          <w:rFonts w:ascii="Arial" w:hAnsi="Arial" w:cs="Arial"/>
          <w:sz w:val="22"/>
          <w:szCs w:val="22"/>
        </w:rPr>
        <w:t xml:space="preserve"> </w:t>
      </w:r>
      <w:r w:rsidR="000233DD">
        <w:rPr>
          <w:rFonts w:ascii="Arial" w:hAnsi="Arial" w:cs="Arial"/>
          <w:sz w:val="22"/>
          <w:szCs w:val="22"/>
        </w:rPr>
        <w:t>in</w:t>
      </w:r>
      <w:r w:rsidRPr="00B25C4E">
        <w:rPr>
          <w:rFonts w:ascii="Arial" w:hAnsi="Arial" w:cs="Arial"/>
          <w:sz w:val="22"/>
          <w:szCs w:val="22"/>
        </w:rPr>
        <w:t xml:space="preserve"> force for the State </w:t>
      </w:r>
      <w:r w:rsidR="000233DD">
        <w:rPr>
          <w:rFonts w:ascii="Arial" w:hAnsi="Arial" w:cs="Arial"/>
          <w:sz w:val="22"/>
          <w:szCs w:val="22"/>
        </w:rPr>
        <w:t>since</w:t>
      </w:r>
      <w:r w:rsidRPr="00B25C4E">
        <w:rPr>
          <w:rFonts w:ascii="Arial" w:hAnsi="Arial" w:cs="Arial"/>
          <w:sz w:val="22"/>
          <w:szCs w:val="22"/>
        </w:rPr>
        <w:t xml:space="preserve"> 3 May 2008.</w:t>
      </w:r>
    </w:p>
    <w:p w14:paraId="4B47DC47" w14:textId="19BB15B2" w:rsidR="00464B77" w:rsidRPr="002E2521" w:rsidRDefault="00464B77" w:rsidP="00342F13">
      <w:pPr>
        <w:pStyle w:val="SingleTxtG"/>
        <w:tabs>
          <w:tab w:val="left" w:pos="7088"/>
          <w:tab w:val="left" w:pos="8221"/>
        </w:tabs>
        <w:ind w:left="0"/>
        <w:rPr>
          <w:rFonts w:ascii="Arial" w:hAnsi="Arial" w:cs="Arial"/>
          <w:b/>
          <w:sz w:val="22"/>
          <w:szCs w:val="22"/>
        </w:rPr>
      </w:pPr>
      <w:r w:rsidRPr="002E2521">
        <w:rPr>
          <w:rFonts w:ascii="Arial" w:hAnsi="Arial" w:cs="Arial"/>
          <w:b/>
          <w:sz w:val="22"/>
          <w:szCs w:val="22"/>
        </w:rPr>
        <w:t>State ’s observations on admissibility</w:t>
      </w:r>
    </w:p>
    <w:p w14:paraId="1EDA642A" w14:textId="4B44BAF5" w:rsidR="00464B77" w:rsidRPr="00464B77" w:rsidRDefault="00464B77" w:rsidP="00342F13">
      <w:pPr>
        <w:pStyle w:val="SingleTxtG"/>
        <w:tabs>
          <w:tab w:val="left" w:pos="8221"/>
        </w:tabs>
        <w:ind w:left="0"/>
        <w:rPr>
          <w:rFonts w:ascii="Arial" w:hAnsi="Arial" w:cs="Arial"/>
          <w:sz w:val="22"/>
          <w:szCs w:val="22"/>
        </w:rPr>
      </w:pPr>
      <w:r w:rsidRPr="00464B77">
        <w:rPr>
          <w:rFonts w:ascii="Arial" w:hAnsi="Arial" w:cs="Arial"/>
          <w:sz w:val="22"/>
          <w:szCs w:val="22"/>
        </w:rPr>
        <w:t>On 26 December 2017, the State submitted its observations on the admissibility of the communication</w:t>
      </w:r>
      <w:r w:rsidR="007A6AEC">
        <w:rPr>
          <w:rFonts w:ascii="Arial" w:hAnsi="Arial" w:cs="Arial"/>
          <w:sz w:val="22"/>
          <w:szCs w:val="22"/>
        </w:rPr>
        <w:t xml:space="preserve">, </w:t>
      </w:r>
      <w:r w:rsidRPr="00464B77">
        <w:rPr>
          <w:rFonts w:ascii="Arial" w:hAnsi="Arial" w:cs="Arial"/>
          <w:sz w:val="22"/>
          <w:szCs w:val="22"/>
        </w:rPr>
        <w:t>request</w:t>
      </w:r>
      <w:r w:rsidR="007A6AEC">
        <w:rPr>
          <w:rFonts w:ascii="Arial" w:hAnsi="Arial" w:cs="Arial"/>
          <w:sz w:val="22"/>
          <w:szCs w:val="22"/>
        </w:rPr>
        <w:t>ing</w:t>
      </w:r>
      <w:r w:rsidRPr="00464B77">
        <w:rPr>
          <w:rFonts w:ascii="Arial" w:hAnsi="Arial" w:cs="Arial"/>
          <w:sz w:val="22"/>
          <w:szCs w:val="22"/>
        </w:rPr>
        <w:t xml:space="preserve"> that the communication should be declared inadmissible.</w:t>
      </w:r>
    </w:p>
    <w:p w14:paraId="3B4166F7" w14:textId="6DE72BA4" w:rsidR="00464B77" w:rsidRPr="002E2521" w:rsidRDefault="002E2521" w:rsidP="00342F13">
      <w:pPr>
        <w:pStyle w:val="SingleTxtG"/>
        <w:tabs>
          <w:tab w:val="left" w:pos="8221"/>
        </w:tabs>
        <w:ind w:left="0"/>
        <w:rPr>
          <w:rFonts w:ascii="Arial" w:hAnsi="Arial" w:cs="Arial"/>
          <w:sz w:val="22"/>
          <w:szCs w:val="22"/>
        </w:rPr>
      </w:pPr>
      <w:r w:rsidRPr="007A6AEC">
        <w:rPr>
          <w:rFonts w:ascii="Arial" w:hAnsi="Arial" w:cs="Arial"/>
          <w:iCs/>
          <w:sz w:val="22"/>
          <w:szCs w:val="22"/>
          <w:u w:val="single"/>
        </w:rPr>
        <w:t>Regarding article 24</w:t>
      </w:r>
      <w:r w:rsidRPr="007A6AEC">
        <w:rPr>
          <w:rFonts w:ascii="Arial" w:hAnsi="Arial" w:cs="Arial"/>
          <w:iCs/>
          <w:sz w:val="22"/>
          <w:szCs w:val="22"/>
        </w:rPr>
        <w:t>, t</w:t>
      </w:r>
      <w:r w:rsidR="00464B77" w:rsidRPr="007A6AEC">
        <w:rPr>
          <w:rFonts w:ascii="Arial" w:hAnsi="Arial" w:cs="Arial"/>
          <w:iCs/>
          <w:sz w:val="22"/>
          <w:szCs w:val="22"/>
        </w:rPr>
        <w:t>he</w:t>
      </w:r>
      <w:r w:rsidR="00464B77" w:rsidRPr="00464B77">
        <w:rPr>
          <w:rFonts w:ascii="Arial" w:hAnsi="Arial" w:cs="Arial"/>
          <w:sz w:val="22"/>
          <w:szCs w:val="22"/>
        </w:rPr>
        <w:t xml:space="preserve"> State recalls that, in their complaint, the authors requested that “Rubén [be allowed to] study a module of adapted basic vocational training for administrative assistants and that, on completion of this module, he [be able to] certify the studies he has completed”. In this regard, the State provides a report from the León regional government office attesting to the fact that, in the 2017/18 school year, Rubén was admitted to grade 1 of basic vocational training in administrative services at the publicly subsidized private educational centre “Down León </w:t>
      </w:r>
      <w:proofErr w:type="spellStart"/>
      <w:r w:rsidR="00464B77" w:rsidRPr="00464B77">
        <w:rPr>
          <w:rFonts w:ascii="Arial" w:hAnsi="Arial" w:cs="Arial"/>
          <w:sz w:val="22"/>
          <w:szCs w:val="22"/>
        </w:rPr>
        <w:t>Amidown</w:t>
      </w:r>
      <w:proofErr w:type="spellEnd"/>
      <w:r w:rsidR="00464B77" w:rsidRPr="00464B77">
        <w:rPr>
          <w:rFonts w:ascii="Arial" w:hAnsi="Arial" w:cs="Arial"/>
          <w:sz w:val="22"/>
          <w:szCs w:val="22"/>
        </w:rPr>
        <w:t xml:space="preserve"> Amigos del </w:t>
      </w:r>
      <w:proofErr w:type="spellStart"/>
      <w:r w:rsidR="00464B77" w:rsidRPr="00464B77">
        <w:rPr>
          <w:rFonts w:ascii="Arial" w:hAnsi="Arial" w:cs="Arial"/>
          <w:sz w:val="22"/>
          <w:szCs w:val="22"/>
        </w:rPr>
        <w:t>Síndrome</w:t>
      </w:r>
      <w:proofErr w:type="spellEnd"/>
      <w:r w:rsidR="00464B77" w:rsidRPr="00464B77">
        <w:rPr>
          <w:rFonts w:ascii="Arial" w:hAnsi="Arial" w:cs="Arial"/>
          <w:sz w:val="22"/>
          <w:szCs w:val="22"/>
        </w:rPr>
        <w:t xml:space="preserve"> de Down”.</w:t>
      </w:r>
      <w:r w:rsidR="006D5BFA" w:rsidRPr="002E2521">
        <w:rPr>
          <w:rFonts w:ascii="Arial" w:hAnsi="Arial" w:cs="Arial"/>
          <w:sz w:val="22"/>
          <w:szCs w:val="22"/>
        </w:rPr>
        <w:t xml:space="preserve"> </w:t>
      </w:r>
      <w:r w:rsidR="00464B77" w:rsidRPr="00464B77">
        <w:rPr>
          <w:rFonts w:ascii="Arial" w:hAnsi="Arial" w:cs="Arial"/>
          <w:sz w:val="22"/>
          <w:szCs w:val="22"/>
        </w:rPr>
        <w:t xml:space="preserve">The State concludes that </w:t>
      </w:r>
      <w:proofErr w:type="gramStart"/>
      <w:r w:rsidR="00464B77" w:rsidRPr="00464B77">
        <w:rPr>
          <w:rFonts w:ascii="Arial" w:hAnsi="Arial" w:cs="Arial"/>
          <w:sz w:val="22"/>
          <w:szCs w:val="22"/>
        </w:rPr>
        <w:t xml:space="preserve">since </w:t>
      </w:r>
      <w:r w:rsidR="007A6AEC">
        <w:rPr>
          <w:rFonts w:ascii="Arial" w:hAnsi="Arial" w:cs="Arial"/>
          <w:sz w:val="22"/>
          <w:szCs w:val="22"/>
        </w:rPr>
        <w:t xml:space="preserve"> the</w:t>
      </w:r>
      <w:proofErr w:type="gramEnd"/>
      <w:r w:rsidR="007A6AEC">
        <w:rPr>
          <w:rFonts w:ascii="Arial" w:hAnsi="Arial" w:cs="Arial"/>
          <w:sz w:val="22"/>
          <w:szCs w:val="22"/>
        </w:rPr>
        <w:t xml:space="preserve"> </w:t>
      </w:r>
      <w:r w:rsidR="00464B77" w:rsidRPr="00464B77">
        <w:rPr>
          <w:rFonts w:ascii="Arial" w:hAnsi="Arial" w:cs="Arial"/>
          <w:sz w:val="22"/>
          <w:szCs w:val="22"/>
        </w:rPr>
        <w:t xml:space="preserve">remedy has been provided, </w:t>
      </w:r>
      <w:r w:rsidR="007A6AEC">
        <w:rPr>
          <w:rFonts w:ascii="Arial" w:hAnsi="Arial" w:cs="Arial"/>
          <w:sz w:val="22"/>
          <w:szCs w:val="22"/>
        </w:rPr>
        <w:t>the authors</w:t>
      </w:r>
      <w:r w:rsidR="00464B77" w:rsidRPr="00464B77">
        <w:rPr>
          <w:rFonts w:ascii="Arial" w:hAnsi="Arial" w:cs="Arial"/>
          <w:sz w:val="22"/>
          <w:szCs w:val="22"/>
        </w:rPr>
        <w:t xml:space="preserve"> no longer have an interest in proceeding with the communication</w:t>
      </w:r>
      <w:r w:rsidR="007A6AEC">
        <w:rPr>
          <w:rFonts w:ascii="Arial" w:hAnsi="Arial" w:cs="Arial"/>
          <w:sz w:val="22"/>
          <w:szCs w:val="22"/>
        </w:rPr>
        <w:t xml:space="preserve">, being </w:t>
      </w:r>
      <w:r w:rsidR="00464B77" w:rsidRPr="00464B77">
        <w:rPr>
          <w:rFonts w:ascii="Arial" w:hAnsi="Arial" w:cs="Arial"/>
          <w:sz w:val="22"/>
          <w:szCs w:val="22"/>
        </w:rPr>
        <w:t>no longer appropriate to “make claims regarding the admissibility and merits</w:t>
      </w:r>
      <w:r w:rsidR="00646FC8">
        <w:rPr>
          <w:rFonts w:ascii="Arial" w:hAnsi="Arial" w:cs="Arial"/>
          <w:sz w:val="22"/>
          <w:szCs w:val="22"/>
        </w:rPr>
        <w:t>.</w:t>
      </w:r>
      <w:r w:rsidR="00464B77" w:rsidRPr="00464B77">
        <w:rPr>
          <w:rFonts w:ascii="Arial" w:hAnsi="Arial" w:cs="Arial"/>
          <w:sz w:val="22"/>
          <w:szCs w:val="22"/>
        </w:rPr>
        <w:t xml:space="preserve">” </w:t>
      </w:r>
    </w:p>
    <w:p w14:paraId="5717E50D" w14:textId="11977C84" w:rsidR="006D5BFA" w:rsidRPr="002E2521" w:rsidRDefault="006D5BFA" w:rsidP="00342F13">
      <w:pPr>
        <w:autoSpaceDE w:val="0"/>
        <w:autoSpaceDN w:val="0"/>
        <w:adjustRightInd w:val="0"/>
        <w:spacing w:after="120" w:line="240" w:lineRule="auto"/>
        <w:jc w:val="both"/>
        <w:rPr>
          <w:rFonts w:ascii="Arial" w:eastAsia="Calibri" w:hAnsi="Arial" w:cs="Arial"/>
          <w:b/>
          <w:lang w:val="en-US"/>
        </w:rPr>
      </w:pPr>
      <w:r w:rsidRPr="002E2521">
        <w:rPr>
          <w:rFonts w:ascii="Arial" w:eastAsia="Calibri" w:hAnsi="Arial" w:cs="Arial"/>
          <w:b/>
          <w:bCs/>
          <w:lang w:val="en-US"/>
        </w:rPr>
        <w:t>The author’s comments on the State ’s observations</w:t>
      </w:r>
    </w:p>
    <w:p w14:paraId="4ABAFCF6" w14:textId="7B908A59" w:rsidR="00093230" w:rsidRDefault="006D5BFA" w:rsidP="00342F13">
      <w:pPr>
        <w:pStyle w:val="SingleTxtG"/>
        <w:tabs>
          <w:tab w:val="left" w:pos="8221"/>
        </w:tabs>
        <w:ind w:left="0"/>
        <w:rPr>
          <w:rFonts w:ascii="Arial" w:hAnsi="Arial" w:cs="Arial"/>
          <w:sz w:val="22"/>
          <w:szCs w:val="22"/>
        </w:rPr>
      </w:pPr>
      <w:r w:rsidRPr="002E2521">
        <w:rPr>
          <w:rFonts w:ascii="Arial" w:hAnsi="Arial" w:cs="Arial"/>
          <w:sz w:val="22"/>
          <w:szCs w:val="22"/>
        </w:rPr>
        <w:t xml:space="preserve">On 1 February 2018, the authors submitted their comments on the State ’s observations. </w:t>
      </w:r>
    </w:p>
    <w:p w14:paraId="1C15A3D0" w14:textId="31B4ACD9" w:rsidR="006D5BFA" w:rsidRPr="002E2521" w:rsidRDefault="00903641" w:rsidP="00342F13">
      <w:pPr>
        <w:pStyle w:val="SingleTxtG"/>
        <w:tabs>
          <w:tab w:val="left" w:pos="8221"/>
        </w:tabs>
        <w:ind w:left="0"/>
        <w:rPr>
          <w:rFonts w:ascii="Arial" w:hAnsi="Arial" w:cs="Arial"/>
          <w:sz w:val="22"/>
          <w:szCs w:val="22"/>
        </w:rPr>
      </w:pPr>
      <w:r w:rsidRPr="00646FC8">
        <w:rPr>
          <w:rFonts w:ascii="Arial" w:hAnsi="Arial" w:cs="Arial"/>
          <w:iCs/>
          <w:sz w:val="22"/>
          <w:szCs w:val="22"/>
          <w:u w:val="single"/>
        </w:rPr>
        <w:t>Regarding article 24,</w:t>
      </w:r>
      <w:r w:rsidR="00093230">
        <w:rPr>
          <w:rFonts w:ascii="Arial" w:hAnsi="Arial" w:cs="Arial"/>
          <w:sz w:val="22"/>
          <w:szCs w:val="22"/>
        </w:rPr>
        <w:t xml:space="preserve"> </w:t>
      </w:r>
      <w:r>
        <w:rPr>
          <w:rFonts w:ascii="Arial" w:hAnsi="Arial" w:cs="Arial"/>
          <w:sz w:val="22"/>
          <w:szCs w:val="22"/>
        </w:rPr>
        <w:t>t</w:t>
      </w:r>
      <w:r w:rsidR="006D5BFA" w:rsidRPr="002E2521">
        <w:rPr>
          <w:rFonts w:ascii="Arial" w:hAnsi="Arial" w:cs="Arial"/>
          <w:sz w:val="22"/>
          <w:szCs w:val="22"/>
        </w:rPr>
        <w:t>hey confirm that Rubén is enrolled in the 2017/18 school year at the publicly subsidized private educational centre. However</w:t>
      </w:r>
      <w:r>
        <w:rPr>
          <w:rFonts w:ascii="Arial" w:hAnsi="Arial" w:cs="Arial"/>
          <w:sz w:val="22"/>
          <w:szCs w:val="22"/>
        </w:rPr>
        <w:t xml:space="preserve">, </w:t>
      </w:r>
      <w:r w:rsidR="006D5BFA" w:rsidRPr="002E2521">
        <w:rPr>
          <w:rFonts w:ascii="Arial" w:hAnsi="Arial" w:cs="Arial"/>
          <w:sz w:val="22"/>
          <w:szCs w:val="22"/>
        </w:rPr>
        <w:t xml:space="preserve">this does not mean that compliance with article 24 of the Convention has been </w:t>
      </w:r>
      <w:r w:rsidR="00646FC8">
        <w:rPr>
          <w:rFonts w:ascii="Arial" w:hAnsi="Arial" w:cs="Arial"/>
          <w:sz w:val="22"/>
          <w:szCs w:val="22"/>
        </w:rPr>
        <w:t>achieved</w:t>
      </w:r>
      <w:r w:rsidR="006D5BFA" w:rsidRPr="002E2521">
        <w:rPr>
          <w:rFonts w:ascii="Arial" w:hAnsi="Arial" w:cs="Arial"/>
          <w:sz w:val="22"/>
          <w:szCs w:val="22"/>
        </w:rPr>
        <w:t xml:space="preserve">. </w:t>
      </w:r>
      <w:r w:rsidR="006D5BFA" w:rsidRPr="002E2521">
        <w:rPr>
          <w:rFonts w:ascii="Arial" w:hAnsi="Arial" w:cs="Arial"/>
          <w:sz w:val="22"/>
          <w:szCs w:val="22"/>
          <w:u w:val="single"/>
        </w:rPr>
        <w:t>They assert that the centre where Rubén studies is “fundamentally a special centre” for persons with Down syndrome</w:t>
      </w:r>
      <w:r w:rsidR="00646FC8">
        <w:rPr>
          <w:rFonts w:ascii="Arial" w:hAnsi="Arial" w:cs="Arial"/>
          <w:sz w:val="22"/>
          <w:szCs w:val="22"/>
          <w:u w:val="single"/>
        </w:rPr>
        <w:t xml:space="preserve">. </w:t>
      </w:r>
      <w:r w:rsidR="006D5BFA" w:rsidRPr="002E2521">
        <w:rPr>
          <w:rFonts w:ascii="Arial" w:hAnsi="Arial" w:cs="Arial"/>
          <w:sz w:val="22"/>
          <w:szCs w:val="22"/>
          <w:u w:val="single"/>
        </w:rPr>
        <w:t>Rubén’</w:t>
      </w:r>
      <w:r w:rsidR="002E2521" w:rsidRPr="002E2521">
        <w:rPr>
          <w:rFonts w:ascii="Arial" w:hAnsi="Arial" w:cs="Arial"/>
          <w:sz w:val="22"/>
          <w:szCs w:val="22"/>
          <w:u w:val="single"/>
        </w:rPr>
        <w:t xml:space="preserve">s right to inclusive education </w:t>
      </w:r>
      <w:r w:rsidR="006D5BFA" w:rsidRPr="002E2521">
        <w:rPr>
          <w:rFonts w:ascii="Arial" w:hAnsi="Arial" w:cs="Arial"/>
          <w:sz w:val="22"/>
          <w:szCs w:val="22"/>
          <w:u w:val="single"/>
        </w:rPr>
        <w:t>have</w:t>
      </w:r>
      <w:r w:rsidR="002E2521" w:rsidRPr="002E2521">
        <w:rPr>
          <w:rFonts w:ascii="Arial" w:hAnsi="Arial" w:cs="Arial"/>
          <w:sz w:val="22"/>
          <w:szCs w:val="22"/>
          <w:u w:val="single"/>
        </w:rPr>
        <w:t xml:space="preserve"> not</w:t>
      </w:r>
      <w:r w:rsidR="006D5BFA" w:rsidRPr="002E2521">
        <w:rPr>
          <w:rFonts w:ascii="Arial" w:hAnsi="Arial" w:cs="Arial"/>
          <w:sz w:val="22"/>
          <w:szCs w:val="22"/>
          <w:u w:val="single"/>
        </w:rPr>
        <w:t xml:space="preserve"> been realized.</w:t>
      </w:r>
      <w:r w:rsidR="006D5BFA" w:rsidRPr="00646FC8">
        <w:rPr>
          <w:rFonts w:ascii="Arial" w:hAnsi="Arial" w:cs="Arial"/>
          <w:sz w:val="22"/>
          <w:szCs w:val="22"/>
        </w:rPr>
        <w:t xml:space="preserve"> </w:t>
      </w:r>
      <w:r w:rsidR="006D5BFA" w:rsidRPr="002E2521">
        <w:rPr>
          <w:rFonts w:ascii="Arial" w:hAnsi="Arial" w:cs="Arial"/>
          <w:sz w:val="22"/>
          <w:szCs w:val="22"/>
        </w:rPr>
        <w:t>They disagree with the</w:t>
      </w:r>
      <w:r w:rsidR="00646FC8">
        <w:rPr>
          <w:rFonts w:ascii="Arial" w:hAnsi="Arial" w:cs="Arial"/>
          <w:sz w:val="22"/>
          <w:szCs w:val="22"/>
        </w:rPr>
        <w:t xml:space="preserve"> </w:t>
      </w:r>
      <w:r w:rsidR="006D5BFA" w:rsidRPr="002E2521">
        <w:rPr>
          <w:rFonts w:ascii="Arial" w:hAnsi="Arial" w:cs="Arial"/>
          <w:sz w:val="22"/>
          <w:szCs w:val="22"/>
        </w:rPr>
        <w:t>assertion that they no longer have an interest in pursuing the request submitted to the Committee</w:t>
      </w:r>
      <w:r w:rsidR="00646FC8">
        <w:rPr>
          <w:rFonts w:ascii="Arial" w:hAnsi="Arial" w:cs="Arial"/>
          <w:sz w:val="22"/>
          <w:szCs w:val="22"/>
        </w:rPr>
        <w:t xml:space="preserve">. </w:t>
      </w:r>
      <w:r w:rsidR="006D5BFA" w:rsidRPr="002E2521">
        <w:rPr>
          <w:rFonts w:ascii="Arial" w:hAnsi="Arial" w:cs="Arial"/>
          <w:sz w:val="22"/>
          <w:szCs w:val="22"/>
        </w:rPr>
        <w:t>They reiterate that their intention is to ensure the recognition of Rubén’s right to undertake vocational training within the mainstream education system, with the necessary adaptations</w:t>
      </w:r>
      <w:r>
        <w:rPr>
          <w:rFonts w:ascii="Arial" w:hAnsi="Arial" w:cs="Arial"/>
          <w:sz w:val="22"/>
          <w:szCs w:val="22"/>
        </w:rPr>
        <w:t xml:space="preserve"> and </w:t>
      </w:r>
      <w:r w:rsidR="006D5BFA" w:rsidRPr="002E2521">
        <w:rPr>
          <w:rFonts w:ascii="Arial" w:hAnsi="Arial" w:cs="Arial"/>
          <w:sz w:val="22"/>
          <w:szCs w:val="22"/>
        </w:rPr>
        <w:t>an official certific</w:t>
      </w:r>
      <w:r w:rsidR="00646FC8">
        <w:rPr>
          <w:rFonts w:ascii="Arial" w:hAnsi="Arial" w:cs="Arial"/>
          <w:sz w:val="22"/>
          <w:szCs w:val="22"/>
        </w:rPr>
        <w:t>ation</w:t>
      </w:r>
      <w:r w:rsidR="006D5BFA" w:rsidRPr="002E2521">
        <w:rPr>
          <w:rFonts w:ascii="Arial" w:hAnsi="Arial" w:cs="Arial"/>
          <w:sz w:val="22"/>
          <w:szCs w:val="22"/>
        </w:rPr>
        <w:t>.</w:t>
      </w:r>
    </w:p>
    <w:p w14:paraId="053A2DCC" w14:textId="1587A640" w:rsidR="006D5BFA" w:rsidRDefault="00903641" w:rsidP="00342F13">
      <w:pPr>
        <w:pStyle w:val="SingleTxtG"/>
        <w:tabs>
          <w:tab w:val="left" w:pos="8221"/>
        </w:tabs>
        <w:ind w:left="0"/>
        <w:rPr>
          <w:rFonts w:ascii="Arial" w:hAnsi="Arial" w:cs="Arial"/>
          <w:sz w:val="22"/>
          <w:szCs w:val="22"/>
        </w:rPr>
      </w:pPr>
      <w:r w:rsidRPr="00A51AAF">
        <w:rPr>
          <w:rFonts w:ascii="Arial" w:hAnsi="Arial" w:cs="Arial"/>
          <w:sz w:val="22"/>
          <w:szCs w:val="22"/>
          <w:u w:val="single"/>
        </w:rPr>
        <w:t xml:space="preserve">Regarding articles </w:t>
      </w:r>
      <w:r w:rsidR="006D5BFA" w:rsidRPr="00A51AAF">
        <w:rPr>
          <w:rFonts w:ascii="Arial" w:hAnsi="Arial" w:cs="Arial"/>
          <w:sz w:val="22"/>
          <w:szCs w:val="22"/>
          <w:u w:val="single"/>
        </w:rPr>
        <w:t>4, 7, 13,</w:t>
      </w:r>
      <w:r w:rsidRPr="00A51AAF">
        <w:rPr>
          <w:rFonts w:ascii="Arial" w:hAnsi="Arial" w:cs="Arial"/>
          <w:sz w:val="22"/>
          <w:szCs w:val="22"/>
          <w:u w:val="single"/>
        </w:rPr>
        <w:t xml:space="preserve"> 15, 17 and 23</w:t>
      </w:r>
      <w:r>
        <w:rPr>
          <w:rFonts w:ascii="Arial" w:hAnsi="Arial" w:cs="Arial"/>
          <w:sz w:val="22"/>
          <w:szCs w:val="22"/>
        </w:rPr>
        <w:t xml:space="preserve">, </w:t>
      </w:r>
      <w:r w:rsidR="00EF22B3">
        <w:rPr>
          <w:rFonts w:ascii="Arial" w:hAnsi="Arial" w:cs="Arial"/>
          <w:sz w:val="22"/>
          <w:szCs w:val="22"/>
        </w:rPr>
        <w:t xml:space="preserve">the authors </w:t>
      </w:r>
      <w:r w:rsidR="006D5BFA" w:rsidRPr="002E2521">
        <w:rPr>
          <w:rFonts w:ascii="Arial" w:hAnsi="Arial" w:cs="Arial"/>
          <w:sz w:val="22"/>
          <w:szCs w:val="22"/>
        </w:rPr>
        <w:t xml:space="preserve">note that the State </w:t>
      </w:r>
      <w:r w:rsidR="00EF22B3">
        <w:rPr>
          <w:rFonts w:ascii="Arial" w:hAnsi="Arial" w:cs="Arial"/>
          <w:sz w:val="22"/>
          <w:szCs w:val="22"/>
        </w:rPr>
        <w:t xml:space="preserve">has not commented on the allegations associated with these articles. </w:t>
      </w:r>
    </w:p>
    <w:p w14:paraId="23FB9D50" w14:textId="77777777" w:rsidR="007103A5" w:rsidRPr="007103A5" w:rsidRDefault="007103A5" w:rsidP="00342F13">
      <w:pPr>
        <w:spacing w:after="120" w:line="240" w:lineRule="auto"/>
        <w:rPr>
          <w:rFonts w:ascii="Arial" w:hAnsi="Arial" w:cs="Arial"/>
          <w:b/>
          <w:lang w:val="en-US"/>
        </w:rPr>
      </w:pPr>
      <w:r w:rsidRPr="007103A5">
        <w:rPr>
          <w:rFonts w:ascii="Arial" w:hAnsi="Arial" w:cs="Arial"/>
          <w:b/>
          <w:lang w:val="en-US"/>
        </w:rPr>
        <w:t>Additional submissions by the parties</w:t>
      </w:r>
    </w:p>
    <w:p w14:paraId="47B5C681" w14:textId="6B6D7BAE" w:rsidR="007103A5" w:rsidRPr="007103A5" w:rsidRDefault="007103A5" w:rsidP="00342F13">
      <w:pPr>
        <w:pStyle w:val="SingleTxtG"/>
        <w:tabs>
          <w:tab w:val="left" w:pos="8221"/>
        </w:tabs>
        <w:ind w:left="0"/>
        <w:rPr>
          <w:rFonts w:ascii="Arial" w:hAnsi="Arial" w:cs="Arial"/>
          <w:sz w:val="22"/>
          <w:szCs w:val="22"/>
        </w:rPr>
      </w:pPr>
      <w:r w:rsidRPr="007103A5">
        <w:rPr>
          <w:rFonts w:ascii="Arial" w:hAnsi="Arial" w:cs="Arial"/>
          <w:sz w:val="22"/>
          <w:szCs w:val="22"/>
          <w:u w:val="single"/>
        </w:rPr>
        <w:lastRenderedPageBreak/>
        <w:t>On the part of the State:</w:t>
      </w:r>
      <w:r w:rsidRPr="007103A5">
        <w:rPr>
          <w:rFonts w:ascii="Arial" w:hAnsi="Arial" w:cs="Arial"/>
          <w:sz w:val="22"/>
          <w:szCs w:val="22"/>
        </w:rPr>
        <w:t xml:space="preserve"> In its observations of 30 May 2018, the State argues that the authors have deviated from their initial request by citing violations of articles 4, 7, 13, 15, 17 and 23 of the Convention. In response to the</w:t>
      </w:r>
      <w:r w:rsidR="00D646A8">
        <w:rPr>
          <w:rFonts w:ascii="Arial" w:hAnsi="Arial" w:cs="Arial"/>
          <w:sz w:val="22"/>
          <w:szCs w:val="22"/>
        </w:rPr>
        <w:t xml:space="preserve"> alleged</w:t>
      </w:r>
      <w:r w:rsidRPr="007103A5">
        <w:rPr>
          <w:rFonts w:ascii="Arial" w:hAnsi="Arial" w:cs="Arial"/>
          <w:sz w:val="22"/>
          <w:szCs w:val="22"/>
        </w:rPr>
        <w:t xml:space="preserve"> violation of article 24 of the Convention, it reaffirms that the authors’ request for reparation has been satisfied.</w:t>
      </w:r>
      <w:r w:rsidR="00D646A8">
        <w:rPr>
          <w:rFonts w:ascii="Arial" w:hAnsi="Arial" w:cs="Arial"/>
          <w:sz w:val="22"/>
          <w:szCs w:val="22"/>
        </w:rPr>
        <w:t xml:space="preserve"> </w:t>
      </w:r>
      <w:r w:rsidRPr="007103A5">
        <w:rPr>
          <w:rFonts w:ascii="Arial" w:hAnsi="Arial" w:cs="Arial"/>
          <w:sz w:val="22"/>
          <w:szCs w:val="22"/>
        </w:rPr>
        <w:t xml:space="preserve">Citing Order No. EDU/465/2017 of 13 June 2017, the </w:t>
      </w:r>
      <w:r w:rsidR="00D646A8" w:rsidRPr="007103A5">
        <w:rPr>
          <w:rFonts w:ascii="Arial" w:hAnsi="Arial" w:cs="Arial"/>
          <w:sz w:val="22"/>
          <w:szCs w:val="22"/>
        </w:rPr>
        <w:t>State argues</w:t>
      </w:r>
      <w:r w:rsidRPr="007103A5">
        <w:rPr>
          <w:rFonts w:ascii="Arial" w:hAnsi="Arial" w:cs="Arial"/>
          <w:sz w:val="22"/>
          <w:szCs w:val="22"/>
        </w:rPr>
        <w:t xml:space="preserve"> that the centre</w:t>
      </w:r>
      <w:r w:rsidR="00D646A8">
        <w:rPr>
          <w:rFonts w:ascii="Arial" w:hAnsi="Arial" w:cs="Arial"/>
          <w:sz w:val="22"/>
          <w:szCs w:val="22"/>
        </w:rPr>
        <w:t xml:space="preserve"> </w:t>
      </w:r>
      <w:r w:rsidRPr="007103A5">
        <w:rPr>
          <w:rFonts w:ascii="Arial" w:hAnsi="Arial" w:cs="Arial"/>
          <w:sz w:val="22"/>
          <w:szCs w:val="22"/>
        </w:rPr>
        <w:t>has signed an agreement to provide basic vocational training, not special education</w:t>
      </w:r>
      <w:r w:rsidR="00D646A8">
        <w:rPr>
          <w:rFonts w:ascii="Arial" w:hAnsi="Arial" w:cs="Arial"/>
          <w:sz w:val="22"/>
          <w:szCs w:val="22"/>
        </w:rPr>
        <w:t xml:space="preserve">, and that </w:t>
      </w:r>
      <w:r w:rsidRPr="007103A5">
        <w:rPr>
          <w:rFonts w:ascii="Arial" w:hAnsi="Arial" w:cs="Arial"/>
          <w:sz w:val="22"/>
          <w:szCs w:val="22"/>
        </w:rPr>
        <w:t>both the module that Rubén is studying and the centre that teaches it are part of the State ’s mainstream education system.</w:t>
      </w:r>
    </w:p>
    <w:p w14:paraId="238D3116" w14:textId="3833BB22" w:rsidR="007103A5" w:rsidRPr="007103A5" w:rsidRDefault="007103A5" w:rsidP="00342F13">
      <w:pPr>
        <w:pStyle w:val="SingleTxtG"/>
        <w:tabs>
          <w:tab w:val="left" w:pos="8221"/>
        </w:tabs>
        <w:ind w:left="0"/>
        <w:rPr>
          <w:rFonts w:ascii="Arial" w:hAnsi="Arial" w:cs="Arial"/>
          <w:sz w:val="22"/>
          <w:szCs w:val="22"/>
        </w:rPr>
      </w:pPr>
      <w:r w:rsidRPr="007103A5">
        <w:rPr>
          <w:rFonts w:ascii="Arial" w:hAnsi="Arial" w:cs="Arial"/>
          <w:sz w:val="22"/>
          <w:szCs w:val="22"/>
          <w:u w:val="single"/>
        </w:rPr>
        <w:t>On the part of the authors:</w:t>
      </w:r>
      <w:r w:rsidRPr="007103A5">
        <w:rPr>
          <w:rFonts w:ascii="Arial" w:hAnsi="Arial" w:cs="Arial"/>
          <w:sz w:val="22"/>
          <w:szCs w:val="22"/>
        </w:rPr>
        <w:t xml:space="preserve"> On 19 September 2018, the authors submitted additional comments, stating that the administrative services module taught at the private centre is not designed to be inclusive: it is a vocational training programme for students with special educational support needs. </w:t>
      </w:r>
      <w:r w:rsidRPr="00895B9E">
        <w:rPr>
          <w:rFonts w:ascii="Arial" w:hAnsi="Arial" w:cs="Arial"/>
          <w:sz w:val="22"/>
          <w:szCs w:val="22"/>
        </w:rPr>
        <w:t>Order No. EDU/465/2017 of 13 June 2017</w:t>
      </w:r>
      <w:r w:rsidR="008E2112">
        <w:rPr>
          <w:rFonts w:ascii="Arial" w:hAnsi="Arial" w:cs="Arial"/>
          <w:sz w:val="22"/>
          <w:szCs w:val="22"/>
        </w:rPr>
        <w:t xml:space="preserve">, </w:t>
      </w:r>
      <w:r w:rsidR="008E2112" w:rsidRPr="00895B9E">
        <w:rPr>
          <w:rFonts w:ascii="Arial" w:hAnsi="Arial" w:cs="Arial"/>
          <w:sz w:val="22"/>
          <w:szCs w:val="22"/>
        </w:rPr>
        <w:t>issued after the Committee</w:t>
      </w:r>
      <w:r w:rsidR="008E2112">
        <w:rPr>
          <w:rFonts w:ascii="Arial" w:hAnsi="Arial" w:cs="Arial"/>
          <w:sz w:val="22"/>
          <w:szCs w:val="22"/>
        </w:rPr>
        <w:t>’s visit to</w:t>
      </w:r>
      <w:r w:rsidR="008E2112" w:rsidRPr="00895B9E">
        <w:rPr>
          <w:rFonts w:ascii="Arial" w:hAnsi="Arial" w:cs="Arial"/>
          <w:sz w:val="22"/>
          <w:szCs w:val="22"/>
        </w:rPr>
        <w:t xml:space="preserve"> the State</w:t>
      </w:r>
      <w:r w:rsidR="008E2112">
        <w:rPr>
          <w:rFonts w:ascii="Arial" w:hAnsi="Arial" w:cs="Arial"/>
          <w:sz w:val="22"/>
          <w:szCs w:val="22"/>
        </w:rPr>
        <w:t>,</w:t>
      </w:r>
      <w:r w:rsidRPr="00895B9E">
        <w:rPr>
          <w:rFonts w:ascii="Arial" w:hAnsi="Arial" w:cs="Arial"/>
          <w:sz w:val="22"/>
          <w:szCs w:val="22"/>
        </w:rPr>
        <w:t xml:space="preserve"> continues to prop up a segregated special education system contrary to the C</w:t>
      </w:r>
      <w:r w:rsidR="00895B9E" w:rsidRPr="00895B9E">
        <w:rPr>
          <w:rFonts w:ascii="Arial" w:hAnsi="Arial" w:cs="Arial"/>
          <w:sz w:val="22"/>
          <w:szCs w:val="22"/>
        </w:rPr>
        <w:t>onvention</w:t>
      </w:r>
      <w:r w:rsidRPr="00895B9E">
        <w:rPr>
          <w:rFonts w:ascii="Arial" w:hAnsi="Arial" w:cs="Arial"/>
          <w:sz w:val="22"/>
          <w:szCs w:val="22"/>
        </w:rPr>
        <w:t xml:space="preserve">. </w:t>
      </w:r>
    </w:p>
    <w:p w14:paraId="7AA0D3E2" w14:textId="72F738E0" w:rsidR="007103A5" w:rsidRPr="007103A5" w:rsidRDefault="007103A5" w:rsidP="00342F13">
      <w:pPr>
        <w:pStyle w:val="SingleTxtG"/>
        <w:tabs>
          <w:tab w:val="left" w:pos="8221"/>
        </w:tabs>
        <w:ind w:left="0"/>
        <w:rPr>
          <w:rFonts w:ascii="Arial" w:hAnsi="Arial" w:cs="Arial"/>
          <w:sz w:val="22"/>
          <w:szCs w:val="22"/>
        </w:rPr>
      </w:pPr>
      <w:r w:rsidRPr="007103A5">
        <w:rPr>
          <w:rFonts w:ascii="Arial" w:hAnsi="Arial" w:cs="Arial"/>
          <w:sz w:val="22"/>
          <w:szCs w:val="22"/>
        </w:rPr>
        <w:t>The authors reiterate their allegations with regard to the violation of artic</w:t>
      </w:r>
      <w:r w:rsidR="00CE5A6F">
        <w:rPr>
          <w:rFonts w:ascii="Arial" w:hAnsi="Arial" w:cs="Arial"/>
          <w:sz w:val="22"/>
          <w:szCs w:val="22"/>
        </w:rPr>
        <w:t xml:space="preserve">les 4, 7, 13, 15, 17 and 23 of </w:t>
      </w:r>
      <w:r w:rsidRPr="007103A5">
        <w:rPr>
          <w:rFonts w:ascii="Arial" w:hAnsi="Arial" w:cs="Arial"/>
          <w:sz w:val="22"/>
          <w:szCs w:val="22"/>
        </w:rPr>
        <w:t xml:space="preserve">the CRPD. They have not received adequate protection from the administration or effective protection of their rights under the CRPD and the State ’s Constitution. </w:t>
      </w:r>
    </w:p>
    <w:p w14:paraId="06ED7C77" w14:textId="77777777" w:rsidR="00D843F2" w:rsidRDefault="00D843F2" w:rsidP="00342F13">
      <w:pPr>
        <w:pStyle w:val="SingleTxtG"/>
        <w:tabs>
          <w:tab w:val="left" w:pos="8221"/>
        </w:tabs>
        <w:ind w:left="0"/>
        <w:rPr>
          <w:rFonts w:ascii="Arial" w:hAnsi="Arial" w:cs="Arial"/>
          <w:b/>
          <w:sz w:val="22"/>
          <w:szCs w:val="22"/>
        </w:rPr>
      </w:pPr>
      <w:r w:rsidRPr="00D843F2">
        <w:rPr>
          <w:rFonts w:ascii="Arial" w:hAnsi="Arial" w:cs="Arial"/>
          <w:b/>
          <w:sz w:val="22"/>
          <w:szCs w:val="22"/>
        </w:rPr>
        <w:t>Committee’s consideration of admissibility</w:t>
      </w:r>
    </w:p>
    <w:p w14:paraId="5FCCA257" w14:textId="48FD8600" w:rsidR="00D843F2" w:rsidRPr="0047040F" w:rsidRDefault="00D843F2" w:rsidP="00342F13">
      <w:pPr>
        <w:pStyle w:val="SingleTxtG"/>
        <w:tabs>
          <w:tab w:val="left" w:pos="8221"/>
        </w:tabs>
        <w:ind w:left="0"/>
        <w:rPr>
          <w:rFonts w:ascii="Arial" w:hAnsi="Arial" w:cs="Arial"/>
          <w:sz w:val="22"/>
          <w:szCs w:val="22"/>
        </w:rPr>
      </w:pPr>
      <w:r w:rsidRPr="0047040F">
        <w:rPr>
          <w:rFonts w:ascii="Arial" w:hAnsi="Arial" w:cs="Arial"/>
          <w:sz w:val="22"/>
          <w:szCs w:val="22"/>
        </w:rPr>
        <w:t>The Committee notes the authors’ claim that they have exhausted all effective domestic remedies available to them. In the absence of any objection by the State</w:t>
      </w:r>
      <w:r w:rsidR="0047040F" w:rsidRPr="0047040F">
        <w:rPr>
          <w:rFonts w:ascii="Arial" w:hAnsi="Arial" w:cs="Arial"/>
          <w:sz w:val="22"/>
          <w:szCs w:val="22"/>
        </w:rPr>
        <w:t xml:space="preserve"> on this</w:t>
      </w:r>
      <w:r w:rsidRPr="0047040F">
        <w:rPr>
          <w:rFonts w:ascii="Arial" w:hAnsi="Arial" w:cs="Arial"/>
          <w:sz w:val="22"/>
          <w:szCs w:val="22"/>
        </w:rPr>
        <w:t>, the Committee considers that the requirements of article 2 (d) of the Optional Protocol have been met.</w:t>
      </w:r>
    </w:p>
    <w:p w14:paraId="79593816" w14:textId="6150BF02" w:rsidR="007D4C0F" w:rsidRDefault="00D843F2" w:rsidP="00342F13">
      <w:pPr>
        <w:pStyle w:val="SingleTxtG"/>
        <w:tabs>
          <w:tab w:val="left" w:pos="8221"/>
        </w:tabs>
        <w:ind w:left="0"/>
        <w:rPr>
          <w:rFonts w:ascii="Arial" w:hAnsi="Arial" w:cs="Arial"/>
          <w:sz w:val="22"/>
          <w:szCs w:val="22"/>
        </w:rPr>
      </w:pPr>
      <w:r w:rsidRPr="00CE2B68">
        <w:rPr>
          <w:rFonts w:ascii="Arial" w:hAnsi="Arial" w:cs="Arial"/>
          <w:sz w:val="22"/>
          <w:szCs w:val="22"/>
        </w:rPr>
        <w:t>The Committee further notes the State ’s argument that the communication should be declared inadmissible because the authors’</w:t>
      </w:r>
      <w:r w:rsidR="0047040F">
        <w:rPr>
          <w:rFonts w:ascii="Arial" w:hAnsi="Arial" w:cs="Arial"/>
          <w:sz w:val="22"/>
          <w:szCs w:val="22"/>
        </w:rPr>
        <w:t xml:space="preserve"> </w:t>
      </w:r>
      <w:r w:rsidRPr="00CE2B68">
        <w:rPr>
          <w:rFonts w:ascii="Arial" w:hAnsi="Arial" w:cs="Arial"/>
          <w:sz w:val="22"/>
          <w:szCs w:val="22"/>
        </w:rPr>
        <w:t xml:space="preserve">request for reparation has been met, insofar as Rubén was admitted in the 2017/18 school year to grade 1 of </w:t>
      </w:r>
      <w:r w:rsidR="0047040F">
        <w:rPr>
          <w:rFonts w:ascii="Arial" w:hAnsi="Arial" w:cs="Arial"/>
          <w:sz w:val="22"/>
          <w:szCs w:val="22"/>
        </w:rPr>
        <w:t xml:space="preserve">a </w:t>
      </w:r>
      <w:r w:rsidRPr="00CE2B68">
        <w:rPr>
          <w:rFonts w:ascii="Arial" w:hAnsi="Arial" w:cs="Arial"/>
          <w:sz w:val="22"/>
          <w:szCs w:val="22"/>
        </w:rPr>
        <w:t>vocational training in the delivery of administrative services at the publicly subsid</w:t>
      </w:r>
      <w:r w:rsidR="00E51038">
        <w:rPr>
          <w:rFonts w:ascii="Arial" w:hAnsi="Arial" w:cs="Arial"/>
          <w:sz w:val="22"/>
          <w:szCs w:val="22"/>
        </w:rPr>
        <w:t>ized private educational centre.</w:t>
      </w:r>
      <w:r w:rsidR="0047040F">
        <w:rPr>
          <w:rFonts w:ascii="Arial" w:hAnsi="Arial" w:cs="Arial"/>
          <w:sz w:val="22"/>
          <w:szCs w:val="22"/>
        </w:rPr>
        <w:t xml:space="preserve"> </w:t>
      </w:r>
      <w:r w:rsidR="00E51038">
        <w:rPr>
          <w:rFonts w:ascii="Arial" w:hAnsi="Arial" w:cs="Arial"/>
          <w:sz w:val="22"/>
          <w:szCs w:val="22"/>
        </w:rPr>
        <w:t>T</w:t>
      </w:r>
      <w:r w:rsidR="00CE2B68" w:rsidRPr="00CE2B68">
        <w:rPr>
          <w:rFonts w:ascii="Arial" w:hAnsi="Arial" w:cs="Arial"/>
          <w:sz w:val="22"/>
          <w:szCs w:val="22"/>
        </w:rPr>
        <w:t xml:space="preserve">he Committee also notes that the authors do not consider their request met, as the centre is not a mainstream educational establishment and the training that Rubén is undertaking is not inclusive in approach but is tailored exclusively to students with special educational support needs. </w:t>
      </w:r>
    </w:p>
    <w:p w14:paraId="6EC99009" w14:textId="0C3076F1" w:rsidR="00E51038" w:rsidRDefault="007D4C0F" w:rsidP="00342F13">
      <w:pPr>
        <w:pStyle w:val="SingleTxtG"/>
        <w:tabs>
          <w:tab w:val="left" w:pos="8221"/>
        </w:tabs>
        <w:ind w:left="0"/>
        <w:rPr>
          <w:rFonts w:ascii="Arial" w:hAnsi="Arial" w:cs="Arial"/>
          <w:sz w:val="22"/>
          <w:szCs w:val="22"/>
        </w:rPr>
      </w:pPr>
      <w:r>
        <w:rPr>
          <w:rFonts w:ascii="Arial" w:hAnsi="Arial" w:cs="Arial"/>
          <w:sz w:val="22"/>
          <w:szCs w:val="22"/>
        </w:rPr>
        <w:t>T</w:t>
      </w:r>
      <w:r w:rsidR="00CE2B68" w:rsidRPr="00CE2B68">
        <w:rPr>
          <w:rFonts w:ascii="Arial" w:hAnsi="Arial" w:cs="Arial"/>
          <w:sz w:val="22"/>
          <w:szCs w:val="22"/>
        </w:rPr>
        <w:t>he Committee notes the authors’ allegations that the State violated their rights under the Convention:</w:t>
      </w:r>
      <w:r w:rsidR="002C55B1" w:rsidRPr="002C55B1">
        <w:rPr>
          <w:rFonts w:ascii="Arial" w:hAnsi="Arial" w:cs="Arial"/>
          <w:sz w:val="22"/>
          <w:szCs w:val="22"/>
          <w:lang w:val="en-US"/>
        </w:rPr>
        <w:t xml:space="preserve"> </w:t>
      </w:r>
      <w:r w:rsidR="00CE2B68" w:rsidRPr="00CE2B68">
        <w:rPr>
          <w:rFonts w:ascii="Arial" w:hAnsi="Arial" w:cs="Arial"/>
          <w:sz w:val="22"/>
          <w:szCs w:val="22"/>
        </w:rPr>
        <w:t>(a) the administrative decision to enrol Rubén in the special education centre –</w:t>
      </w:r>
      <w:r w:rsidR="00664F9D">
        <w:rPr>
          <w:rFonts w:ascii="Arial" w:hAnsi="Arial" w:cs="Arial"/>
          <w:sz w:val="22"/>
          <w:szCs w:val="22"/>
        </w:rPr>
        <w:t xml:space="preserve"> </w:t>
      </w:r>
      <w:r w:rsidR="00CE2B68" w:rsidRPr="00CE2B68">
        <w:rPr>
          <w:rFonts w:ascii="Arial" w:hAnsi="Arial" w:cs="Arial"/>
          <w:sz w:val="22"/>
          <w:szCs w:val="22"/>
        </w:rPr>
        <w:t>upheld by the State ’s courts – violated his right to inclusive education;</w:t>
      </w:r>
      <w:r w:rsidR="002C55B1" w:rsidRPr="002C55B1">
        <w:rPr>
          <w:rFonts w:ascii="Arial" w:hAnsi="Arial" w:cs="Arial"/>
          <w:sz w:val="22"/>
          <w:szCs w:val="22"/>
          <w:lang w:val="en-US"/>
        </w:rPr>
        <w:t xml:space="preserve"> </w:t>
      </w:r>
      <w:r w:rsidR="00CE2B68" w:rsidRPr="00CE2B68">
        <w:rPr>
          <w:rFonts w:ascii="Arial" w:hAnsi="Arial" w:cs="Arial"/>
          <w:sz w:val="22"/>
          <w:szCs w:val="22"/>
        </w:rPr>
        <w:t>(b) the accusation of neglect made by the León provincial prosecution service against Rubén’s parents on the ground that they had refused to take him to a special education centre violated Rubén’s right to family life;</w:t>
      </w:r>
      <w:r w:rsidR="002C55B1" w:rsidRPr="002C55B1">
        <w:rPr>
          <w:rFonts w:ascii="Arial" w:hAnsi="Arial" w:cs="Arial"/>
          <w:sz w:val="22"/>
          <w:szCs w:val="22"/>
          <w:lang w:val="en-US"/>
        </w:rPr>
        <w:t xml:space="preserve"> </w:t>
      </w:r>
      <w:r w:rsidR="00CE2B68" w:rsidRPr="00CE2B68">
        <w:rPr>
          <w:rFonts w:ascii="Arial" w:hAnsi="Arial" w:cs="Arial"/>
          <w:sz w:val="22"/>
          <w:szCs w:val="22"/>
        </w:rPr>
        <w:t>(c) the alleged acts of discrimination and abuse suffered by Rubén have not been properly investigated by the State ’s authorities;</w:t>
      </w:r>
      <w:r w:rsidR="002C55B1" w:rsidRPr="002C55B1">
        <w:rPr>
          <w:rFonts w:ascii="Arial" w:hAnsi="Arial" w:cs="Arial"/>
          <w:sz w:val="22"/>
          <w:szCs w:val="22"/>
          <w:lang w:val="en-US"/>
        </w:rPr>
        <w:t xml:space="preserve"> </w:t>
      </w:r>
      <w:r w:rsidR="00CE2B68" w:rsidRPr="00CE2B68">
        <w:rPr>
          <w:rFonts w:ascii="Arial" w:hAnsi="Arial" w:cs="Arial"/>
          <w:sz w:val="22"/>
          <w:szCs w:val="22"/>
        </w:rPr>
        <w:t>(d) the State has not taken steps to ensure that Rubén enjoys all his rights on an equal</w:t>
      </w:r>
      <w:r w:rsidR="00E51038">
        <w:rPr>
          <w:rFonts w:ascii="Arial" w:hAnsi="Arial" w:cs="Arial"/>
          <w:sz w:val="22"/>
          <w:szCs w:val="22"/>
        </w:rPr>
        <w:t xml:space="preserve"> basis with other children; </w:t>
      </w:r>
      <w:r w:rsidR="00CE2B68" w:rsidRPr="00CE2B68">
        <w:rPr>
          <w:rFonts w:ascii="Arial" w:hAnsi="Arial" w:cs="Arial"/>
          <w:sz w:val="22"/>
          <w:szCs w:val="22"/>
        </w:rPr>
        <w:t xml:space="preserve">(e) the State has not adopted a legislative framework or an effective policy that ensures the full realization of Rubén’s human rights, despite the fact that the Convention entered into force for the State  on 3 May 2008. </w:t>
      </w:r>
    </w:p>
    <w:p w14:paraId="45A7A6C6" w14:textId="231CCB2B" w:rsidR="00516525" w:rsidRDefault="00CE2B68" w:rsidP="00342F13">
      <w:pPr>
        <w:pStyle w:val="SingleTxtG"/>
        <w:tabs>
          <w:tab w:val="left" w:pos="8221"/>
        </w:tabs>
        <w:ind w:left="0"/>
        <w:rPr>
          <w:rFonts w:ascii="Arial" w:hAnsi="Arial" w:cs="Arial"/>
          <w:sz w:val="22"/>
          <w:szCs w:val="22"/>
        </w:rPr>
      </w:pPr>
      <w:r w:rsidRPr="00CE2B68">
        <w:rPr>
          <w:rFonts w:ascii="Arial" w:hAnsi="Arial" w:cs="Arial"/>
          <w:sz w:val="22"/>
          <w:szCs w:val="22"/>
          <w:u w:val="single"/>
        </w:rPr>
        <w:t xml:space="preserve">In view of the above and given that the State has not commented on </w:t>
      </w:r>
      <w:r w:rsidR="00664F9D">
        <w:rPr>
          <w:rFonts w:ascii="Arial" w:hAnsi="Arial" w:cs="Arial"/>
          <w:sz w:val="22"/>
          <w:szCs w:val="22"/>
          <w:u w:val="single"/>
        </w:rPr>
        <w:t>its regard</w:t>
      </w:r>
      <w:r w:rsidRPr="00CE2B68">
        <w:rPr>
          <w:rFonts w:ascii="Arial" w:hAnsi="Arial" w:cs="Arial"/>
          <w:sz w:val="22"/>
          <w:szCs w:val="22"/>
          <w:u w:val="single"/>
        </w:rPr>
        <w:t xml:space="preserve">, the Committee considers that the authors have sufficiently substantiated their claims for </w:t>
      </w:r>
      <w:r w:rsidR="00664F9D" w:rsidRPr="00CE2B68">
        <w:rPr>
          <w:rFonts w:ascii="Arial" w:hAnsi="Arial" w:cs="Arial"/>
          <w:sz w:val="22"/>
          <w:szCs w:val="22"/>
          <w:u w:val="single"/>
        </w:rPr>
        <w:t>admissibility</w:t>
      </w:r>
      <w:r w:rsidR="00664F9D" w:rsidRPr="00CE2B68">
        <w:rPr>
          <w:rFonts w:ascii="Arial" w:hAnsi="Arial" w:cs="Arial"/>
          <w:sz w:val="22"/>
          <w:szCs w:val="22"/>
          <w:u w:val="single"/>
        </w:rPr>
        <w:t xml:space="preserve"> </w:t>
      </w:r>
      <w:r w:rsidRPr="00CE2B68">
        <w:rPr>
          <w:rFonts w:ascii="Arial" w:hAnsi="Arial" w:cs="Arial"/>
          <w:sz w:val="22"/>
          <w:szCs w:val="22"/>
          <w:u w:val="single"/>
        </w:rPr>
        <w:t>purposes</w:t>
      </w:r>
      <w:r w:rsidRPr="00CE2B68">
        <w:rPr>
          <w:rFonts w:ascii="Arial" w:hAnsi="Arial" w:cs="Arial"/>
          <w:sz w:val="22"/>
          <w:szCs w:val="22"/>
        </w:rPr>
        <w:t>.</w:t>
      </w:r>
    </w:p>
    <w:p w14:paraId="4BB5DD5C" w14:textId="08F26F35" w:rsidR="00CE2B68" w:rsidRPr="005F777D" w:rsidRDefault="005F777D" w:rsidP="00342F13">
      <w:pPr>
        <w:pStyle w:val="SingleTxtG"/>
        <w:tabs>
          <w:tab w:val="left" w:pos="8221"/>
        </w:tabs>
        <w:ind w:left="0"/>
        <w:rPr>
          <w:rFonts w:ascii="Arial" w:hAnsi="Arial" w:cs="Arial"/>
          <w:sz w:val="22"/>
          <w:szCs w:val="22"/>
          <w:u w:val="single"/>
        </w:rPr>
      </w:pPr>
      <w:r w:rsidRPr="005F777D">
        <w:rPr>
          <w:rFonts w:ascii="Arial" w:hAnsi="Arial" w:cs="Arial"/>
          <w:sz w:val="22"/>
          <w:szCs w:val="22"/>
          <w:u w:val="single"/>
          <w:lang w:val="en-US"/>
        </w:rPr>
        <w:t>Regarding article 13,</w:t>
      </w:r>
      <w:r>
        <w:rPr>
          <w:rFonts w:ascii="Arial" w:hAnsi="Arial" w:cs="Arial"/>
          <w:sz w:val="22"/>
          <w:szCs w:val="22"/>
          <w:lang w:val="en-US"/>
        </w:rPr>
        <w:t xml:space="preserve"> </w:t>
      </w:r>
      <w:r w:rsidR="00CE2B68" w:rsidRPr="00CE2B68">
        <w:rPr>
          <w:rFonts w:ascii="Arial" w:hAnsi="Arial" w:cs="Arial"/>
          <w:sz w:val="22"/>
          <w:szCs w:val="22"/>
        </w:rPr>
        <w:t xml:space="preserve">the Committee considers that these allegations have not been sufficiently substantiated for the purposes of admissibility, since the authors do not provide any information </w:t>
      </w:r>
      <w:r w:rsidR="00664F9D">
        <w:rPr>
          <w:rFonts w:ascii="Arial" w:hAnsi="Arial" w:cs="Arial"/>
          <w:sz w:val="22"/>
          <w:szCs w:val="22"/>
        </w:rPr>
        <w:t>on</w:t>
      </w:r>
      <w:r w:rsidR="00CE2B68" w:rsidRPr="00CE2B68">
        <w:rPr>
          <w:rFonts w:ascii="Arial" w:hAnsi="Arial" w:cs="Arial"/>
          <w:sz w:val="22"/>
          <w:szCs w:val="22"/>
        </w:rPr>
        <w:t xml:space="preserve"> a lack of training programmes for persons working in the administration of justice in the State. </w:t>
      </w:r>
      <w:r w:rsidR="00CE2B68" w:rsidRPr="005F777D">
        <w:rPr>
          <w:rFonts w:ascii="Arial" w:hAnsi="Arial" w:cs="Arial"/>
          <w:sz w:val="22"/>
          <w:szCs w:val="22"/>
          <w:u w:val="single"/>
        </w:rPr>
        <w:t>It therefore declares them inadmissible in accordance with article 7(f) of the Optional Protocol.</w:t>
      </w:r>
    </w:p>
    <w:p w14:paraId="1AF9EDB0" w14:textId="77777777" w:rsidR="00CE2B68" w:rsidRDefault="00CE2B68" w:rsidP="00342F13">
      <w:pPr>
        <w:pStyle w:val="SingleTxtG"/>
        <w:tabs>
          <w:tab w:val="left" w:pos="8221"/>
        </w:tabs>
        <w:ind w:left="0"/>
        <w:rPr>
          <w:rFonts w:ascii="Arial" w:hAnsi="Arial" w:cs="Arial"/>
          <w:sz w:val="22"/>
          <w:szCs w:val="22"/>
        </w:rPr>
      </w:pPr>
      <w:r w:rsidRPr="00CE2B68">
        <w:rPr>
          <w:rFonts w:ascii="Arial" w:hAnsi="Arial" w:cs="Arial"/>
          <w:sz w:val="22"/>
          <w:szCs w:val="22"/>
        </w:rPr>
        <w:t>Consequently, and in the absence of any other obstacles with regard to admissibility, the Committee finds the communication admissible under article 2 of the Optional Protocol as regards the authors’ claims of the violation of articles 24, 23, 7, 15 and 17 of the Convention, read alone and in conjunction with article 4, and proceeds to its consideration of the merits.</w:t>
      </w:r>
    </w:p>
    <w:p w14:paraId="0120358F" w14:textId="77777777" w:rsidR="004163C4" w:rsidRPr="004163C4" w:rsidRDefault="004163C4" w:rsidP="00342F13">
      <w:pPr>
        <w:spacing w:after="120" w:line="240" w:lineRule="auto"/>
        <w:rPr>
          <w:rFonts w:ascii="Arial" w:hAnsi="Arial" w:cs="Arial"/>
          <w:b/>
          <w:lang w:val="en-US"/>
        </w:rPr>
      </w:pPr>
      <w:r w:rsidRPr="004163C4">
        <w:rPr>
          <w:rFonts w:ascii="Arial" w:hAnsi="Arial" w:cs="Arial"/>
          <w:b/>
          <w:lang w:val="en-US"/>
        </w:rPr>
        <w:t>Committee’s consideration of the merits</w:t>
      </w:r>
    </w:p>
    <w:p w14:paraId="4BB36067" w14:textId="127E6076" w:rsidR="004163C4" w:rsidRPr="004163C4" w:rsidRDefault="004163C4" w:rsidP="00342F13">
      <w:pPr>
        <w:pStyle w:val="SingleTxtG"/>
        <w:tabs>
          <w:tab w:val="left" w:pos="8221"/>
        </w:tabs>
        <w:ind w:left="0"/>
        <w:rPr>
          <w:rFonts w:ascii="Arial" w:hAnsi="Arial" w:cs="Arial"/>
          <w:sz w:val="22"/>
          <w:szCs w:val="22"/>
        </w:rPr>
      </w:pPr>
      <w:r w:rsidRPr="004163C4">
        <w:rPr>
          <w:rFonts w:ascii="Arial" w:hAnsi="Arial" w:cs="Arial"/>
          <w:sz w:val="22"/>
          <w:szCs w:val="22"/>
        </w:rPr>
        <w:t>The Committee has considered the communication in the light of all the information received</w:t>
      </w:r>
      <w:r w:rsidR="00664F9D">
        <w:rPr>
          <w:rFonts w:ascii="Arial" w:hAnsi="Arial" w:cs="Arial"/>
          <w:sz w:val="22"/>
          <w:szCs w:val="22"/>
        </w:rPr>
        <w:t>.</w:t>
      </w:r>
    </w:p>
    <w:p w14:paraId="3B8624C3" w14:textId="6901B324" w:rsidR="004163C4" w:rsidRPr="004163C4" w:rsidRDefault="005E24AD" w:rsidP="00342F13">
      <w:pPr>
        <w:pStyle w:val="SingleTxtG"/>
        <w:tabs>
          <w:tab w:val="left" w:pos="8221"/>
        </w:tabs>
        <w:ind w:left="0"/>
        <w:rPr>
          <w:rFonts w:ascii="Arial" w:hAnsi="Arial" w:cs="Arial"/>
          <w:sz w:val="22"/>
          <w:szCs w:val="22"/>
        </w:rPr>
      </w:pPr>
      <w:r w:rsidRPr="00A5664D">
        <w:rPr>
          <w:rFonts w:ascii="Arial" w:hAnsi="Arial" w:cs="Arial"/>
          <w:sz w:val="22"/>
          <w:szCs w:val="22"/>
          <w:u w:val="single"/>
        </w:rPr>
        <w:t>Regarding article 24</w:t>
      </w:r>
      <w:r w:rsidRPr="00A5664D">
        <w:rPr>
          <w:rFonts w:ascii="Arial" w:hAnsi="Arial" w:cs="Arial"/>
          <w:sz w:val="22"/>
          <w:szCs w:val="22"/>
        </w:rPr>
        <w:t xml:space="preserve">, </w:t>
      </w:r>
      <w:r w:rsidR="004163C4" w:rsidRPr="004163C4">
        <w:rPr>
          <w:rFonts w:ascii="Arial" w:hAnsi="Arial" w:cs="Arial"/>
          <w:sz w:val="22"/>
          <w:szCs w:val="22"/>
        </w:rPr>
        <w:t>the Committee notes that, according to the authors, the a</w:t>
      </w:r>
      <w:r w:rsidR="00A5664D">
        <w:rPr>
          <w:rFonts w:ascii="Arial" w:hAnsi="Arial" w:cs="Arial"/>
          <w:sz w:val="22"/>
          <w:szCs w:val="22"/>
        </w:rPr>
        <w:t>dministrative decision to enrol</w:t>
      </w:r>
      <w:r w:rsidR="004163C4" w:rsidRPr="004163C4">
        <w:rPr>
          <w:rFonts w:ascii="Arial" w:hAnsi="Arial" w:cs="Arial"/>
          <w:sz w:val="22"/>
          <w:szCs w:val="22"/>
        </w:rPr>
        <w:t xml:space="preserve"> Rubén in the special education centre –upheld by the State ’s courts– violated his right to an inclusive education. The Committee further notes that it does not appear that the </w:t>
      </w:r>
      <w:r w:rsidR="004163C4" w:rsidRPr="004163C4">
        <w:rPr>
          <w:rFonts w:ascii="Arial" w:hAnsi="Arial" w:cs="Arial"/>
          <w:sz w:val="22"/>
          <w:szCs w:val="22"/>
        </w:rPr>
        <w:lastRenderedPageBreak/>
        <w:t xml:space="preserve">State ’s authorities have carried out a </w:t>
      </w:r>
      <w:r w:rsidR="004163C4" w:rsidRPr="00CB674B">
        <w:rPr>
          <w:rFonts w:ascii="Arial" w:hAnsi="Arial" w:cs="Arial"/>
          <w:sz w:val="22"/>
          <w:szCs w:val="22"/>
          <w:u w:val="single"/>
        </w:rPr>
        <w:t>reasonable assessment of Rubén’s educational needs</w:t>
      </w:r>
      <w:r w:rsidR="004163C4" w:rsidRPr="004163C4">
        <w:rPr>
          <w:rFonts w:ascii="Arial" w:hAnsi="Arial" w:cs="Arial"/>
          <w:sz w:val="22"/>
          <w:szCs w:val="22"/>
        </w:rPr>
        <w:t xml:space="preserve"> and the reasonable accommodations </w:t>
      </w:r>
      <w:r w:rsidR="00664F9D">
        <w:rPr>
          <w:rFonts w:ascii="Arial" w:hAnsi="Arial" w:cs="Arial"/>
          <w:sz w:val="22"/>
          <w:szCs w:val="22"/>
        </w:rPr>
        <w:t xml:space="preserve">he </w:t>
      </w:r>
      <w:r w:rsidR="004163C4" w:rsidRPr="004163C4">
        <w:rPr>
          <w:rFonts w:ascii="Arial" w:hAnsi="Arial" w:cs="Arial"/>
          <w:sz w:val="22"/>
          <w:szCs w:val="22"/>
        </w:rPr>
        <w:t xml:space="preserve">needed to continue attending a mainstream school. </w:t>
      </w:r>
    </w:p>
    <w:p w14:paraId="5A15A677" w14:textId="53613CBF" w:rsidR="004163C4" w:rsidRDefault="004163C4" w:rsidP="00342F13">
      <w:pPr>
        <w:pStyle w:val="SingleTxtG"/>
        <w:tabs>
          <w:tab w:val="left" w:pos="8221"/>
        </w:tabs>
        <w:ind w:left="0"/>
        <w:rPr>
          <w:rFonts w:ascii="Arial" w:hAnsi="Arial" w:cs="Arial"/>
          <w:sz w:val="22"/>
          <w:szCs w:val="22"/>
        </w:rPr>
      </w:pPr>
      <w:r w:rsidRPr="004163C4">
        <w:rPr>
          <w:rFonts w:ascii="Arial" w:hAnsi="Arial" w:cs="Arial"/>
          <w:sz w:val="22"/>
          <w:szCs w:val="22"/>
        </w:rPr>
        <w:t xml:space="preserve">The Committee also notes that Rubén did not have a special education assistant at the beginning of the 2010/11 school year, since the teacher had decided that an assistant was not needed; the assistant was only assigned later, at </w:t>
      </w:r>
      <w:r w:rsidR="007D4C0F">
        <w:rPr>
          <w:rFonts w:ascii="Arial" w:hAnsi="Arial" w:cs="Arial"/>
          <w:sz w:val="22"/>
          <w:szCs w:val="22"/>
        </w:rPr>
        <w:t>the request of Rubén’s parents.</w:t>
      </w:r>
      <w:r w:rsidR="00113C92">
        <w:rPr>
          <w:rFonts w:ascii="Arial" w:hAnsi="Arial" w:cs="Arial"/>
          <w:sz w:val="22"/>
          <w:szCs w:val="22"/>
        </w:rPr>
        <w:t xml:space="preserve"> Besides, </w:t>
      </w:r>
      <w:r w:rsidRPr="004163C4">
        <w:rPr>
          <w:rFonts w:ascii="Arial" w:hAnsi="Arial" w:cs="Arial"/>
          <w:sz w:val="22"/>
          <w:szCs w:val="22"/>
        </w:rPr>
        <w:t xml:space="preserve">the decisions issued by the judicial authorities of the State do not give any weight to the report drawn up by the clinical psychologist G.C. indicating that Rubén’s difficulties in adjusting to schooling in the mainstream establishment were due to a lack of educational support and the discriminatory, hostile environment that he experienced there. </w:t>
      </w:r>
      <w:r w:rsidR="00CB674B">
        <w:rPr>
          <w:rFonts w:ascii="Arial" w:hAnsi="Arial" w:cs="Arial"/>
          <w:sz w:val="22"/>
          <w:szCs w:val="22"/>
        </w:rPr>
        <w:t>Regarding t</w:t>
      </w:r>
      <w:r w:rsidRPr="004163C4">
        <w:rPr>
          <w:rFonts w:ascii="Arial" w:hAnsi="Arial" w:cs="Arial"/>
          <w:sz w:val="22"/>
          <w:szCs w:val="22"/>
        </w:rPr>
        <w:t xml:space="preserve">he authors claim </w:t>
      </w:r>
      <w:r w:rsidR="00970467">
        <w:rPr>
          <w:rFonts w:ascii="Arial" w:hAnsi="Arial" w:cs="Arial"/>
          <w:sz w:val="22"/>
          <w:szCs w:val="22"/>
        </w:rPr>
        <w:t>on</w:t>
      </w:r>
      <w:r w:rsidRPr="004163C4">
        <w:rPr>
          <w:rFonts w:ascii="Arial" w:hAnsi="Arial" w:cs="Arial"/>
          <w:sz w:val="22"/>
          <w:szCs w:val="22"/>
        </w:rPr>
        <w:t xml:space="preserve"> </w:t>
      </w:r>
      <w:r w:rsidRPr="00CB674B">
        <w:rPr>
          <w:rFonts w:ascii="Arial" w:hAnsi="Arial" w:cs="Arial"/>
          <w:sz w:val="22"/>
          <w:szCs w:val="22"/>
          <w:u w:val="single"/>
        </w:rPr>
        <w:t>article 24 read in conjunction with article 4 of the Convention</w:t>
      </w:r>
      <w:r w:rsidRPr="00CB674B">
        <w:rPr>
          <w:rFonts w:ascii="Arial" w:hAnsi="Arial" w:cs="Arial"/>
          <w:sz w:val="22"/>
          <w:szCs w:val="22"/>
        </w:rPr>
        <w:t xml:space="preserve"> </w:t>
      </w:r>
      <w:r w:rsidR="00970467">
        <w:rPr>
          <w:rFonts w:ascii="Arial" w:hAnsi="Arial" w:cs="Arial"/>
          <w:sz w:val="22"/>
          <w:szCs w:val="22"/>
        </w:rPr>
        <w:t xml:space="preserve">(lack of </w:t>
      </w:r>
      <w:r w:rsidR="00CB674B" w:rsidRPr="00CB674B">
        <w:rPr>
          <w:rFonts w:ascii="Arial" w:hAnsi="Arial" w:cs="Arial"/>
          <w:sz w:val="22"/>
          <w:szCs w:val="22"/>
        </w:rPr>
        <w:t>adopt</w:t>
      </w:r>
      <w:r w:rsidR="00970467">
        <w:rPr>
          <w:rFonts w:ascii="Arial" w:hAnsi="Arial" w:cs="Arial"/>
          <w:sz w:val="22"/>
          <w:szCs w:val="22"/>
        </w:rPr>
        <w:t>ion of</w:t>
      </w:r>
      <w:r w:rsidR="00CB674B" w:rsidRPr="00CB674B">
        <w:rPr>
          <w:rFonts w:ascii="Arial" w:hAnsi="Arial" w:cs="Arial"/>
          <w:sz w:val="22"/>
          <w:szCs w:val="22"/>
        </w:rPr>
        <w:t xml:space="preserve"> legislation or policies </w:t>
      </w:r>
      <w:r w:rsidR="00970467">
        <w:rPr>
          <w:rFonts w:ascii="Arial" w:hAnsi="Arial" w:cs="Arial"/>
          <w:sz w:val="22"/>
          <w:szCs w:val="22"/>
        </w:rPr>
        <w:t>to</w:t>
      </w:r>
      <w:r w:rsidR="00CB674B" w:rsidRPr="00CB674B">
        <w:rPr>
          <w:rFonts w:ascii="Arial" w:hAnsi="Arial" w:cs="Arial"/>
          <w:sz w:val="22"/>
          <w:szCs w:val="22"/>
        </w:rPr>
        <w:t xml:space="preserve"> ensure </w:t>
      </w:r>
      <w:r w:rsidR="00CB674B" w:rsidRPr="00CB674B">
        <w:rPr>
          <w:rFonts w:ascii="Arial" w:hAnsi="Arial" w:cs="Arial"/>
          <w:sz w:val="22"/>
          <w:szCs w:val="22"/>
        </w:rPr>
        <w:t>the</w:t>
      </w:r>
      <w:r w:rsidR="00CB674B" w:rsidRPr="00CB674B">
        <w:rPr>
          <w:rFonts w:ascii="Arial" w:hAnsi="Arial" w:cs="Arial"/>
          <w:sz w:val="22"/>
          <w:szCs w:val="22"/>
        </w:rPr>
        <w:t xml:space="preserve"> right to inclusive education</w:t>
      </w:r>
      <w:r w:rsidR="00970467">
        <w:rPr>
          <w:rFonts w:ascii="Arial" w:hAnsi="Arial" w:cs="Arial"/>
          <w:sz w:val="22"/>
          <w:szCs w:val="22"/>
        </w:rPr>
        <w:t>)</w:t>
      </w:r>
      <w:r w:rsidR="00CB674B" w:rsidRPr="00CB674B">
        <w:rPr>
          <w:rFonts w:ascii="Arial" w:hAnsi="Arial" w:cs="Arial"/>
          <w:sz w:val="22"/>
          <w:szCs w:val="22"/>
        </w:rPr>
        <w:t xml:space="preserve"> the Committee recalls that: “For article 4 (1) (b) of the Convention to be implemented, States parties should take all appropriate measures, including legislation, to modify or abolish existing laws, regulations, customs and practices that constitute discrimination against persons with disabilities and that are in violation of article 24.”</w:t>
      </w:r>
      <w:r w:rsidR="00CB674B" w:rsidRPr="00CB674B">
        <w:rPr>
          <w:rFonts w:ascii="Arial" w:hAnsi="Arial" w:cs="Arial"/>
          <w:sz w:val="22"/>
          <w:szCs w:val="22"/>
          <w:vertAlign w:val="superscript"/>
        </w:rPr>
        <w:footnoteReference w:id="2"/>
      </w:r>
    </w:p>
    <w:p w14:paraId="0F8835CA" w14:textId="537DF8EE" w:rsidR="00970467" w:rsidRPr="00970467" w:rsidRDefault="00970467" w:rsidP="00342F13">
      <w:pPr>
        <w:pStyle w:val="SingleTxtG"/>
        <w:tabs>
          <w:tab w:val="left" w:pos="8221"/>
        </w:tabs>
        <w:ind w:left="0"/>
        <w:rPr>
          <w:rFonts w:ascii="Arial" w:hAnsi="Arial" w:cs="Arial"/>
          <w:sz w:val="22"/>
          <w:szCs w:val="22"/>
          <w:u w:val="single"/>
        </w:rPr>
      </w:pPr>
      <w:r w:rsidRPr="00970467">
        <w:rPr>
          <w:rFonts w:ascii="Arial" w:hAnsi="Arial" w:cs="Arial"/>
          <w:sz w:val="22"/>
          <w:szCs w:val="22"/>
          <w:u w:val="single"/>
        </w:rPr>
        <w:t xml:space="preserve">To conclude on article 24, the administrative decision to place Ruben in a special education institution, together with the points outlined above, </w:t>
      </w:r>
      <w:r w:rsidRPr="00970467">
        <w:rPr>
          <w:rFonts w:ascii="Arial" w:hAnsi="Arial" w:cs="Arial"/>
          <w:sz w:val="22"/>
          <w:szCs w:val="22"/>
          <w:u w:val="single"/>
        </w:rPr>
        <w:t>constitutes a violation of his rights under article 24 of the Convention read alone and in conjunction with article 4.</w:t>
      </w:r>
    </w:p>
    <w:p w14:paraId="35F9105F" w14:textId="54645F99" w:rsidR="00970467" w:rsidRPr="004163C4" w:rsidRDefault="004163C4" w:rsidP="00342F13">
      <w:pPr>
        <w:pStyle w:val="SingleTxtG"/>
        <w:tabs>
          <w:tab w:val="left" w:pos="8221"/>
        </w:tabs>
        <w:ind w:left="0"/>
        <w:rPr>
          <w:rFonts w:ascii="Arial" w:hAnsi="Arial" w:cs="Arial"/>
          <w:sz w:val="22"/>
          <w:szCs w:val="22"/>
        </w:rPr>
      </w:pPr>
      <w:r w:rsidRPr="00287C97">
        <w:rPr>
          <w:rFonts w:ascii="Arial" w:hAnsi="Arial" w:cs="Arial"/>
          <w:sz w:val="22"/>
          <w:szCs w:val="22"/>
          <w:u w:val="single"/>
        </w:rPr>
        <w:t>Regarding article 23</w:t>
      </w:r>
      <w:r w:rsidRPr="004163C4">
        <w:rPr>
          <w:rFonts w:ascii="Arial" w:hAnsi="Arial" w:cs="Arial"/>
          <w:sz w:val="22"/>
          <w:szCs w:val="22"/>
        </w:rPr>
        <w:t>, the Committee notes the authors’ claim that the State violated their right to family life by accusing the parents of neglect on the ground that they had refused to take their child to the special education centre</w:t>
      </w:r>
      <w:r w:rsidR="00970467">
        <w:rPr>
          <w:rFonts w:ascii="Arial" w:hAnsi="Arial" w:cs="Arial"/>
          <w:sz w:val="22"/>
          <w:szCs w:val="22"/>
        </w:rPr>
        <w:t xml:space="preserve">, and that </w:t>
      </w:r>
      <w:r w:rsidR="00970467" w:rsidRPr="00970467">
        <w:rPr>
          <w:rFonts w:ascii="Arial" w:hAnsi="Arial" w:cs="Arial"/>
          <w:sz w:val="22"/>
          <w:szCs w:val="22"/>
        </w:rPr>
        <w:t xml:space="preserve">the Court ordered Rubén’s parents to provide a surety of €2,400 each as a precautionary measure, lifted almost a year later, when the parents were acquitted. </w:t>
      </w:r>
      <w:r w:rsidR="00287C97">
        <w:rPr>
          <w:rFonts w:ascii="Arial" w:hAnsi="Arial" w:cs="Arial"/>
          <w:sz w:val="22"/>
          <w:szCs w:val="22"/>
        </w:rPr>
        <w:t>T</w:t>
      </w:r>
      <w:r w:rsidR="00970467" w:rsidRPr="00287C97">
        <w:rPr>
          <w:rFonts w:ascii="Arial" w:hAnsi="Arial" w:cs="Arial"/>
          <w:sz w:val="22"/>
          <w:szCs w:val="22"/>
        </w:rPr>
        <w:t xml:space="preserve">his </w:t>
      </w:r>
      <w:r w:rsidR="00970467" w:rsidRPr="00970467">
        <w:rPr>
          <w:rFonts w:ascii="Arial" w:hAnsi="Arial" w:cs="Arial"/>
          <w:sz w:val="22"/>
          <w:szCs w:val="22"/>
        </w:rPr>
        <w:t xml:space="preserve">excessive financial burden on Rubén’s parents compounded the tensions arising from their struggle for their child’s rights, impact </w:t>
      </w:r>
      <w:r w:rsidR="00287C97" w:rsidRPr="00970467">
        <w:rPr>
          <w:rFonts w:ascii="Arial" w:hAnsi="Arial" w:cs="Arial"/>
          <w:sz w:val="22"/>
          <w:szCs w:val="22"/>
        </w:rPr>
        <w:t>negative</w:t>
      </w:r>
      <w:r w:rsidR="00287C97">
        <w:rPr>
          <w:rFonts w:ascii="Arial" w:hAnsi="Arial" w:cs="Arial"/>
          <w:sz w:val="22"/>
          <w:szCs w:val="22"/>
        </w:rPr>
        <w:t xml:space="preserve">ly </w:t>
      </w:r>
      <w:r w:rsidR="00970467" w:rsidRPr="00970467">
        <w:rPr>
          <w:rFonts w:ascii="Arial" w:hAnsi="Arial" w:cs="Arial"/>
          <w:sz w:val="22"/>
          <w:szCs w:val="22"/>
        </w:rPr>
        <w:t xml:space="preserve">on their personal and family well-being. </w:t>
      </w:r>
      <w:r w:rsidR="00970467" w:rsidRPr="00287C97">
        <w:rPr>
          <w:rFonts w:ascii="Arial" w:hAnsi="Arial" w:cs="Arial"/>
          <w:sz w:val="22"/>
          <w:szCs w:val="22"/>
        </w:rPr>
        <w:t>T</w:t>
      </w:r>
      <w:r w:rsidR="00970467" w:rsidRPr="00970467">
        <w:rPr>
          <w:rFonts w:ascii="Arial" w:hAnsi="Arial" w:cs="Arial"/>
          <w:sz w:val="22"/>
          <w:szCs w:val="22"/>
        </w:rPr>
        <w:t xml:space="preserve">he Committee recalls that </w:t>
      </w:r>
      <w:r w:rsidR="00970467" w:rsidRPr="00287C97">
        <w:rPr>
          <w:rFonts w:ascii="Arial" w:hAnsi="Arial" w:cs="Arial"/>
          <w:sz w:val="22"/>
          <w:szCs w:val="22"/>
        </w:rPr>
        <w:t xml:space="preserve">the State has to </w:t>
      </w:r>
      <w:r w:rsidR="00970467" w:rsidRPr="00970467">
        <w:rPr>
          <w:rFonts w:ascii="Arial" w:hAnsi="Arial" w:cs="Arial"/>
          <w:sz w:val="22"/>
          <w:szCs w:val="22"/>
        </w:rPr>
        <w:t>“ensure that the parents of students with disabilities cannot be prosecuted for neglect if they demand that their children’s right to inclusive education on an equal footing be respected”.</w:t>
      </w:r>
      <w:r w:rsidR="00970467" w:rsidRPr="00970467">
        <w:rPr>
          <w:rFonts w:ascii="Arial" w:hAnsi="Arial" w:cs="Arial"/>
          <w:sz w:val="22"/>
          <w:szCs w:val="22"/>
        </w:rPr>
        <w:footnoteReference w:id="3"/>
      </w:r>
      <w:r w:rsidR="00970467" w:rsidRPr="00970467">
        <w:rPr>
          <w:rFonts w:ascii="Arial" w:hAnsi="Arial" w:cs="Arial"/>
          <w:sz w:val="22"/>
          <w:szCs w:val="22"/>
        </w:rPr>
        <w:t xml:space="preserve"> In </w:t>
      </w:r>
      <w:r w:rsidR="00287C97" w:rsidRPr="00287C97">
        <w:rPr>
          <w:rFonts w:ascii="Arial" w:hAnsi="Arial" w:cs="Arial"/>
          <w:sz w:val="22"/>
          <w:szCs w:val="22"/>
        </w:rPr>
        <w:t xml:space="preserve">conclusion, the </w:t>
      </w:r>
      <w:r w:rsidR="00970467" w:rsidRPr="00970467">
        <w:rPr>
          <w:rFonts w:ascii="Arial" w:hAnsi="Arial" w:cs="Arial"/>
          <w:sz w:val="22"/>
          <w:szCs w:val="22"/>
        </w:rPr>
        <w:t>State failed to discharge its obligations under article 23 of the Convention read alone and in conjunction with article 4.</w:t>
      </w:r>
    </w:p>
    <w:p w14:paraId="5ABBB897" w14:textId="1AF7284C" w:rsidR="00287C97" w:rsidRDefault="00A5664D" w:rsidP="00342F13">
      <w:pPr>
        <w:pStyle w:val="SingleTxtG"/>
        <w:tabs>
          <w:tab w:val="left" w:pos="8221"/>
        </w:tabs>
        <w:ind w:left="0"/>
        <w:rPr>
          <w:rFonts w:ascii="Arial" w:hAnsi="Arial" w:cs="Arial"/>
          <w:sz w:val="22"/>
          <w:szCs w:val="22"/>
        </w:rPr>
      </w:pPr>
      <w:r w:rsidRPr="00A5664D">
        <w:rPr>
          <w:rFonts w:ascii="Arial" w:hAnsi="Arial" w:cs="Arial"/>
          <w:sz w:val="22"/>
          <w:szCs w:val="22"/>
          <w:u w:val="single"/>
        </w:rPr>
        <w:t xml:space="preserve">Regarding articles 15 and </w:t>
      </w:r>
      <w:r w:rsidR="004163C4" w:rsidRPr="00A5664D">
        <w:rPr>
          <w:rFonts w:ascii="Arial" w:hAnsi="Arial" w:cs="Arial"/>
          <w:sz w:val="22"/>
          <w:szCs w:val="22"/>
          <w:u w:val="single"/>
        </w:rPr>
        <w:t>17</w:t>
      </w:r>
      <w:r w:rsidR="004163C4" w:rsidRPr="004163C4">
        <w:rPr>
          <w:rFonts w:ascii="Arial" w:hAnsi="Arial" w:cs="Arial"/>
          <w:sz w:val="22"/>
          <w:szCs w:val="22"/>
        </w:rPr>
        <w:t>, the Committee notes the authors’ allegations that during the 2009/10 and 2010/11 school years, Rubén was subjected to discrimination and abuse in the mainstream public school, which endangered his physical integrity and undermined his dignity.</w:t>
      </w:r>
      <w:r>
        <w:rPr>
          <w:rFonts w:ascii="Arial" w:hAnsi="Arial" w:cs="Arial"/>
          <w:sz w:val="22"/>
          <w:szCs w:val="22"/>
        </w:rPr>
        <w:t xml:space="preserve"> </w:t>
      </w:r>
      <w:r w:rsidR="004163C4" w:rsidRPr="004163C4">
        <w:rPr>
          <w:rFonts w:ascii="Arial" w:hAnsi="Arial" w:cs="Arial"/>
          <w:sz w:val="22"/>
          <w:szCs w:val="22"/>
        </w:rPr>
        <w:t xml:space="preserve">The Committee </w:t>
      </w:r>
      <w:r w:rsidR="00287C97">
        <w:rPr>
          <w:rFonts w:ascii="Arial" w:hAnsi="Arial" w:cs="Arial"/>
          <w:sz w:val="22"/>
          <w:szCs w:val="22"/>
        </w:rPr>
        <w:t>recalls</w:t>
      </w:r>
      <w:r w:rsidR="004163C4" w:rsidRPr="004163C4">
        <w:rPr>
          <w:rFonts w:ascii="Arial" w:hAnsi="Arial" w:cs="Arial"/>
          <w:sz w:val="22"/>
          <w:szCs w:val="22"/>
        </w:rPr>
        <w:t xml:space="preserve"> that no one may be subjected to torture or to cruel, inhuman or degrading treatment or punishment (Article 15) and the State must take </w:t>
      </w:r>
      <w:r w:rsidR="00287C97">
        <w:rPr>
          <w:rFonts w:ascii="Arial" w:hAnsi="Arial" w:cs="Arial"/>
          <w:sz w:val="22"/>
          <w:szCs w:val="22"/>
        </w:rPr>
        <w:t>preventive measures</w:t>
      </w:r>
      <w:r w:rsidR="00B24F46">
        <w:rPr>
          <w:rFonts w:ascii="Arial" w:hAnsi="Arial" w:cs="Arial"/>
          <w:sz w:val="22"/>
          <w:szCs w:val="22"/>
        </w:rPr>
        <w:t>, and</w:t>
      </w:r>
      <w:r w:rsidR="004163C4" w:rsidRPr="004163C4">
        <w:rPr>
          <w:rFonts w:ascii="Arial" w:hAnsi="Arial" w:cs="Arial"/>
          <w:sz w:val="22"/>
          <w:szCs w:val="22"/>
        </w:rPr>
        <w:t xml:space="preserve"> </w:t>
      </w:r>
      <w:r w:rsidR="00B24F46">
        <w:rPr>
          <w:rFonts w:ascii="Arial" w:hAnsi="Arial" w:cs="Arial"/>
          <w:sz w:val="22"/>
          <w:szCs w:val="22"/>
        </w:rPr>
        <w:t>that</w:t>
      </w:r>
      <w:r w:rsidR="004163C4" w:rsidRPr="004163C4">
        <w:rPr>
          <w:rFonts w:ascii="Arial" w:hAnsi="Arial" w:cs="Arial"/>
          <w:sz w:val="22"/>
          <w:szCs w:val="22"/>
        </w:rPr>
        <w:t xml:space="preserve"> every person with disabilities has </w:t>
      </w:r>
      <w:r w:rsidR="00B24F46">
        <w:rPr>
          <w:rFonts w:ascii="Arial" w:hAnsi="Arial" w:cs="Arial"/>
          <w:sz w:val="22"/>
          <w:szCs w:val="22"/>
        </w:rPr>
        <w:t>the</w:t>
      </w:r>
      <w:r w:rsidR="004163C4" w:rsidRPr="004163C4">
        <w:rPr>
          <w:rFonts w:ascii="Arial" w:hAnsi="Arial" w:cs="Arial"/>
          <w:sz w:val="22"/>
          <w:szCs w:val="22"/>
        </w:rPr>
        <w:t xml:space="preserve"> right to respect for his or her physical and mental integrity on an equal basis with others (Article 17). </w:t>
      </w:r>
      <w:r w:rsidR="00287C97">
        <w:rPr>
          <w:rFonts w:ascii="Arial" w:hAnsi="Arial" w:cs="Arial"/>
          <w:sz w:val="22"/>
          <w:szCs w:val="22"/>
        </w:rPr>
        <w:t>F</w:t>
      </w:r>
      <w:r w:rsidR="004163C4" w:rsidRPr="004163C4">
        <w:rPr>
          <w:rFonts w:ascii="Arial" w:hAnsi="Arial" w:cs="Arial"/>
          <w:sz w:val="22"/>
          <w:szCs w:val="22"/>
        </w:rPr>
        <w:t xml:space="preserve">aced with the </w:t>
      </w:r>
      <w:r w:rsidR="00B24F46">
        <w:rPr>
          <w:rFonts w:ascii="Arial" w:hAnsi="Arial" w:cs="Arial"/>
          <w:sz w:val="22"/>
          <w:szCs w:val="22"/>
        </w:rPr>
        <w:t>evidence, including testimonies at courts of law,</w:t>
      </w:r>
      <w:r w:rsidR="004163C4" w:rsidRPr="004163C4">
        <w:rPr>
          <w:rFonts w:ascii="Arial" w:hAnsi="Arial" w:cs="Arial"/>
          <w:sz w:val="22"/>
          <w:szCs w:val="22"/>
        </w:rPr>
        <w:t xml:space="preserve"> about abuse against Ruben, the State had an obligation to carry out an effective and thorough investigation, but it failed to do so. </w:t>
      </w:r>
      <w:r w:rsidR="00287C97">
        <w:rPr>
          <w:rFonts w:ascii="Arial" w:hAnsi="Arial" w:cs="Arial"/>
          <w:sz w:val="22"/>
          <w:szCs w:val="22"/>
        </w:rPr>
        <w:t>Consequently, and</w:t>
      </w:r>
      <w:r w:rsidR="004163C4" w:rsidRPr="004163C4">
        <w:rPr>
          <w:rFonts w:ascii="Arial" w:hAnsi="Arial" w:cs="Arial"/>
          <w:sz w:val="22"/>
          <w:szCs w:val="22"/>
        </w:rPr>
        <w:t xml:space="preserve"> in the absence of any comments from the State, the Committee considers that the State has violated Rubén’s rights under articles 15 and 17 of the Convention read alone and</w:t>
      </w:r>
      <w:r w:rsidR="00023833">
        <w:rPr>
          <w:rFonts w:ascii="Arial" w:hAnsi="Arial" w:cs="Arial"/>
          <w:sz w:val="22"/>
          <w:szCs w:val="22"/>
        </w:rPr>
        <w:t xml:space="preserve"> in conjunction with article 4. </w:t>
      </w:r>
    </w:p>
    <w:p w14:paraId="49E1A82D" w14:textId="168A8276" w:rsidR="007103A5" w:rsidRPr="004163C4" w:rsidRDefault="004163C4" w:rsidP="00342F13">
      <w:pPr>
        <w:pStyle w:val="SingleTxtG"/>
        <w:tabs>
          <w:tab w:val="left" w:pos="8221"/>
        </w:tabs>
        <w:ind w:left="0"/>
        <w:rPr>
          <w:rFonts w:ascii="Arial" w:hAnsi="Arial" w:cs="Arial"/>
          <w:sz w:val="22"/>
          <w:szCs w:val="22"/>
        </w:rPr>
      </w:pPr>
      <w:r w:rsidRPr="004163C4">
        <w:rPr>
          <w:rFonts w:ascii="Arial" w:hAnsi="Arial" w:cs="Arial"/>
          <w:sz w:val="22"/>
          <w:szCs w:val="22"/>
        </w:rPr>
        <w:t xml:space="preserve">Having found violations of the authors’ rights under the aforementioned articles of the Convention, the Committee does not consider it necessary to examine the same allegations under </w:t>
      </w:r>
      <w:r w:rsidRPr="00287C97">
        <w:rPr>
          <w:rFonts w:ascii="Arial" w:hAnsi="Arial" w:cs="Arial"/>
          <w:sz w:val="22"/>
          <w:szCs w:val="22"/>
          <w:u w:val="single"/>
        </w:rPr>
        <w:t>article 7 of the Convention</w:t>
      </w:r>
      <w:r>
        <w:rPr>
          <w:rFonts w:ascii="Arial" w:hAnsi="Arial" w:cs="Arial"/>
          <w:sz w:val="22"/>
          <w:szCs w:val="22"/>
        </w:rPr>
        <w:t xml:space="preserve">. </w:t>
      </w:r>
    </w:p>
    <w:p w14:paraId="70FDA31B" w14:textId="77777777" w:rsidR="00BF6315" w:rsidRPr="002E2521" w:rsidRDefault="00BF6315" w:rsidP="00342F13">
      <w:pPr>
        <w:pStyle w:val="SingleTxtG"/>
        <w:ind w:left="0"/>
        <w:rPr>
          <w:rFonts w:ascii="Arial" w:hAnsi="Arial" w:cs="Arial"/>
          <w:b/>
          <w:sz w:val="22"/>
          <w:szCs w:val="22"/>
        </w:rPr>
      </w:pPr>
      <w:r w:rsidRPr="002E2521">
        <w:rPr>
          <w:rFonts w:ascii="Arial" w:hAnsi="Arial" w:cs="Arial"/>
          <w:b/>
          <w:sz w:val="22"/>
          <w:szCs w:val="22"/>
        </w:rPr>
        <w:t>Conclusion and recommendations</w:t>
      </w:r>
    </w:p>
    <w:p w14:paraId="4D673E11" w14:textId="72368EBF" w:rsidR="00113C92" w:rsidRDefault="00BF6315" w:rsidP="00342F13">
      <w:pPr>
        <w:pStyle w:val="SingleTxtG"/>
        <w:ind w:left="0"/>
        <w:rPr>
          <w:rFonts w:ascii="Arial" w:hAnsi="Arial" w:cs="Arial"/>
          <w:sz w:val="22"/>
          <w:szCs w:val="22"/>
        </w:rPr>
      </w:pPr>
      <w:r w:rsidRPr="002E2521">
        <w:rPr>
          <w:rFonts w:ascii="Arial" w:hAnsi="Arial" w:cs="Arial"/>
          <w:sz w:val="22"/>
          <w:szCs w:val="22"/>
        </w:rPr>
        <w:t xml:space="preserve">The Committee is of the </w:t>
      </w:r>
      <w:r w:rsidRPr="00176ABE">
        <w:rPr>
          <w:rFonts w:ascii="Arial" w:hAnsi="Arial" w:cs="Arial"/>
          <w:sz w:val="22"/>
          <w:szCs w:val="22"/>
        </w:rPr>
        <w:t>view that the State has failed to fulfil its obligations under articles 7, 15, 17, 23 and 24 of the Convention, read alone and in conjunction with article 4. The</w:t>
      </w:r>
      <w:r w:rsidRPr="002E2521">
        <w:rPr>
          <w:rFonts w:ascii="Arial" w:hAnsi="Arial" w:cs="Arial"/>
          <w:sz w:val="22"/>
          <w:szCs w:val="22"/>
        </w:rPr>
        <w:t xml:space="preserve"> Committee therefore makes the following recommendations to the State:</w:t>
      </w:r>
    </w:p>
    <w:p w14:paraId="0CC4E460" w14:textId="320F2FBF" w:rsidR="002C55B1" w:rsidRPr="005E2E66" w:rsidRDefault="0025141C" w:rsidP="00342F13">
      <w:pPr>
        <w:pStyle w:val="SingleTxtG"/>
        <w:ind w:left="0"/>
        <w:rPr>
          <w:rFonts w:ascii="Arial" w:hAnsi="Arial" w:cs="Arial"/>
          <w:b/>
          <w:bCs/>
          <w:sz w:val="22"/>
          <w:szCs w:val="22"/>
        </w:rPr>
      </w:pPr>
      <w:r w:rsidRPr="005E2E66">
        <w:rPr>
          <w:rFonts w:ascii="Arial" w:hAnsi="Arial" w:cs="Arial"/>
          <w:b/>
          <w:bCs/>
          <w:sz w:val="22"/>
          <w:szCs w:val="22"/>
        </w:rPr>
        <w:t xml:space="preserve">(a) </w:t>
      </w:r>
      <w:r w:rsidR="00BF6315" w:rsidRPr="005E2E66">
        <w:rPr>
          <w:rFonts w:ascii="Arial" w:hAnsi="Arial" w:cs="Arial"/>
          <w:b/>
          <w:bCs/>
          <w:sz w:val="22"/>
          <w:szCs w:val="22"/>
          <w:u w:val="single"/>
        </w:rPr>
        <w:t>Concerning the authors,</w:t>
      </w:r>
      <w:r w:rsidR="00BF6315" w:rsidRPr="005E2E66">
        <w:rPr>
          <w:rFonts w:ascii="Arial" w:hAnsi="Arial" w:cs="Arial"/>
          <w:b/>
          <w:bCs/>
          <w:sz w:val="22"/>
          <w:szCs w:val="22"/>
        </w:rPr>
        <w:t xml:space="preserve"> the State is under an obligation to:</w:t>
      </w:r>
      <w:r w:rsidRPr="005E2E66">
        <w:rPr>
          <w:rFonts w:ascii="Arial" w:hAnsi="Arial" w:cs="Arial"/>
          <w:b/>
          <w:bCs/>
          <w:sz w:val="22"/>
          <w:szCs w:val="22"/>
        </w:rPr>
        <w:t xml:space="preserve"> </w:t>
      </w:r>
    </w:p>
    <w:p w14:paraId="7879F450" w14:textId="499D48C4" w:rsidR="002C55B1" w:rsidRDefault="0025141C" w:rsidP="00342F13">
      <w:pPr>
        <w:pStyle w:val="SingleTxtG"/>
        <w:ind w:left="0"/>
        <w:rPr>
          <w:rFonts w:ascii="Arial" w:hAnsi="Arial" w:cs="Arial"/>
          <w:sz w:val="22"/>
          <w:szCs w:val="22"/>
        </w:rPr>
      </w:pPr>
      <w:r w:rsidRPr="002E2521">
        <w:rPr>
          <w:rFonts w:ascii="Arial" w:hAnsi="Arial" w:cs="Arial"/>
          <w:sz w:val="22"/>
          <w:szCs w:val="22"/>
        </w:rPr>
        <w:t>(</w:t>
      </w:r>
      <w:proofErr w:type="spellStart"/>
      <w:r w:rsidRPr="002E2521">
        <w:rPr>
          <w:rFonts w:ascii="Arial" w:hAnsi="Arial" w:cs="Arial"/>
          <w:sz w:val="22"/>
          <w:szCs w:val="22"/>
        </w:rPr>
        <w:t>i</w:t>
      </w:r>
      <w:proofErr w:type="spellEnd"/>
      <w:r w:rsidRPr="002E2521">
        <w:rPr>
          <w:rFonts w:ascii="Arial" w:hAnsi="Arial" w:cs="Arial"/>
          <w:sz w:val="22"/>
          <w:szCs w:val="22"/>
        </w:rPr>
        <w:t xml:space="preserve">) </w:t>
      </w:r>
      <w:r w:rsidR="00BF6315" w:rsidRPr="002E2521">
        <w:rPr>
          <w:rFonts w:ascii="Arial" w:hAnsi="Arial" w:cs="Arial"/>
          <w:sz w:val="22"/>
          <w:szCs w:val="22"/>
        </w:rPr>
        <w:t xml:space="preserve">Provide them with an effective remedy, including reimbursement of any legal costs together with compensation, taking into account the emotional and psychological harm they have suffered </w:t>
      </w:r>
      <w:r w:rsidR="00176ABE">
        <w:rPr>
          <w:rFonts w:ascii="Arial" w:hAnsi="Arial" w:cs="Arial"/>
          <w:sz w:val="22"/>
          <w:szCs w:val="22"/>
        </w:rPr>
        <w:t>due to</w:t>
      </w:r>
      <w:r w:rsidR="00BF6315" w:rsidRPr="002E2521">
        <w:rPr>
          <w:rFonts w:ascii="Arial" w:hAnsi="Arial" w:cs="Arial"/>
          <w:sz w:val="22"/>
          <w:szCs w:val="22"/>
        </w:rPr>
        <w:t xml:space="preserve"> the treatment received and the way their case was handled by the </w:t>
      </w:r>
      <w:proofErr w:type="gramStart"/>
      <w:r w:rsidR="00BF6315" w:rsidRPr="002E2521">
        <w:rPr>
          <w:rFonts w:ascii="Arial" w:hAnsi="Arial" w:cs="Arial"/>
          <w:sz w:val="22"/>
          <w:szCs w:val="22"/>
        </w:rPr>
        <w:t>authorities;</w:t>
      </w:r>
      <w:proofErr w:type="gramEnd"/>
    </w:p>
    <w:p w14:paraId="799E9F2A" w14:textId="036E3145" w:rsidR="002C55B1" w:rsidRDefault="00A75CEA" w:rsidP="00342F13">
      <w:pPr>
        <w:pStyle w:val="SingleTxtG"/>
        <w:ind w:left="0"/>
        <w:rPr>
          <w:rFonts w:ascii="Arial" w:hAnsi="Arial" w:cs="Arial"/>
          <w:sz w:val="22"/>
          <w:szCs w:val="22"/>
        </w:rPr>
      </w:pPr>
      <w:r>
        <w:rPr>
          <w:rFonts w:ascii="Arial" w:hAnsi="Arial" w:cs="Arial"/>
          <w:sz w:val="22"/>
          <w:szCs w:val="22"/>
        </w:rPr>
        <w:lastRenderedPageBreak/>
        <w:t xml:space="preserve">(ii) </w:t>
      </w:r>
      <w:r w:rsidR="00BF6315" w:rsidRPr="002E2521">
        <w:rPr>
          <w:rFonts w:ascii="Arial" w:hAnsi="Arial" w:cs="Arial"/>
          <w:sz w:val="22"/>
          <w:szCs w:val="22"/>
        </w:rPr>
        <w:t xml:space="preserve">Ensure that Rubén is admitted to a truly inclusive vocational training programme, in consultation with him and with his </w:t>
      </w:r>
      <w:r w:rsidR="00176ABE" w:rsidRPr="002E2521">
        <w:rPr>
          <w:rFonts w:ascii="Arial" w:hAnsi="Arial" w:cs="Arial"/>
          <w:sz w:val="22"/>
          <w:szCs w:val="22"/>
        </w:rPr>
        <w:t>parents.</w:t>
      </w:r>
      <w:r w:rsidR="0025141C" w:rsidRPr="002E2521">
        <w:rPr>
          <w:rFonts w:ascii="Arial" w:hAnsi="Arial" w:cs="Arial"/>
          <w:sz w:val="22"/>
          <w:szCs w:val="22"/>
        </w:rPr>
        <w:t xml:space="preserve"> </w:t>
      </w:r>
    </w:p>
    <w:p w14:paraId="554D0312" w14:textId="777A2F01" w:rsidR="002C55B1" w:rsidRDefault="002C55B1" w:rsidP="00342F13">
      <w:pPr>
        <w:pStyle w:val="SingleTxtG"/>
        <w:ind w:left="0"/>
        <w:rPr>
          <w:rFonts w:ascii="Arial" w:hAnsi="Arial" w:cs="Arial"/>
          <w:sz w:val="22"/>
          <w:szCs w:val="22"/>
        </w:rPr>
      </w:pPr>
      <w:r>
        <w:rPr>
          <w:rFonts w:ascii="Arial" w:hAnsi="Arial" w:cs="Arial"/>
          <w:sz w:val="22"/>
          <w:szCs w:val="22"/>
        </w:rPr>
        <w:t xml:space="preserve">(iii) </w:t>
      </w:r>
      <w:r w:rsidR="00BF6315" w:rsidRPr="002E2521">
        <w:rPr>
          <w:rFonts w:ascii="Arial" w:hAnsi="Arial" w:cs="Arial"/>
          <w:sz w:val="22"/>
          <w:szCs w:val="22"/>
        </w:rPr>
        <w:t xml:space="preserve">Conduct an effective investigation into the allegations of abuse and discrimination reported by the authors and ensure accountability at all </w:t>
      </w:r>
      <w:r w:rsidR="00176ABE" w:rsidRPr="002E2521">
        <w:rPr>
          <w:rFonts w:ascii="Arial" w:hAnsi="Arial" w:cs="Arial"/>
          <w:sz w:val="22"/>
          <w:szCs w:val="22"/>
        </w:rPr>
        <w:t>levels.</w:t>
      </w:r>
      <w:r w:rsidR="0025141C" w:rsidRPr="002E2521">
        <w:rPr>
          <w:rFonts w:ascii="Arial" w:hAnsi="Arial" w:cs="Arial"/>
          <w:sz w:val="22"/>
          <w:szCs w:val="22"/>
        </w:rPr>
        <w:t xml:space="preserve"> </w:t>
      </w:r>
    </w:p>
    <w:p w14:paraId="067BAA46" w14:textId="590630EC" w:rsidR="002C55B1" w:rsidRDefault="00A75CEA" w:rsidP="00342F13">
      <w:pPr>
        <w:pStyle w:val="SingleTxtG"/>
        <w:ind w:left="0"/>
        <w:rPr>
          <w:rFonts w:ascii="Arial" w:hAnsi="Arial" w:cs="Arial"/>
          <w:sz w:val="22"/>
          <w:szCs w:val="22"/>
        </w:rPr>
      </w:pPr>
      <w:r>
        <w:rPr>
          <w:rFonts w:ascii="Arial" w:hAnsi="Arial" w:cs="Arial"/>
          <w:sz w:val="22"/>
          <w:szCs w:val="22"/>
        </w:rPr>
        <w:t xml:space="preserve">(iv) </w:t>
      </w:r>
      <w:r w:rsidR="00BF6315" w:rsidRPr="002E2521">
        <w:rPr>
          <w:rFonts w:ascii="Arial" w:hAnsi="Arial" w:cs="Arial"/>
          <w:sz w:val="22"/>
          <w:szCs w:val="22"/>
        </w:rPr>
        <w:t>Publicly recognize</w:t>
      </w:r>
      <w:r w:rsidR="005E2E66">
        <w:rPr>
          <w:rFonts w:ascii="Arial" w:hAnsi="Arial" w:cs="Arial"/>
          <w:sz w:val="22"/>
          <w:szCs w:val="22"/>
        </w:rPr>
        <w:t xml:space="preserve"> </w:t>
      </w:r>
      <w:r w:rsidR="00BF6315" w:rsidRPr="002E2521">
        <w:rPr>
          <w:rFonts w:ascii="Arial" w:hAnsi="Arial" w:cs="Arial"/>
          <w:sz w:val="22"/>
          <w:szCs w:val="22"/>
        </w:rPr>
        <w:t>the violation of the rights of Rubén</w:t>
      </w:r>
      <w:r w:rsidR="005E2E66">
        <w:rPr>
          <w:rFonts w:ascii="Arial" w:hAnsi="Arial" w:cs="Arial"/>
          <w:sz w:val="22"/>
          <w:szCs w:val="22"/>
        </w:rPr>
        <w:t xml:space="preserve"> </w:t>
      </w:r>
      <w:r w:rsidR="00BF6315" w:rsidRPr="002E2521">
        <w:rPr>
          <w:rFonts w:ascii="Arial" w:hAnsi="Arial" w:cs="Arial"/>
          <w:sz w:val="22"/>
          <w:szCs w:val="22"/>
        </w:rPr>
        <w:t xml:space="preserve">to inclusive education and to a life free from violence and discrimination, as well as the violation of the rights of his parents, who were wrongly charged with the offence of neglect, </w:t>
      </w:r>
      <w:r w:rsidR="005E2E66">
        <w:rPr>
          <w:rFonts w:ascii="Arial" w:hAnsi="Arial" w:cs="Arial"/>
          <w:sz w:val="22"/>
          <w:szCs w:val="22"/>
        </w:rPr>
        <w:t>with</w:t>
      </w:r>
      <w:r w:rsidR="00BF6315" w:rsidRPr="002E2521">
        <w:rPr>
          <w:rFonts w:ascii="Arial" w:hAnsi="Arial" w:cs="Arial"/>
          <w:sz w:val="22"/>
          <w:szCs w:val="22"/>
        </w:rPr>
        <w:t xml:space="preserve"> psychological and financial </w:t>
      </w:r>
      <w:r w:rsidR="00176ABE" w:rsidRPr="002E2521">
        <w:rPr>
          <w:rFonts w:ascii="Arial" w:hAnsi="Arial" w:cs="Arial"/>
          <w:sz w:val="22"/>
          <w:szCs w:val="22"/>
        </w:rPr>
        <w:t>consequences.</w:t>
      </w:r>
      <w:r w:rsidR="0025141C" w:rsidRPr="002E2521">
        <w:rPr>
          <w:rFonts w:ascii="Arial" w:hAnsi="Arial" w:cs="Arial"/>
          <w:sz w:val="22"/>
          <w:szCs w:val="22"/>
        </w:rPr>
        <w:t xml:space="preserve"> </w:t>
      </w:r>
    </w:p>
    <w:p w14:paraId="6C50163C" w14:textId="5771E897" w:rsidR="005E2E66" w:rsidRPr="002E2521" w:rsidRDefault="0025141C" w:rsidP="00342F13">
      <w:pPr>
        <w:pStyle w:val="SingleTxtG"/>
        <w:ind w:left="0"/>
        <w:rPr>
          <w:rFonts w:ascii="Arial" w:hAnsi="Arial" w:cs="Arial"/>
          <w:sz w:val="22"/>
          <w:szCs w:val="22"/>
        </w:rPr>
      </w:pPr>
      <w:r w:rsidRPr="002E2521">
        <w:rPr>
          <w:rFonts w:ascii="Arial" w:hAnsi="Arial" w:cs="Arial"/>
          <w:sz w:val="22"/>
          <w:szCs w:val="22"/>
        </w:rPr>
        <w:t xml:space="preserve">(v) </w:t>
      </w:r>
      <w:r w:rsidR="00BF6315" w:rsidRPr="002E2521">
        <w:rPr>
          <w:rFonts w:ascii="Arial" w:hAnsi="Arial" w:cs="Arial"/>
          <w:sz w:val="22"/>
          <w:szCs w:val="22"/>
        </w:rPr>
        <w:t>Publish the present Views and circulate them widely in accessible formats.</w:t>
      </w:r>
    </w:p>
    <w:p w14:paraId="20337EFA" w14:textId="1B5BAAA7" w:rsidR="002C55B1" w:rsidRDefault="0025141C" w:rsidP="00342F13">
      <w:pPr>
        <w:pStyle w:val="SingleTxtG"/>
        <w:ind w:left="0"/>
        <w:rPr>
          <w:rFonts w:ascii="Arial" w:hAnsi="Arial" w:cs="Arial"/>
          <w:sz w:val="22"/>
          <w:szCs w:val="22"/>
        </w:rPr>
      </w:pPr>
      <w:r w:rsidRPr="005E2E66">
        <w:rPr>
          <w:rFonts w:ascii="Arial" w:hAnsi="Arial" w:cs="Arial"/>
          <w:b/>
          <w:bCs/>
          <w:sz w:val="22"/>
          <w:szCs w:val="22"/>
        </w:rPr>
        <w:t xml:space="preserve">(b) </w:t>
      </w:r>
      <w:r w:rsidR="00BF6315" w:rsidRPr="005E2E66">
        <w:rPr>
          <w:rFonts w:ascii="Arial" w:hAnsi="Arial" w:cs="Arial"/>
          <w:b/>
          <w:bCs/>
          <w:sz w:val="22"/>
          <w:szCs w:val="22"/>
          <w:u w:val="single"/>
        </w:rPr>
        <w:t>In general</w:t>
      </w:r>
      <w:r w:rsidR="00BF6315" w:rsidRPr="005E2E66">
        <w:rPr>
          <w:rFonts w:ascii="Arial" w:hAnsi="Arial" w:cs="Arial"/>
          <w:b/>
          <w:bCs/>
          <w:sz w:val="22"/>
          <w:szCs w:val="22"/>
        </w:rPr>
        <w:t>, the State</w:t>
      </w:r>
      <w:r w:rsidR="00BF6315" w:rsidRPr="002E2521">
        <w:rPr>
          <w:rFonts w:ascii="Arial" w:hAnsi="Arial" w:cs="Arial"/>
          <w:sz w:val="22"/>
          <w:szCs w:val="22"/>
        </w:rPr>
        <w:t xml:space="preserve"> </w:t>
      </w:r>
      <w:r w:rsidR="00176ABE">
        <w:rPr>
          <w:rFonts w:ascii="Arial" w:hAnsi="Arial" w:cs="Arial"/>
          <w:sz w:val="22"/>
          <w:szCs w:val="22"/>
        </w:rPr>
        <w:t xml:space="preserve">must </w:t>
      </w:r>
      <w:r w:rsidR="00BF6315" w:rsidRPr="002E2521">
        <w:rPr>
          <w:rFonts w:ascii="Arial" w:hAnsi="Arial" w:cs="Arial"/>
          <w:sz w:val="22"/>
          <w:szCs w:val="22"/>
        </w:rPr>
        <w:t xml:space="preserve">prevent similar violations. In particular, the State, in close consultation with persons with disabilities and the organizations that represent them, </w:t>
      </w:r>
      <w:r w:rsidR="005E2E66">
        <w:rPr>
          <w:rFonts w:ascii="Arial" w:hAnsi="Arial" w:cs="Arial"/>
          <w:sz w:val="22"/>
          <w:szCs w:val="22"/>
        </w:rPr>
        <w:t>must</w:t>
      </w:r>
      <w:r w:rsidR="00BF6315" w:rsidRPr="002E2521">
        <w:rPr>
          <w:rFonts w:ascii="Arial" w:hAnsi="Arial" w:cs="Arial"/>
          <w:sz w:val="22"/>
          <w:szCs w:val="22"/>
        </w:rPr>
        <w:t>:</w:t>
      </w:r>
    </w:p>
    <w:p w14:paraId="729B0725" w14:textId="051BD3BB" w:rsidR="002C55B1" w:rsidRDefault="0025141C" w:rsidP="00342F13">
      <w:pPr>
        <w:pStyle w:val="SingleTxtG"/>
        <w:ind w:left="0"/>
        <w:rPr>
          <w:rFonts w:ascii="Arial" w:hAnsi="Arial" w:cs="Arial"/>
          <w:sz w:val="22"/>
          <w:szCs w:val="22"/>
        </w:rPr>
      </w:pPr>
      <w:r w:rsidRPr="002E2521">
        <w:rPr>
          <w:rFonts w:ascii="Arial" w:hAnsi="Arial" w:cs="Arial"/>
          <w:sz w:val="22"/>
          <w:szCs w:val="22"/>
        </w:rPr>
        <w:t>(</w:t>
      </w:r>
      <w:proofErr w:type="spellStart"/>
      <w:r w:rsidRPr="002E2521">
        <w:rPr>
          <w:rFonts w:ascii="Arial" w:hAnsi="Arial" w:cs="Arial"/>
          <w:sz w:val="22"/>
          <w:szCs w:val="22"/>
        </w:rPr>
        <w:t>i</w:t>
      </w:r>
      <w:proofErr w:type="spellEnd"/>
      <w:r w:rsidRPr="002E2521">
        <w:rPr>
          <w:rFonts w:ascii="Arial" w:hAnsi="Arial" w:cs="Arial"/>
          <w:sz w:val="22"/>
          <w:szCs w:val="22"/>
        </w:rPr>
        <w:t>)</w:t>
      </w:r>
      <w:r w:rsidR="002C55B1" w:rsidRPr="002C55B1">
        <w:rPr>
          <w:rFonts w:ascii="Arial" w:hAnsi="Arial" w:cs="Arial"/>
          <w:sz w:val="22"/>
          <w:szCs w:val="22"/>
          <w:lang w:val="en-US"/>
        </w:rPr>
        <w:t xml:space="preserve"> </w:t>
      </w:r>
      <w:r w:rsidR="00BF6315" w:rsidRPr="002E2521">
        <w:rPr>
          <w:rFonts w:ascii="Arial" w:hAnsi="Arial" w:cs="Arial"/>
          <w:sz w:val="22"/>
          <w:szCs w:val="22"/>
        </w:rPr>
        <w:t>Expedite legislative reform</w:t>
      </w:r>
      <w:r w:rsidR="00176ABE">
        <w:rPr>
          <w:rFonts w:ascii="Arial" w:hAnsi="Arial" w:cs="Arial"/>
          <w:sz w:val="22"/>
          <w:szCs w:val="22"/>
        </w:rPr>
        <w:t xml:space="preserve"> </w:t>
      </w:r>
      <w:r w:rsidR="00BF6315" w:rsidRPr="002E2521">
        <w:rPr>
          <w:rFonts w:ascii="Arial" w:hAnsi="Arial" w:cs="Arial"/>
          <w:sz w:val="22"/>
          <w:szCs w:val="22"/>
        </w:rPr>
        <w:t xml:space="preserve">to fully eliminate the medical model of disability and clearly define full inclusion of all children with disabilities and its specific objectives at each level of </w:t>
      </w:r>
      <w:proofErr w:type="gramStart"/>
      <w:r w:rsidR="00BF6315" w:rsidRPr="002E2521">
        <w:rPr>
          <w:rFonts w:ascii="Arial" w:hAnsi="Arial" w:cs="Arial"/>
          <w:sz w:val="22"/>
          <w:szCs w:val="22"/>
        </w:rPr>
        <w:t>education;</w:t>
      </w:r>
      <w:proofErr w:type="gramEnd"/>
      <w:r w:rsidRPr="002E2521">
        <w:rPr>
          <w:rFonts w:ascii="Arial" w:hAnsi="Arial" w:cs="Arial"/>
          <w:sz w:val="22"/>
          <w:szCs w:val="22"/>
        </w:rPr>
        <w:t xml:space="preserve"> </w:t>
      </w:r>
    </w:p>
    <w:p w14:paraId="406E1DD6" w14:textId="7BF0A3D7" w:rsidR="002C55B1" w:rsidRDefault="002C55B1" w:rsidP="00342F13">
      <w:pPr>
        <w:pStyle w:val="SingleTxtG"/>
        <w:ind w:left="0"/>
        <w:rPr>
          <w:rFonts w:ascii="Arial" w:hAnsi="Arial" w:cs="Arial"/>
          <w:sz w:val="22"/>
          <w:szCs w:val="22"/>
        </w:rPr>
      </w:pPr>
      <w:r>
        <w:rPr>
          <w:rFonts w:ascii="Arial" w:hAnsi="Arial" w:cs="Arial"/>
          <w:sz w:val="22"/>
          <w:szCs w:val="22"/>
        </w:rPr>
        <w:t xml:space="preserve">(ii) </w:t>
      </w:r>
      <w:r w:rsidR="00176ABE">
        <w:rPr>
          <w:rFonts w:ascii="Arial" w:hAnsi="Arial" w:cs="Arial"/>
          <w:sz w:val="22"/>
          <w:szCs w:val="22"/>
        </w:rPr>
        <w:t>E</w:t>
      </w:r>
      <w:r w:rsidR="00BF6315" w:rsidRPr="002E2521">
        <w:rPr>
          <w:rFonts w:ascii="Arial" w:hAnsi="Arial" w:cs="Arial"/>
          <w:sz w:val="22"/>
          <w:szCs w:val="22"/>
        </w:rPr>
        <w:t xml:space="preserve">nsure that inclusive education is considered a </w:t>
      </w:r>
      <w:proofErr w:type="gramStart"/>
      <w:r w:rsidR="00BF6315" w:rsidRPr="002E2521">
        <w:rPr>
          <w:rFonts w:ascii="Arial" w:hAnsi="Arial" w:cs="Arial"/>
          <w:sz w:val="22"/>
          <w:szCs w:val="22"/>
        </w:rPr>
        <w:t>right and grant students</w:t>
      </w:r>
      <w:proofErr w:type="gramEnd"/>
      <w:r w:rsidR="00BF6315" w:rsidRPr="002E2521">
        <w:rPr>
          <w:rFonts w:ascii="Arial" w:hAnsi="Arial" w:cs="Arial"/>
          <w:sz w:val="22"/>
          <w:szCs w:val="22"/>
        </w:rPr>
        <w:t xml:space="preserve"> with disabilities the right to inclusive learning opportunities in mainstream education, with support as required;</w:t>
      </w:r>
      <w:r w:rsidR="0025141C" w:rsidRPr="002E2521">
        <w:rPr>
          <w:rFonts w:ascii="Arial" w:hAnsi="Arial" w:cs="Arial"/>
          <w:sz w:val="22"/>
          <w:szCs w:val="22"/>
        </w:rPr>
        <w:t xml:space="preserve"> </w:t>
      </w:r>
    </w:p>
    <w:p w14:paraId="5B7B7D46" w14:textId="74E4F643" w:rsidR="002C55B1" w:rsidRDefault="002C55B1" w:rsidP="00342F13">
      <w:pPr>
        <w:pStyle w:val="SingleTxtG"/>
        <w:ind w:left="0"/>
        <w:rPr>
          <w:rFonts w:ascii="Arial" w:hAnsi="Arial" w:cs="Arial"/>
          <w:sz w:val="22"/>
          <w:szCs w:val="22"/>
        </w:rPr>
      </w:pPr>
      <w:r>
        <w:rPr>
          <w:rFonts w:ascii="Arial" w:hAnsi="Arial" w:cs="Arial"/>
          <w:sz w:val="22"/>
          <w:szCs w:val="22"/>
        </w:rPr>
        <w:t xml:space="preserve">(iii) </w:t>
      </w:r>
      <w:r w:rsidR="00BF6315" w:rsidRPr="002E2521">
        <w:rPr>
          <w:rFonts w:ascii="Arial" w:hAnsi="Arial" w:cs="Arial"/>
          <w:sz w:val="22"/>
          <w:szCs w:val="22"/>
        </w:rPr>
        <w:t>Formulate a comprehensive, inclusive education policy with strategies for promoting a culture of inclusion in mainstream education</w:t>
      </w:r>
      <w:r w:rsidR="00176ABE">
        <w:rPr>
          <w:rFonts w:ascii="Arial" w:hAnsi="Arial" w:cs="Arial"/>
          <w:sz w:val="22"/>
          <w:szCs w:val="22"/>
        </w:rPr>
        <w:t>.</w:t>
      </w:r>
      <w:r w:rsidR="0025141C" w:rsidRPr="002E2521">
        <w:rPr>
          <w:rFonts w:ascii="Arial" w:hAnsi="Arial" w:cs="Arial"/>
          <w:sz w:val="22"/>
          <w:szCs w:val="22"/>
        </w:rPr>
        <w:t xml:space="preserve"> </w:t>
      </w:r>
    </w:p>
    <w:p w14:paraId="2B81BACD" w14:textId="3987AC6F" w:rsidR="002C55B1" w:rsidRDefault="002C55B1" w:rsidP="00342F13">
      <w:pPr>
        <w:pStyle w:val="SingleTxtG"/>
        <w:ind w:left="0"/>
        <w:rPr>
          <w:rFonts w:ascii="Arial" w:hAnsi="Arial" w:cs="Arial"/>
          <w:sz w:val="22"/>
          <w:szCs w:val="22"/>
        </w:rPr>
      </w:pPr>
      <w:r>
        <w:rPr>
          <w:rFonts w:ascii="Arial" w:hAnsi="Arial" w:cs="Arial"/>
          <w:sz w:val="22"/>
          <w:szCs w:val="22"/>
        </w:rPr>
        <w:t xml:space="preserve">(iv) </w:t>
      </w:r>
      <w:r w:rsidR="00BF6315" w:rsidRPr="002E2521">
        <w:rPr>
          <w:rFonts w:ascii="Arial" w:hAnsi="Arial" w:cs="Arial"/>
          <w:sz w:val="22"/>
          <w:szCs w:val="22"/>
        </w:rPr>
        <w:t xml:space="preserve">Eliminate any educational segregation of students with disabilities in both special education schools and specialized units within mainstream </w:t>
      </w:r>
      <w:r w:rsidR="00176ABE" w:rsidRPr="002E2521">
        <w:rPr>
          <w:rFonts w:ascii="Arial" w:hAnsi="Arial" w:cs="Arial"/>
          <w:sz w:val="22"/>
          <w:szCs w:val="22"/>
        </w:rPr>
        <w:t>schools.</w:t>
      </w:r>
    </w:p>
    <w:p w14:paraId="2AE8122E" w14:textId="24EEEB5A" w:rsidR="00BF6315" w:rsidRPr="002E2521" w:rsidRDefault="002C55B1" w:rsidP="00342F13">
      <w:pPr>
        <w:pStyle w:val="SingleTxtG"/>
        <w:ind w:left="0"/>
        <w:rPr>
          <w:rFonts w:ascii="Arial" w:hAnsi="Arial" w:cs="Arial"/>
          <w:sz w:val="22"/>
          <w:szCs w:val="22"/>
        </w:rPr>
      </w:pPr>
      <w:r>
        <w:rPr>
          <w:rFonts w:ascii="Arial" w:hAnsi="Arial" w:cs="Arial"/>
          <w:sz w:val="22"/>
          <w:szCs w:val="22"/>
        </w:rPr>
        <w:t xml:space="preserve">(v) </w:t>
      </w:r>
      <w:r w:rsidR="00BF6315" w:rsidRPr="002E2521">
        <w:rPr>
          <w:rFonts w:ascii="Arial" w:hAnsi="Arial" w:cs="Arial"/>
          <w:sz w:val="22"/>
          <w:szCs w:val="22"/>
        </w:rPr>
        <w:t>Ensure that the parents of students with disabilities cannot be prosecuted for neglect if they demand their children’s right to inclusive education on an equal basis with others be respected.</w:t>
      </w:r>
    </w:p>
    <w:p w14:paraId="42D98735" w14:textId="2E24E335" w:rsidR="007A6AEC" w:rsidRDefault="007A6AEC" w:rsidP="00342F13">
      <w:pPr>
        <w:pStyle w:val="SingleTxtG"/>
        <w:ind w:left="0"/>
        <w:rPr>
          <w:rFonts w:ascii="Arial" w:hAnsi="Arial" w:cs="Arial"/>
          <w:sz w:val="22"/>
          <w:szCs w:val="22"/>
        </w:rPr>
      </w:pPr>
    </w:p>
    <w:p w14:paraId="75723969" w14:textId="77777777" w:rsidR="007A6AEC" w:rsidRPr="00176ABE" w:rsidRDefault="007A6AEC" w:rsidP="00342F13">
      <w:pPr>
        <w:pStyle w:val="SingleTxtG"/>
        <w:ind w:left="0"/>
        <w:rPr>
          <w:sz w:val="22"/>
          <w:szCs w:val="22"/>
          <w:lang w:val="en-US"/>
        </w:rPr>
      </w:pPr>
    </w:p>
    <w:sectPr w:rsidR="007A6AEC" w:rsidRPr="00176ABE" w:rsidSect="008F4414">
      <w:footerReference w:type="default" r:id="rId30"/>
      <w:pgSz w:w="11906" w:h="16838"/>
      <w:pgMar w:top="1134" w:right="282" w:bottom="1134" w:left="1276" w:header="70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B07B" w14:textId="77777777" w:rsidR="00727A80" w:rsidRDefault="00727A80" w:rsidP="004805E6">
      <w:pPr>
        <w:spacing w:after="0" w:line="240" w:lineRule="auto"/>
      </w:pPr>
      <w:r>
        <w:separator/>
      </w:r>
    </w:p>
  </w:endnote>
  <w:endnote w:type="continuationSeparator" w:id="0">
    <w:p w14:paraId="725331D2" w14:textId="77777777" w:rsidR="00727A80" w:rsidRDefault="00727A80" w:rsidP="0048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FC2B" w14:textId="77777777" w:rsidR="00244AC7" w:rsidRDefault="00244AC7" w:rsidP="00244AC7">
    <w:pPr>
      <w:pStyle w:val="Footer"/>
      <w:tabs>
        <w:tab w:val="center" w:pos="5315"/>
        <w:tab w:val="right" w:pos="10630"/>
      </w:tabs>
    </w:pPr>
    <w:r>
      <w:tab/>
    </w:r>
    <w:r>
      <w:tab/>
    </w:r>
    <w:sdt>
      <w:sdtPr>
        <w:id w:val="1329328419"/>
        <w:docPartObj>
          <w:docPartGallery w:val="Page Numbers (Bottom of Page)"/>
          <w:docPartUnique/>
        </w:docPartObj>
      </w:sdtPr>
      <w:sdtEndPr/>
      <w:sdtContent>
        <w:r>
          <w:fldChar w:fldCharType="begin"/>
        </w:r>
        <w:r>
          <w:instrText>PAGE   \* MERGEFORMAT</w:instrText>
        </w:r>
        <w:r>
          <w:fldChar w:fldCharType="separate"/>
        </w:r>
        <w:r w:rsidR="006C5D5B">
          <w:rPr>
            <w:noProof/>
          </w:rPr>
          <w:t>1</w:t>
        </w:r>
        <w:r>
          <w:fldChar w:fldCharType="end"/>
        </w:r>
      </w:sdtContent>
    </w:sdt>
    <w:r>
      <w:tab/>
    </w:r>
    <w:r>
      <w:tab/>
    </w:r>
  </w:p>
  <w:p w14:paraId="41A1A422" w14:textId="77777777" w:rsidR="00244AC7" w:rsidRDefault="0024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1E01" w14:textId="77777777" w:rsidR="00727A80" w:rsidRDefault="00727A80" w:rsidP="004805E6">
      <w:pPr>
        <w:spacing w:after="0" w:line="240" w:lineRule="auto"/>
      </w:pPr>
      <w:r>
        <w:separator/>
      </w:r>
    </w:p>
  </w:footnote>
  <w:footnote w:type="continuationSeparator" w:id="0">
    <w:p w14:paraId="17A17108" w14:textId="77777777" w:rsidR="00727A80" w:rsidRDefault="00727A80" w:rsidP="004805E6">
      <w:pPr>
        <w:spacing w:after="0" w:line="240" w:lineRule="auto"/>
      </w:pPr>
      <w:r>
        <w:continuationSeparator/>
      </w:r>
    </w:p>
  </w:footnote>
  <w:footnote w:id="1">
    <w:p w14:paraId="5B71D24C" w14:textId="77777777" w:rsidR="00852511" w:rsidRPr="00B921BA" w:rsidRDefault="00852511" w:rsidP="00B921BA">
      <w:pPr>
        <w:spacing w:after="0"/>
        <w:ind w:right="849"/>
        <w:jc w:val="both"/>
        <w:rPr>
          <w:sz w:val="16"/>
          <w:szCs w:val="16"/>
          <w:lang w:val="en-US"/>
        </w:rPr>
      </w:pPr>
      <w:r>
        <w:rPr>
          <w:rStyle w:val="FootnoteReference"/>
        </w:rPr>
        <w:footnoteRef/>
      </w:r>
      <w:r w:rsidRPr="00852511">
        <w:rPr>
          <w:lang w:val="en-US"/>
        </w:rPr>
        <w:t xml:space="preserve"> </w:t>
      </w:r>
      <w:r w:rsidRPr="00B921BA">
        <w:rPr>
          <w:rFonts w:ascii="Arial" w:hAnsi="Arial"/>
          <w:sz w:val="16"/>
          <w:szCs w:val="16"/>
          <w:lang w:val="en-US"/>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B921BA">
          <w:rPr>
            <w:rStyle w:val="Hyperlink"/>
            <w:rFonts w:ascii="Arial" w:hAnsi="Arial"/>
            <w:sz w:val="16"/>
            <w:szCs w:val="16"/>
            <w:lang w:val="en-US"/>
          </w:rPr>
          <w:t xml:space="preserve">IDA’s disability rights litigation website. </w:t>
        </w:r>
      </w:hyperlink>
    </w:p>
    <w:p w14:paraId="389D916A" w14:textId="77777777" w:rsidR="00852511" w:rsidRPr="00B921BA" w:rsidRDefault="00852511" w:rsidP="00B921BA">
      <w:pPr>
        <w:pStyle w:val="FootnoteText"/>
        <w:ind w:right="849"/>
        <w:rPr>
          <w:sz w:val="16"/>
          <w:szCs w:val="16"/>
          <w:lang w:val="en-US"/>
        </w:rPr>
      </w:pPr>
    </w:p>
  </w:footnote>
  <w:footnote w:id="2">
    <w:p w14:paraId="77CAE0AC" w14:textId="6736534D" w:rsidR="00CB674B" w:rsidRPr="00FE2128" w:rsidRDefault="00CB674B" w:rsidP="00970467">
      <w:pPr>
        <w:pStyle w:val="FootnoteText"/>
        <w:tabs>
          <w:tab w:val="clear" w:pos="1021"/>
        </w:tabs>
        <w:ind w:left="0" w:firstLine="0"/>
        <w:rPr>
          <w:lang w:val="es-ES"/>
        </w:rPr>
      </w:pPr>
      <w:r w:rsidRPr="007F48A6">
        <w:rPr>
          <w:rStyle w:val="FootnoteReference"/>
        </w:rPr>
        <w:footnoteRef/>
      </w:r>
      <w:r w:rsidR="00970467">
        <w:rPr>
          <w:lang w:val="es-ES"/>
        </w:rPr>
        <w:t xml:space="preserve"> </w:t>
      </w:r>
      <w:r w:rsidRPr="00FE2128">
        <w:rPr>
          <w:lang w:val="es-ES"/>
        </w:rPr>
        <w:t xml:space="preserve">General </w:t>
      </w:r>
      <w:proofErr w:type="spellStart"/>
      <w:r w:rsidRPr="00FE2128">
        <w:rPr>
          <w:lang w:val="es-ES"/>
        </w:rPr>
        <w:t>comment</w:t>
      </w:r>
      <w:proofErr w:type="spellEnd"/>
      <w:r w:rsidRPr="00FE2128">
        <w:rPr>
          <w:lang w:val="es-ES"/>
        </w:rPr>
        <w:t xml:space="preserve"> No</w:t>
      </w:r>
      <w:r>
        <w:rPr>
          <w:lang w:val="es-ES"/>
        </w:rPr>
        <w:t>.</w:t>
      </w:r>
      <w:r w:rsidRPr="00FE2128">
        <w:rPr>
          <w:lang w:val="es-ES"/>
        </w:rPr>
        <w:t xml:space="preserve"> 4, para. 19.</w:t>
      </w:r>
    </w:p>
  </w:footnote>
  <w:footnote w:id="3">
    <w:p w14:paraId="22356BDA" w14:textId="28092CCD" w:rsidR="00970467" w:rsidRPr="00970467" w:rsidRDefault="00970467" w:rsidP="00970467">
      <w:pPr>
        <w:pStyle w:val="FootnoteText"/>
        <w:tabs>
          <w:tab w:val="clear" w:pos="1021"/>
        </w:tabs>
        <w:ind w:left="0" w:firstLine="0"/>
        <w:rPr>
          <w:lang w:val="en-US"/>
        </w:rPr>
      </w:pPr>
      <w:r w:rsidRPr="007F48A6">
        <w:rPr>
          <w:rStyle w:val="FootnoteReference"/>
        </w:rPr>
        <w:footnoteRef/>
      </w:r>
      <w:r>
        <w:rPr>
          <w:lang w:val="es-ES"/>
        </w:rPr>
        <w:t xml:space="preserve"> </w:t>
      </w:r>
      <w:r w:rsidRPr="00FE2128">
        <w:rPr>
          <w:lang w:val="es-ES"/>
        </w:rPr>
        <w:t xml:space="preserve">CRPD/C/ESP/IR/1, para. </w:t>
      </w:r>
      <w:r w:rsidRPr="00970467">
        <w:rPr>
          <w:lang w:val="en-US"/>
        </w:rPr>
        <w:t>84 (e).</w:t>
      </w:r>
      <w:r w:rsidRPr="00970467">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128CA"/>
    <w:multiLevelType w:val="hybridMultilevel"/>
    <w:tmpl w:val="63B461BE"/>
    <w:lvl w:ilvl="0" w:tplc="7334F8B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A2"/>
    <w:rsid w:val="000233DD"/>
    <w:rsid w:val="00023833"/>
    <w:rsid w:val="00027313"/>
    <w:rsid w:val="00093230"/>
    <w:rsid w:val="000A2394"/>
    <w:rsid w:val="000F1FA0"/>
    <w:rsid w:val="00113C92"/>
    <w:rsid w:val="001551B3"/>
    <w:rsid w:val="00175C37"/>
    <w:rsid w:val="00176ABE"/>
    <w:rsid w:val="001A7C0E"/>
    <w:rsid w:val="00200E03"/>
    <w:rsid w:val="00201C99"/>
    <w:rsid w:val="0020485C"/>
    <w:rsid w:val="00231994"/>
    <w:rsid w:val="002353C4"/>
    <w:rsid w:val="00244AC7"/>
    <w:rsid w:val="0025141C"/>
    <w:rsid w:val="00272A5E"/>
    <w:rsid w:val="00287C97"/>
    <w:rsid w:val="002C55B1"/>
    <w:rsid w:val="002E2521"/>
    <w:rsid w:val="002F0D83"/>
    <w:rsid w:val="00342F13"/>
    <w:rsid w:val="00352590"/>
    <w:rsid w:val="003A4853"/>
    <w:rsid w:val="003A67F0"/>
    <w:rsid w:val="003B644F"/>
    <w:rsid w:val="003D02C1"/>
    <w:rsid w:val="004163C4"/>
    <w:rsid w:val="00443C5C"/>
    <w:rsid w:val="00464B77"/>
    <w:rsid w:val="0047040F"/>
    <w:rsid w:val="00475D61"/>
    <w:rsid w:val="004805E6"/>
    <w:rsid w:val="004864F2"/>
    <w:rsid w:val="005024BA"/>
    <w:rsid w:val="00512FF3"/>
    <w:rsid w:val="00516525"/>
    <w:rsid w:val="00520DC4"/>
    <w:rsid w:val="00524314"/>
    <w:rsid w:val="005302A2"/>
    <w:rsid w:val="00572185"/>
    <w:rsid w:val="005E24AD"/>
    <w:rsid w:val="005E2E66"/>
    <w:rsid w:val="005F777D"/>
    <w:rsid w:val="00605DB9"/>
    <w:rsid w:val="0063693B"/>
    <w:rsid w:val="00646FC8"/>
    <w:rsid w:val="00664F9D"/>
    <w:rsid w:val="006655CF"/>
    <w:rsid w:val="00670F8A"/>
    <w:rsid w:val="0067379B"/>
    <w:rsid w:val="00687598"/>
    <w:rsid w:val="006C5D5B"/>
    <w:rsid w:val="006D5BFA"/>
    <w:rsid w:val="007103A5"/>
    <w:rsid w:val="00727A80"/>
    <w:rsid w:val="00767017"/>
    <w:rsid w:val="007A6AEC"/>
    <w:rsid w:val="007D4C0F"/>
    <w:rsid w:val="00837233"/>
    <w:rsid w:val="00852511"/>
    <w:rsid w:val="0088308C"/>
    <w:rsid w:val="00883187"/>
    <w:rsid w:val="00895B9E"/>
    <w:rsid w:val="008A325C"/>
    <w:rsid w:val="008E2112"/>
    <w:rsid w:val="008F4414"/>
    <w:rsid w:val="00903641"/>
    <w:rsid w:val="0091412B"/>
    <w:rsid w:val="00936212"/>
    <w:rsid w:val="0095459B"/>
    <w:rsid w:val="00970467"/>
    <w:rsid w:val="009B14B0"/>
    <w:rsid w:val="00A05E0C"/>
    <w:rsid w:val="00A20468"/>
    <w:rsid w:val="00A51AAF"/>
    <w:rsid w:val="00A5664D"/>
    <w:rsid w:val="00A61E0B"/>
    <w:rsid w:val="00A75C66"/>
    <w:rsid w:val="00A75CEA"/>
    <w:rsid w:val="00AA0441"/>
    <w:rsid w:val="00AB6C6F"/>
    <w:rsid w:val="00AD0C4F"/>
    <w:rsid w:val="00AD6B47"/>
    <w:rsid w:val="00AF64DF"/>
    <w:rsid w:val="00B237CC"/>
    <w:rsid w:val="00B24F46"/>
    <w:rsid w:val="00B25C4E"/>
    <w:rsid w:val="00B476BD"/>
    <w:rsid w:val="00B653E5"/>
    <w:rsid w:val="00B921BA"/>
    <w:rsid w:val="00BB63C2"/>
    <w:rsid w:val="00BD3109"/>
    <w:rsid w:val="00BF6315"/>
    <w:rsid w:val="00C254D8"/>
    <w:rsid w:val="00C902B6"/>
    <w:rsid w:val="00CA2134"/>
    <w:rsid w:val="00CA4C67"/>
    <w:rsid w:val="00CB674B"/>
    <w:rsid w:val="00CE2B68"/>
    <w:rsid w:val="00CE5A6F"/>
    <w:rsid w:val="00D13DBC"/>
    <w:rsid w:val="00D145A2"/>
    <w:rsid w:val="00D229EB"/>
    <w:rsid w:val="00D646A8"/>
    <w:rsid w:val="00D65BD8"/>
    <w:rsid w:val="00D843F2"/>
    <w:rsid w:val="00DE4BBE"/>
    <w:rsid w:val="00E0780C"/>
    <w:rsid w:val="00E31721"/>
    <w:rsid w:val="00E51038"/>
    <w:rsid w:val="00E914C2"/>
    <w:rsid w:val="00EE35AF"/>
    <w:rsid w:val="00EF22B3"/>
    <w:rsid w:val="00F24EF8"/>
    <w:rsid w:val="00F72FB0"/>
    <w:rsid w:val="00F82FF9"/>
    <w:rsid w:val="00FB1804"/>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63D0"/>
  <w15:chartTrackingRefBased/>
  <w15:docId w15:val="{FE590550-6279-4FD3-84DE-6F886AB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4805E6"/>
    <w:pPr>
      <w:spacing w:after="120" w:line="240" w:lineRule="auto"/>
      <w:ind w:left="1134" w:right="1134"/>
      <w:jc w:val="both"/>
    </w:pPr>
    <w:rPr>
      <w:rFonts w:ascii="Times New Roman" w:eastAsia="SimSun" w:hAnsi="Times New Roman" w:cs="Times New Roman"/>
      <w:sz w:val="20"/>
      <w:szCs w:val="20"/>
      <w:lang w:val="en-GB" w:eastAsia="zh-CN"/>
    </w:rPr>
  </w:style>
  <w:style w:type="paragraph" w:styleId="FootnoteText">
    <w:name w:val="footnote text"/>
    <w:aliases w:val="5_G"/>
    <w:basedOn w:val="Normal"/>
    <w:link w:val="FootnoteTextChar"/>
    <w:rsid w:val="004805E6"/>
    <w:pPr>
      <w:tabs>
        <w:tab w:val="right" w:pos="1021"/>
      </w:tab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rsid w:val="004805E6"/>
    <w:rPr>
      <w:rFonts w:ascii="Times New Roman" w:eastAsia="SimSun" w:hAnsi="Times New Roman" w:cs="Times New Roman"/>
      <w:sz w:val="18"/>
      <w:szCs w:val="20"/>
      <w:lang w:val="en-GB" w:eastAsia="zh-CN"/>
    </w:rPr>
  </w:style>
  <w:style w:type="character" w:styleId="FootnoteReference">
    <w:name w:val="footnote reference"/>
    <w:aliases w:val="4_G"/>
    <w:rsid w:val="004805E6"/>
    <w:rPr>
      <w:rFonts w:ascii="Times New Roman" w:hAnsi="Times New Roman"/>
      <w:sz w:val="18"/>
      <w:vertAlign w:val="superscript"/>
    </w:rPr>
  </w:style>
  <w:style w:type="character" w:customStyle="1" w:styleId="SingleTxtGChar">
    <w:name w:val="_ Single Txt_G Char"/>
    <w:basedOn w:val="DefaultParagraphFont"/>
    <w:link w:val="SingleTxtG"/>
    <w:rsid w:val="004805E6"/>
    <w:rPr>
      <w:rFonts w:ascii="Times New Roman" w:eastAsia="SimSun" w:hAnsi="Times New Roman" w:cs="Times New Roman"/>
      <w:sz w:val="20"/>
      <w:szCs w:val="20"/>
      <w:lang w:val="en-GB" w:eastAsia="zh-CN"/>
    </w:rPr>
  </w:style>
  <w:style w:type="character" w:styleId="Hyperlink">
    <w:name w:val="Hyperlink"/>
    <w:rsid w:val="00F72FB0"/>
    <w:rPr>
      <w:color w:val="0000FF"/>
      <w:u w:val="single"/>
    </w:rPr>
  </w:style>
  <w:style w:type="paragraph" w:styleId="Header">
    <w:name w:val="header"/>
    <w:basedOn w:val="Normal"/>
    <w:link w:val="HeaderChar"/>
    <w:uiPriority w:val="99"/>
    <w:unhideWhenUsed/>
    <w:rsid w:val="00244A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244AC7"/>
  </w:style>
  <w:style w:type="paragraph" w:styleId="Footer">
    <w:name w:val="footer"/>
    <w:basedOn w:val="Normal"/>
    <w:link w:val="FooterChar"/>
    <w:uiPriority w:val="99"/>
    <w:unhideWhenUsed/>
    <w:rsid w:val="00244A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244AC7"/>
  </w:style>
  <w:style w:type="character" w:styleId="FollowedHyperlink">
    <w:name w:val="FollowedHyperlink"/>
    <w:basedOn w:val="DefaultParagraphFont"/>
    <w:uiPriority w:val="99"/>
    <w:semiHidden/>
    <w:unhideWhenUsed/>
    <w:rsid w:val="00204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23/D/41/2017&amp;Lang=en"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jzgCZsWoJdGkwMM%2fS2QwxizFC6RPNmzQUCEsP7U13f99FakmTFilw5495Mk1SsP79xQUof5yBj8cH7tPw3undoqvG3jT27TWpWqLIYFFXcnxxrztdKN%2fIHfzSyNbelzQw%3d%3d" TargetMode="External"/><Relationship Id="rId26" Type="http://schemas.openxmlformats.org/officeDocument/2006/relationships/hyperlink" Target="https://www.ohchr.org/EN/HRBodies/CRPD/Pages/ConventionRightsPersonsWithDisabilities.aspx" TargetMode="External"/><Relationship Id="rId3" Type="http://schemas.openxmlformats.org/officeDocument/2006/relationships/styles" Target="styles.xml"/><Relationship Id="rId21" Type="http://schemas.openxmlformats.org/officeDocument/2006/relationships/hyperlink" Target="http://docstore.ohchr.org/SelfServices/FilesHandler.ashx?enc=6QkG1d%2fPPRiCAqhKb7yhsjzgCZsWoJdGkwMM%2fS2QwxizFC6RPNmzQUCEsP7U13f99FakmTFilw5495Mk1SsP72TuLYQ8MufjSIg0NdYOaxh3UtTKUBSfSFpRYNanCeD7SS%2fndoE%2b4UpQGFFB%2fA9hRA%3d%3d" TargetMode="External"/><Relationship Id="rId7" Type="http://schemas.openxmlformats.org/officeDocument/2006/relationships/endnotes" Target="endnotes.xm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s://www.ohchr.org/EN/HRBodies/CRPD/Pages/OptionalProtocolRightsPersonsWithDisabilities.aspx" TargetMode="External"/><Relationship Id="rId25" Type="http://schemas.openxmlformats.org/officeDocument/2006/relationships/hyperlink" Target="https://www.ohchr.org/EN/HRBodies/CRPD/Pages/ConventionRightsPersonsWithDisabilities.aspx" TargetMode="External"/><Relationship Id="rId2" Type="http://schemas.openxmlformats.org/officeDocument/2006/relationships/numbering" Target="numbering.xml"/><Relationship Id="rId16" Type="http://schemas.openxmlformats.org/officeDocument/2006/relationships/hyperlink" Target="https://www.ohchr.org/EN/HRBodies/CRPD/Pages/OptionalProtocolRightsPersonsWithDisabilities.aspx" TargetMode="External"/><Relationship Id="rId20" Type="http://schemas.openxmlformats.org/officeDocument/2006/relationships/hyperlink" Target="http://docstore.ohchr.org/SelfServices/FilesHandler.ashx?enc=6QkG1d%2fPPRiCAqhKb7yhsjzgCZsWoJdGkwMM%2fS2QwxizFC6RPNmzQUCEsP7U13f99FakmTFilw5495Mk1SsP7%2fZsvLn2P91GFTjTbViY%2fu1Tg7UrgvSt7F6mW0i0W38VvFBcaQsV5RgQp5Trt75p0g%3d%3d" TargetMode="External"/><Relationship Id="rId29" Type="http://schemas.openxmlformats.org/officeDocument/2006/relationships/hyperlink" Target="https://www.ohchr.org/EN/HRBodies/CRPD/Pages/ConventionRightsPersonsWithDisabilit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28" Type="http://schemas.openxmlformats.org/officeDocument/2006/relationships/hyperlink" Target="https://www.ohchr.org/EN/HRBodies/CRPD/Pages/ConventionRightsPersonsWithDisabilities.aspx"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jzgCZsWoJdGkwMM%2fS2QwxizFC6RPNmzQUCEsP7U13f99FakmTFilw5495Mk1SsP735l2kyL6OGmUi5IrKqPMqYZhxcgk00BgGe2ZDQuqwiOCGPqHgAxyqA64491kjz2ng%3d%3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docstore.ohchr.org/SelfServices/FilesHandler.ashx?enc=6QkG1d%2fPPRiCAqhKb7yhsjzgCZsWoJdGkwMM%2fS2QwxizFC6RPNmzQUCEsP7U13f99FakmTFilw5495Mk1SsP7xq0l%2bp7ilw0cOtl04LtnMVYlaOrlJBI3VqLCSXJGH%2fSnZBQpQ7WPaPzCQGruFyNtw%3d%3d" TargetMode="External"/><Relationship Id="rId27" Type="http://schemas.openxmlformats.org/officeDocument/2006/relationships/hyperlink" Target="https://www.ohchr.org/EN/HRBodies/CRPD/Pages/ConventionRightsPersonsWithDisabilities.aspx"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BF97-3D19-4DD5-8CD8-C8C3B34D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3266</Words>
  <Characters>18618</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8</cp:revision>
  <dcterms:created xsi:type="dcterms:W3CDTF">2020-11-05T08:58:00Z</dcterms:created>
  <dcterms:modified xsi:type="dcterms:W3CDTF">2021-05-06T09:36:00Z</dcterms:modified>
</cp:coreProperties>
</file>