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025F" w14:textId="143AAABF" w:rsidR="00DC399D" w:rsidRPr="0077057D" w:rsidRDefault="00DC399D" w:rsidP="00DC399D">
      <w:pPr>
        <w:spacing w:after="0"/>
        <w:jc w:val="both"/>
        <w:rPr>
          <w:rFonts w:ascii="Arial" w:hAnsi="Arial" w:cs="Arial"/>
          <w:i/>
          <w:sz w:val="28"/>
          <w:lang w:val="en-GB"/>
        </w:rPr>
      </w:pPr>
      <w:r w:rsidRPr="0077057D">
        <w:rPr>
          <w:rFonts w:ascii="Arial" w:hAnsi="Arial" w:cs="Arial"/>
          <w:sz w:val="28"/>
          <w:lang w:val="en-GB"/>
        </w:rPr>
        <w:t>Case summary:</w:t>
      </w:r>
      <w:r w:rsidRPr="0077057D">
        <w:rPr>
          <w:rStyle w:val="FootnoteReference"/>
          <w:rFonts w:ascii="Arial" w:hAnsi="Arial" w:cs="Arial"/>
          <w:sz w:val="24"/>
          <w:lang w:val="en-GB"/>
        </w:rPr>
        <w:footnoteReference w:id="1"/>
      </w:r>
      <w:r w:rsidRPr="0077057D">
        <w:rPr>
          <w:rFonts w:ascii="Arial" w:hAnsi="Arial" w:cs="Arial"/>
          <w:sz w:val="24"/>
          <w:lang w:val="en-GB"/>
        </w:rPr>
        <w:t xml:space="preserve"> </w:t>
      </w:r>
      <w:r w:rsidRPr="00DC399D">
        <w:rPr>
          <w:rFonts w:ascii="Arial" w:hAnsi="Arial" w:cs="Arial"/>
          <w:sz w:val="24"/>
          <w:lang w:val="en-GB"/>
        </w:rPr>
        <w:t>N.L.</w:t>
      </w:r>
      <w:r w:rsidR="00A06812">
        <w:rPr>
          <w:rFonts w:ascii="Arial" w:hAnsi="Arial" w:cs="Arial"/>
          <w:sz w:val="24"/>
          <w:lang w:val="en-GB"/>
        </w:rPr>
        <w:t xml:space="preserve"> </w:t>
      </w:r>
      <w:r>
        <w:rPr>
          <w:rFonts w:ascii="Arial" w:hAnsi="Arial" w:cs="Arial"/>
          <w:sz w:val="24"/>
          <w:lang w:val="en-GB"/>
        </w:rPr>
        <w:t xml:space="preserve">v </w:t>
      </w:r>
      <w:r w:rsidRPr="00DC399D">
        <w:rPr>
          <w:rFonts w:ascii="Arial" w:hAnsi="Arial" w:cs="Arial"/>
          <w:sz w:val="24"/>
          <w:lang w:val="en-GB"/>
        </w:rPr>
        <w:t>Sweden</w:t>
      </w:r>
    </w:p>
    <w:p w14:paraId="5F47D1C6" w14:textId="77777777" w:rsidR="00DC399D" w:rsidRPr="0077057D" w:rsidRDefault="00DC399D" w:rsidP="00DC399D">
      <w:pPr>
        <w:spacing w:after="0"/>
        <w:jc w:val="both"/>
        <w:rPr>
          <w:rFonts w:ascii="Arial" w:hAnsi="Arial" w:cs="Arial"/>
          <w:highlight w:val="lightGray"/>
          <w:lang w:val="en-GB"/>
        </w:rPr>
      </w:pPr>
    </w:p>
    <w:p w14:paraId="61477BE9" w14:textId="77777777" w:rsidR="00DC399D" w:rsidRDefault="00DC399D" w:rsidP="00DC399D">
      <w:pPr>
        <w:spacing w:after="0"/>
        <w:jc w:val="both"/>
        <w:rPr>
          <w:rFonts w:ascii="Arial" w:hAnsi="Arial" w:cs="Arial"/>
          <w:szCs w:val="20"/>
          <w:lang w:val="en-GB"/>
        </w:rPr>
      </w:pPr>
      <w:r w:rsidRPr="00501FED">
        <w:rPr>
          <w:rFonts w:ascii="Arial" w:hAnsi="Arial" w:cs="Arial"/>
          <w:szCs w:val="20"/>
          <w:lang w:val="en-GB"/>
        </w:rPr>
        <w:t xml:space="preserve">Case code: </w:t>
      </w:r>
      <w:r w:rsidR="0041241D" w:rsidRPr="00501FED">
        <w:rPr>
          <w:rFonts w:ascii="Arial" w:hAnsi="Arial" w:cs="Arial"/>
          <w:szCs w:val="20"/>
          <w:lang w:val="en-GB"/>
        </w:rPr>
        <w:t>CRPD</w:t>
      </w:r>
      <w:r w:rsidR="0041241D" w:rsidRPr="0041241D">
        <w:rPr>
          <w:rFonts w:ascii="Arial" w:hAnsi="Arial" w:cs="Arial"/>
          <w:szCs w:val="20"/>
          <w:lang w:val="en-GB"/>
        </w:rPr>
        <w:t>/C/23/D/60/2019</w:t>
      </w:r>
    </w:p>
    <w:p w14:paraId="0E697177" w14:textId="77777777" w:rsidR="00DC399D" w:rsidRPr="0077057D" w:rsidRDefault="003C0675" w:rsidP="00DC399D">
      <w:pPr>
        <w:spacing w:after="0"/>
        <w:jc w:val="both"/>
        <w:rPr>
          <w:rFonts w:ascii="Arial" w:hAnsi="Arial" w:cs="Arial"/>
          <w:szCs w:val="20"/>
          <w:lang w:val="en-GB"/>
        </w:rPr>
      </w:pPr>
      <w:r>
        <w:rPr>
          <w:rFonts w:ascii="Arial" w:hAnsi="Arial" w:cs="Arial"/>
          <w:szCs w:val="20"/>
          <w:lang w:val="en-GB"/>
        </w:rPr>
        <w:t xml:space="preserve">Communication no </w:t>
      </w:r>
      <w:r w:rsidRPr="003C0675">
        <w:rPr>
          <w:rFonts w:ascii="Arial" w:hAnsi="Arial" w:cs="Arial"/>
          <w:szCs w:val="20"/>
          <w:lang w:val="en-GB"/>
        </w:rPr>
        <w:t>60/2019</w:t>
      </w:r>
    </w:p>
    <w:p w14:paraId="7E329135" w14:textId="77777777" w:rsidR="00DC399D" w:rsidRPr="003F1E21" w:rsidRDefault="00DC399D" w:rsidP="00DC399D">
      <w:pPr>
        <w:spacing w:after="0"/>
        <w:jc w:val="both"/>
        <w:rPr>
          <w:rFonts w:ascii="Arial" w:hAnsi="Arial" w:cs="Arial"/>
          <w:szCs w:val="20"/>
          <w:lang w:val="en-GB"/>
        </w:rPr>
      </w:pPr>
      <w:r w:rsidRPr="003F1E21">
        <w:rPr>
          <w:rFonts w:ascii="Arial" w:hAnsi="Arial" w:cs="Arial"/>
          <w:szCs w:val="20"/>
          <w:lang w:val="en-GB"/>
        </w:rPr>
        <w:t>Date of communication (initial submission):</w:t>
      </w:r>
      <w:r w:rsidRPr="003F1E21">
        <w:rPr>
          <w:rFonts w:ascii="Arial" w:hAnsi="Arial" w:cs="Arial"/>
          <w:szCs w:val="20"/>
          <w:lang w:val="en-GB"/>
        </w:rPr>
        <w:tab/>
      </w:r>
      <w:r w:rsidRPr="003F1E21">
        <w:rPr>
          <w:rFonts w:ascii="Arial" w:hAnsi="Arial" w:cs="Arial"/>
          <w:szCs w:val="20"/>
          <w:lang w:val="en-GB"/>
        </w:rPr>
        <w:tab/>
      </w:r>
      <w:r w:rsidR="002C6CB9" w:rsidRPr="002C6CB9">
        <w:rPr>
          <w:rFonts w:ascii="Arial" w:hAnsi="Arial" w:cs="Arial"/>
          <w:szCs w:val="20"/>
          <w:lang w:val="en-GB"/>
        </w:rPr>
        <w:t>10 May 2019</w:t>
      </w:r>
    </w:p>
    <w:p w14:paraId="74F99A2F" w14:textId="77777777" w:rsidR="00DC399D" w:rsidRPr="003F1E21" w:rsidRDefault="00DC399D" w:rsidP="00DC399D">
      <w:pPr>
        <w:spacing w:after="0"/>
        <w:jc w:val="both"/>
        <w:rPr>
          <w:rFonts w:ascii="Arial" w:hAnsi="Arial" w:cs="Arial"/>
          <w:szCs w:val="20"/>
          <w:lang w:val="en-GB"/>
        </w:rPr>
      </w:pPr>
      <w:r w:rsidRPr="003F1E21">
        <w:rPr>
          <w:rFonts w:ascii="Arial" w:hAnsi="Arial" w:cs="Arial"/>
          <w:szCs w:val="20"/>
          <w:lang w:val="en-GB"/>
        </w:rPr>
        <w:t>Date of adoption of Views:</w:t>
      </w:r>
      <w:r w:rsidRPr="003F1E21">
        <w:rPr>
          <w:rFonts w:ascii="Arial" w:hAnsi="Arial" w:cs="Arial"/>
          <w:szCs w:val="20"/>
          <w:lang w:val="en-GB"/>
        </w:rPr>
        <w:tab/>
      </w:r>
      <w:r w:rsidRPr="003F1E21">
        <w:rPr>
          <w:rFonts w:ascii="Arial" w:hAnsi="Arial" w:cs="Arial"/>
          <w:szCs w:val="20"/>
          <w:lang w:val="en-GB"/>
        </w:rPr>
        <w:tab/>
      </w:r>
      <w:r w:rsidRPr="003F1E21">
        <w:rPr>
          <w:rFonts w:ascii="Arial" w:hAnsi="Arial" w:cs="Arial"/>
          <w:szCs w:val="20"/>
          <w:lang w:val="en-GB"/>
        </w:rPr>
        <w:tab/>
      </w:r>
      <w:r w:rsidRPr="003F1E21">
        <w:rPr>
          <w:rFonts w:ascii="Arial" w:hAnsi="Arial" w:cs="Arial"/>
          <w:szCs w:val="20"/>
          <w:lang w:val="en-GB"/>
        </w:rPr>
        <w:tab/>
      </w:r>
      <w:r w:rsidR="003C0675" w:rsidRPr="003C0675">
        <w:rPr>
          <w:rFonts w:ascii="Arial" w:hAnsi="Arial" w:cs="Arial"/>
          <w:szCs w:val="20"/>
          <w:lang w:val="en-GB"/>
        </w:rPr>
        <w:t>28 August 2020</w:t>
      </w:r>
    </w:p>
    <w:p w14:paraId="269CE7B3" w14:textId="77777777" w:rsidR="00DC399D" w:rsidRPr="001F504D" w:rsidRDefault="00DC399D" w:rsidP="00DC399D">
      <w:pPr>
        <w:spacing w:after="0"/>
        <w:ind w:left="4962" w:hanging="4962"/>
        <w:jc w:val="both"/>
        <w:rPr>
          <w:rFonts w:ascii="Arial" w:hAnsi="Arial" w:cs="Arial"/>
          <w:szCs w:val="20"/>
          <w:lang w:val="en-GB"/>
        </w:rPr>
      </w:pPr>
      <w:r w:rsidRPr="001F504D">
        <w:rPr>
          <w:rFonts w:ascii="Arial" w:hAnsi="Arial" w:cs="Arial"/>
          <w:szCs w:val="20"/>
          <w:lang w:val="en-GB"/>
        </w:rPr>
        <w:t>Invoked</w:t>
      </w:r>
      <w:r>
        <w:rPr>
          <w:rFonts w:ascii="Arial" w:hAnsi="Arial" w:cs="Arial"/>
          <w:szCs w:val="20"/>
          <w:lang w:val="en-GB"/>
        </w:rPr>
        <w:t xml:space="preserve"> provisions of the Convention:</w:t>
      </w:r>
      <w:r>
        <w:rPr>
          <w:rFonts w:ascii="Arial" w:hAnsi="Arial" w:cs="Arial"/>
          <w:szCs w:val="20"/>
          <w:lang w:val="en-GB"/>
        </w:rPr>
        <w:tab/>
      </w:r>
      <w:r w:rsidRPr="001F504D">
        <w:rPr>
          <w:rFonts w:ascii="Arial" w:hAnsi="Arial" w:cs="Arial"/>
          <w:szCs w:val="20"/>
          <w:lang w:val="en-GB"/>
        </w:rPr>
        <w:t xml:space="preserve">Articles </w:t>
      </w:r>
      <w:hyperlink r:id="rId7" w:history="1">
        <w:r w:rsidR="003C0675" w:rsidRPr="00A401CD">
          <w:rPr>
            <w:rStyle w:val="Hyperlink"/>
            <w:rFonts w:ascii="Arial" w:hAnsi="Arial" w:cs="Arial"/>
            <w:szCs w:val="20"/>
            <w:lang w:val="en-GB"/>
          </w:rPr>
          <w:t>6,</w:t>
        </w:r>
      </w:hyperlink>
      <w:r w:rsidR="003C0675" w:rsidRPr="003C0675">
        <w:rPr>
          <w:rFonts w:ascii="Arial" w:hAnsi="Arial" w:cs="Arial"/>
          <w:szCs w:val="20"/>
          <w:lang w:val="en-GB"/>
        </w:rPr>
        <w:t xml:space="preserve"> </w:t>
      </w:r>
      <w:hyperlink r:id="rId8" w:history="1">
        <w:r w:rsidR="003C0675" w:rsidRPr="00A401CD">
          <w:rPr>
            <w:rStyle w:val="Hyperlink"/>
            <w:rFonts w:ascii="Arial" w:hAnsi="Arial" w:cs="Arial"/>
            <w:szCs w:val="20"/>
            <w:lang w:val="en-GB"/>
          </w:rPr>
          <w:t>10</w:t>
        </w:r>
      </w:hyperlink>
      <w:r w:rsidR="003C0675" w:rsidRPr="003C0675">
        <w:rPr>
          <w:rFonts w:ascii="Arial" w:hAnsi="Arial" w:cs="Arial"/>
          <w:szCs w:val="20"/>
          <w:lang w:val="en-GB"/>
        </w:rPr>
        <w:t xml:space="preserve">, </w:t>
      </w:r>
      <w:hyperlink r:id="rId9" w:history="1">
        <w:r w:rsidR="003C0675" w:rsidRPr="00A401CD">
          <w:rPr>
            <w:rStyle w:val="Hyperlink"/>
            <w:rFonts w:ascii="Arial" w:hAnsi="Arial" w:cs="Arial"/>
            <w:szCs w:val="20"/>
            <w:lang w:val="en-GB"/>
          </w:rPr>
          <w:t>12</w:t>
        </w:r>
      </w:hyperlink>
      <w:r w:rsidR="003C0675" w:rsidRPr="003C0675">
        <w:rPr>
          <w:rFonts w:ascii="Arial" w:hAnsi="Arial" w:cs="Arial"/>
          <w:szCs w:val="20"/>
          <w:lang w:val="en-GB"/>
        </w:rPr>
        <w:t xml:space="preserve"> and </w:t>
      </w:r>
      <w:hyperlink r:id="rId10" w:history="1">
        <w:r w:rsidR="003C0675" w:rsidRPr="00A401CD">
          <w:rPr>
            <w:rStyle w:val="Hyperlink"/>
            <w:rFonts w:ascii="Arial" w:hAnsi="Arial" w:cs="Arial"/>
            <w:szCs w:val="20"/>
            <w:lang w:val="en-GB"/>
          </w:rPr>
          <w:t>15</w:t>
        </w:r>
      </w:hyperlink>
    </w:p>
    <w:p w14:paraId="6C7183C8" w14:textId="77777777" w:rsidR="00DC399D" w:rsidRPr="004C0066" w:rsidRDefault="00DC399D" w:rsidP="00DC399D">
      <w:pPr>
        <w:spacing w:after="0"/>
        <w:jc w:val="both"/>
        <w:rPr>
          <w:rFonts w:ascii="Arial" w:hAnsi="Arial" w:cs="Arial"/>
          <w:szCs w:val="20"/>
          <w:lang w:val="en-GB"/>
        </w:rPr>
      </w:pPr>
      <w:r w:rsidRPr="004C0066">
        <w:rPr>
          <w:rFonts w:ascii="Arial" w:hAnsi="Arial" w:cs="Arial"/>
          <w:szCs w:val="20"/>
          <w:lang w:val="en-GB"/>
        </w:rPr>
        <w:t>Provisions of the Optional Protocol:</w:t>
      </w:r>
      <w:r w:rsidRPr="004C0066">
        <w:rPr>
          <w:rFonts w:ascii="Arial" w:hAnsi="Arial" w:cs="Arial"/>
          <w:szCs w:val="20"/>
          <w:lang w:val="en-GB"/>
        </w:rPr>
        <w:tab/>
      </w:r>
      <w:r w:rsidRPr="004C0066">
        <w:rPr>
          <w:rFonts w:ascii="Arial" w:hAnsi="Arial" w:cs="Arial"/>
          <w:szCs w:val="20"/>
          <w:lang w:val="en-GB"/>
        </w:rPr>
        <w:tab/>
      </w:r>
      <w:r w:rsidRPr="004C0066">
        <w:rPr>
          <w:rFonts w:ascii="Arial" w:hAnsi="Arial" w:cs="Arial"/>
          <w:szCs w:val="20"/>
          <w:lang w:val="en-GB"/>
        </w:rPr>
        <w:tab/>
        <w:t xml:space="preserve">Articles </w:t>
      </w:r>
      <w:hyperlink r:id="rId11" w:history="1">
        <w:r w:rsidR="00D53F63" w:rsidRPr="00A401CD">
          <w:rPr>
            <w:rStyle w:val="Hyperlink"/>
            <w:rFonts w:ascii="Arial" w:hAnsi="Arial" w:cs="Arial"/>
            <w:szCs w:val="20"/>
            <w:lang w:val="en-GB"/>
          </w:rPr>
          <w:t>1, 2 (e)</w:t>
        </w:r>
      </w:hyperlink>
    </w:p>
    <w:p w14:paraId="59D993FA" w14:textId="77777777" w:rsidR="00DC399D" w:rsidRPr="0077057D" w:rsidRDefault="00DC399D" w:rsidP="00DC399D">
      <w:pPr>
        <w:spacing w:after="0"/>
        <w:ind w:left="2124" w:hanging="2124"/>
        <w:jc w:val="both"/>
        <w:rPr>
          <w:rFonts w:ascii="Arial" w:hAnsi="Arial" w:cs="Arial"/>
          <w:szCs w:val="20"/>
          <w:highlight w:val="lightGray"/>
          <w:lang w:val="en-GB"/>
        </w:rPr>
      </w:pPr>
    </w:p>
    <w:p w14:paraId="0B0ED5A2" w14:textId="77777777" w:rsidR="00DC399D" w:rsidRPr="0077057D" w:rsidRDefault="00DC399D" w:rsidP="00DC399D">
      <w:pPr>
        <w:spacing w:after="0"/>
        <w:ind w:left="2124" w:hanging="2124"/>
        <w:jc w:val="both"/>
        <w:rPr>
          <w:rFonts w:ascii="Arial" w:hAnsi="Arial" w:cs="Arial"/>
          <w:szCs w:val="20"/>
          <w:highlight w:val="lightGray"/>
          <w:lang w:val="en-GB"/>
        </w:rPr>
      </w:pPr>
      <w:r w:rsidRPr="00C67E32">
        <w:rPr>
          <w:rFonts w:ascii="Arial" w:hAnsi="Arial" w:cs="Arial"/>
          <w:szCs w:val="20"/>
          <w:lang w:val="en-GB"/>
        </w:rPr>
        <w:t xml:space="preserve">Keywords: </w:t>
      </w:r>
      <w:r w:rsidRPr="00C67E32">
        <w:rPr>
          <w:rFonts w:ascii="Arial" w:hAnsi="Arial" w:cs="Arial"/>
          <w:szCs w:val="20"/>
          <w:lang w:val="en-GB"/>
        </w:rPr>
        <w:tab/>
      </w:r>
      <w:r w:rsidR="00D53F63" w:rsidRPr="00D53F63">
        <w:rPr>
          <w:rFonts w:ascii="Arial" w:hAnsi="Arial" w:cs="Arial"/>
          <w:szCs w:val="20"/>
          <w:lang w:val="en-GB"/>
        </w:rPr>
        <w:t>Right to life; freedom from cruel, inhuman or degrading treatment; discrimination based on gender; equal recognition before the law</w:t>
      </w:r>
    </w:p>
    <w:p w14:paraId="53266C56" w14:textId="77777777" w:rsidR="00DC399D" w:rsidRPr="00A318BA" w:rsidRDefault="00DC399D" w:rsidP="00DC399D">
      <w:pPr>
        <w:spacing w:after="0"/>
        <w:ind w:left="2127" w:hanging="2127"/>
        <w:jc w:val="both"/>
        <w:rPr>
          <w:rFonts w:ascii="Arial" w:hAnsi="Arial" w:cs="Arial"/>
          <w:szCs w:val="20"/>
          <w:lang w:val="en-GB"/>
        </w:rPr>
      </w:pPr>
      <w:r w:rsidRPr="00A54EE4">
        <w:rPr>
          <w:rFonts w:ascii="Arial" w:hAnsi="Arial" w:cs="Arial"/>
          <w:szCs w:val="20"/>
          <w:lang w:val="en-GB"/>
        </w:rPr>
        <w:t xml:space="preserve">Decision: </w:t>
      </w:r>
      <w:r w:rsidRPr="00A54EE4">
        <w:rPr>
          <w:rFonts w:ascii="Arial" w:hAnsi="Arial" w:cs="Arial"/>
          <w:szCs w:val="20"/>
          <w:lang w:val="en-GB"/>
        </w:rPr>
        <w:tab/>
        <w:t xml:space="preserve">Violation of Articles </w:t>
      </w:r>
      <w:r w:rsidR="00300B95" w:rsidRPr="00300B95">
        <w:rPr>
          <w:rFonts w:ascii="Arial" w:hAnsi="Arial" w:cs="Arial"/>
          <w:szCs w:val="20"/>
          <w:lang w:val="en-GB"/>
        </w:rPr>
        <w:t>15 of the Convention</w:t>
      </w:r>
    </w:p>
    <w:p w14:paraId="0416F9D6" w14:textId="77777777" w:rsidR="00DC399D" w:rsidRPr="0077057D" w:rsidRDefault="00DC399D" w:rsidP="00DC399D">
      <w:pPr>
        <w:spacing w:after="0"/>
        <w:jc w:val="both"/>
        <w:rPr>
          <w:rFonts w:ascii="Arial" w:hAnsi="Arial" w:cs="Arial"/>
          <w:szCs w:val="20"/>
          <w:highlight w:val="lightGray"/>
          <w:lang w:val="en-GB"/>
        </w:rPr>
      </w:pPr>
    </w:p>
    <w:p w14:paraId="007B2B03" w14:textId="77777777" w:rsidR="00292610" w:rsidRPr="00A401CD" w:rsidRDefault="00DC399D" w:rsidP="00DC399D">
      <w:pPr>
        <w:spacing w:after="0"/>
        <w:jc w:val="both"/>
        <w:rPr>
          <w:rFonts w:ascii="Arial" w:hAnsi="Arial" w:cs="Arial"/>
          <w:szCs w:val="20"/>
          <w:lang w:val="en-US"/>
        </w:rPr>
      </w:pPr>
      <w:r w:rsidRPr="00F176E0">
        <w:rPr>
          <w:rFonts w:ascii="Arial" w:hAnsi="Arial" w:cs="Arial"/>
          <w:szCs w:val="20"/>
          <w:lang w:val="en-GB"/>
        </w:rPr>
        <w:t>Full d</w:t>
      </w:r>
      <w:r w:rsidR="00144851">
        <w:rPr>
          <w:rFonts w:ascii="Arial" w:hAnsi="Arial" w:cs="Arial"/>
          <w:szCs w:val="20"/>
          <w:lang w:val="en-GB"/>
        </w:rPr>
        <w:t>ecision in PDF format</w:t>
      </w:r>
      <w:r w:rsidRPr="00F176E0">
        <w:rPr>
          <w:rFonts w:ascii="Arial" w:hAnsi="Arial" w:cs="Arial"/>
          <w:szCs w:val="20"/>
          <w:lang w:val="en-GB"/>
        </w:rPr>
        <w:t xml:space="preserve">: </w:t>
      </w:r>
      <w:hyperlink r:id="rId12" w:history="1">
        <w:r w:rsidRPr="004E36E7">
          <w:rPr>
            <w:rStyle w:val="Hyperlink"/>
            <w:rFonts w:ascii="Arial" w:hAnsi="Arial" w:cs="Arial"/>
            <w:szCs w:val="20"/>
            <w:lang w:val="en-GB"/>
          </w:rPr>
          <w:t>Arabic</w:t>
        </w:r>
      </w:hyperlink>
      <w:r w:rsidRPr="000E3E18">
        <w:rPr>
          <w:rFonts w:ascii="Arial" w:hAnsi="Arial" w:cs="Arial"/>
          <w:szCs w:val="20"/>
          <w:lang w:val="en-GB"/>
        </w:rPr>
        <w:t xml:space="preserve">, </w:t>
      </w:r>
      <w:hyperlink r:id="rId13" w:history="1">
        <w:r w:rsidRPr="004E36E7">
          <w:rPr>
            <w:rStyle w:val="Hyperlink"/>
            <w:rFonts w:ascii="Arial" w:hAnsi="Arial" w:cs="Arial"/>
            <w:szCs w:val="20"/>
            <w:lang w:val="en-GB"/>
          </w:rPr>
          <w:t>English</w:t>
        </w:r>
      </w:hyperlink>
      <w:r w:rsidRPr="000E3E18">
        <w:rPr>
          <w:rFonts w:ascii="Arial" w:hAnsi="Arial" w:cs="Arial"/>
          <w:szCs w:val="20"/>
          <w:lang w:val="en-GB"/>
        </w:rPr>
        <w:t xml:space="preserve">, </w:t>
      </w:r>
      <w:hyperlink r:id="rId14" w:history="1">
        <w:r w:rsidRPr="004E36E7">
          <w:rPr>
            <w:rStyle w:val="Hyperlink"/>
            <w:rFonts w:ascii="Arial" w:hAnsi="Arial" w:cs="Arial"/>
            <w:szCs w:val="20"/>
            <w:lang w:val="en-GB"/>
          </w:rPr>
          <w:t>French</w:t>
        </w:r>
      </w:hyperlink>
      <w:r w:rsidRPr="000E3E18">
        <w:rPr>
          <w:rFonts w:ascii="Arial" w:hAnsi="Arial" w:cs="Arial"/>
          <w:szCs w:val="20"/>
          <w:lang w:val="en-GB"/>
        </w:rPr>
        <w:t xml:space="preserve">, </w:t>
      </w:r>
      <w:hyperlink r:id="rId15" w:history="1">
        <w:r w:rsidRPr="004E36E7">
          <w:rPr>
            <w:rStyle w:val="Hyperlink"/>
            <w:rFonts w:ascii="Arial" w:hAnsi="Arial" w:cs="Arial"/>
            <w:szCs w:val="20"/>
            <w:lang w:val="en-GB"/>
          </w:rPr>
          <w:t>Russian</w:t>
        </w:r>
      </w:hyperlink>
      <w:r w:rsidRPr="00B83639">
        <w:rPr>
          <w:lang w:val="en-GB"/>
        </w:rPr>
        <w:t xml:space="preserve"> </w:t>
      </w:r>
      <w:r w:rsidRPr="000E3E18">
        <w:rPr>
          <w:rFonts w:ascii="Arial" w:hAnsi="Arial" w:cs="Arial"/>
          <w:szCs w:val="20"/>
          <w:lang w:val="en-GB"/>
        </w:rPr>
        <w:t xml:space="preserve">and </w:t>
      </w:r>
      <w:hyperlink r:id="rId16" w:history="1">
        <w:r w:rsidRPr="004E36E7">
          <w:rPr>
            <w:rStyle w:val="Hyperlink"/>
            <w:rFonts w:ascii="Arial" w:hAnsi="Arial" w:cs="Arial"/>
            <w:szCs w:val="20"/>
            <w:lang w:val="en-GB"/>
          </w:rPr>
          <w:t>Spanish</w:t>
        </w:r>
      </w:hyperlink>
    </w:p>
    <w:p w14:paraId="102DC246" w14:textId="77777777" w:rsidR="005C728F" w:rsidRDefault="005C728F" w:rsidP="00DC399D">
      <w:pPr>
        <w:spacing w:after="0"/>
        <w:jc w:val="both"/>
        <w:rPr>
          <w:rFonts w:ascii="Arial" w:hAnsi="Arial" w:cs="Arial"/>
          <w:szCs w:val="20"/>
          <w:lang w:val="en-GB"/>
        </w:rPr>
      </w:pPr>
      <w:r>
        <w:rPr>
          <w:rFonts w:ascii="Arial" w:hAnsi="Arial" w:cs="Arial"/>
          <w:szCs w:val="20"/>
          <w:lang w:val="en-GB"/>
        </w:rPr>
        <w:t xml:space="preserve"> </w:t>
      </w:r>
    </w:p>
    <w:p w14:paraId="4682A30A" w14:textId="77777777" w:rsidR="005C728F" w:rsidRPr="005C728F" w:rsidRDefault="005C728F" w:rsidP="007C22D0">
      <w:pPr>
        <w:spacing w:after="120"/>
        <w:ind w:left="2127" w:hanging="2127"/>
        <w:jc w:val="both"/>
        <w:rPr>
          <w:rFonts w:ascii="Arial" w:hAnsi="Arial" w:cs="Arial"/>
          <w:b/>
          <w:szCs w:val="20"/>
          <w:lang w:val="en-GB"/>
        </w:rPr>
      </w:pPr>
      <w:r w:rsidRPr="005C728F">
        <w:rPr>
          <w:rFonts w:ascii="Arial" w:hAnsi="Arial" w:cs="Arial"/>
          <w:b/>
          <w:szCs w:val="20"/>
          <w:lang w:val="en-GB"/>
        </w:rPr>
        <w:t>Facts</w:t>
      </w:r>
    </w:p>
    <w:p w14:paraId="6DBDF976" w14:textId="77777777" w:rsidR="00A06812" w:rsidRDefault="005C728F" w:rsidP="007C22D0">
      <w:pPr>
        <w:spacing w:after="120"/>
        <w:jc w:val="both"/>
        <w:rPr>
          <w:rFonts w:ascii="Arial" w:hAnsi="Arial" w:cs="Arial"/>
          <w:szCs w:val="20"/>
          <w:lang w:val="en-GB"/>
        </w:rPr>
      </w:pPr>
      <w:r w:rsidRPr="005C728F">
        <w:rPr>
          <w:rFonts w:ascii="Arial" w:hAnsi="Arial" w:cs="Arial"/>
          <w:szCs w:val="20"/>
          <w:lang w:val="en-GB"/>
        </w:rPr>
        <w:t>The author is N.L., a national of Iraq, born in 1961</w:t>
      </w:r>
      <w:r w:rsidR="00A06812">
        <w:rPr>
          <w:rFonts w:ascii="Arial" w:hAnsi="Arial" w:cs="Arial"/>
          <w:szCs w:val="20"/>
          <w:lang w:val="en-GB"/>
        </w:rPr>
        <w:t>,</w:t>
      </w:r>
      <w:r w:rsidRPr="005C728F">
        <w:rPr>
          <w:rFonts w:ascii="Arial" w:hAnsi="Arial" w:cs="Arial"/>
          <w:szCs w:val="20"/>
          <w:lang w:val="en-GB"/>
        </w:rPr>
        <w:t xml:space="preserve"> represented by counsel. The author has been diagnosed with depression with psychotic features. She claims that there would be a serious risk to her life and health if she were to be removed to Iraq, as she would be unable to access essential medical care. She also has been diagnosed with diabetes and high blood pressure. The author arrived in Sweden for asylum on 13 March 2013. She needed international protection since she had received death threats from her relatives because of her relationship with an Iraqi man. The Migration Agency denied her application for asylum on 14 February 2017, finding her statements to be lacking in credibility. The Migration Court of Appeal rejected her application for leave to appeal on 29 June 2017. After the expulsion order against the author became final, she applied for impediment of enforcement of the deportation order against her to the Migration Agency. She claims her health condition`s deterioration. The Migration Agency denied her application on 15 January 2018. The Migration Court also dismissed the appeal in 2018. </w:t>
      </w:r>
    </w:p>
    <w:p w14:paraId="1CB59109" w14:textId="64CD7B09" w:rsidR="00DC399D" w:rsidRDefault="005C728F" w:rsidP="007C22D0">
      <w:pPr>
        <w:spacing w:after="120"/>
        <w:jc w:val="both"/>
        <w:rPr>
          <w:rFonts w:ascii="Arial" w:hAnsi="Arial" w:cs="Arial"/>
          <w:szCs w:val="20"/>
          <w:lang w:val="en-GB"/>
        </w:rPr>
      </w:pPr>
      <w:r w:rsidRPr="005C728F">
        <w:rPr>
          <w:rFonts w:ascii="Arial" w:hAnsi="Arial" w:cs="Arial"/>
          <w:szCs w:val="20"/>
          <w:lang w:val="en-GB"/>
        </w:rPr>
        <w:t>On 25 April 2018</w:t>
      </w:r>
      <w:r w:rsidR="00A06812">
        <w:rPr>
          <w:rFonts w:ascii="Arial" w:hAnsi="Arial" w:cs="Arial"/>
          <w:szCs w:val="20"/>
          <w:lang w:val="en-GB"/>
        </w:rPr>
        <w:t>, t</w:t>
      </w:r>
      <w:r w:rsidRPr="005C728F">
        <w:rPr>
          <w:rFonts w:ascii="Arial" w:hAnsi="Arial" w:cs="Arial"/>
          <w:szCs w:val="20"/>
          <w:lang w:val="en-GB"/>
        </w:rPr>
        <w:t>he author submitted a second application for impediment of enforcement of the deportation order against her to the Migration Agency. She submitted a medical certificate from a psychologist according to which her mental health had deteriorated further</w:t>
      </w:r>
      <w:r w:rsidR="00E66D78">
        <w:rPr>
          <w:rFonts w:ascii="Arial" w:hAnsi="Arial" w:cs="Arial"/>
          <w:szCs w:val="20"/>
          <w:lang w:val="en-GB"/>
        </w:rPr>
        <w:t>, including due to</w:t>
      </w:r>
      <w:r w:rsidRPr="005C728F">
        <w:rPr>
          <w:rFonts w:ascii="Arial" w:hAnsi="Arial" w:cs="Arial"/>
          <w:szCs w:val="20"/>
          <w:lang w:val="en-GB"/>
        </w:rPr>
        <w:t xml:space="preserve"> </w:t>
      </w:r>
      <w:r w:rsidR="00E66D78">
        <w:rPr>
          <w:rFonts w:ascii="Arial" w:hAnsi="Arial" w:cs="Arial"/>
          <w:szCs w:val="20"/>
          <w:lang w:val="en-GB"/>
        </w:rPr>
        <w:t>the previous rejections</w:t>
      </w:r>
      <w:r w:rsidRPr="005C728F">
        <w:rPr>
          <w:rFonts w:ascii="Arial" w:hAnsi="Arial" w:cs="Arial"/>
          <w:szCs w:val="20"/>
          <w:lang w:val="en-GB"/>
        </w:rPr>
        <w:t>. The Migration Agency denied th</w:t>
      </w:r>
      <w:r w:rsidR="00E66D78">
        <w:rPr>
          <w:rFonts w:ascii="Arial" w:hAnsi="Arial" w:cs="Arial"/>
          <w:szCs w:val="20"/>
          <w:lang w:val="en-GB"/>
        </w:rPr>
        <w:t>is</w:t>
      </w:r>
      <w:r w:rsidRPr="005C728F">
        <w:rPr>
          <w:rFonts w:ascii="Arial" w:hAnsi="Arial" w:cs="Arial"/>
          <w:szCs w:val="20"/>
          <w:lang w:val="en-GB"/>
        </w:rPr>
        <w:t xml:space="preserve"> author’s second application. The Migration Agency noted that the author did not invoke mental illness when her case was assessed in her initial asylum process, but only after the expulsion order against her had become final. The Agency did not question that the author had a mental illness, but it found that the medical documentation submitted by her did not support the assumption that her illness was serious enough to grant her a residence permit. The author appealed the decision to the Migration Court. According to additional medical certificates, the author was diagnosed with a deep depression with serious suicide attempts, following which she was committed to hospital for almost two months.  In her appeal to the Migration Court, the author argued that her condition was life-threatening and that she would not be able to receive adequate treatment for it in Iraq. The author’s appeal was denied based on the conclusion that presented documents did not support the assumption that the author’s mental condition was lasting. The decision was upheld by the Migration Court of Appeal on 21 January 2019.</w:t>
      </w:r>
    </w:p>
    <w:p w14:paraId="40BE53CE" w14:textId="77777777" w:rsidR="007C22D0" w:rsidRDefault="007C22D0" w:rsidP="007C22D0">
      <w:pPr>
        <w:spacing w:after="120"/>
        <w:jc w:val="both"/>
        <w:rPr>
          <w:rFonts w:ascii="Arial" w:hAnsi="Arial" w:cs="Arial"/>
          <w:b/>
          <w:szCs w:val="20"/>
          <w:lang w:val="en-GB"/>
        </w:rPr>
      </w:pPr>
    </w:p>
    <w:p w14:paraId="7C89D2B1" w14:textId="592D7A6C" w:rsidR="00CE5DA6" w:rsidRDefault="00CE5DA6" w:rsidP="007C22D0">
      <w:pPr>
        <w:spacing w:after="120"/>
        <w:jc w:val="both"/>
        <w:rPr>
          <w:rFonts w:ascii="Arial" w:hAnsi="Arial" w:cs="Arial"/>
          <w:b/>
          <w:szCs w:val="20"/>
          <w:lang w:val="en-GB"/>
        </w:rPr>
      </w:pPr>
      <w:r w:rsidRPr="00CE5DA6">
        <w:rPr>
          <w:rFonts w:ascii="Arial" w:hAnsi="Arial" w:cs="Arial"/>
          <w:b/>
          <w:szCs w:val="20"/>
          <w:lang w:val="en-GB"/>
        </w:rPr>
        <w:lastRenderedPageBreak/>
        <w:t>The complaint</w:t>
      </w:r>
    </w:p>
    <w:p w14:paraId="34AF47B9" w14:textId="299F0C87" w:rsidR="006F7A52" w:rsidRPr="006F7A52" w:rsidRDefault="002A3AF6" w:rsidP="007C22D0">
      <w:pPr>
        <w:spacing w:after="120"/>
        <w:jc w:val="both"/>
        <w:rPr>
          <w:rFonts w:ascii="Arial" w:hAnsi="Arial" w:cs="Arial"/>
          <w:szCs w:val="20"/>
          <w:lang w:val="en-US"/>
        </w:rPr>
      </w:pPr>
      <w:r w:rsidRPr="002A3AF6">
        <w:rPr>
          <w:rFonts w:ascii="Arial" w:hAnsi="Arial" w:cs="Arial"/>
          <w:szCs w:val="20"/>
          <w:u w:val="single"/>
          <w:lang w:val="en-US"/>
        </w:rPr>
        <w:t>Regarding articles 10 and 15,</w:t>
      </w:r>
      <w:r>
        <w:rPr>
          <w:rFonts w:ascii="Arial" w:hAnsi="Arial" w:cs="Arial"/>
          <w:szCs w:val="20"/>
          <w:lang w:val="en-US"/>
        </w:rPr>
        <w:t xml:space="preserve"> t</w:t>
      </w:r>
      <w:r w:rsidR="006F7A52" w:rsidRPr="006F7A52">
        <w:rPr>
          <w:rFonts w:ascii="Arial" w:hAnsi="Arial" w:cs="Arial"/>
          <w:szCs w:val="20"/>
          <w:lang w:val="en-US"/>
        </w:rPr>
        <w:t xml:space="preserve">he author claims that, </w:t>
      </w:r>
      <w:r>
        <w:rPr>
          <w:rFonts w:ascii="Arial" w:hAnsi="Arial" w:cs="Arial"/>
          <w:szCs w:val="20"/>
          <w:lang w:val="en-US"/>
        </w:rPr>
        <w:t xml:space="preserve">her deportation to </w:t>
      </w:r>
      <w:r w:rsidRPr="006F7A52">
        <w:rPr>
          <w:rFonts w:ascii="Arial" w:hAnsi="Arial" w:cs="Arial"/>
          <w:szCs w:val="20"/>
          <w:lang w:val="en-US"/>
        </w:rPr>
        <w:t>Iraq</w:t>
      </w:r>
      <w:r w:rsidR="006F7A52" w:rsidRPr="006F7A52">
        <w:rPr>
          <w:rFonts w:ascii="Arial" w:hAnsi="Arial" w:cs="Arial"/>
          <w:szCs w:val="20"/>
          <w:lang w:val="en-US"/>
        </w:rPr>
        <w:t xml:space="preserve"> would lead to a grave risk of suicide and to other risks to her life and health. She claims that the medical certificates submitted by her before domestic authorities establish that she is diagnosed with</w:t>
      </w:r>
      <w:r w:rsidR="007C22D0">
        <w:rPr>
          <w:rFonts w:ascii="Arial" w:hAnsi="Arial" w:cs="Arial"/>
          <w:szCs w:val="20"/>
          <w:lang w:val="en-US"/>
        </w:rPr>
        <w:t xml:space="preserve"> a</w:t>
      </w:r>
      <w:r w:rsidR="006F7A52" w:rsidRPr="006F7A52">
        <w:rPr>
          <w:rFonts w:ascii="Arial" w:hAnsi="Arial" w:cs="Arial"/>
          <w:szCs w:val="20"/>
          <w:lang w:val="en-US"/>
        </w:rPr>
        <w:t xml:space="preserve"> long-term men</w:t>
      </w:r>
      <w:r>
        <w:rPr>
          <w:rFonts w:ascii="Arial" w:hAnsi="Arial" w:cs="Arial"/>
          <w:szCs w:val="20"/>
          <w:lang w:val="en-US"/>
        </w:rPr>
        <w:t xml:space="preserve">tal </w:t>
      </w:r>
      <w:r w:rsidR="007C22D0">
        <w:rPr>
          <w:rFonts w:ascii="Arial" w:hAnsi="Arial" w:cs="Arial"/>
          <w:szCs w:val="20"/>
          <w:lang w:val="en-US"/>
        </w:rPr>
        <w:t>health condition</w:t>
      </w:r>
      <w:r>
        <w:rPr>
          <w:rFonts w:ascii="Arial" w:hAnsi="Arial" w:cs="Arial"/>
          <w:szCs w:val="20"/>
          <w:lang w:val="en-US"/>
        </w:rPr>
        <w:t xml:space="preserve">, and </w:t>
      </w:r>
      <w:r w:rsidR="006F7A52" w:rsidRPr="006F7A52">
        <w:rPr>
          <w:rFonts w:ascii="Arial" w:hAnsi="Arial" w:cs="Arial"/>
          <w:szCs w:val="20"/>
          <w:lang w:val="en-US"/>
        </w:rPr>
        <w:t xml:space="preserve">the probability that she would be able to receive treatment for her </w:t>
      </w:r>
      <w:r w:rsidR="00BD6D9F">
        <w:rPr>
          <w:rFonts w:ascii="Arial" w:hAnsi="Arial" w:cs="Arial"/>
          <w:szCs w:val="20"/>
          <w:lang w:val="en-US"/>
        </w:rPr>
        <w:t>conditions</w:t>
      </w:r>
      <w:r w:rsidR="006F7A52" w:rsidRPr="006F7A52">
        <w:rPr>
          <w:rFonts w:ascii="Arial" w:hAnsi="Arial" w:cs="Arial"/>
          <w:szCs w:val="20"/>
          <w:lang w:val="en-US"/>
        </w:rPr>
        <w:t xml:space="preserve"> i</w:t>
      </w:r>
      <w:r w:rsidR="0086350C">
        <w:rPr>
          <w:rFonts w:ascii="Arial" w:hAnsi="Arial" w:cs="Arial"/>
          <w:szCs w:val="20"/>
          <w:lang w:val="en-US"/>
        </w:rPr>
        <w:t xml:space="preserve">n Iraq is very low. </w:t>
      </w:r>
      <w:r w:rsidR="00927F0C">
        <w:rPr>
          <w:rFonts w:ascii="Arial" w:hAnsi="Arial" w:cs="Arial"/>
          <w:szCs w:val="20"/>
          <w:lang w:val="en-US"/>
        </w:rPr>
        <w:t>In addition, the author claims h</w:t>
      </w:r>
      <w:r w:rsidR="006F7A52" w:rsidRPr="006F7A52">
        <w:rPr>
          <w:rFonts w:ascii="Arial" w:hAnsi="Arial" w:cs="Arial"/>
          <w:szCs w:val="20"/>
          <w:lang w:val="en-US"/>
        </w:rPr>
        <w:t xml:space="preserve">er mental </w:t>
      </w:r>
      <w:r w:rsidR="00BD6D9F">
        <w:rPr>
          <w:rFonts w:ascii="Arial" w:hAnsi="Arial" w:cs="Arial"/>
          <w:szCs w:val="20"/>
          <w:lang w:val="en-US"/>
        </w:rPr>
        <w:t>health condition</w:t>
      </w:r>
      <w:r w:rsidR="006F7A52" w:rsidRPr="006F7A52">
        <w:rPr>
          <w:rFonts w:ascii="Arial" w:hAnsi="Arial" w:cs="Arial"/>
          <w:szCs w:val="20"/>
          <w:lang w:val="en-US"/>
        </w:rPr>
        <w:t xml:space="preserve"> constitutes a long-term mental </w:t>
      </w:r>
      <w:r w:rsidR="007C22D0" w:rsidRPr="006F7A52">
        <w:rPr>
          <w:rFonts w:ascii="Arial" w:hAnsi="Arial" w:cs="Arial"/>
          <w:szCs w:val="20"/>
          <w:lang w:val="en-US"/>
        </w:rPr>
        <w:t>impairment,</w:t>
      </w:r>
      <w:r w:rsidR="006F7A52" w:rsidRPr="006F7A52">
        <w:rPr>
          <w:rFonts w:ascii="Arial" w:hAnsi="Arial" w:cs="Arial"/>
          <w:szCs w:val="20"/>
          <w:lang w:val="en-US"/>
        </w:rPr>
        <w:t xml:space="preserve"> and her mental health has deteriorated during her stay in</w:t>
      </w:r>
      <w:r w:rsidR="00BD6D9F">
        <w:rPr>
          <w:rFonts w:ascii="Arial" w:hAnsi="Arial" w:cs="Arial"/>
          <w:szCs w:val="20"/>
          <w:lang w:val="en-US"/>
        </w:rPr>
        <w:t xml:space="preserve"> the State</w:t>
      </w:r>
      <w:r w:rsidR="006F7A52" w:rsidRPr="006F7A52">
        <w:rPr>
          <w:rFonts w:ascii="Arial" w:hAnsi="Arial" w:cs="Arial"/>
          <w:szCs w:val="20"/>
          <w:lang w:val="en-US"/>
        </w:rPr>
        <w:t>. She notes that her condition has been described as life-threatening in the medical certificates she submitted before State</w:t>
      </w:r>
      <w:r w:rsidR="007C22D0">
        <w:rPr>
          <w:rFonts w:ascii="Arial" w:hAnsi="Arial" w:cs="Arial"/>
          <w:szCs w:val="20"/>
          <w:lang w:val="en-US"/>
        </w:rPr>
        <w:t>’s</w:t>
      </w:r>
      <w:r w:rsidR="006F7A52" w:rsidRPr="006F7A52">
        <w:rPr>
          <w:rFonts w:ascii="Arial" w:hAnsi="Arial" w:cs="Arial"/>
          <w:szCs w:val="20"/>
          <w:lang w:val="en-US"/>
        </w:rPr>
        <w:t xml:space="preserve"> auth</w:t>
      </w:r>
      <w:r>
        <w:rPr>
          <w:rFonts w:ascii="Arial" w:hAnsi="Arial" w:cs="Arial"/>
          <w:szCs w:val="20"/>
          <w:lang w:val="en-US"/>
        </w:rPr>
        <w:t>orities. S</w:t>
      </w:r>
      <w:r w:rsidR="006F7A52" w:rsidRPr="006F7A52">
        <w:rPr>
          <w:rFonts w:ascii="Arial" w:hAnsi="Arial" w:cs="Arial"/>
          <w:szCs w:val="20"/>
          <w:lang w:val="en-US"/>
        </w:rPr>
        <w:t>he has also been diagnosed with diabetes and high blood pressure, which aggravate the risk to her life and health.</w:t>
      </w:r>
    </w:p>
    <w:p w14:paraId="37D880B6" w14:textId="0ACB63F6" w:rsidR="00BD6D9F" w:rsidRDefault="002A3AF6" w:rsidP="007C22D0">
      <w:pPr>
        <w:spacing w:after="120"/>
        <w:jc w:val="both"/>
        <w:rPr>
          <w:rFonts w:ascii="Arial" w:hAnsi="Arial" w:cs="Arial"/>
          <w:szCs w:val="20"/>
          <w:lang w:val="en-US"/>
        </w:rPr>
      </w:pPr>
      <w:r w:rsidRPr="002A3AF6">
        <w:rPr>
          <w:rFonts w:ascii="Arial" w:hAnsi="Arial" w:cs="Arial"/>
          <w:szCs w:val="20"/>
          <w:u w:val="single"/>
          <w:lang w:val="en-US"/>
        </w:rPr>
        <w:t>Regarding article 12,</w:t>
      </w:r>
      <w:r>
        <w:rPr>
          <w:rFonts w:ascii="Arial" w:hAnsi="Arial" w:cs="Arial"/>
          <w:szCs w:val="20"/>
          <w:lang w:val="en-US"/>
        </w:rPr>
        <w:t xml:space="preserve"> the author </w:t>
      </w:r>
      <w:r w:rsidR="006F7A52" w:rsidRPr="006F7A52">
        <w:rPr>
          <w:rFonts w:ascii="Arial" w:hAnsi="Arial" w:cs="Arial"/>
          <w:szCs w:val="20"/>
          <w:lang w:val="en-US"/>
        </w:rPr>
        <w:t>argues that, as the pro</w:t>
      </w:r>
      <w:r>
        <w:rPr>
          <w:rFonts w:ascii="Arial" w:hAnsi="Arial" w:cs="Arial"/>
          <w:szCs w:val="20"/>
          <w:lang w:val="en-US"/>
        </w:rPr>
        <w:t xml:space="preserve">ceedings before the State </w:t>
      </w:r>
      <w:r w:rsidR="006F7A52" w:rsidRPr="006F7A52">
        <w:rPr>
          <w:rFonts w:ascii="Arial" w:hAnsi="Arial" w:cs="Arial"/>
          <w:szCs w:val="20"/>
          <w:lang w:val="en-US"/>
        </w:rPr>
        <w:t>were more focused on the reasons underlying her condition rather than what real risk of treatmen</w:t>
      </w:r>
      <w:r>
        <w:rPr>
          <w:rFonts w:ascii="Arial" w:hAnsi="Arial" w:cs="Arial"/>
          <w:szCs w:val="20"/>
          <w:lang w:val="en-US"/>
        </w:rPr>
        <w:t>t in violation of the CRPD</w:t>
      </w:r>
      <w:r w:rsidR="006F7A52" w:rsidRPr="006F7A52">
        <w:rPr>
          <w:rFonts w:ascii="Arial" w:hAnsi="Arial" w:cs="Arial"/>
          <w:szCs w:val="20"/>
          <w:lang w:val="en-US"/>
        </w:rPr>
        <w:t xml:space="preserve"> her disability poses, it can be questioned if she has received equal recognition before the law. </w:t>
      </w:r>
    </w:p>
    <w:p w14:paraId="3C6886E0" w14:textId="77777777" w:rsidR="002A3AF6" w:rsidRDefault="002A3AF6" w:rsidP="007C22D0">
      <w:pPr>
        <w:spacing w:after="120"/>
        <w:jc w:val="both"/>
        <w:rPr>
          <w:rFonts w:ascii="Arial" w:hAnsi="Arial" w:cs="Arial"/>
          <w:szCs w:val="20"/>
          <w:lang w:val="en-US"/>
        </w:rPr>
      </w:pPr>
      <w:r w:rsidRPr="002A3AF6">
        <w:rPr>
          <w:rFonts w:ascii="Arial" w:hAnsi="Arial" w:cs="Arial"/>
          <w:szCs w:val="20"/>
          <w:u w:val="single"/>
          <w:lang w:val="en-US"/>
        </w:rPr>
        <w:t>Regarding article 6,</w:t>
      </w:r>
      <w:r>
        <w:rPr>
          <w:rFonts w:ascii="Arial" w:hAnsi="Arial" w:cs="Arial"/>
          <w:szCs w:val="20"/>
          <w:lang w:val="en-US"/>
        </w:rPr>
        <w:t xml:space="preserve"> since she does not have </w:t>
      </w:r>
      <w:r w:rsidRPr="002A3AF6">
        <w:rPr>
          <w:rFonts w:ascii="Arial" w:hAnsi="Arial" w:cs="Arial"/>
          <w:szCs w:val="20"/>
          <w:lang w:val="en-US"/>
        </w:rPr>
        <w:t>a family</w:t>
      </w:r>
      <w:r w:rsidR="00AB1E40">
        <w:rPr>
          <w:rFonts w:ascii="Arial" w:hAnsi="Arial" w:cs="Arial"/>
          <w:szCs w:val="20"/>
          <w:lang w:val="en-US"/>
        </w:rPr>
        <w:t xml:space="preserve"> </w:t>
      </w:r>
      <w:r w:rsidRPr="002A3AF6">
        <w:rPr>
          <w:rFonts w:ascii="Arial" w:hAnsi="Arial" w:cs="Arial"/>
          <w:szCs w:val="20"/>
          <w:lang w:val="en-US"/>
        </w:rPr>
        <w:t>network in Iraq</w:t>
      </w:r>
      <w:r>
        <w:rPr>
          <w:rFonts w:ascii="Arial" w:hAnsi="Arial" w:cs="Arial"/>
          <w:szCs w:val="20"/>
          <w:lang w:val="en-US"/>
        </w:rPr>
        <w:t xml:space="preserve">, her </w:t>
      </w:r>
      <w:r w:rsidRPr="002A3AF6">
        <w:rPr>
          <w:rFonts w:ascii="Arial" w:hAnsi="Arial" w:cs="Arial"/>
          <w:szCs w:val="20"/>
          <w:lang w:val="en-US"/>
        </w:rPr>
        <w:t>vulnerability as</w:t>
      </w:r>
      <w:r>
        <w:rPr>
          <w:rFonts w:ascii="Arial" w:hAnsi="Arial" w:cs="Arial"/>
          <w:szCs w:val="20"/>
          <w:lang w:val="en-US"/>
        </w:rPr>
        <w:t xml:space="preserve"> a woman with disabilities should</w:t>
      </w:r>
      <w:r w:rsidRPr="002A3AF6">
        <w:rPr>
          <w:rFonts w:ascii="Arial" w:hAnsi="Arial" w:cs="Arial"/>
          <w:szCs w:val="20"/>
          <w:lang w:val="en-US"/>
        </w:rPr>
        <w:t xml:space="preserve"> be recognized</w:t>
      </w:r>
      <w:r>
        <w:rPr>
          <w:rFonts w:ascii="Arial" w:hAnsi="Arial" w:cs="Arial"/>
          <w:szCs w:val="20"/>
          <w:lang w:val="en-US"/>
        </w:rPr>
        <w:t>.</w:t>
      </w:r>
    </w:p>
    <w:p w14:paraId="110B26B4" w14:textId="77777777" w:rsidR="0089161C" w:rsidRDefault="0089161C" w:rsidP="007C22D0">
      <w:pPr>
        <w:spacing w:after="120"/>
        <w:jc w:val="both"/>
        <w:rPr>
          <w:rFonts w:ascii="Arial" w:hAnsi="Arial" w:cs="Arial"/>
          <w:szCs w:val="20"/>
          <w:lang w:val="en-US"/>
        </w:rPr>
      </w:pPr>
    </w:p>
    <w:p w14:paraId="55B46860" w14:textId="4642C6A4" w:rsidR="0089161C" w:rsidRPr="007C22D0" w:rsidRDefault="0089161C" w:rsidP="007C22D0">
      <w:pPr>
        <w:spacing w:after="120"/>
        <w:jc w:val="both"/>
        <w:rPr>
          <w:rFonts w:ascii="Arial" w:hAnsi="Arial" w:cs="Arial"/>
          <w:b/>
          <w:szCs w:val="20"/>
          <w:lang w:val="en-GB"/>
        </w:rPr>
      </w:pPr>
      <w:r w:rsidRPr="0089161C">
        <w:rPr>
          <w:rFonts w:ascii="Arial" w:hAnsi="Arial" w:cs="Arial"/>
          <w:b/>
          <w:szCs w:val="20"/>
          <w:lang w:val="en-GB"/>
        </w:rPr>
        <w:t>State ’s observations on admissibility and the merits</w:t>
      </w:r>
    </w:p>
    <w:p w14:paraId="42939E00" w14:textId="55B054DC" w:rsidR="007C22D0" w:rsidRDefault="0089161C" w:rsidP="007C22D0">
      <w:pPr>
        <w:spacing w:after="120"/>
        <w:jc w:val="both"/>
        <w:rPr>
          <w:rFonts w:ascii="Arial" w:hAnsi="Arial" w:cs="Arial"/>
          <w:szCs w:val="20"/>
          <w:lang w:val="en-GB"/>
        </w:rPr>
      </w:pPr>
      <w:r w:rsidRPr="0089161C">
        <w:rPr>
          <w:rFonts w:ascii="Arial" w:hAnsi="Arial" w:cs="Arial"/>
          <w:szCs w:val="20"/>
          <w:u w:val="single"/>
          <w:lang w:val="en-GB"/>
        </w:rPr>
        <w:t>Regarding articles 10 and 15</w:t>
      </w:r>
      <w:r w:rsidRPr="0089161C">
        <w:rPr>
          <w:rFonts w:ascii="Arial" w:hAnsi="Arial" w:cs="Arial"/>
          <w:szCs w:val="20"/>
          <w:lang w:val="en-GB"/>
        </w:rPr>
        <w:t xml:space="preserve">, </w:t>
      </w:r>
      <w:r w:rsidR="00BD6D9F">
        <w:rPr>
          <w:rFonts w:ascii="Arial" w:hAnsi="Arial" w:cs="Arial"/>
          <w:szCs w:val="20"/>
          <w:lang w:val="en-GB"/>
        </w:rPr>
        <w:t>t</w:t>
      </w:r>
      <w:r w:rsidRPr="0089161C">
        <w:rPr>
          <w:rFonts w:ascii="Arial" w:hAnsi="Arial" w:cs="Arial"/>
          <w:szCs w:val="20"/>
          <w:lang w:val="en-GB"/>
        </w:rPr>
        <w:t>he State claims</w:t>
      </w:r>
      <w:r w:rsidRPr="00BE6EE9">
        <w:rPr>
          <w:rFonts w:ascii="Arial" w:hAnsi="Arial" w:cs="Arial"/>
          <w:szCs w:val="20"/>
          <w:lang w:val="en-GB"/>
        </w:rPr>
        <w:t xml:space="preserve"> that the author had not</w:t>
      </w:r>
      <w:r w:rsidR="007C22D0">
        <w:rPr>
          <w:rFonts w:ascii="Arial" w:hAnsi="Arial" w:cs="Arial"/>
          <w:szCs w:val="20"/>
          <w:lang w:val="en-GB"/>
        </w:rPr>
        <w:t xml:space="preserve"> referred to her mental health</w:t>
      </w:r>
      <w:r w:rsidRPr="00BE6EE9">
        <w:rPr>
          <w:rFonts w:ascii="Arial" w:hAnsi="Arial" w:cs="Arial"/>
          <w:szCs w:val="20"/>
          <w:lang w:val="en-GB"/>
        </w:rPr>
        <w:t xml:space="preserve"> before the expulsion order became final</w:t>
      </w:r>
      <w:r w:rsidRPr="0089161C">
        <w:rPr>
          <w:rFonts w:ascii="Arial" w:hAnsi="Arial" w:cs="Arial"/>
          <w:szCs w:val="20"/>
          <w:lang w:val="en-GB"/>
        </w:rPr>
        <w:t>. It notes</w:t>
      </w:r>
      <w:r w:rsidRPr="00BE6EE9">
        <w:rPr>
          <w:rFonts w:ascii="Arial" w:hAnsi="Arial" w:cs="Arial"/>
          <w:szCs w:val="20"/>
          <w:lang w:val="en-GB"/>
        </w:rPr>
        <w:t xml:space="preserve"> that the author herself connected her cited </w:t>
      </w:r>
      <w:r w:rsidR="007C22D0">
        <w:rPr>
          <w:rFonts w:ascii="Arial" w:hAnsi="Arial" w:cs="Arial"/>
          <w:szCs w:val="20"/>
          <w:lang w:val="en-GB"/>
        </w:rPr>
        <w:t xml:space="preserve">mental </w:t>
      </w:r>
      <w:r w:rsidRPr="00BE6EE9">
        <w:rPr>
          <w:rFonts w:ascii="Arial" w:hAnsi="Arial" w:cs="Arial"/>
          <w:szCs w:val="20"/>
          <w:lang w:val="en-GB"/>
        </w:rPr>
        <w:t xml:space="preserve">health </w:t>
      </w:r>
      <w:r w:rsidR="007C22D0">
        <w:rPr>
          <w:rFonts w:ascii="Arial" w:hAnsi="Arial" w:cs="Arial"/>
          <w:szCs w:val="20"/>
          <w:lang w:val="en-GB"/>
        </w:rPr>
        <w:t>condition</w:t>
      </w:r>
      <w:r w:rsidRPr="00BE6EE9">
        <w:rPr>
          <w:rFonts w:ascii="Arial" w:hAnsi="Arial" w:cs="Arial"/>
          <w:szCs w:val="20"/>
          <w:lang w:val="en-GB"/>
        </w:rPr>
        <w:t xml:space="preserve"> to her fear of returning to Iraq. </w:t>
      </w:r>
      <w:r w:rsidRPr="0089161C">
        <w:rPr>
          <w:rFonts w:ascii="Arial" w:hAnsi="Arial" w:cs="Arial"/>
          <w:szCs w:val="20"/>
          <w:lang w:val="en-GB"/>
        </w:rPr>
        <w:t>The State argues</w:t>
      </w:r>
      <w:r w:rsidRPr="00BE6EE9">
        <w:rPr>
          <w:rFonts w:ascii="Arial" w:hAnsi="Arial" w:cs="Arial"/>
          <w:szCs w:val="20"/>
          <w:lang w:val="en-GB"/>
        </w:rPr>
        <w:t xml:space="preserve"> that it had not been substantiated that the author’s cited health </w:t>
      </w:r>
      <w:r w:rsidR="007C22D0">
        <w:rPr>
          <w:rFonts w:ascii="Arial" w:hAnsi="Arial" w:cs="Arial"/>
          <w:szCs w:val="20"/>
          <w:lang w:val="en-GB"/>
        </w:rPr>
        <w:t>condition</w:t>
      </w:r>
      <w:r w:rsidRPr="00BE6EE9">
        <w:rPr>
          <w:rFonts w:ascii="Arial" w:hAnsi="Arial" w:cs="Arial"/>
          <w:szCs w:val="20"/>
          <w:lang w:val="en-GB"/>
        </w:rPr>
        <w:t xml:space="preserve"> was not of a temporary nature.</w:t>
      </w:r>
    </w:p>
    <w:p w14:paraId="3BB625F9" w14:textId="2110C134" w:rsidR="0089161C" w:rsidRPr="00927F0C" w:rsidRDefault="0089161C" w:rsidP="007C22D0">
      <w:pPr>
        <w:spacing w:after="120"/>
        <w:jc w:val="both"/>
        <w:rPr>
          <w:rFonts w:ascii="Arial" w:hAnsi="Arial" w:cs="Arial"/>
          <w:szCs w:val="20"/>
          <w:lang w:val="en-GB"/>
        </w:rPr>
      </w:pPr>
      <w:r w:rsidRPr="0089161C">
        <w:rPr>
          <w:rFonts w:ascii="Arial" w:hAnsi="Arial" w:cs="Arial"/>
          <w:szCs w:val="20"/>
          <w:lang w:val="en-US"/>
        </w:rPr>
        <w:t xml:space="preserve">The Migration Court rejected the author’s appeal </w:t>
      </w:r>
      <w:r>
        <w:rPr>
          <w:rFonts w:ascii="Arial" w:hAnsi="Arial" w:cs="Arial"/>
          <w:szCs w:val="20"/>
          <w:lang w:val="en-US"/>
        </w:rPr>
        <w:t xml:space="preserve">because </w:t>
      </w:r>
      <w:r w:rsidRPr="0089161C">
        <w:rPr>
          <w:rFonts w:ascii="Arial" w:hAnsi="Arial" w:cs="Arial"/>
          <w:szCs w:val="20"/>
          <w:lang w:val="en-US"/>
        </w:rPr>
        <w:t>the submitted medical evidence did not provide sufficient support for the assumption that the author’s mental health condition was of a permanent nature and therefore found no reason to further assess her possibilities of receiving psychiatric care in Iraq.</w:t>
      </w:r>
      <w:r w:rsidR="00927F0C">
        <w:rPr>
          <w:rFonts w:ascii="Arial" w:hAnsi="Arial" w:cs="Arial"/>
          <w:szCs w:val="20"/>
          <w:lang w:val="en-GB"/>
        </w:rPr>
        <w:t xml:space="preserve"> </w:t>
      </w:r>
      <w:r w:rsidRPr="0089161C">
        <w:rPr>
          <w:rFonts w:ascii="Arial" w:hAnsi="Arial" w:cs="Arial"/>
          <w:szCs w:val="20"/>
          <w:lang w:val="en-US"/>
        </w:rPr>
        <w:t>Although psychosocial support services in I</w:t>
      </w:r>
      <w:r>
        <w:rPr>
          <w:rFonts w:ascii="Arial" w:hAnsi="Arial" w:cs="Arial"/>
          <w:szCs w:val="20"/>
          <w:lang w:val="en-US"/>
        </w:rPr>
        <w:t>raq are limited and expensive, t</w:t>
      </w:r>
      <w:r w:rsidRPr="0089161C">
        <w:rPr>
          <w:rFonts w:ascii="Arial" w:hAnsi="Arial" w:cs="Arial"/>
          <w:szCs w:val="20"/>
          <w:lang w:val="en-US"/>
        </w:rPr>
        <w:t xml:space="preserve">he State notes some examples of hospitals and clinics that provide treatment and medication for mental health conditions.  </w:t>
      </w:r>
    </w:p>
    <w:p w14:paraId="55DB9A9F" w14:textId="68735535" w:rsidR="00AB1E40" w:rsidRDefault="00AB1E40" w:rsidP="00927F0C">
      <w:pPr>
        <w:spacing w:after="120"/>
        <w:jc w:val="both"/>
        <w:rPr>
          <w:rFonts w:ascii="Arial" w:hAnsi="Arial" w:cs="Arial"/>
          <w:szCs w:val="20"/>
          <w:lang w:val="en-US"/>
        </w:rPr>
      </w:pPr>
      <w:r w:rsidRPr="00AB1E40">
        <w:rPr>
          <w:rFonts w:ascii="Arial" w:hAnsi="Arial" w:cs="Arial"/>
          <w:szCs w:val="20"/>
          <w:lang w:val="en-US"/>
        </w:rPr>
        <w:t>The State questions whether arti</w:t>
      </w:r>
      <w:r>
        <w:rPr>
          <w:rFonts w:ascii="Arial" w:hAnsi="Arial" w:cs="Arial"/>
          <w:szCs w:val="20"/>
          <w:lang w:val="en-US"/>
        </w:rPr>
        <w:t>cles 10 and 15 of the CRPD</w:t>
      </w:r>
      <w:r w:rsidRPr="00AB1E40">
        <w:rPr>
          <w:rFonts w:ascii="Arial" w:hAnsi="Arial" w:cs="Arial"/>
          <w:szCs w:val="20"/>
          <w:lang w:val="en-US"/>
        </w:rPr>
        <w:t>, invoked by the author,</w:t>
      </w:r>
      <w:r w:rsidR="00927F0C">
        <w:rPr>
          <w:rFonts w:ascii="Arial" w:hAnsi="Arial" w:cs="Arial"/>
          <w:szCs w:val="20"/>
          <w:lang w:val="en-US"/>
        </w:rPr>
        <w:t xml:space="preserve"> </w:t>
      </w:r>
      <w:r w:rsidRPr="00AB1E40">
        <w:rPr>
          <w:rFonts w:ascii="Arial" w:hAnsi="Arial" w:cs="Arial"/>
          <w:szCs w:val="20"/>
          <w:lang w:val="en-US"/>
        </w:rPr>
        <w:t xml:space="preserve">encompass the principle of </w:t>
      </w:r>
      <w:r w:rsidRPr="00AB1E40">
        <w:rPr>
          <w:rFonts w:ascii="Arial" w:hAnsi="Arial" w:cs="Arial"/>
          <w:i/>
          <w:szCs w:val="20"/>
          <w:lang w:val="en-US"/>
        </w:rPr>
        <w:t>non-refoulement</w:t>
      </w:r>
      <w:r w:rsidRPr="00AB1E40">
        <w:rPr>
          <w:rFonts w:ascii="Arial" w:hAnsi="Arial" w:cs="Arial"/>
          <w:szCs w:val="20"/>
          <w:lang w:val="en-US"/>
        </w:rPr>
        <w:t xml:space="preserve">. If the Committee takes the view that article 15 of the Convention includes an obligation with regard to </w:t>
      </w:r>
      <w:r w:rsidRPr="00AB1E40">
        <w:rPr>
          <w:rFonts w:ascii="Arial" w:hAnsi="Arial" w:cs="Arial"/>
          <w:i/>
          <w:szCs w:val="20"/>
          <w:lang w:val="en-US"/>
        </w:rPr>
        <w:t>non-refoulement</w:t>
      </w:r>
      <w:r>
        <w:rPr>
          <w:rFonts w:ascii="Arial" w:hAnsi="Arial" w:cs="Arial"/>
          <w:szCs w:val="20"/>
          <w:lang w:val="en-US"/>
        </w:rPr>
        <w:t xml:space="preserve">, the State </w:t>
      </w:r>
      <w:r w:rsidRPr="00AB1E40">
        <w:rPr>
          <w:rFonts w:ascii="Arial" w:hAnsi="Arial" w:cs="Arial"/>
          <w:szCs w:val="20"/>
          <w:lang w:val="en-US"/>
        </w:rPr>
        <w:t>considers that this obligation should apply only to claims relatin</w:t>
      </w:r>
      <w:r>
        <w:rPr>
          <w:rFonts w:ascii="Arial" w:hAnsi="Arial" w:cs="Arial"/>
          <w:szCs w:val="20"/>
          <w:lang w:val="en-US"/>
        </w:rPr>
        <w:t>g to an allege</w:t>
      </w:r>
      <w:r w:rsidR="00220D1C">
        <w:rPr>
          <w:rFonts w:ascii="Arial" w:hAnsi="Arial" w:cs="Arial"/>
          <w:szCs w:val="20"/>
          <w:lang w:val="en-US"/>
        </w:rPr>
        <w:t xml:space="preserve">d risk of torture. </w:t>
      </w:r>
    </w:p>
    <w:p w14:paraId="64C7A571" w14:textId="77777777" w:rsidR="00AB1E40" w:rsidRPr="00AB1E40" w:rsidRDefault="0089161C" w:rsidP="007C22D0">
      <w:pPr>
        <w:spacing w:after="120"/>
        <w:jc w:val="both"/>
        <w:rPr>
          <w:rFonts w:ascii="Arial" w:hAnsi="Arial" w:cs="Arial"/>
          <w:szCs w:val="20"/>
          <w:u w:val="single"/>
          <w:lang w:val="en-US"/>
        </w:rPr>
      </w:pPr>
      <w:r w:rsidRPr="0089161C">
        <w:rPr>
          <w:rFonts w:ascii="Arial" w:hAnsi="Arial" w:cs="Arial"/>
          <w:szCs w:val="20"/>
          <w:u w:val="single"/>
          <w:lang w:val="en-US"/>
        </w:rPr>
        <w:t>Regarding articles 6 and 12,</w:t>
      </w:r>
      <w:r w:rsidRPr="00D57901">
        <w:rPr>
          <w:rFonts w:ascii="Arial" w:hAnsi="Arial" w:cs="Arial"/>
          <w:szCs w:val="20"/>
          <w:lang w:val="en-US"/>
        </w:rPr>
        <w:t xml:space="preserve"> </w:t>
      </w:r>
      <w:r w:rsidR="00AB1E40">
        <w:rPr>
          <w:rFonts w:ascii="Arial" w:hAnsi="Arial" w:cs="Arial"/>
          <w:szCs w:val="20"/>
          <w:lang w:val="en-US"/>
        </w:rPr>
        <w:t>t</w:t>
      </w:r>
      <w:r w:rsidR="00AB1E40" w:rsidRPr="00AB1E40">
        <w:rPr>
          <w:rFonts w:ascii="Arial" w:hAnsi="Arial" w:cs="Arial"/>
          <w:szCs w:val="20"/>
          <w:lang w:val="en-US"/>
        </w:rPr>
        <w:t xml:space="preserve">he State argues that its responsibility under the CRPD for acts or omissions contrary to the CRPD on another State’s territory is to be considered an exception to the main rule that a State’s responsibility for CRPD obligations is limited to its territory, thus requiring certain exceptional circumstances. Although treatment contrary to articles 10 and 15 of the Convention in another State could give rise to such exceptional circumstances, acts or omissions contrary to other articles cannot. Accordingly, it submits that the author’s claims under </w:t>
      </w:r>
      <w:r w:rsidR="00AB1E40" w:rsidRPr="00AB1E40">
        <w:rPr>
          <w:rFonts w:ascii="Arial" w:hAnsi="Arial" w:cs="Arial"/>
          <w:szCs w:val="20"/>
          <w:u w:val="single"/>
          <w:lang w:val="en-US"/>
        </w:rPr>
        <w:t xml:space="preserve">articles 6 and 12 </w:t>
      </w:r>
      <w:r w:rsidR="00AB1E40" w:rsidRPr="00AB1E40">
        <w:rPr>
          <w:rFonts w:ascii="Arial" w:hAnsi="Arial" w:cs="Arial"/>
          <w:szCs w:val="20"/>
          <w:lang w:val="en-US"/>
        </w:rPr>
        <w:t>should be declared inadmissible </w:t>
      </w:r>
      <w:proofErr w:type="spellStart"/>
      <w:r w:rsidR="00AB1E40" w:rsidRPr="00AB1E40">
        <w:rPr>
          <w:rFonts w:ascii="Arial" w:hAnsi="Arial" w:cs="Arial"/>
          <w:i/>
          <w:szCs w:val="20"/>
          <w:lang w:val="en-US"/>
        </w:rPr>
        <w:t>ratione</w:t>
      </w:r>
      <w:proofErr w:type="spellEnd"/>
      <w:r w:rsidR="00AB1E40" w:rsidRPr="00AB1E40">
        <w:rPr>
          <w:rFonts w:ascii="Arial" w:hAnsi="Arial" w:cs="Arial"/>
          <w:i/>
          <w:szCs w:val="20"/>
          <w:lang w:val="en-US"/>
        </w:rPr>
        <w:t xml:space="preserve"> </w:t>
      </w:r>
      <w:proofErr w:type="spellStart"/>
      <w:r w:rsidR="00AB1E40" w:rsidRPr="00AB1E40">
        <w:rPr>
          <w:rFonts w:ascii="Arial" w:hAnsi="Arial" w:cs="Arial"/>
          <w:i/>
          <w:szCs w:val="20"/>
          <w:lang w:val="en-US"/>
        </w:rPr>
        <w:t>materiae</w:t>
      </w:r>
      <w:proofErr w:type="spellEnd"/>
      <w:r w:rsidR="00AB1E40" w:rsidRPr="00AB1E40">
        <w:rPr>
          <w:rFonts w:ascii="Arial" w:hAnsi="Arial" w:cs="Arial"/>
          <w:szCs w:val="20"/>
          <w:lang w:val="en-US"/>
        </w:rPr>
        <w:t> and </w:t>
      </w:r>
      <w:proofErr w:type="spellStart"/>
      <w:r w:rsidR="00AB1E40" w:rsidRPr="00AB1E40">
        <w:rPr>
          <w:rFonts w:ascii="Arial" w:hAnsi="Arial" w:cs="Arial"/>
          <w:i/>
          <w:szCs w:val="20"/>
          <w:lang w:val="en-US"/>
        </w:rPr>
        <w:t>ratione</w:t>
      </w:r>
      <w:proofErr w:type="spellEnd"/>
      <w:r w:rsidR="00AB1E40" w:rsidRPr="00AB1E40">
        <w:rPr>
          <w:rFonts w:ascii="Arial" w:hAnsi="Arial" w:cs="Arial"/>
          <w:i/>
          <w:szCs w:val="20"/>
          <w:lang w:val="en-US"/>
        </w:rPr>
        <w:t xml:space="preserve"> loci</w:t>
      </w:r>
      <w:r w:rsidR="00AB1E40" w:rsidRPr="00AB1E40">
        <w:rPr>
          <w:rFonts w:ascii="Arial" w:hAnsi="Arial" w:cs="Arial"/>
          <w:szCs w:val="20"/>
          <w:lang w:val="en-US"/>
        </w:rPr>
        <w:t>.</w:t>
      </w:r>
    </w:p>
    <w:p w14:paraId="0E577B0B" w14:textId="20BE795E" w:rsidR="00143976" w:rsidRPr="007C22D0" w:rsidRDefault="00143976" w:rsidP="007C22D0">
      <w:pPr>
        <w:spacing w:after="120"/>
        <w:jc w:val="both"/>
        <w:rPr>
          <w:rFonts w:ascii="Arial" w:hAnsi="Arial" w:cs="Arial"/>
          <w:b/>
          <w:szCs w:val="20"/>
          <w:lang w:val="en-GB"/>
        </w:rPr>
      </w:pPr>
      <w:r w:rsidRPr="00C73577">
        <w:rPr>
          <w:rFonts w:ascii="Arial" w:hAnsi="Arial" w:cs="Arial"/>
          <w:b/>
          <w:szCs w:val="20"/>
          <w:lang w:val="en-GB"/>
        </w:rPr>
        <w:t>Author’s comments on the State ’s observations on admissibility and the merits</w:t>
      </w:r>
    </w:p>
    <w:p w14:paraId="3070FFF4" w14:textId="19848217" w:rsidR="009E030D" w:rsidRDefault="00143976" w:rsidP="007C22D0">
      <w:pPr>
        <w:spacing w:after="120"/>
        <w:jc w:val="both"/>
        <w:rPr>
          <w:rFonts w:ascii="Arial" w:hAnsi="Arial" w:cs="Arial"/>
          <w:szCs w:val="20"/>
          <w:lang w:val="en-GB"/>
        </w:rPr>
      </w:pPr>
      <w:r w:rsidRPr="00143976">
        <w:rPr>
          <w:rFonts w:ascii="Arial" w:hAnsi="Arial" w:cs="Arial"/>
          <w:szCs w:val="20"/>
          <w:lang w:val="en-GB"/>
        </w:rPr>
        <w:t xml:space="preserve">The author notes the State ’s argument that the migration authorities in their decisions found that she had not substantiated that she suffers from any long-term mental impairment or that care was not available to her in Iraq. She argues that she has presented several medical certificates that substantiate that she </w:t>
      </w:r>
      <w:r w:rsidR="00927F0C">
        <w:rPr>
          <w:rFonts w:ascii="Arial" w:hAnsi="Arial" w:cs="Arial"/>
          <w:szCs w:val="20"/>
          <w:lang w:val="en-GB"/>
        </w:rPr>
        <w:t>has been diagnosed with a</w:t>
      </w:r>
      <w:r w:rsidRPr="00143976">
        <w:rPr>
          <w:rFonts w:ascii="Arial" w:hAnsi="Arial" w:cs="Arial"/>
          <w:szCs w:val="20"/>
          <w:lang w:val="en-GB"/>
        </w:rPr>
        <w:t xml:space="preserve"> long-term mental </w:t>
      </w:r>
      <w:r w:rsidR="00927F0C">
        <w:rPr>
          <w:rFonts w:ascii="Arial" w:hAnsi="Arial" w:cs="Arial"/>
          <w:szCs w:val="20"/>
          <w:lang w:val="en-GB"/>
        </w:rPr>
        <w:t>condition</w:t>
      </w:r>
      <w:r w:rsidRPr="00143976">
        <w:rPr>
          <w:rFonts w:ascii="Arial" w:hAnsi="Arial" w:cs="Arial"/>
          <w:szCs w:val="20"/>
          <w:lang w:val="en-GB"/>
        </w:rPr>
        <w:t xml:space="preserve">. She notes that in the domestic proceedings, the migration authorities did not assess whether she would be able to </w:t>
      </w:r>
      <w:r w:rsidRPr="00143976">
        <w:rPr>
          <w:rFonts w:ascii="Arial" w:hAnsi="Arial" w:cs="Arial"/>
          <w:szCs w:val="20"/>
          <w:lang w:val="en-GB"/>
        </w:rPr>
        <w:lastRenderedPageBreak/>
        <w:t xml:space="preserve">access health care if removed to Iraq. She refers to the European Court of Human Rights judgment in </w:t>
      </w:r>
      <w:proofErr w:type="spellStart"/>
      <w:r w:rsidRPr="00927F0C">
        <w:rPr>
          <w:rFonts w:ascii="Arial" w:hAnsi="Arial" w:cs="Arial"/>
          <w:i/>
          <w:iCs/>
          <w:szCs w:val="20"/>
          <w:lang w:val="en-GB"/>
        </w:rPr>
        <w:t>Paposhvili</w:t>
      </w:r>
      <w:proofErr w:type="spellEnd"/>
      <w:r w:rsidRPr="00927F0C">
        <w:rPr>
          <w:rFonts w:ascii="Arial" w:hAnsi="Arial" w:cs="Arial"/>
          <w:i/>
          <w:iCs/>
          <w:szCs w:val="20"/>
          <w:lang w:val="en-GB"/>
        </w:rPr>
        <w:t xml:space="preserve"> v. Belgium</w:t>
      </w:r>
      <w:r w:rsidRPr="00143976">
        <w:rPr>
          <w:rFonts w:ascii="Arial" w:hAnsi="Arial" w:cs="Arial"/>
          <w:szCs w:val="20"/>
          <w:lang w:val="en-GB"/>
        </w:rPr>
        <w:t xml:space="preserve"> and notes that the Court has found that if an applicant has brought forward evidence showing that there are substantial grounds for believing that he or she would be exposed to a real risk of being subjected to treatment contrary to article 3 of the European Convention on Human Rights, then it is for the authorities of the returning State to dispel any doubts raised by the applicant. She further notes that in </w:t>
      </w:r>
      <w:proofErr w:type="spellStart"/>
      <w:r w:rsidRPr="00927F0C">
        <w:rPr>
          <w:rFonts w:ascii="Arial" w:hAnsi="Arial" w:cs="Arial"/>
          <w:i/>
          <w:iCs/>
          <w:szCs w:val="20"/>
          <w:lang w:val="en-GB"/>
        </w:rPr>
        <w:t>Paposhvili</w:t>
      </w:r>
      <w:proofErr w:type="spellEnd"/>
      <w:r w:rsidRPr="00927F0C">
        <w:rPr>
          <w:rFonts w:ascii="Arial" w:hAnsi="Arial" w:cs="Arial"/>
          <w:i/>
          <w:iCs/>
          <w:szCs w:val="20"/>
          <w:lang w:val="en-GB"/>
        </w:rPr>
        <w:t xml:space="preserve"> v. Belgium</w:t>
      </w:r>
      <w:r w:rsidRPr="00143976">
        <w:rPr>
          <w:rFonts w:ascii="Arial" w:hAnsi="Arial" w:cs="Arial"/>
          <w:szCs w:val="20"/>
          <w:lang w:val="en-GB"/>
        </w:rPr>
        <w:t>, the Court concluded that, as the applicant in that case had been able to substantiate the serious impacts a removal to his country of origin would have on his health, the burden of proof for showing that he would have actual access to health care shifted to the State.</w:t>
      </w:r>
    </w:p>
    <w:p w14:paraId="07C9F95C" w14:textId="1BDDA2E2" w:rsidR="00F666F4" w:rsidRPr="009E030D" w:rsidRDefault="009E030D" w:rsidP="007C22D0">
      <w:pPr>
        <w:spacing w:after="120"/>
        <w:jc w:val="both"/>
        <w:rPr>
          <w:rFonts w:ascii="Arial" w:hAnsi="Arial" w:cs="Arial"/>
          <w:b/>
          <w:szCs w:val="20"/>
          <w:lang w:val="en-GB"/>
        </w:rPr>
      </w:pPr>
      <w:r w:rsidRPr="009E030D">
        <w:rPr>
          <w:rFonts w:ascii="Arial" w:hAnsi="Arial" w:cs="Arial"/>
          <w:b/>
          <w:szCs w:val="20"/>
          <w:lang w:val="en-GB"/>
        </w:rPr>
        <w:t>Committee’s consideration of admissibility and the merits</w:t>
      </w:r>
    </w:p>
    <w:p w14:paraId="639456BE" w14:textId="18BB8B1F" w:rsidR="00F666F4" w:rsidRDefault="009E030D" w:rsidP="007C22D0">
      <w:pPr>
        <w:spacing w:after="120"/>
        <w:jc w:val="both"/>
        <w:rPr>
          <w:rFonts w:ascii="Arial" w:hAnsi="Arial" w:cs="Arial"/>
          <w:b/>
          <w:szCs w:val="20"/>
          <w:lang w:val="en-GB"/>
        </w:rPr>
      </w:pPr>
      <w:r w:rsidRPr="009E030D">
        <w:rPr>
          <w:rFonts w:ascii="Arial" w:hAnsi="Arial" w:cs="Arial"/>
          <w:b/>
          <w:szCs w:val="20"/>
          <w:lang w:val="en-GB"/>
        </w:rPr>
        <w:t>Consideration of admissibility</w:t>
      </w:r>
    </w:p>
    <w:p w14:paraId="4CD0A0E6" w14:textId="77777777" w:rsidR="00140FEA" w:rsidRPr="00F666F4" w:rsidRDefault="00140FEA" w:rsidP="007C22D0">
      <w:pPr>
        <w:spacing w:after="120"/>
        <w:jc w:val="both"/>
        <w:rPr>
          <w:rFonts w:ascii="Arial" w:hAnsi="Arial" w:cs="Arial"/>
          <w:szCs w:val="20"/>
          <w:u w:val="single"/>
          <w:lang w:val="en-US"/>
        </w:rPr>
      </w:pPr>
      <w:r w:rsidRPr="008B63C2">
        <w:rPr>
          <w:rFonts w:ascii="Arial" w:hAnsi="Arial" w:cs="Arial"/>
          <w:szCs w:val="20"/>
          <w:u w:val="single"/>
          <w:lang w:val="en-US"/>
        </w:rPr>
        <w:t>R</w:t>
      </w:r>
      <w:r w:rsidR="008B63C2" w:rsidRPr="008B63C2">
        <w:rPr>
          <w:rFonts w:ascii="Arial" w:hAnsi="Arial" w:cs="Arial"/>
          <w:szCs w:val="20"/>
          <w:u w:val="single"/>
          <w:lang w:val="en-US"/>
        </w:rPr>
        <w:t>egarding to articles 10 and 15</w:t>
      </w:r>
      <w:r w:rsidR="00D57901">
        <w:rPr>
          <w:rFonts w:ascii="Arial" w:hAnsi="Arial" w:cs="Arial"/>
          <w:szCs w:val="20"/>
          <w:lang w:val="en-US"/>
        </w:rPr>
        <w:t>, the Committee claims</w:t>
      </w:r>
      <w:r w:rsidR="00D57901" w:rsidRPr="00D57901">
        <w:rPr>
          <w:rFonts w:ascii="Arial" w:hAnsi="Arial" w:cs="Arial"/>
          <w:szCs w:val="20"/>
          <w:lang w:val="en-US"/>
        </w:rPr>
        <w:t xml:space="preserve"> that the principle of extraterritorial effect would not prevent it from examining the present communication under article 1 of the Optional Protocol. In this connection, the Committee further notes the author’s claims that her removal to Iraq would lead to a grave risk to her life and health, as she would be unable to access necessary and life-saving medical care in that country</w:t>
      </w:r>
      <w:r w:rsidR="00D57901" w:rsidRPr="00F666F4">
        <w:rPr>
          <w:rFonts w:ascii="Arial" w:hAnsi="Arial" w:cs="Arial"/>
          <w:szCs w:val="20"/>
          <w:u w:val="single"/>
          <w:lang w:val="en-US"/>
        </w:rPr>
        <w:t>. The Committee considers that the author has sufficiently substantiated these claims raised under arti</w:t>
      </w:r>
      <w:r w:rsidR="00F666F4" w:rsidRPr="00F666F4">
        <w:rPr>
          <w:rFonts w:ascii="Arial" w:hAnsi="Arial" w:cs="Arial"/>
          <w:szCs w:val="20"/>
          <w:u w:val="single"/>
          <w:lang w:val="en-US"/>
        </w:rPr>
        <w:t>cles 10 and 15 of the CRPD</w:t>
      </w:r>
      <w:r w:rsidR="00D57901" w:rsidRPr="00F666F4">
        <w:rPr>
          <w:rFonts w:ascii="Arial" w:hAnsi="Arial" w:cs="Arial"/>
          <w:szCs w:val="20"/>
          <w:u w:val="single"/>
          <w:lang w:val="en-US"/>
        </w:rPr>
        <w:t xml:space="preserve"> for purposes of admissibility.</w:t>
      </w:r>
    </w:p>
    <w:p w14:paraId="3548F7FF" w14:textId="6DD4E838" w:rsidR="00F666F4" w:rsidRDefault="00D57901" w:rsidP="007C22D0">
      <w:pPr>
        <w:spacing w:after="120"/>
        <w:jc w:val="both"/>
        <w:rPr>
          <w:rFonts w:ascii="Arial" w:hAnsi="Arial" w:cs="Arial"/>
          <w:szCs w:val="20"/>
          <w:u w:val="single"/>
          <w:lang w:val="en-US"/>
        </w:rPr>
      </w:pPr>
      <w:r w:rsidRPr="00D57901">
        <w:rPr>
          <w:rFonts w:ascii="Arial" w:hAnsi="Arial" w:cs="Arial"/>
          <w:szCs w:val="20"/>
          <w:u w:val="single"/>
          <w:lang w:val="en-US"/>
        </w:rPr>
        <w:t>Regarding articles 6 and 12</w:t>
      </w:r>
      <w:r w:rsidRPr="00D57901">
        <w:rPr>
          <w:rFonts w:ascii="Arial" w:hAnsi="Arial" w:cs="Arial"/>
          <w:szCs w:val="20"/>
          <w:lang w:val="en-US"/>
        </w:rPr>
        <w:t>,</w:t>
      </w:r>
      <w:r w:rsidR="00F666F4" w:rsidRPr="00A06812">
        <w:rPr>
          <w:lang w:val="en-US"/>
        </w:rPr>
        <w:t xml:space="preserve"> </w:t>
      </w:r>
      <w:r w:rsidR="00F666F4">
        <w:rPr>
          <w:rFonts w:ascii="Arial" w:hAnsi="Arial" w:cs="Arial"/>
          <w:szCs w:val="20"/>
          <w:lang w:val="en-US"/>
        </w:rPr>
        <w:t xml:space="preserve">the Committee notes </w:t>
      </w:r>
      <w:r w:rsidR="00F666F4" w:rsidRPr="00F666F4">
        <w:rPr>
          <w:rFonts w:ascii="Arial" w:hAnsi="Arial" w:cs="Arial"/>
          <w:szCs w:val="20"/>
          <w:lang w:val="en-US"/>
        </w:rPr>
        <w:t>that the author has not provided any additional specific information or argumentation to justify her claims under ar</w:t>
      </w:r>
      <w:r w:rsidR="00F666F4">
        <w:rPr>
          <w:rFonts w:ascii="Arial" w:hAnsi="Arial" w:cs="Arial"/>
          <w:szCs w:val="20"/>
          <w:lang w:val="en-US"/>
        </w:rPr>
        <w:t>ticles 6 and 12 of the CRPD</w:t>
      </w:r>
      <w:r w:rsidR="00F666F4" w:rsidRPr="00F666F4">
        <w:rPr>
          <w:rFonts w:ascii="Arial" w:hAnsi="Arial" w:cs="Arial"/>
          <w:szCs w:val="20"/>
          <w:lang w:val="en-US"/>
        </w:rPr>
        <w:t xml:space="preserve">, nor has she explained how these claims would amount to a real and personal risk of irreparable harm if she were to be removed to Iraq. It therefore finds that </w:t>
      </w:r>
      <w:r w:rsidR="00F666F4" w:rsidRPr="00F666F4">
        <w:rPr>
          <w:rFonts w:ascii="Arial" w:hAnsi="Arial" w:cs="Arial"/>
          <w:szCs w:val="20"/>
          <w:u w:val="single"/>
          <w:lang w:val="en-US"/>
        </w:rPr>
        <w:t>the author has failed to substantiate</w:t>
      </w:r>
      <w:r w:rsidR="00F666F4" w:rsidRPr="00F666F4">
        <w:rPr>
          <w:rFonts w:ascii="Arial" w:hAnsi="Arial" w:cs="Arial"/>
          <w:szCs w:val="20"/>
          <w:lang w:val="en-US"/>
        </w:rPr>
        <w:t xml:space="preserve">, </w:t>
      </w:r>
      <w:r w:rsidR="00F666F4" w:rsidRPr="00F666F4">
        <w:rPr>
          <w:rFonts w:ascii="Arial" w:hAnsi="Arial" w:cs="Arial"/>
          <w:szCs w:val="20"/>
          <w:u w:val="single"/>
          <w:lang w:val="en-US"/>
        </w:rPr>
        <w:t>for purposes of admissibility, her claims under articles 6 and 12 of the CRPD</w:t>
      </w:r>
      <w:r w:rsidR="00F666F4">
        <w:rPr>
          <w:rFonts w:ascii="Arial" w:hAnsi="Arial" w:cs="Arial"/>
          <w:szCs w:val="20"/>
          <w:u w:val="single"/>
          <w:lang w:val="en-US"/>
        </w:rPr>
        <w:t>.</w:t>
      </w:r>
    </w:p>
    <w:p w14:paraId="4B5EC362" w14:textId="77777777" w:rsidR="00F666F4" w:rsidRDefault="00F666F4" w:rsidP="007C22D0">
      <w:pPr>
        <w:spacing w:after="120"/>
        <w:jc w:val="both"/>
        <w:rPr>
          <w:rFonts w:ascii="Arial" w:hAnsi="Arial" w:cs="Arial"/>
          <w:b/>
          <w:szCs w:val="20"/>
          <w:lang w:val="en-GB"/>
        </w:rPr>
      </w:pPr>
      <w:r w:rsidRPr="00F666F4">
        <w:rPr>
          <w:rFonts w:ascii="Arial" w:hAnsi="Arial" w:cs="Arial"/>
          <w:b/>
          <w:szCs w:val="20"/>
          <w:lang w:val="en-GB"/>
        </w:rPr>
        <w:t>Consideration of the merits</w:t>
      </w:r>
    </w:p>
    <w:p w14:paraId="0D7A66F6" w14:textId="6D246E58" w:rsidR="004E36E7" w:rsidRDefault="00F666F4" w:rsidP="007C22D0">
      <w:pPr>
        <w:spacing w:after="120"/>
        <w:jc w:val="both"/>
        <w:rPr>
          <w:rFonts w:ascii="Arial" w:hAnsi="Arial" w:cs="Arial"/>
          <w:szCs w:val="20"/>
          <w:lang w:val="en-GB"/>
        </w:rPr>
      </w:pPr>
      <w:r w:rsidRPr="006A6807">
        <w:rPr>
          <w:rFonts w:ascii="Arial" w:hAnsi="Arial" w:cs="Arial"/>
          <w:szCs w:val="20"/>
          <w:u w:val="single"/>
          <w:lang w:val="en-GB"/>
        </w:rPr>
        <w:t xml:space="preserve">Regarding </w:t>
      </w:r>
      <w:r w:rsidR="006A6807" w:rsidRPr="006A6807">
        <w:rPr>
          <w:rFonts w:ascii="Arial" w:hAnsi="Arial" w:cs="Arial"/>
          <w:szCs w:val="20"/>
          <w:u w:val="single"/>
          <w:lang w:val="en-GB"/>
        </w:rPr>
        <w:t xml:space="preserve">article </w:t>
      </w:r>
      <w:r w:rsidR="00E02293" w:rsidRPr="006A6807">
        <w:rPr>
          <w:rFonts w:ascii="Arial" w:hAnsi="Arial" w:cs="Arial"/>
          <w:szCs w:val="20"/>
          <w:u w:val="single"/>
          <w:lang w:val="en-GB"/>
        </w:rPr>
        <w:t>15</w:t>
      </w:r>
      <w:r w:rsidR="00E02293">
        <w:rPr>
          <w:rFonts w:ascii="Arial" w:hAnsi="Arial" w:cs="Arial"/>
          <w:szCs w:val="20"/>
          <w:u w:val="single"/>
          <w:lang w:val="en-GB"/>
        </w:rPr>
        <w:t>,</w:t>
      </w:r>
      <w:r w:rsidR="00E02293" w:rsidRPr="003E05FF">
        <w:rPr>
          <w:rFonts w:ascii="Arial" w:hAnsi="Arial" w:cs="Arial"/>
          <w:szCs w:val="20"/>
          <w:lang w:val="en-GB"/>
        </w:rPr>
        <w:t xml:space="preserve"> </w:t>
      </w:r>
      <w:r w:rsidR="00E02293">
        <w:rPr>
          <w:rFonts w:ascii="Arial" w:hAnsi="Arial" w:cs="Arial"/>
          <w:szCs w:val="20"/>
          <w:lang w:val="en-GB"/>
        </w:rPr>
        <w:t xml:space="preserve">after </w:t>
      </w:r>
      <w:r w:rsidR="003E05FF">
        <w:rPr>
          <w:rFonts w:ascii="Arial" w:hAnsi="Arial" w:cs="Arial"/>
          <w:szCs w:val="20"/>
          <w:lang w:val="en-GB"/>
        </w:rPr>
        <w:t>having cited jurisprudence by the Human Rights Committee</w:t>
      </w:r>
      <w:r w:rsidR="003E05FF">
        <w:rPr>
          <w:rStyle w:val="FootnoteReference"/>
          <w:rFonts w:cs="Arial"/>
          <w:szCs w:val="20"/>
          <w:lang w:val="en-GB"/>
        </w:rPr>
        <w:footnoteReference w:id="2"/>
      </w:r>
      <w:r w:rsidR="003E05FF">
        <w:rPr>
          <w:rFonts w:ascii="Arial" w:hAnsi="Arial" w:cs="Arial"/>
          <w:szCs w:val="20"/>
          <w:lang w:val="en-GB"/>
        </w:rPr>
        <w:t xml:space="preserve"> and the European Court of Human Rights,</w:t>
      </w:r>
      <w:r w:rsidR="003E05FF">
        <w:rPr>
          <w:rStyle w:val="FootnoteReference"/>
          <w:rFonts w:cs="Arial"/>
          <w:szCs w:val="20"/>
          <w:lang w:val="en-GB"/>
        </w:rPr>
        <w:footnoteReference w:id="3"/>
      </w:r>
      <w:r w:rsidR="003E05FF">
        <w:rPr>
          <w:rFonts w:ascii="Arial" w:hAnsi="Arial" w:cs="Arial"/>
          <w:szCs w:val="20"/>
          <w:lang w:val="en-GB"/>
        </w:rPr>
        <w:t xml:space="preserve"> </w:t>
      </w:r>
      <w:r w:rsidR="004E36E7">
        <w:rPr>
          <w:rFonts w:ascii="Arial" w:hAnsi="Arial" w:cs="Arial"/>
          <w:szCs w:val="20"/>
          <w:lang w:val="en-GB"/>
        </w:rPr>
        <w:t>t</w:t>
      </w:r>
      <w:r w:rsidR="004E36E7" w:rsidRPr="004E36E7">
        <w:rPr>
          <w:rFonts w:ascii="Arial" w:hAnsi="Arial" w:cs="Arial"/>
          <w:szCs w:val="20"/>
          <w:lang w:val="en-GB"/>
        </w:rPr>
        <w:t>he Committee notes that it is undisputed between the parties that the author has been diagnosed with depression. It notes that in several medical certificates submitted by the author before t</w:t>
      </w:r>
      <w:r w:rsidR="004E36E7">
        <w:rPr>
          <w:rFonts w:ascii="Arial" w:hAnsi="Arial" w:cs="Arial"/>
          <w:szCs w:val="20"/>
          <w:lang w:val="en-GB"/>
        </w:rPr>
        <w:t xml:space="preserve">he domestic authorities she was </w:t>
      </w:r>
      <w:r w:rsidR="004E36E7" w:rsidRPr="004E36E7">
        <w:rPr>
          <w:rFonts w:ascii="Arial" w:hAnsi="Arial" w:cs="Arial"/>
          <w:szCs w:val="20"/>
          <w:lang w:val="en-GB"/>
        </w:rPr>
        <w:t xml:space="preserve">noted as undergoing treatment for severe depression, which was assessed to include a risk of severe or life-threatening complications, with the medical treatment she was undergoing described as </w:t>
      </w:r>
      <w:r w:rsidR="00E02293">
        <w:rPr>
          <w:rFonts w:ascii="Arial" w:hAnsi="Arial" w:cs="Arial"/>
          <w:szCs w:val="20"/>
          <w:lang w:val="en-GB"/>
        </w:rPr>
        <w:t>“</w:t>
      </w:r>
      <w:r w:rsidR="004E36E7" w:rsidRPr="004E36E7">
        <w:rPr>
          <w:rFonts w:ascii="Arial" w:hAnsi="Arial" w:cs="Arial"/>
          <w:szCs w:val="20"/>
          <w:lang w:val="en-GB"/>
        </w:rPr>
        <w:t>essential</w:t>
      </w:r>
      <w:r w:rsidR="00E02293">
        <w:rPr>
          <w:rFonts w:ascii="Arial" w:hAnsi="Arial" w:cs="Arial"/>
          <w:szCs w:val="20"/>
          <w:lang w:val="en-GB"/>
        </w:rPr>
        <w:t>”</w:t>
      </w:r>
      <w:r w:rsidR="004E36E7" w:rsidRPr="004E36E7">
        <w:rPr>
          <w:rFonts w:ascii="Arial" w:hAnsi="Arial" w:cs="Arial"/>
          <w:szCs w:val="20"/>
          <w:lang w:val="en-GB"/>
        </w:rPr>
        <w:t xml:space="preserve"> and the risk of relapse assessed to be </w:t>
      </w:r>
      <w:r w:rsidR="00E02293">
        <w:rPr>
          <w:rFonts w:ascii="Arial" w:hAnsi="Arial" w:cs="Arial"/>
          <w:szCs w:val="20"/>
          <w:lang w:val="en-GB"/>
        </w:rPr>
        <w:t>“</w:t>
      </w:r>
      <w:r w:rsidR="004E36E7" w:rsidRPr="004E36E7">
        <w:rPr>
          <w:rFonts w:ascii="Arial" w:hAnsi="Arial" w:cs="Arial"/>
          <w:szCs w:val="20"/>
          <w:lang w:val="en-GB"/>
        </w:rPr>
        <w:t>grave without adequate care</w:t>
      </w:r>
      <w:r w:rsidR="00E02293">
        <w:rPr>
          <w:rFonts w:ascii="Arial" w:hAnsi="Arial" w:cs="Arial"/>
          <w:szCs w:val="20"/>
          <w:lang w:val="en-GB"/>
        </w:rPr>
        <w:t>”</w:t>
      </w:r>
      <w:r w:rsidR="004E36E7" w:rsidRPr="004E36E7">
        <w:rPr>
          <w:rFonts w:ascii="Arial" w:hAnsi="Arial" w:cs="Arial"/>
          <w:szCs w:val="20"/>
          <w:lang w:val="en-GB"/>
        </w:rPr>
        <w:t>. The Committee notes the parties</w:t>
      </w:r>
      <w:r w:rsidR="00E02293">
        <w:rPr>
          <w:rFonts w:ascii="Arial" w:hAnsi="Arial" w:cs="Arial"/>
          <w:szCs w:val="20"/>
          <w:lang w:val="en-GB"/>
        </w:rPr>
        <w:t>’</w:t>
      </w:r>
      <w:r w:rsidR="004E36E7" w:rsidRPr="004E36E7">
        <w:rPr>
          <w:rFonts w:ascii="Arial" w:hAnsi="Arial" w:cs="Arial"/>
          <w:szCs w:val="20"/>
          <w:lang w:val="en-GB"/>
        </w:rPr>
        <w:t xml:space="preserve"> disagree</w:t>
      </w:r>
      <w:r w:rsidR="001B3E51">
        <w:rPr>
          <w:rFonts w:ascii="Arial" w:hAnsi="Arial" w:cs="Arial"/>
          <w:szCs w:val="20"/>
          <w:lang w:val="en-GB"/>
        </w:rPr>
        <w:t>ment</w:t>
      </w:r>
      <w:r w:rsidR="004E36E7" w:rsidRPr="004E36E7">
        <w:rPr>
          <w:rFonts w:ascii="Arial" w:hAnsi="Arial" w:cs="Arial"/>
          <w:szCs w:val="20"/>
          <w:lang w:val="en-GB"/>
        </w:rPr>
        <w:t xml:space="preserve"> on the severity of the author’s health condition and whether it is lasting in nature, and it notes </w:t>
      </w:r>
      <w:r w:rsidR="004E36E7">
        <w:rPr>
          <w:rFonts w:ascii="Arial" w:hAnsi="Arial" w:cs="Arial"/>
          <w:szCs w:val="20"/>
          <w:lang w:val="en-GB"/>
        </w:rPr>
        <w:t xml:space="preserve">the State`s </w:t>
      </w:r>
      <w:r w:rsidR="004E36E7" w:rsidRPr="004E36E7">
        <w:rPr>
          <w:rFonts w:ascii="Arial" w:hAnsi="Arial" w:cs="Arial"/>
          <w:szCs w:val="20"/>
          <w:lang w:val="en-GB"/>
        </w:rPr>
        <w:t>argument that the domestic authorities assessed her ill health to be primarily linked to her disappointment at her asylum process and her fear of being ex</w:t>
      </w:r>
      <w:r w:rsidR="004E36E7">
        <w:rPr>
          <w:rFonts w:ascii="Arial" w:hAnsi="Arial" w:cs="Arial"/>
          <w:szCs w:val="20"/>
          <w:lang w:val="en-GB"/>
        </w:rPr>
        <w:t xml:space="preserve">pelled. </w:t>
      </w:r>
    </w:p>
    <w:p w14:paraId="2BCCB579" w14:textId="0161A30E" w:rsidR="004E36E7" w:rsidRPr="004E36E7" w:rsidRDefault="004E36E7" w:rsidP="007C22D0">
      <w:pPr>
        <w:spacing w:after="120"/>
        <w:jc w:val="both"/>
        <w:rPr>
          <w:rFonts w:ascii="Arial" w:hAnsi="Arial" w:cs="Arial"/>
          <w:szCs w:val="20"/>
          <w:lang w:val="en-GB"/>
        </w:rPr>
      </w:pPr>
      <w:r>
        <w:rPr>
          <w:rFonts w:ascii="Arial" w:hAnsi="Arial" w:cs="Arial"/>
          <w:szCs w:val="20"/>
          <w:lang w:val="en-GB"/>
        </w:rPr>
        <w:t>The Committee claims</w:t>
      </w:r>
      <w:r w:rsidRPr="004E36E7">
        <w:rPr>
          <w:rFonts w:ascii="Arial" w:hAnsi="Arial" w:cs="Arial"/>
          <w:szCs w:val="20"/>
          <w:lang w:val="en-GB"/>
        </w:rPr>
        <w:t xml:space="preserve"> that, taking into account that the author submitted several medical certificates before domestic authorities in which her health condition was assessed as severe and life-threatening without the treatment she is receiving in the State, </w:t>
      </w:r>
      <w:r w:rsidR="00E02293" w:rsidRPr="004E36E7">
        <w:rPr>
          <w:rFonts w:ascii="Arial" w:hAnsi="Arial" w:cs="Arial"/>
          <w:szCs w:val="20"/>
          <w:lang w:val="en-GB"/>
        </w:rPr>
        <w:t xml:space="preserve">in the light of the information available during the domestic </w:t>
      </w:r>
      <w:r w:rsidR="00E02293" w:rsidRPr="004E36E7">
        <w:rPr>
          <w:rFonts w:ascii="Arial" w:hAnsi="Arial" w:cs="Arial"/>
          <w:szCs w:val="20"/>
          <w:lang w:val="en-GB"/>
        </w:rPr>
        <w:t>proceedings,</w:t>
      </w:r>
      <w:r w:rsidR="00E02293">
        <w:rPr>
          <w:rFonts w:ascii="Arial" w:hAnsi="Arial" w:cs="Arial"/>
          <w:szCs w:val="20"/>
          <w:lang w:val="en-GB"/>
        </w:rPr>
        <w:t xml:space="preserve"> </w:t>
      </w:r>
      <w:r w:rsidR="00E02293" w:rsidRPr="004E36E7">
        <w:rPr>
          <w:rFonts w:ascii="Arial" w:hAnsi="Arial" w:cs="Arial"/>
          <w:szCs w:val="20"/>
          <w:lang w:val="en-GB"/>
        </w:rPr>
        <w:t>the</w:t>
      </w:r>
      <w:r w:rsidRPr="004E36E7">
        <w:rPr>
          <w:rFonts w:ascii="Arial" w:hAnsi="Arial" w:cs="Arial"/>
          <w:szCs w:val="20"/>
          <w:lang w:val="en-GB"/>
        </w:rPr>
        <w:t xml:space="preserve"> State</w:t>
      </w:r>
      <w:r w:rsidR="00E02293">
        <w:rPr>
          <w:rFonts w:ascii="Arial" w:hAnsi="Arial" w:cs="Arial"/>
          <w:szCs w:val="20"/>
          <w:lang w:val="en-GB"/>
        </w:rPr>
        <w:t>’s</w:t>
      </w:r>
      <w:r w:rsidRPr="004E36E7">
        <w:rPr>
          <w:rFonts w:ascii="Arial" w:hAnsi="Arial" w:cs="Arial"/>
          <w:szCs w:val="20"/>
          <w:lang w:val="en-GB"/>
        </w:rPr>
        <w:t xml:space="preserve"> authorities should have assessed whether the author would in fact be able to access adequate medical care if removed to Iraq. The </w:t>
      </w:r>
      <w:r w:rsidRPr="004E36E7">
        <w:rPr>
          <w:rFonts w:ascii="Arial" w:hAnsi="Arial" w:cs="Arial"/>
          <w:szCs w:val="20"/>
          <w:lang w:val="en-GB"/>
        </w:rPr>
        <w:lastRenderedPageBreak/>
        <w:t>Committee further observes that it is undisputed that the domestic authorities did not assess whether the author would be able to access such medical care in Iraq. The Committee therefore considers that the failure by the domestic authorities to assess this risk fac</w:t>
      </w:r>
      <w:r w:rsidR="007736F2">
        <w:rPr>
          <w:rFonts w:ascii="Arial" w:hAnsi="Arial" w:cs="Arial"/>
          <w:szCs w:val="20"/>
          <w:lang w:val="en-GB"/>
        </w:rPr>
        <w:t>ed by</w:t>
      </w:r>
      <w:r w:rsidRPr="004E36E7">
        <w:rPr>
          <w:rFonts w:ascii="Arial" w:hAnsi="Arial" w:cs="Arial"/>
          <w:szCs w:val="20"/>
          <w:lang w:val="en-GB"/>
        </w:rPr>
        <w:t xml:space="preserve"> the author in the light of the information available to them concerning the author’s state of health amounted to a violation of her rights under article 15 of the Convention.</w:t>
      </w:r>
    </w:p>
    <w:p w14:paraId="7D53B30D" w14:textId="374BFE0A" w:rsidR="000E53EB" w:rsidRPr="007C22D0" w:rsidRDefault="004E36E7" w:rsidP="007C22D0">
      <w:pPr>
        <w:spacing w:after="120"/>
        <w:jc w:val="both"/>
        <w:rPr>
          <w:rFonts w:ascii="Arial" w:hAnsi="Arial" w:cs="Arial"/>
          <w:szCs w:val="20"/>
          <w:lang w:val="en-GB"/>
        </w:rPr>
      </w:pPr>
      <w:r w:rsidRPr="004E36E7">
        <w:rPr>
          <w:rFonts w:ascii="Arial" w:hAnsi="Arial" w:cs="Arial"/>
          <w:szCs w:val="20"/>
          <w:u w:val="single"/>
          <w:lang w:val="en-GB"/>
        </w:rPr>
        <w:t>Regarding article 10,</w:t>
      </w:r>
      <w:r>
        <w:rPr>
          <w:rFonts w:ascii="Arial" w:hAnsi="Arial" w:cs="Arial"/>
          <w:szCs w:val="20"/>
          <w:lang w:val="en-GB"/>
        </w:rPr>
        <w:t xml:space="preserve"> </w:t>
      </w:r>
      <w:r w:rsidRPr="004E36E7">
        <w:rPr>
          <w:rFonts w:ascii="Arial" w:hAnsi="Arial" w:cs="Arial"/>
          <w:szCs w:val="20"/>
          <w:lang w:val="en-GB"/>
        </w:rPr>
        <w:t>the Committee considers it not necessary to separately consider the author’s claims un</w:t>
      </w:r>
      <w:r>
        <w:rPr>
          <w:rFonts w:ascii="Arial" w:hAnsi="Arial" w:cs="Arial"/>
          <w:szCs w:val="20"/>
          <w:lang w:val="en-GB"/>
        </w:rPr>
        <w:t>der article 10 of the CRPD</w:t>
      </w:r>
      <w:r w:rsidRPr="004E36E7">
        <w:rPr>
          <w:rFonts w:ascii="Arial" w:hAnsi="Arial" w:cs="Arial"/>
          <w:szCs w:val="20"/>
          <w:lang w:val="en-GB"/>
        </w:rPr>
        <w:t>.</w:t>
      </w:r>
    </w:p>
    <w:p w14:paraId="65E490CB" w14:textId="795DA623" w:rsidR="00A401CD" w:rsidRPr="00292610" w:rsidRDefault="00292610" w:rsidP="007C22D0">
      <w:pPr>
        <w:spacing w:after="120"/>
        <w:jc w:val="both"/>
        <w:rPr>
          <w:rFonts w:ascii="Arial" w:hAnsi="Arial" w:cs="Arial"/>
          <w:b/>
          <w:szCs w:val="20"/>
          <w:lang w:val="en-GB"/>
        </w:rPr>
      </w:pPr>
      <w:r w:rsidRPr="00292610">
        <w:rPr>
          <w:rFonts w:ascii="Arial" w:hAnsi="Arial" w:cs="Arial"/>
          <w:b/>
          <w:szCs w:val="20"/>
          <w:lang w:val="en-GB"/>
        </w:rPr>
        <w:t>Recommendations</w:t>
      </w:r>
    </w:p>
    <w:p w14:paraId="0C9399DC" w14:textId="669A21B6" w:rsidR="00292610" w:rsidRPr="00292610" w:rsidRDefault="00292610" w:rsidP="007C22D0">
      <w:pPr>
        <w:spacing w:after="120"/>
        <w:jc w:val="both"/>
        <w:rPr>
          <w:rFonts w:ascii="Arial" w:hAnsi="Arial" w:cs="Arial"/>
          <w:szCs w:val="20"/>
          <w:lang w:val="en-GB"/>
        </w:rPr>
      </w:pPr>
      <w:r w:rsidRPr="00292610">
        <w:rPr>
          <w:rFonts w:ascii="Arial" w:hAnsi="Arial" w:cs="Arial"/>
          <w:szCs w:val="20"/>
          <w:lang w:val="en-GB"/>
        </w:rPr>
        <w:t>The Committee, acting under article 5 of the Optional Protocol, is of the view that the State has failed to fulfil its obligations under article 15 of the Convention. The Committee therefore makes the following recommendations to the State:</w:t>
      </w:r>
    </w:p>
    <w:p w14:paraId="158245CC" w14:textId="663A98B2" w:rsidR="00292610" w:rsidRPr="00292610" w:rsidRDefault="00292610" w:rsidP="007C22D0">
      <w:pPr>
        <w:spacing w:after="120"/>
        <w:jc w:val="both"/>
        <w:rPr>
          <w:rFonts w:ascii="Arial" w:hAnsi="Arial" w:cs="Arial"/>
          <w:szCs w:val="20"/>
          <w:lang w:val="en-GB"/>
        </w:rPr>
      </w:pPr>
      <w:r>
        <w:rPr>
          <w:rFonts w:ascii="Arial" w:hAnsi="Arial" w:cs="Arial"/>
          <w:szCs w:val="20"/>
          <w:lang w:val="en-GB"/>
        </w:rPr>
        <w:t xml:space="preserve">(a) </w:t>
      </w:r>
      <w:r w:rsidRPr="00292610">
        <w:rPr>
          <w:rFonts w:ascii="Arial" w:hAnsi="Arial" w:cs="Arial"/>
          <w:szCs w:val="20"/>
          <w:u w:val="single"/>
          <w:lang w:val="en-GB"/>
        </w:rPr>
        <w:t>Regarding the author,</w:t>
      </w:r>
      <w:r w:rsidRPr="00292610">
        <w:rPr>
          <w:rFonts w:ascii="Arial" w:hAnsi="Arial" w:cs="Arial"/>
          <w:szCs w:val="20"/>
          <w:lang w:val="en-GB"/>
        </w:rPr>
        <w:t xml:space="preserve"> </w:t>
      </w:r>
      <w:r>
        <w:rPr>
          <w:rFonts w:ascii="Arial" w:hAnsi="Arial" w:cs="Arial"/>
          <w:szCs w:val="20"/>
          <w:lang w:val="en-GB"/>
        </w:rPr>
        <w:t>(</w:t>
      </w:r>
      <w:proofErr w:type="spellStart"/>
      <w:r>
        <w:rPr>
          <w:rFonts w:ascii="Arial" w:hAnsi="Arial" w:cs="Arial"/>
          <w:szCs w:val="20"/>
          <w:lang w:val="en-GB"/>
        </w:rPr>
        <w:t>i</w:t>
      </w:r>
      <w:proofErr w:type="spellEnd"/>
      <w:r>
        <w:rPr>
          <w:rFonts w:ascii="Arial" w:hAnsi="Arial" w:cs="Arial"/>
          <w:szCs w:val="20"/>
          <w:lang w:val="en-GB"/>
        </w:rPr>
        <w:t>) to p</w:t>
      </w:r>
      <w:r w:rsidRPr="00292610">
        <w:rPr>
          <w:rFonts w:ascii="Arial" w:hAnsi="Arial" w:cs="Arial"/>
          <w:szCs w:val="20"/>
          <w:lang w:val="en-GB"/>
        </w:rPr>
        <w:t>rovide her with an effective remedy, including compensation for any legal costs incurred in fi</w:t>
      </w:r>
      <w:r>
        <w:rPr>
          <w:rFonts w:ascii="Arial" w:hAnsi="Arial" w:cs="Arial"/>
          <w:szCs w:val="20"/>
          <w:lang w:val="en-GB"/>
        </w:rPr>
        <w:t xml:space="preserve">ling the present communication; </w:t>
      </w:r>
      <w:r w:rsidRPr="00292610">
        <w:rPr>
          <w:rFonts w:ascii="Arial" w:hAnsi="Arial" w:cs="Arial"/>
          <w:szCs w:val="20"/>
          <w:lang w:val="en-GB"/>
        </w:rPr>
        <w:t>(ii)</w:t>
      </w:r>
      <w:r>
        <w:rPr>
          <w:rFonts w:ascii="Arial" w:hAnsi="Arial" w:cs="Arial"/>
          <w:szCs w:val="20"/>
          <w:lang w:val="en-GB"/>
        </w:rPr>
        <w:t xml:space="preserve"> to r</w:t>
      </w:r>
      <w:r w:rsidRPr="00292610">
        <w:rPr>
          <w:rFonts w:ascii="Arial" w:hAnsi="Arial" w:cs="Arial"/>
          <w:szCs w:val="20"/>
          <w:lang w:val="en-GB"/>
        </w:rPr>
        <w:t>eview the author’s case, taking into account the State ’s obligations under the Convention and</w:t>
      </w:r>
      <w:r>
        <w:rPr>
          <w:rFonts w:ascii="Arial" w:hAnsi="Arial" w:cs="Arial"/>
          <w:szCs w:val="20"/>
          <w:lang w:val="en-GB"/>
        </w:rPr>
        <w:t xml:space="preserve"> the Committee’s present Views; (iii) to p</w:t>
      </w:r>
      <w:r w:rsidRPr="00292610">
        <w:rPr>
          <w:rFonts w:ascii="Arial" w:hAnsi="Arial" w:cs="Arial"/>
          <w:szCs w:val="20"/>
          <w:lang w:val="en-GB"/>
        </w:rPr>
        <w:t>ublish the present Views and circulate them widely in accessible formats so that they are available to all sectors of the population.</w:t>
      </w:r>
    </w:p>
    <w:p w14:paraId="41BC516A" w14:textId="6A531003" w:rsidR="00292610" w:rsidRDefault="00292610" w:rsidP="007C22D0">
      <w:pPr>
        <w:spacing w:after="120"/>
        <w:jc w:val="both"/>
        <w:rPr>
          <w:rFonts w:ascii="Arial" w:hAnsi="Arial" w:cs="Arial"/>
          <w:szCs w:val="20"/>
          <w:lang w:val="en-GB"/>
        </w:rPr>
      </w:pPr>
      <w:r>
        <w:rPr>
          <w:rFonts w:ascii="Arial" w:hAnsi="Arial" w:cs="Arial"/>
          <w:szCs w:val="20"/>
          <w:lang w:val="en-GB"/>
        </w:rPr>
        <w:t>(b)</w:t>
      </w:r>
      <w:r w:rsidRPr="00292610">
        <w:rPr>
          <w:rFonts w:ascii="Arial" w:hAnsi="Arial" w:cs="Verdana"/>
          <w:u w:val="single"/>
          <w:lang w:val="en-GB" w:eastAsia="fr-FR"/>
        </w:rPr>
        <w:t xml:space="preserve"> </w:t>
      </w:r>
      <w:r w:rsidRPr="00522698">
        <w:rPr>
          <w:rFonts w:ascii="Arial" w:hAnsi="Arial" w:cs="Verdana"/>
          <w:u w:val="single"/>
          <w:lang w:val="en-GB" w:eastAsia="fr-FR"/>
        </w:rPr>
        <w:t>As general measures</w:t>
      </w:r>
      <w:r>
        <w:rPr>
          <w:rFonts w:ascii="Arial" w:hAnsi="Arial" w:cs="Verdana"/>
          <w:u w:val="single"/>
          <w:lang w:val="en-GB" w:eastAsia="fr-FR"/>
        </w:rPr>
        <w:t>,</w:t>
      </w:r>
      <w:r>
        <w:rPr>
          <w:rFonts w:ascii="Arial" w:hAnsi="Arial" w:cs="Arial"/>
          <w:szCs w:val="20"/>
          <w:lang w:val="en-GB"/>
        </w:rPr>
        <w:t xml:space="preserve"> </w:t>
      </w:r>
      <w:r w:rsidRPr="00292610">
        <w:rPr>
          <w:rFonts w:ascii="Arial" w:hAnsi="Arial" w:cs="Arial"/>
          <w:szCs w:val="20"/>
          <w:lang w:val="en-GB"/>
        </w:rPr>
        <w:t>the State is under an obligation to take measures to prevent similar violations in the future. In that regard, the Committee requires the State to ensure that the rights of persons with disabilities, on an equal basis with others, are properly considered in the context of asylum decisions.</w:t>
      </w:r>
    </w:p>
    <w:p w14:paraId="708C3316" w14:textId="77777777" w:rsidR="00EC24E4" w:rsidRPr="000E53EB" w:rsidRDefault="00EC24E4" w:rsidP="007C22D0">
      <w:pPr>
        <w:spacing w:after="120"/>
        <w:rPr>
          <w:lang w:val="en-US"/>
        </w:rPr>
      </w:pPr>
    </w:p>
    <w:sectPr w:rsidR="00EC24E4" w:rsidRPr="000E53E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9667D" w14:textId="77777777" w:rsidR="008C325B" w:rsidRDefault="008C325B" w:rsidP="00DC399D">
      <w:pPr>
        <w:spacing w:after="0" w:line="240" w:lineRule="auto"/>
      </w:pPr>
      <w:r>
        <w:separator/>
      </w:r>
    </w:p>
  </w:endnote>
  <w:endnote w:type="continuationSeparator" w:id="0">
    <w:p w14:paraId="775BE77A" w14:textId="77777777" w:rsidR="008C325B" w:rsidRDefault="008C325B" w:rsidP="00D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005070"/>
      <w:docPartObj>
        <w:docPartGallery w:val="Page Numbers (Bottom of Page)"/>
        <w:docPartUnique/>
      </w:docPartObj>
    </w:sdtPr>
    <w:sdtEndPr/>
    <w:sdtContent>
      <w:p w14:paraId="2382A445" w14:textId="77777777" w:rsidR="00917D91" w:rsidRDefault="00917D91">
        <w:pPr>
          <w:pStyle w:val="Footer"/>
          <w:jc w:val="center"/>
        </w:pPr>
        <w:r>
          <w:fldChar w:fldCharType="begin"/>
        </w:r>
        <w:r>
          <w:instrText>PAGE   \* MERGEFORMAT</w:instrText>
        </w:r>
        <w:r>
          <w:fldChar w:fldCharType="separate"/>
        </w:r>
        <w:r w:rsidR="00F85F45" w:rsidRPr="00F85F45">
          <w:rPr>
            <w:noProof/>
            <w:lang w:val="ru-RU"/>
          </w:rPr>
          <w:t>1</w:t>
        </w:r>
        <w:r>
          <w:fldChar w:fldCharType="end"/>
        </w:r>
      </w:p>
    </w:sdtContent>
  </w:sdt>
  <w:p w14:paraId="65E4C281" w14:textId="77777777" w:rsidR="00917D91" w:rsidRDefault="00917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5396" w14:textId="77777777" w:rsidR="008C325B" w:rsidRDefault="008C325B" w:rsidP="00DC399D">
      <w:pPr>
        <w:spacing w:after="0" w:line="240" w:lineRule="auto"/>
      </w:pPr>
      <w:r>
        <w:separator/>
      </w:r>
    </w:p>
  </w:footnote>
  <w:footnote w:type="continuationSeparator" w:id="0">
    <w:p w14:paraId="7FB9CE90" w14:textId="77777777" w:rsidR="008C325B" w:rsidRDefault="008C325B" w:rsidP="00DC399D">
      <w:pPr>
        <w:spacing w:after="0" w:line="240" w:lineRule="auto"/>
      </w:pPr>
      <w:r>
        <w:continuationSeparator/>
      </w:r>
    </w:p>
  </w:footnote>
  <w:footnote w:id="1">
    <w:p w14:paraId="4F284DA4" w14:textId="77777777" w:rsidR="00DC399D" w:rsidRPr="003E05FF" w:rsidRDefault="00DC399D" w:rsidP="003E05FF">
      <w:pPr>
        <w:spacing w:after="0" w:line="240" w:lineRule="auto"/>
        <w:jc w:val="both"/>
        <w:rPr>
          <w:rFonts w:ascii="Arial" w:hAnsi="Arial" w:cs="Arial"/>
          <w:sz w:val="18"/>
          <w:szCs w:val="18"/>
          <w:lang w:val="en-GB"/>
        </w:rPr>
      </w:pPr>
      <w:r w:rsidRPr="003E05FF">
        <w:rPr>
          <w:rStyle w:val="FootnoteReference"/>
          <w:rFonts w:ascii="Arial" w:hAnsi="Arial"/>
          <w:szCs w:val="18"/>
        </w:rPr>
        <w:footnoteRef/>
      </w:r>
      <w:r w:rsidRPr="003E05FF">
        <w:rPr>
          <w:rFonts w:ascii="Arial" w:hAnsi="Arial"/>
          <w:sz w:val="18"/>
          <w:szCs w:val="18"/>
          <w:lang w:val="en-US"/>
        </w:rPr>
        <w:t xml:space="preserve"> </w:t>
      </w:r>
      <w:r w:rsidRPr="003E05FF">
        <w:rPr>
          <w:rFonts w:ascii="Arial" w:hAnsi="Arial" w:cs="Arial"/>
          <w:sz w:val="18"/>
          <w:szCs w:val="18"/>
          <w:lang w:val="en-GB"/>
        </w:rPr>
        <w:t xml:space="preserve">This summary has been prepared by the International Disability Alliance. For more information on how to lodge individual communications under the Optional Protocol to the CRPD, visit </w:t>
      </w:r>
      <w:hyperlink r:id="rId1" w:history="1">
        <w:r w:rsidRPr="003E05FF">
          <w:rPr>
            <w:rStyle w:val="Hyperlink"/>
            <w:rFonts w:ascii="Arial" w:hAnsi="Arial" w:cs="Arial"/>
            <w:sz w:val="18"/>
            <w:szCs w:val="18"/>
            <w:lang w:val="en-GB"/>
          </w:rPr>
          <w:t xml:space="preserve">IDA’s disability rights litigation website. </w:t>
        </w:r>
      </w:hyperlink>
    </w:p>
  </w:footnote>
  <w:footnote w:id="2">
    <w:p w14:paraId="3842FA07" w14:textId="19BD62BD" w:rsidR="003E05FF" w:rsidRPr="003E05FF" w:rsidRDefault="003E05FF" w:rsidP="003E05FF">
      <w:pPr>
        <w:pStyle w:val="FootnoteText"/>
        <w:jc w:val="both"/>
        <w:rPr>
          <w:sz w:val="18"/>
          <w:szCs w:val="18"/>
          <w:lang w:val="en-CH"/>
        </w:rPr>
      </w:pPr>
      <w:r w:rsidRPr="003E05FF">
        <w:rPr>
          <w:rStyle w:val="FootnoteReference"/>
          <w:szCs w:val="18"/>
        </w:rPr>
        <w:footnoteRef/>
      </w:r>
      <w:r w:rsidRPr="003E05FF">
        <w:rPr>
          <w:sz w:val="18"/>
          <w:szCs w:val="18"/>
          <w:lang w:val="en-US"/>
        </w:rPr>
        <w:t xml:space="preserve"> </w:t>
      </w:r>
      <w:r w:rsidRPr="003E05FF">
        <w:rPr>
          <w:sz w:val="18"/>
          <w:szCs w:val="18"/>
          <w:lang w:val="en-CH"/>
        </w:rPr>
        <w:t>Human Rights Committee</w:t>
      </w:r>
      <w:r w:rsidRPr="003E05FF">
        <w:rPr>
          <w:sz w:val="18"/>
          <w:szCs w:val="18"/>
          <w:lang w:val="en-US"/>
        </w:rPr>
        <w:t>,</w:t>
      </w:r>
      <w:r w:rsidRPr="003E05FF">
        <w:rPr>
          <w:sz w:val="18"/>
          <w:szCs w:val="18"/>
          <w:lang w:val="en-CH"/>
        </w:rPr>
        <w:t xml:space="preserve"> general comment No. 31 (2004)</w:t>
      </w:r>
      <w:r w:rsidRPr="003E05FF">
        <w:rPr>
          <w:sz w:val="18"/>
          <w:szCs w:val="18"/>
          <w:lang w:val="en-US"/>
        </w:rPr>
        <w:t xml:space="preserve"> (</w:t>
      </w:r>
      <w:r>
        <w:rPr>
          <w:sz w:val="18"/>
          <w:szCs w:val="18"/>
          <w:lang w:val="en-US"/>
        </w:rPr>
        <w:t xml:space="preserve">recalling </w:t>
      </w:r>
      <w:r w:rsidRPr="003E05FF">
        <w:rPr>
          <w:sz w:val="18"/>
          <w:szCs w:val="18"/>
          <w:lang w:val="en-CH"/>
        </w:rPr>
        <w:t>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3E05FF">
        <w:rPr>
          <w:sz w:val="18"/>
          <w:szCs w:val="18"/>
          <w:lang w:val="en-US"/>
        </w:rPr>
        <w:t xml:space="preserve">) and </w:t>
      </w:r>
      <w:r w:rsidRPr="003E05FF">
        <w:rPr>
          <w:i/>
          <w:iCs/>
          <w:sz w:val="18"/>
          <w:szCs w:val="18"/>
          <w:lang w:val="en-CH"/>
        </w:rPr>
        <w:t>Abdilafir Abubakar Ali and Mayul Ali Mohamad v. Denmark</w:t>
      </w:r>
      <w:r w:rsidRPr="003E05FF">
        <w:rPr>
          <w:sz w:val="18"/>
          <w:szCs w:val="18"/>
          <w:lang w:val="en-US"/>
        </w:rPr>
        <w:t xml:space="preserve"> (recalling “</w:t>
      </w:r>
      <w:r w:rsidRPr="003E05FF">
        <w:rPr>
          <w:sz w:val="18"/>
          <w:szCs w:val="18"/>
          <w:lang w:val="en-CH"/>
        </w:rPr>
        <w:t>that States parties should give sufficient weight to the real and personal risk that a person might face if deported, and it also considered that it was incumbent upon the State party to undertake an individualized assessment of the risk that the authors in that case would face if removed, including access to adequate medical care</w:t>
      </w:r>
      <w:r w:rsidRPr="003E05FF">
        <w:rPr>
          <w:sz w:val="18"/>
          <w:szCs w:val="18"/>
          <w:lang w:val="en-US"/>
        </w:rPr>
        <w:t>”).</w:t>
      </w:r>
      <w:r w:rsidRPr="003E05FF">
        <w:rPr>
          <w:sz w:val="18"/>
          <w:szCs w:val="18"/>
          <w:lang w:val="en-CH"/>
        </w:rPr>
        <w:t xml:space="preserve"> </w:t>
      </w:r>
    </w:p>
  </w:footnote>
  <w:footnote w:id="3">
    <w:p w14:paraId="40BF7E70" w14:textId="33E875DD" w:rsidR="003E05FF" w:rsidRPr="003E05FF" w:rsidRDefault="003E05FF" w:rsidP="003E05FF">
      <w:pPr>
        <w:pStyle w:val="FootnoteText"/>
        <w:jc w:val="both"/>
        <w:rPr>
          <w:sz w:val="18"/>
          <w:szCs w:val="18"/>
          <w:lang w:val="en-CH"/>
        </w:rPr>
      </w:pPr>
      <w:r w:rsidRPr="003E05FF">
        <w:rPr>
          <w:rStyle w:val="FootnoteReference"/>
          <w:szCs w:val="18"/>
        </w:rPr>
        <w:footnoteRef/>
      </w:r>
      <w:r w:rsidRPr="003E05FF">
        <w:rPr>
          <w:sz w:val="18"/>
          <w:szCs w:val="18"/>
          <w:lang w:val="en-US"/>
        </w:rPr>
        <w:t xml:space="preserve"> </w:t>
      </w:r>
      <w:r w:rsidRPr="003E05FF">
        <w:rPr>
          <w:sz w:val="18"/>
          <w:szCs w:val="18"/>
          <w:lang w:val="en-CH"/>
        </w:rPr>
        <w:t xml:space="preserve">European Court of Human Rights, </w:t>
      </w:r>
      <w:r w:rsidRPr="003E05FF">
        <w:rPr>
          <w:i/>
          <w:iCs/>
          <w:sz w:val="18"/>
          <w:szCs w:val="18"/>
          <w:lang w:val="en-CH"/>
        </w:rPr>
        <w:t>Paposhvili v. Belgium</w:t>
      </w:r>
      <w:r w:rsidRPr="003E05FF">
        <w:rPr>
          <w:sz w:val="18"/>
          <w:szCs w:val="18"/>
          <w:lang w:val="en-CH"/>
        </w:rPr>
        <w:t>, Application No. 41738/10, judgment, 13</w:t>
      </w:r>
      <w:r w:rsidRPr="003E05FF">
        <w:rPr>
          <w:sz w:val="18"/>
          <w:szCs w:val="18"/>
          <w:lang w:val="en-US"/>
        </w:rPr>
        <w:t xml:space="preserve"> </w:t>
      </w:r>
      <w:r w:rsidRPr="003E05FF">
        <w:rPr>
          <w:sz w:val="18"/>
          <w:szCs w:val="18"/>
          <w:lang w:val="en-CH"/>
        </w:rPr>
        <w:t>December 2016</w:t>
      </w:r>
      <w:r w:rsidRPr="003E05FF">
        <w:rPr>
          <w:sz w:val="18"/>
          <w:szCs w:val="18"/>
          <w:lang w:val="en-US"/>
        </w:rPr>
        <w:t>.</w:t>
      </w:r>
      <w:r w:rsidRPr="003E05FF">
        <w:rPr>
          <w:sz w:val="18"/>
          <w:szCs w:val="18"/>
          <w:lang w:val="en-CH"/>
        </w:rPr>
        <w:t xml:space="preserve"> </w:t>
      </w:r>
    </w:p>
    <w:p w14:paraId="135AB3A9" w14:textId="0D626FB9" w:rsidR="003E05FF" w:rsidRPr="003E05FF" w:rsidRDefault="003E05FF" w:rsidP="003E05FF">
      <w:pPr>
        <w:pStyle w:val="FootnoteText"/>
        <w:jc w:val="both"/>
        <w:rPr>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6828"/>
    <w:multiLevelType w:val="multilevel"/>
    <w:tmpl w:val="2F9493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9D"/>
    <w:rsid w:val="000E53EB"/>
    <w:rsid w:val="00114AF9"/>
    <w:rsid w:val="00140FEA"/>
    <w:rsid w:val="00143976"/>
    <w:rsid w:val="00144851"/>
    <w:rsid w:val="001B299F"/>
    <w:rsid w:val="001B3E51"/>
    <w:rsid w:val="00220D1C"/>
    <w:rsid w:val="00236503"/>
    <w:rsid w:val="00292610"/>
    <w:rsid w:val="002A3AF6"/>
    <w:rsid w:val="002C6CB9"/>
    <w:rsid w:val="00300B95"/>
    <w:rsid w:val="003C0675"/>
    <w:rsid w:val="003E05FF"/>
    <w:rsid w:val="0041241D"/>
    <w:rsid w:val="004E36E7"/>
    <w:rsid w:val="00501FED"/>
    <w:rsid w:val="00573E5C"/>
    <w:rsid w:val="00575D09"/>
    <w:rsid w:val="00586B0A"/>
    <w:rsid w:val="005B0912"/>
    <w:rsid w:val="005C728F"/>
    <w:rsid w:val="006A6807"/>
    <w:rsid w:val="006F7A52"/>
    <w:rsid w:val="007736F2"/>
    <w:rsid w:val="007B029D"/>
    <w:rsid w:val="007B1262"/>
    <w:rsid w:val="007C22D0"/>
    <w:rsid w:val="0086350C"/>
    <w:rsid w:val="0089161C"/>
    <w:rsid w:val="008B63C2"/>
    <w:rsid w:val="008C325B"/>
    <w:rsid w:val="00917D91"/>
    <w:rsid w:val="00927F0C"/>
    <w:rsid w:val="00991E6C"/>
    <w:rsid w:val="009E030D"/>
    <w:rsid w:val="00A06812"/>
    <w:rsid w:val="00A401CD"/>
    <w:rsid w:val="00AB1E40"/>
    <w:rsid w:val="00BD6D9F"/>
    <w:rsid w:val="00C40F4E"/>
    <w:rsid w:val="00C73577"/>
    <w:rsid w:val="00CE5DA6"/>
    <w:rsid w:val="00D53F63"/>
    <w:rsid w:val="00D57901"/>
    <w:rsid w:val="00DC399D"/>
    <w:rsid w:val="00E02293"/>
    <w:rsid w:val="00E66D78"/>
    <w:rsid w:val="00EA46BC"/>
    <w:rsid w:val="00EB5B57"/>
    <w:rsid w:val="00EC24E4"/>
    <w:rsid w:val="00F666F4"/>
    <w:rsid w:val="00F8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BDF5"/>
  <w15:chartTrackingRefBased/>
  <w15:docId w15:val="{1893768A-1F05-46FB-B406-A3DFDC77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9D"/>
    <w:pPr>
      <w:spacing w:after="200" w:line="276" w:lineRule="auto"/>
    </w:pPr>
    <w:rPr>
      <w:rFonts w:ascii="Calibri" w:eastAsia="Calibri" w:hAnsi="Calibri"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399D"/>
    <w:rPr>
      <w:color w:val="0000FF"/>
      <w:u w:val="single"/>
    </w:rPr>
  </w:style>
  <w:style w:type="character" w:styleId="FootnoteReference">
    <w:name w:val="footnote reference"/>
    <w:aliases w:val="4_G,Footnote number"/>
    <w:uiPriority w:val="99"/>
    <w:rsid w:val="00DC399D"/>
    <w:rPr>
      <w:rFonts w:ascii="Times New Roman" w:hAnsi="Times New Roman"/>
      <w:sz w:val="18"/>
      <w:vertAlign w:val="superscript"/>
    </w:rPr>
  </w:style>
  <w:style w:type="character" w:styleId="CommentReference">
    <w:name w:val="annotation reference"/>
    <w:basedOn w:val="DefaultParagraphFont"/>
    <w:semiHidden/>
    <w:unhideWhenUsed/>
    <w:rsid w:val="00DC399D"/>
    <w:rPr>
      <w:sz w:val="16"/>
      <w:szCs w:val="16"/>
    </w:rPr>
  </w:style>
  <w:style w:type="paragraph" w:styleId="CommentText">
    <w:name w:val="annotation text"/>
    <w:basedOn w:val="Normal"/>
    <w:link w:val="CommentTextChar"/>
    <w:semiHidden/>
    <w:unhideWhenUsed/>
    <w:rsid w:val="00DC399D"/>
    <w:pPr>
      <w:spacing w:line="240" w:lineRule="auto"/>
    </w:pPr>
    <w:rPr>
      <w:sz w:val="20"/>
      <w:szCs w:val="20"/>
    </w:rPr>
  </w:style>
  <w:style w:type="character" w:customStyle="1" w:styleId="CommentTextChar">
    <w:name w:val="Comment Text Char"/>
    <w:basedOn w:val="DefaultParagraphFont"/>
    <w:link w:val="CommentText"/>
    <w:semiHidden/>
    <w:rsid w:val="00DC399D"/>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DC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9D"/>
    <w:rPr>
      <w:rFonts w:ascii="Segoe UI" w:eastAsia="Calibri" w:hAnsi="Segoe UI" w:cs="Segoe UI"/>
      <w:sz w:val="18"/>
      <w:szCs w:val="18"/>
      <w:lang w:val="fr-FR"/>
    </w:rPr>
  </w:style>
  <w:style w:type="paragraph" w:styleId="Header">
    <w:name w:val="header"/>
    <w:basedOn w:val="Normal"/>
    <w:link w:val="HeaderChar"/>
    <w:uiPriority w:val="99"/>
    <w:unhideWhenUsed/>
    <w:rsid w:val="00917D91"/>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D91"/>
    <w:rPr>
      <w:rFonts w:ascii="Calibri" w:eastAsia="Calibri" w:hAnsi="Calibri" w:cs="Times New Roman"/>
      <w:lang w:val="fr-FR"/>
    </w:rPr>
  </w:style>
  <w:style w:type="paragraph" w:styleId="Footer">
    <w:name w:val="footer"/>
    <w:basedOn w:val="Normal"/>
    <w:link w:val="FooterChar"/>
    <w:uiPriority w:val="99"/>
    <w:unhideWhenUsed/>
    <w:rsid w:val="00917D91"/>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D91"/>
    <w:rPr>
      <w:rFonts w:ascii="Calibri" w:eastAsia="Calibri" w:hAnsi="Calibri" w:cs="Times New Roman"/>
      <w:lang w:val="fr-FR"/>
    </w:rPr>
  </w:style>
  <w:style w:type="paragraph" w:styleId="FootnoteText">
    <w:name w:val="footnote text"/>
    <w:basedOn w:val="Normal"/>
    <w:link w:val="FootnoteTextChar"/>
    <w:uiPriority w:val="99"/>
    <w:unhideWhenUsed/>
    <w:rsid w:val="003E05FF"/>
    <w:pPr>
      <w:spacing w:after="0" w:line="240" w:lineRule="auto"/>
    </w:pPr>
    <w:rPr>
      <w:sz w:val="20"/>
      <w:szCs w:val="20"/>
    </w:rPr>
  </w:style>
  <w:style w:type="character" w:customStyle="1" w:styleId="FootnoteTextChar">
    <w:name w:val="Footnote Text Char"/>
    <w:basedOn w:val="DefaultParagraphFont"/>
    <w:link w:val="FootnoteText"/>
    <w:uiPriority w:val="99"/>
    <w:rsid w:val="003E05FF"/>
    <w:rPr>
      <w:rFonts w:ascii="Calibri" w:eastAsia="Calibri" w:hAnsi="Calibri" w:cs="Times New Roman"/>
      <w:sz w:val="20"/>
      <w:szCs w:val="20"/>
      <w:lang w:val="fr-FR"/>
    </w:rPr>
  </w:style>
  <w:style w:type="paragraph" w:styleId="NormalWeb">
    <w:name w:val="Normal (Web)"/>
    <w:basedOn w:val="Normal"/>
    <w:uiPriority w:val="99"/>
    <w:semiHidden/>
    <w:unhideWhenUsed/>
    <w:rsid w:val="003E05F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9232">
      <w:bodyDiv w:val="1"/>
      <w:marLeft w:val="0"/>
      <w:marRight w:val="0"/>
      <w:marTop w:val="0"/>
      <w:marBottom w:val="0"/>
      <w:divBdr>
        <w:top w:val="none" w:sz="0" w:space="0" w:color="auto"/>
        <w:left w:val="none" w:sz="0" w:space="0" w:color="auto"/>
        <w:bottom w:val="none" w:sz="0" w:space="0" w:color="auto"/>
        <w:right w:val="none" w:sz="0" w:space="0" w:color="auto"/>
      </w:divBdr>
      <w:divsChild>
        <w:div w:id="1631786036">
          <w:marLeft w:val="0"/>
          <w:marRight w:val="0"/>
          <w:marTop w:val="0"/>
          <w:marBottom w:val="0"/>
          <w:divBdr>
            <w:top w:val="none" w:sz="0" w:space="0" w:color="auto"/>
            <w:left w:val="none" w:sz="0" w:space="0" w:color="auto"/>
            <w:bottom w:val="none" w:sz="0" w:space="0" w:color="auto"/>
            <w:right w:val="none" w:sz="0" w:space="0" w:color="auto"/>
          </w:divBdr>
          <w:divsChild>
            <w:div w:id="481778764">
              <w:marLeft w:val="0"/>
              <w:marRight w:val="0"/>
              <w:marTop w:val="0"/>
              <w:marBottom w:val="0"/>
              <w:divBdr>
                <w:top w:val="none" w:sz="0" w:space="0" w:color="auto"/>
                <w:left w:val="none" w:sz="0" w:space="0" w:color="auto"/>
                <w:bottom w:val="none" w:sz="0" w:space="0" w:color="auto"/>
                <w:right w:val="none" w:sz="0" w:space="0" w:color="auto"/>
              </w:divBdr>
              <w:divsChild>
                <w:div w:id="2424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3874">
      <w:bodyDiv w:val="1"/>
      <w:marLeft w:val="0"/>
      <w:marRight w:val="0"/>
      <w:marTop w:val="0"/>
      <w:marBottom w:val="0"/>
      <w:divBdr>
        <w:top w:val="none" w:sz="0" w:space="0" w:color="auto"/>
        <w:left w:val="none" w:sz="0" w:space="0" w:color="auto"/>
        <w:bottom w:val="none" w:sz="0" w:space="0" w:color="auto"/>
        <w:right w:val="none" w:sz="0" w:space="0" w:color="auto"/>
      </w:divBdr>
      <w:divsChild>
        <w:div w:id="958953835">
          <w:marLeft w:val="0"/>
          <w:marRight w:val="0"/>
          <w:marTop w:val="0"/>
          <w:marBottom w:val="0"/>
          <w:divBdr>
            <w:top w:val="none" w:sz="0" w:space="0" w:color="auto"/>
            <w:left w:val="none" w:sz="0" w:space="0" w:color="auto"/>
            <w:bottom w:val="none" w:sz="0" w:space="0" w:color="auto"/>
            <w:right w:val="none" w:sz="0" w:space="0" w:color="auto"/>
          </w:divBdr>
          <w:divsChild>
            <w:div w:id="1173958554">
              <w:marLeft w:val="0"/>
              <w:marRight w:val="0"/>
              <w:marTop w:val="0"/>
              <w:marBottom w:val="0"/>
              <w:divBdr>
                <w:top w:val="none" w:sz="0" w:space="0" w:color="auto"/>
                <w:left w:val="none" w:sz="0" w:space="0" w:color="auto"/>
                <w:bottom w:val="none" w:sz="0" w:space="0" w:color="auto"/>
                <w:right w:val="none" w:sz="0" w:space="0" w:color="auto"/>
              </w:divBdr>
              <w:divsChild>
                <w:div w:id="1234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8840">
      <w:bodyDiv w:val="1"/>
      <w:marLeft w:val="0"/>
      <w:marRight w:val="0"/>
      <w:marTop w:val="0"/>
      <w:marBottom w:val="0"/>
      <w:divBdr>
        <w:top w:val="none" w:sz="0" w:space="0" w:color="auto"/>
        <w:left w:val="none" w:sz="0" w:space="0" w:color="auto"/>
        <w:bottom w:val="none" w:sz="0" w:space="0" w:color="auto"/>
        <w:right w:val="none" w:sz="0" w:space="0" w:color="auto"/>
      </w:divBdr>
      <w:divsChild>
        <w:div w:id="1667250099">
          <w:marLeft w:val="0"/>
          <w:marRight w:val="0"/>
          <w:marTop w:val="0"/>
          <w:marBottom w:val="0"/>
          <w:divBdr>
            <w:top w:val="none" w:sz="0" w:space="0" w:color="auto"/>
            <w:left w:val="none" w:sz="0" w:space="0" w:color="auto"/>
            <w:bottom w:val="none" w:sz="0" w:space="0" w:color="auto"/>
            <w:right w:val="none" w:sz="0" w:space="0" w:color="auto"/>
          </w:divBdr>
          <w:divsChild>
            <w:div w:id="200673260">
              <w:marLeft w:val="0"/>
              <w:marRight w:val="0"/>
              <w:marTop w:val="0"/>
              <w:marBottom w:val="0"/>
              <w:divBdr>
                <w:top w:val="none" w:sz="0" w:space="0" w:color="auto"/>
                <w:left w:val="none" w:sz="0" w:space="0" w:color="auto"/>
                <w:bottom w:val="none" w:sz="0" w:space="0" w:color="auto"/>
                <w:right w:val="none" w:sz="0" w:space="0" w:color="auto"/>
              </w:divBdr>
              <w:divsChild>
                <w:div w:id="94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5704">
      <w:bodyDiv w:val="1"/>
      <w:marLeft w:val="0"/>
      <w:marRight w:val="0"/>
      <w:marTop w:val="0"/>
      <w:marBottom w:val="0"/>
      <w:divBdr>
        <w:top w:val="none" w:sz="0" w:space="0" w:color="auto"/>
        <w:left w:val="none" w:sz="0" w:space="0" w:color="auto"/>
        <w:bottom w:val="none" w:sz="0" w:space="0" w:color="auto"/>
        <w:right w:val="none" w:sz="0" w:space="0" w:color="auto"/>
      </w:divBdr>
      <w:divsChild>
        <w:div w:id="750270594">
          <w:marLeft w:val="0"/>
          <w:marRight w:val="0"/>
          <w:marTop w:val="0"/>
          <w:marBottom w:val="0"/>
          <w:divBdr>
            <w:top w:val="none" w:sz="0" w:space="0" w:color="auto"/>
            <w:left w:val="none" w:sz="0" w:space="0" w:color="auto"/>
            <w:bottom w:val="none" w:sz="0" w:space="0" w:color="auto"/>
            <w:right w:val="none" w:sz="0" w:space="0" w:color="auto"/>
          </w:divBdr>
          <w:divsChild>
            <w:div w:id="299770863">
              <w:marLeft w:val="0"/>
              <w:marRight w:val="0"/>
              <w:marTop w:val="0"/>
              <w:marBottom w:val="0"/>
              <w:divBdr>
                <w:top w:val="none" w:sz="0" w:space="0" w:color="auto"/>
                <w:left w:val="none" w:sz="0" w:space="0" w:color="auto"/>
                <w:bottom w:val="none" w:sz="0" w:space="0" w:color="auto"/>
                <w:right w:val="none" w:sz="0" w:space="0" w:color="auto"/>
              </w:divBdr>
              <w:divsChild>
                <w:div w:id="14026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undocs.org/en/CRPD/C/23/D/60/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undocs.org/ar/CRPD/C/23/D/60/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ndocs.org/es/CRPD/C/23/D/60/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OptionalProtocolRightsPersonsWithDisabilities.aspx" TargetMode="External"/><Relationship Id="rId5" Type="http://schemas.openxmlformats.org/officeDocument/2006/relationships/footnotes" Target="footnotes.xml"/><Relationship Id="rId15" Type="http://schemas.openxmlformats.org/officeDocument/2006/relationships/hyperlink" Target="https://undocs.org/ru/CRPD/C/23/D/60/2019" TargetMode="Externa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undocs.org/fr/CRPD/C/23/D/60/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1920</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IDA-JIPB</cp:lastModifiedBy>
  <cp:revision>4</cp:revision>
  <dcterms:created xsi:type="dcterms:W3CDTF">2021-01-04T10:54:00Z</dcterms:created>
  <dcterms:modified xsi:type="dcterms:W3CDTF">2021-05-05T11:57:00Z</dcterms:modified>
</cp:coreProperties>
</file>