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179CC" w14:textId="77777777" w:rsidR="009B73D8" w:rsidRPr="00D17B25" w:rsidRDefault="009B73D8" w:rsidP="009B73D8">
      <w:pPr>
        <w:spacing w:after="0" w:line="276" w:lineRule="auto"/>
        <w:jc w:val="both"/>
        <w:rPr>
          <w:rFonts w:ascii="Arial" w:eastAsia="Calibri" w:hAnsi="Arial" w:cs="Arial"/>
          <w:i/>
          <w:sz w:val="28"/>
          <w:lang w:val="en-GB"/>
        </w:rPr>
      </w:pPr>
      <w:r w:rsidRPr="00D17B25">
        <w:rPr>
          <w:rFonts w:ascii="Arial" w:eastAsia="Calibri" w:hAnsi="Arial" w:cs="Arial"/>
          <w:sz w:val="28"/>
          <w:lang w:val="en-GB"/>
        </w:rPr>
        <w:t>Case summary:</w:t>
      </w:r>
      <w:r w:rsidRPr="00D17B25">
        <w:rPr>
          <w:rFonts w:ascii="Arial" w:eastAsia="Calibri" w:hAnsi="Arial" w:cs="Arial"/>
          <w:sz w:val="24"/>
          <w:vertAlign w:val="superscript"/>
          <w:lang w:val="en-GB"/>
        </w:rPr>
        <w:footnoteReference w:id="1"/>
      </w:r>
      <w:r w:rsidRPr="00D17B25">
        <w:rPr>
          <w:rFonts w:ascii="Arial" w:eastAsia="Calibri" w:hAnsi="Arial" w:cs="Arial"/>
          <w:sz w:val="24"/>
          <w:lang w:val="en-GB"/>
        </w:rPr>
        <w:t xml:space="preserve"> </w:t>
      </w:r>
      <w:r>
        <w:rPr>
          <w:rFonts w:ascii="Arial" w:eastAsia="Calibri" w:hAnsi="Arial" w:cs="Arial"/>
          <w:sz w:val="24"/>
          <w:lang w:val="en-GB"/>
        </w:rPr>
        <w:t xml:space="preserve">ANP v South Africa </w:t>
      </w:r>
    </w:p>
    <w:p w14:paraId="435A6299" w14:textId="77777777" w:rsidR="009B73D8" w:rsidRPr="00D17B25" w:rsidRDefault="009B73D8" w:rsidP="009B73D8">
      <w:pPr>
        <w:spacing w:after="0" w:line="276" w:lineRule="auto"/>
        <w:jc w:val="both"/>
        <w:rPr>
          <w:rFonts w:ascii="Arial" w:eastAsia="Calibri" w:hAnsi="Arial" w:cs="Arial"/>
          <w:highlight w:val="lightGray"/>
          <w:lang w:val="en-GB"/>
        </w:rPr>
      </w:pPr>
    </w:p>
    <w:p w14:paraId="7D85591A" w14:textId="77777777" w:rsidR="009B73D8" w:rsidRPr="009B73D8" w:rsidRDefault="009B73D8" w:rsidP="009B73D8">
      <w:pPr>
        <w:spacing w:after="0" w:line="276" w:lineRule="auto"/>
        <w:jc w:val="both"/>
        <w:rPr>
          <w:rFonts w:ascii="Arial" w:eastAsia="Calibri" w:hAnsi="Arial" w:cs="Arial"/>
          <w:szCs w:val="20"/>
          <w:lang w:val="en-GB"/>
        </w:rPr>
      </w:pPr>
      <w:r w:rsidRPr="00D17B25">
        <w:rPr>
          <w:rFonts w:ascii="Arial" w:eastAsia="Calibri" w:hAnsi="Arial" w:cs="Arial"/>
          <w:szCs w:val="20"/>
          <w:lang w:val="en-GB"/>
        </w:rPr>
        <w:t xml:space="preserve">Case code: </w:t>
      </w:r>
      <w:hyperlink r:id="rId6" w:history="1">
        <w:r w:rsidR="00267492" w:rsidRPr="00267492">
          <w:rPr>
            <w:rStyle w:val="Hyperlink"/>
            <w:rFonts w:ascii="Arial" w:eastAsia="Calibri" w:hAnsi="Arial" w:cs="Arial"/>
            <w:szCs w:val="20"/>
            <w:lang w:val="en-GB"/>
          </w:rPr>
          <w:t>CRPD/C/23/D/73/2019</w:t>
        </w:r>
      </w:hyperlink>
    </w:p>
    <w:p w14:paraId="7FB82C42" w14:textId="77777777" w:rsidR="009B73D8" w:rsidRPr="00D17B25" w:rsidRDefault="009B73D8" w:rsidP="009B73D8">
      <w:pPr>
        <w:spacing w:after="0" w:line="276" w:lineRule="auto"/>
        <w:jc w:val="both"/>
        <w:rPr>
          <w:rFonts w:ascii="Arial" w:eastAsia="Calibri" w:hAnsi="Arial" w:cs="Arial"/>
          <w:szCs w:val="20"/>
          <w:lang w:val="en-GB"/>
        </w:rPr>
      </w:pPr>
      <w:r w:rsidRPr="00D17B25">
        <w:rPr>
          <w:rFonts w:ascii="Arial" w:eastAsia="Calibri" w:hAnsi="Arial" w:cs="Arial"/>
          <w:szCs w:val="20"/>
          <w:lang w:val="en-GB"/>
        </w:rPr>
        <w:t xml:space="preserve">Communication no </w:t>
      </w:r>
      <w:r w:rsidR="00267492">
        <w:rPr>
          <w:rFonts w:ascii="Arial" w:eastAsia="Calibri" w:hAnsi="Arial" w:cs="Arial"/>
          <w:szCs w:val="20"/>
          <w:lang w:val="en-GB"/>
        </w:rPr>
        <w:t>73/2019</w:t>
      </w:r>
    </w:p>
    <w:p w14:paraId="5786DCE2" w14:textId="77777777" w:rsidR="009B73D8" w:rsidRPr="00D17B25" w:rsidRDefault="009B73D8" w:rsidP="009B73D8">
      <w:pPr>
        <w:spacing w:after="0" w:line="276" w:lineRule="auto"/>
        <w:jc w:val="both"/>
        <w:rPr>
          <w:rFonts w:ascii="Arial" w:eastAsia="Calibri" w:hAnsi="Arial" w:cs="Arial"/>
          <w:szCs w:val="20"/>
          <w:lang w:val="en-GB"/>
        </w:rPr>
      </w:pPr>
      <w:r w:rsidRPr="00D17B25">
        <w:rPr>
          <w:rFonts w:ascii="Arial" w:eastAsia="Calibri" w:hAnsi="Arial" w:cs="Arial"/>
          <w:szCs w:val="20"/>
          <w:lang w:val="en-GB"/>
        </w:rPr>
        <w:t>Date of communication (initial submission):</w:t>
      </w:r>
      <w:r w:rsidRPr="00D17B25">
        <w:rPr>
          <w:rFonts w:ascii="Arial" w:eastAsia="Calibri" w:hAnsi="Arial" w:cs="Arial"/>
          <w:szCs w:val="20"/>
          <w:lang w:val="en-GB"/>
        </w:rPr>
        <w:tab/>
      </w:r>
      <w:r w:rsidRPr="00D17B25">
        <w:rPr>
          <w:rFonts w:ascii="Arial" w:eastAsia="Calibri" w:hAnsi="Arial" w:cs="Arial"/>
          <w:szCs w:val="20"/>
          <w:lang w:val="en-GB"/>
        </w:rPr>
        <w:tab/>
      </w:r>
      <w:r w:rsidR="00267492" w:rsidRPr="00267492">
        <w:rPr>
          <w:rFonts w:ascii="Arial" w:eastAsia="Calibri" w:hAnsi="Arial" w:cs="Arial"/>
          <w:szCs w:val="20"/>
          <w:lang w:val="en-GB"/>
        </w:rPr>
        <w:t>19 September 2017</w:t>
      </w:r>
    </w:p>
    <w:p w14:paraId="6BD49C25" w14:textId="77777777" w:rsidR="009B73D8" w:rsidRPr="00D17B25" w:rsidRDefault="009B73D8" w:rsidP="009B73D8">
      <w:pPr>
        <w:spacing w:after="0" w:line="276" w:lineRule="auto"/>
        <w:jc w:val="both"/>
        <w:rPr>
          <w:rFonts w:ascii="Arial" w:eastAsia="Calibri" w:hAnsi="Arial" w:cs="Arial"/>
          <w:szCs w:val="20"/>
          <w:lang w:val="en-GB"/>
        </w:rPr>
      </w:pPr>
      <w:r w:rsidRPr="00D17B25">
        <w:rPr>
          <w:rFonts w:ascii="Arial" w:eastAsia="Calibri" w:hAnsi="Arial" w:cs="Arial"/>
          <w:szCs w:val="20"/>
          <w:lang w:val="en-GB"/>
        </w:rPr>
        <w:t>Date of adoption of Views:</w:t>
      </w:r>
      <w:r w:rsidRPr="00D17B25">
        <w:rPr>
          <w:rFonts w:ascii="Arial" w:eastAsia="Calibri" w:hAnsi="Arial" w:cs="Arial"/>
          <w:szCs w:val="20"/>
          <w:lang w:val="en-GB"/>
        </w:rPr>
        <w:tab/>
      </w:r>
      <w:r w:rsidRPr="00D17B25">
        <w:rPr>
          <w:rFonts w:ascii="Arial" w:eastAsia="Calibri" w:hAnsi="Arial" w:cs="Arial"/>
          <w:szCs w:val="20"/>
          <w:lang w:val="en-GB"/>
        </w:rPr>
        <w:tab/>
      </w:r>
      <w:r w:rsidRPr="00D17B25">
        <w:rPr>
          <w:rFonts w:ascii="Arial" w:eastAsia="Calibri" w:hAnsi="Arial" w:cs="Arial"/>
          <w:szCs w:val="20"/>
          <w:lang w:val="en-GB"/>
        </w:rPr>
        <w:tab/>
      </w:r>
      <w:r w:rsidRPr="00D17B25">
        <w:rPr>
          <w:rFonts w:ascii="Arial" w:eastAsia="Calibri" w:hAnsi="Arial" w:cs="Arial"/>
          <w:szCs w:val="20"/>
          <w:lang w:val="en-GB"/>
        </w:rPr>
        <w:tab/>
      </w:r>
      <w:r w:rsidR="00267492" w:rsidRPr="00267492">
        <w:rPr>
          <w:rFonts w:ascii="Arial" w:eastAsia="Calibri" w:hAnsi="Arial" w:cs="Arial"/>
          <w:szCs w:val="20"/>
          <w:lang w:val="en-GB"/>
        </w:rPr>
        <w:t>28 August 2020</w:t>
      </w:r>
    </w:p>
    <w:p w14:paraId="567733AC" w14:textId="77777777" w:rsidR="009B73D8" w:rsidRPr="00D17B25" w:rsidRDefault="009B73D8" w:rsidP="009B73D8">
      <w:pPr>
        <w:spacing w:after="0" w:line="276" w:lineRule="auto"/>
        <w:ind w:left="4962" w:hanging="4962"/>
        <w:jc w:val="both"/>
        <w:rPr>
          <w:rFonts w:ascii="Arial" w:eastAsia="Calibri" w:hAnsi="Arial" w:cs="Arial"/>
          <w:szCs w:val="20"/>
          <w:lang w:val="en-GB"/>
        </w:rPr>
      </w:pPr>
      <w:r w:rsidRPr="00D17B25">
        <w:rPr>
          <w:rFonts w:ascii="Arial" w:eastAsia="Calibri" w:hAnsi="Arial" w:cs="Arial"/>
          <w:szCs w:val="20"/>
          <w:lang w:val="en-GB"/>
        </w:rPr>
        <w:t>Invoked provisions of the Convention:</w:t>
      </w:r>
      <w:r w:rsidRPr="00D17B25">
        <w:rPr>
          <w:rFonts w:ascii="Arial" w:eastAsia="Calibri" w:hAnsi="Arial" w:cs="Arial"/>
          <w:szCs w:val="20"/>
          <w:lang w:val="en-GB"/>
        </w:rPr>
        <w:tab/>
      </w:r>
      <w:r>
        <w:rPr>
          <w:rFonts w:ascii="Arial" w:eastAsia="Calibri" w:hAnsi="Arial" w:cs="Arial"/>
          <w:szCs w:val="20"/>
          <w:lang w:val="en-GB"/>
        </w:rPr>
        <w:t xml:space="preserve">Articles </w:t>
      </w:r>
      <w:hyperlink r:id="rId7" w:history="1">
        <w:r w:rsidR="00267492" w:rsidRPr="005467D3">
          <w:rPr>
            <w:rStyle w:val="Hyperlink"/>
            <w:rFonts w:ascii="Arial" w:eastAsia="Calibri" w:hAnsi="Arial" w:cs="Arial"/>
            <w:szCs w:val="20"/>
            <w:lang w:val="en-GB"/>
          </w:rPr>
          <w:t>1, 3 (e), 4 (1) (d), 5 (1), 8 (1) (b)</w:t>
        </w:r>
      </w:hyperlink>
      <w:r w:rsidR="00267492" w:rsidRPr="00267492">
        <w:rPr>
          <w:rFonts w:ascii="Arial" w:eastAsia="Calibri" w:hAnsi="Arial" w:cs="Arial"/>
          <w:szCs w:val="20"/>
          <w:lang w:val="en-GB"/>
        </w:rPr>
        <w:t xml:space="preserve">, </w:t>
      </w:r>
      <w:hyperlink r:id="rId8" w:history="1">
        <w:r w:rsidR="00267492" w:rsidRPr="005467D3">
          <w:rPr>
            <w:rStyle w:val="Hyperlink"/>
            <w:rFonts w:ascii="Arial" w:eastAsia="Calibri" w:hAnsi="Arial" w:cs="Arial"/>
            <w:szCs w:val="20"/>
            <w:lang w:val="en-GB"/>
          </w:rPr>
          <w:t>12 (3)</w:t>
        </w:r>
      </w:hyperlink>
      <w:r w:rsidR="00267492" w:rsidRPr="00267492">
        <w:rPr>
          <w:rFonts w:ascii="Arial" w:eastAsia="Calibri" w:hAnsi="Arial" w:cs="Arial"/>
          <w:szCs w:val="20"/>
          <w:lang w:val="en-GB"/>
        </w:rPr>
        <w:t xml:space="preserve"> and </w:t>
      </w:r>
      <w:hyperlink r:id="rId9" w:history="1">
        <w:r w:rsidR="00267492" w:rsidRPr="005467D3">
          <w:rPr>
            <w:rStyle w:val="Hyperlink"/>
            <w:rFonts w:ascii="Arial" w:eastAsia="Calibri" w:hAnsi="Arial" w:cs="Arial"/>
            <w:szCs w:val="20"/>
            <w:lang w:val="en-GB"/>
          </w:rPr>
          <w:t>(5), 13 (1), 15 (2), 17</w:t>
        </w:r>
      </w:hyperlink>
      <w:r w:rsidR="00267492" w:rsidRPr="00267492">
        <w:rPr>
          <w:rFonts w:ascii="Arial" w:eastAsia="Calibri" w:hAnsi="Arial" w:cs="Arial"/>
          <w:szCs w:val="20"/>
          <w:lang w:val="en-GB"/>
        </w:rPr>
        <w:t xml:space="preserve"> and </w:t>
      </w:r>
      <w:hyperlink r:id="rId10" w:history="1">
        <w:r w:rsidR="00267492" w:rsidRPr="005467D3">
          <w:rPr>
            <w:rStyle w:val="Hyperlink"/>
            <w:rFonts w:ascii="Arial" w:eastAsia="Calibri" w:hAnsi="Arial" w:cs="Arial"/>
            <w:szCs w:val="20"/>
            <w:lang w:val="en-GB"/>
          </w:rPr>
          <w:t>28 (1)</w:t>
        </w:r>
      </w:hyperlink>
      <w:r w:rsidR="00267492" w:rsidRPr="00267492">
        <w:rPr>
          <w:rFonts w:ascii="Arial" w:eastAsia="Calibri" w:hAnsi="Arial" w:cs="Arial"/>
          <w:szCs w:val="20"/>
          <w:lang w:val="en-GB"/>
        </w:rPr>
        <w:t xml:space="preserve"> and </w:t>
      </w:r>
      <w:hyperlink r:id="rId11" w:history="1">
        <w:r w:rsidR="00267492" w:rsidRPr="005467D3">
          <w:rPr>
            <w:rStyle w:val="Hyperlink"/>
            <w:rFonts w:ascii="Arial" w:eastAsia="Calibri" w:hAnsi="Arial" w:cs="Arial"/>
            <w:szCs w:val="20"/>
            <w:lang w:val="en-GB"/>
          </w:rPr>
          <w:t>(2)</w:t>
        </w:r>
      </w:hyperlink>
    </w:p>
    <w:p w14:paraId="36062D9E" w14:textId="77777777" w:rsidR="009B73D8" w:rsidRPr="00267492" w:rsidRDefault="009B73D8" w:rsidP="009B73D8">
      <w:pPr>
        <w:spacing w:after="0" w:line="276" w:lineRule="auto"/>
        <w:jc w:val="both"/>
        <w:rPr>
          <w:rFonts w:ascii="Arial" w:eastAsia="Calibri" w:hAnsi="Arial" w:cs="Arial"/>
          <w:szCs w:val="20"/>
          <w:lang w:val="en-GB"/>
        </w:rPr>
      </w:pPr>
      <w:r w:rsidRPr="00D17B25">
        <w:rPr>
          <w:rFonts w:ascii="Arial" w:eastAsia="Calibri" w:hAnsi="Arial" w:cs="Arial"/>
          <w:szCs w:val="20"/>
          <w:lang w:val="en-GB"/>
        </w:rPr>
        <w:t>Provisions of th</w:t>
      </w:r>
      <w:r>
        <w:rPr>
          <w:rFonts w:ascii="Arial" w:eastAsia="Calibri" w:hAnsi="Arial" w:cs="Arial"/>
          <w:szCs w:val="20"/>
          <w:lang w:val="en-GB"/>
        </w:rPr>
        <w:t>e Optional Protocol:</w:t>
      </w:r>
      <w:r>
        <w:rPr>
          <w:rFonts w:ascii="Arial" w:eastAsia="Calibri" w:hAnsi="Arial" w:cs="Arial"/>
          <w:szCs w:val="20"/>
          <w:lang w:val="en-GB"/>
        </w:rPr>
        <w:tab/>
      </w:r>
      <w:r>
        <w:rPr>
          <w:rFonts w:ascii="Arial" w:eastAsia="Calibri" w:hAnsi="Arial" w:cs="Arial"/>
          <w:szCs w:val="20"/>
          <w:lang w:val="en-GB"/>
        </w:rPr>
        <w:tab/>
      </w:r>
      <w:r>
        <w:rPr>
          <w:rFonts w:ascii="Arial" w:eastAsia="Calibri" w:hAnsi="Arial" w:cs="Arial"/>
          <w:szCs w:val="20"/>
          <w:lang w:val="en-GB"/>
        </w:rPr>
        <w:tab/>
        <w:t>Articles</w:t>
      </w:r>
      <w:r>
        <w:rPr>
          <w:rFonts w:ascii="Arial" w:eastAsia="Calibri" w:hAnsi="Arial" w:cs="Arial"/>
          <w:color w:val="0000FF"/>
          <w:szCs w:val="20"/>
          <w:u w:val="single"/>
          <w:lang w:val="en-GB"/>
        </w:rPr>
        <w:t xml:space="preserve"> </w:t>
      </w:r>
      <w:hyperlink r:id="rId12" w:history="1">
        <w:r w:rsidR="00267492" w:rsidRPr="008D5C85">
          <w:rPr>
            <w:rStyle w:val="Hyperlink"/>
            <w:rFonts w:ascii="Arial" w:eastAsia="Calibri" w:hAnsi="Arial" w:cs="Arial"/>
            <w:szCs w:val="20"/>
            <w:lang w:val="en-GB"/>
          </w:rPr>
          <w:t>2 (d)</w:t>
        </w:r>
      </w:hyperlink>
    </w:p>
    <w:p w14:paraId="2610E1F6" w14:textId="77777777" w:rsidR="009B73D8" w:rsidRPr="00D17B25" w:rsidRDefault="009B73D8" w:rsidP="009B73D8">
      <w:pPr>
        <w:spacing w:after="0" w:line="276" w:lineRule="auto"/>
        <w:ind w:left="2124" w:hanging="2124"/>
        <w:jc w:val="both"/>
        <w:rPr>
          <w:rFonts w:ascii="Arial" w:eastAsia="Calibri" w:hAnsi="Arial" w:cs="Arial"/>
          <w:szCs w:val="20"/>
          <w:highlight w:val="lightGray"/>
          <w:lang w:val="en-GB"/>
        </w:rPr>
      </w:pPr>
    </w:p>
    <w:p w14:paraId="70B972DB" w14:textId="77777777" w:rsidR="009B73D8" w:rsidRPr="00D17B25" w:rsidRDefault="009B73D8" w:rsidP="009B73D8">
      <w:pPr>
        <w:spacing w:after="0" w:line="276" w:lineRule="auto"/>
        <w:ind w:left="2124" w:hanging="2124"/>
        <w:jc w:val="both"/>
        <w:rPr>
          <w:rFonts w:ascii="Arial" w:eastAsia="Calibri" w:hAnsi="Arial" w:cs="Arial"/>
          <w:szCs w:val="20"/>
          <w:highlight w:val="lightGray"/>
          <w:lang w:val="en-GB"/>
        </w:rPr>
      </w:pPr>
      <w:r w:rsidRPr="00D17B25">
        <w:rPr>
          <w:rFonts w:ascii="Arial" w:eastAsia="Calibri" w:hAnsi="Arial" w:cs="Arial"/>
          <w:szCs w:val="20"/>
          <w:lang w:val="en-GB"/>
        </w:rPr>
        <w:t xml:space="preserve">Keywords: </w:t>
      </w:r>
      <w:r w:rsidRPr="00D17B25">
        <w:rPr>
          <w:rFonts w:ascii="Arial" w:eastAsia="Calibri" w:hAnsi="Arial" w:cs="Arial"/>
          <w:szCs w:val="20"/>
          <w:lang w:val="en-GB"/>
        </w:rPr>
        <w:tab/>
      </w:r>
      <w:r w:rsidR="00267492" w:rsidRPr="00267492">
        <w:rPr>
          <w:rFonts w:ascii="Arial" w:eastAsia="Calibri" w:hAnsi="Arial" w:cs="Arial"/>
          <w:szCs w:val="20"/>
          <w:lang w:val="en-GB"/>
        </w:rPr>
        <w:t xml:space="preserve">Equality of opportunity; </w:t>
      </w:r>
      <w:r w:rsidR="00267492">
        <w:rPr>
          <w:rFonts w:ascii="Arial" w:eastAsia="Calibri" w:hAnsi="Arial" w:cs="Arial"/>
          <w:szCs w:val="20"/>
          <w:lang w:val="en-GB"/>
        </w:rPr>
        <w:t>equality under the law;</w:t>
      </w:r>
      <w:r w:rsidR="00267492" w:rsidRPr="00267492">
        <w:rPr>
          <w:rFonts w:ascii="Arial" w:eastAsia="Calibri" w:hAnsi="Arial" w:cs="Arial"/>
          <w:szCs w:val="20"/>
          <w:lang w:val="en-GB"/>
        </w:rPr>
        <w:t xml:space="preserve"> access to justice; prevention of subjection to torture or cruel, inhuman or degrading treatment or punishment; integrity of the person; adequate standard of living</w:t>
      </w:r>
      <w:r w:rsidR="00267492">
        <w:rPr>
          <w:rFonts w:ascii="Arial" w:eastAsia="Calibri" w:hAnsi="Arial" w:cs="Arial"/>
          <w:szCs w:val="20"/>
          <w:lang w:val="en-GB"/>
        </w:rPr>
        <w:t>.</w:t>
      </w:r>
    </w:p>
    <w:p w14:paraId="15782942" w14:textId="77777777" w:rsidR="009B73D8" w:rsidRDefault="009B73D8" w:rsidP="009B73D8">
      <w:pPr>
        <w:spacing w:after="0" w:line="276" w:lineRule="auto"/>
        <w:ind w:left="2127" w:hanging="2127"/>
        <w:jc w:val="both"/>
        <w:rPr>
          <w:rFonts w:ascii="Arial" w:eastAsia="Calibri" w:hAnsi="Arial" w:cs="Arial"/>
          <w:szCs w:val="20"/>
          <w:lang w:val="en-GB"/>
        </w:rPr>
      </w:pPr>
      <w:r w:rsidRPr="00D17B25">
        <w:rPr>
          <w:rFonts w:ascii="Arial" w:eastAsia="Calibri" w:hAnsi="Arial" w:cs="Arial"/>
          <w:szCs w:val="20"/>
          <w:lang w:val="en-GB"/>
        </w:rPr>
        <w:t>D</w:t>
      </w:r>
      <w:r>
        <w:rPr>
          <w:rFonts w:ascii="Arial" w:eastAsia="Calibri" w:hAnsi="Arial" w:cs="Arial"/>
          <w:szCs w:val="20"/>
          <w:lang w:val="en-GB"/>
        </w:rPr>
        <w:t xml:space="preserve">ecision: </w:t>
      </w:r>
      <w:r>
        <w:rPr>
          <w:rFonts w:ascii="Arial" w:eastAsia="Calibri" w:hAnsi="Arial" w:cs="Arial"/>
          <w:szCs w:val="20"/>
          <w:lang w:val="en-GB"/>
        </w:rPr>
        <w:tab/>
        <w:t>I</w:t>
      </w:r>
      <w:r w:rsidRPr="003311F7">
        <w:rPr>
          <w:rFonts w:ascii="Arial" w:eastAsia="Calibri" w:hAnsi="Arial" w:cs="Arial"/>
          <w:szCs w:val="20"/>
          <w:lang w:val="en-GB"/>
        </w:rPr>
        <w:t xml:space="preserve">nadmissible under article </w:t>
      </w:r>
      <w:hyperlink r:id="rId13" w:history="1">
        <w:r w:rsidRPr="008D5C85">
          <w:rPr>
            <w:rStyle w:val="Hyperlink"/>
            <w:rFonts w:ascii="Arial" w:eastAsia="Calibri" w:hAnsi="Arial" w:cs="Arial"/>
            <w:szCs w:val="20"/>
            <w:lang w:val="en-GB"/>
          </w:rPr>
          <w:t>2 (d)</w:t>
        </w:r>
      </w:hyperlink>
      <w:r w:rsidR="00267492">
        <w:rPr>
          <w:rFonts w:ascii="Arial" w:eastAsia="Calibri" w:hAnsi="Arial" w:cs="Arial"/>
          <w:szCs w:val="20"/>
          <w:lang w:val="en-GB"/>
        </w:rPr>
        <w:t xml:space="preserve"> </w:t>
      </w:r>
      <w:r w:rsidRPr="003311F7">
        <w:rPr>
          <w:rFonts w:ascii="Arial" w:eastAsia="Calibri" w:hAnsi="Arial" w:cs="Arial"/>
          <w:szCs w:val="20"/>
          <w:lang w:val="en-GB"/>
        </w:rPr>
        <w:t>of the Optional Protocol</w:t>
      </w:r>
      <w:r>
        <w:rPr>
          <w:rFonts w:ascii="Arial" w:eastAsia="Calibri" w:hAnsi="Arial" w:cs="Arial"/>
          <w:szCs w:val="20"/>
          <w:lang w:val="en-GB"/>
        </w:rPr>
        <w:t>.</w:t>
      </w:r>
    </w:p>
    <w:p w14:paraId="3DD37975" w14:textId="77777777" w:rsidR="009B73D8" w:rsidRPr="00D17B25" w:rsidRDefault="009B73D8" w:rsidP="009B73D8">
      <w:pPr>
        <w:spacing w:after="0" w:line="276" w:lineRule="auto"/>
        <w:jc w:val="both"/>
        <w:rPr>
          <w:rFonts w:ascii="Arial" w:eastAsia="Calibri" w:hAnsi="Arial" w:cs="Arial"/>
          <w:szCs w:val="20"/>
          <w:lang w:val="en-US"/>
        </w:rPr>
      </w:pPr>
      <w:r w:rsidRPr="00D17B25">
        <w:rPr>
          <w:rFonts w:ascii="Arial" w:eastAsia="Calibri" w:hAnsi="Arial" w:cs="Arial"/>
          <w:szCs w:val="20"/>
          <w:lang w:val="en-GB"/>
        </w:rPr>
        <w:t xml:space="preserve">Full decision in PDF format: </w:t>
      </w:r>
      <w:hyperlink r:id="rId14" w:history="1">
        <w:r w:rsidRPr="005467D3">
          <w:rPr>
            <w:rStyle w:val="Hyperlink"/>
            <w:rFonts w:ascii="Arial" w:eastAsia="Calibri" w:hAnsi="Arial" w:cs="Arial"/>
            <w:szCs w:val="20"/>
            <w:lang w:val="en-GB"/>
          </w:rPr>
          <w:t>Arabic</w:t>
        </w:r>
      </w:hyperlink>
      <w:r w:rsidRPr="00D17B25">
        <w:rPr>
          <w:rFonts w:ascii="Arial" w:eastAsia="Calibri" w:hAnsi="Arial" w:cs="Arial"/>
          <w:szCs w:val="20"/>
          <w:lang w:val="en-GB"/>
        </w:rPr>
        <w:t xml:space="preserve">, </w:t>
      </w:r>
      <w:hyperlink r:id="rId15" w:history="1">
        <w:r w:rsidRPr="005467D3">
          <w:rPr>
            <w:rStyle w:val="Hyperlink"/>
            <w:rFonts w:ascii="Arial" w:eastAsia="Calibri" w:hAnsi="Arial" w:cs="Arial"/>
            <w:szCs w:val="20"/>
            <w:lang w:val="en-GB"/>
          </w:rPr>
          <w:t>Chinese</w:t>
        </w:r>
      </w:hyperlink>
      <w:r>
        <w:rPr>
          <w:rFonts w:ascii="Arial" w:eastAsia="Calibri" w:hAnsi="Arial" w:cs="Arial"/>
          <w:szCs w:val="20"/>
          <w:lang w:val="en-GB"/>
        </w:rPr>
        <w:t xml:space="preserve">, </w:t>
      </w:r>
      <w:hyperlink r:id="rId16" w:history="1">
        <w:r w:rsidRPr="005467D3">
          <w:rPr>
            <w:rStyle w:val="Hyperlink"/>
            <w:rFonts w:ascii="Arial" w:eastAsia="Calibri" w:hAnsi="Arial" w:cs="Arial"/>
            <w:szCs w:val="20"/>
            <w:lang w:val="en-GB"/>
          </w:rPr>
          <w:t>English</w:t>
        </w:r>
      </w:hyperlink>
      <w:r w:rsidRPr="00D17B25">
        <w:rPr>
          <w:rFonts w:ascii="Arial" w:eastAsia="Calibri" w:hAnsi="Arial" w:cs="Arial"/>
          <w:szCs w:val="20"/>
          <w:lang w:val="en-GB"/>
        </w:rPr>
        <w:t xml:space="preserve">, </w:t>
      </w:r>
      <w:hyperlink r:id="rId17" w:history="1">
        <w:r w:rsidRPr="005467D3">
          <w:rPr>
            <w:rStyle w:val="Hyperlink"/>
            <w:rFonts w:ascii="Arial" w:eastAsia="Calibri" w:hAnsi="Arial" w:cs="Arial"/>
            <w:szCs w:val="20"/>
            <w:lang w:val="en-GB"/>
          </w:rPr>
          <w:t>French</w:t>
        </w:r>
      </w:hyperlink>
      <w:r w:rsidRPr="00D17B25">
        <w:rPr>
          <w:rFonts w:ascii="Arial" w:eastAsia="Calibri" w:hAnsi="Arial" w:cs="Arial"/>
          <w:szCs w:val="20"/>
          <w:lang w:val="en-GB"/>
        </w:rPr>
        <w:t xml:space="preserve">, </w:t>
      </w:r>
      <w:hyperlink r:id="rId18" w:history="1">
        <w:r w:rsidRPr="005467D3">
          <w:rPr>
            <w:rStyle w:val="Hyperlink"/>
            <w:rFonts w:ascii="Arial" w:eastAsia="Calibri" w:hAnsi="Arial" w:cs="Arial"/>
            <w:szCs w:val="20"/>
            <w:lang w:val="en-GB"/>
          </w:rPr>
          <w:t>Russian</w:t>
        </w:r>
      </w:hyperlink>
      <w:r w:rsidRPr="00D17B25">
        <w:rPr>
          <w:rFonts w:ascii="Calibri" w:eastAsia="Calibri" w:hAnsi="Calibri" w:cs="Times New Roman"/>
          <w:lang w:val="en-GB"/>
        </w:rPr>
        <w:t xml:space="preserve"> </w:t>
      </w:r>
      <w:r w:rsidRPr="00D17B25">
        <w:rPr>
          <w:rFonts w:ascii="Arial" w:eastAsia="Calibri" w:hAnsi="Arial" w:cs="Arial"/>
          <w:szCs w:val="20"/>
          <w:lang w:val="en-GB"/>
        </w:rPr>
        <w:t xml:space="preserve">and </w:t>
      </w:r>
      <w:hyperlink r:id="rId19" w:history="1">
        <w:r w:rsidRPr="005467D3">
          <w:rPr>
            <w:rStyle w:val="Hyperlink"/>
            <w:rFonts w:ascii="Arial" w:eastAsia="Calibri" w:hAnsi="Arial" w:cs="Arial"/>
            <w:szCs w:val="20"/>
            <w:lang w:val="en-GB"/>
          </w:rPr>
          <w:t>Spanish</w:t>
        </w:r>
      </w:hyperlink>
    </w:p>
    <w:p w14:paraId="74E744FC" w14:textId="77777777" w:rsidR="009B73D8" w:rsidRPr="003311F7" w:rsidRDefault="009B73D8" w:rsidP="009B73D8">
      <w:pPr>
        <w:spacing w:after="0" w:line="276" w:lineRule="auto"/>
        <w:jc w:val="both"/>
        <w:rPr>
          <w:rFonts w:ascii="Arial" w:eastAsia="Calibri" w:hAnsi="Arial" w:cs="Arial"/>
          <w:b/>
          <w:szCs w:val="20"/>
          <w:lang w:val="en-GB"/>
        </w:rPr>
      </w:pPr>
      <w:r w:rsidRPr="00D17B25">
        <w:rPr>
          <w:rFonts w:ascii="Arial" w:eastAsia="Calibri" w:hAnsi="Arial" w:cs="Arial"/>
          <w:b/>
          <w:szCs w:val="20"/>
          <w:lang w:val="en-GB"/>
        </w:rPr>
        <w:t xml:space="preserve"> </w:t>
      </w:r>
    </w:p>
    <w:p w14:paraId="674E5C53" w14:textId="77777777" w:rsidR="00D34E5E" w:rsidRPr="006C0061" w:rsidRDefault="00D34E5E" w:rsidP="00D34E5E">
      <w:pPr>
        <w:rPr>
          <w:rFonts w:ascii="Arial" w:eastAsia="Calibri" w:hAnsi="Arial" w:cs="Arial"/>
          <w:b/>
          <w:sz w:val="24"/>
          <w:szCs w:val="24"/>
          <w:lang w:val="en-GB"/>
        </w:rPr>
      </w:pPr>
      <w:r w:rsidRPr="006C0061">
        <w:rPr>
          <w:rFonts w:ascii="Arial" w:eastAsia="Calibri" w:hAnsi="Arial" w:cs="Arial"/>
          <w:b/>
          <w:sz w:val="24"/>
          <w:szCs w:val="24"/>
          <w:lang w:val="en-GB"/>
        </w:rPr>
        <w:t xml:space="preserve">Facts </w:t>
      </w:r>
    </w:p>
    <w:p w14:paraId="4438C1D5" w14:textId="41462E23" w:rsidR="001D6B4D" w:rsidRPr="006C0061" w:rsidRDefault="00D34E5E" w:rsidP="00A46B9D">
      <w:pPr>
        <w:jc w:val="both"/>
        <w:rPr>
          <w:rFonts w:ascii="Arial" w:eastAsia="Calibri" w:hAnsi="Arial" w:cs="Arial"/>
          <w:szCs w:val="20"/>
          <w:lang w:val="en-GB"/>
        </w:rPr>
      </w:pPr>
      <w:r w:rsidRPr="006C0061">
        <w:rPr>
          <w:rFonts w:ascii="Arial" w:eastAsia="Calibri" w:hAnsi="Arial" w:cs="Arial"/>
          <w:szCs w:val="20"/>
          <w:lang w:val="en-GB"/>
        </w:rPr>
        <w:t xml:space="preserve">The author has </w:t>
      </w:r>
      <w:r w:rsidR="00615A2E">
        <w:rPr>
          <w:rFonts w:ascii="Arial" w:eastAsia="Calibri" w:hAnsi="Arial" w:cs="Arial"/>
          <w:szCs w:val="20"/>
          <w:lang w:val="en-GB"/>
        </w:rPr>
        <w:t>“</w:t>
      </w:r>
      <w:r w:rsidRPr="006C0061">
        <w:rPr>
          <w:rFonts w:ascii="Arial" w:eastAsia="Calibri" w:hAnsi="Arial" w:cs="Arial"/>
          <w:szCs w:val="20"/>
          <w:lang w:val="en-GB"/>
        </w:rPr>
        <w:t>multiple permanent medical disabilities</w:t>
      </w:r>
      <w:r w:rsidR="00615A2E">
        <w:rPr>
          <w:rFonts w:ascii="Arial" w:eastAsia="Calibri" w:hAnsi="Arial" w:cs="Arial"/>
          <w:szCs w:val="20"/>
          <w:lang w:val="en-GB"/>
        </w:rPr>
        <w:t>”</w:t>
      </w:r>
      <w:r w:rsidRPr="006C0061">
        <w:rPr>
          <w:rFonts w:ascii="Arial" w:eastAsia="Calibri" w:hAnsi="Arial" w:cs="Arial"/>
          <w:szCs w:val="20"/>
          <w:lang w:val="en-GB"/>
        </w:rPr>
        <w:t xml:space="preserve"> and chronic conditions, in connection with which he has received modest monthly payments from a permanent disability insurance claim. He is the sole inhabitant of a flat that he co-owns with his brother. Starting in 2008, he has filed annual applications with the City of Cape Town for rebates on the municipal taxes payable over the ownership of the flat under the rates rebate programme for disabled persons and senior citizens. The author states that such rebates are supposed to be made available to persons with disabilities and senior citize</w:t>
      </w:r>
      <w:r w:rsidR="001D6B4D" w:rsidRPr="006C0061">
        <w:rPr>
          <w:rFonts w:ascii="Arial" w:eastAsia="Calibri" w:hAnsi="Arial" w:cs="Arial"/>
          <w:szCs w:val="20"/>
          <w:lang w:val="en-GB"/>
        </w:rPr>
        <w:t>ns with low to moderate incomes.</w:t>
      </w:r>
    </w:p>
    <w:p w14:paraId="5070CE83" w14:textId="77777777" w:rsidR="001D6B4D" w:rsidRPr="006C0061" w:rsidRDefault="00D34E5E" w:rsidP="00A46B9D">
      <w:pPr>
        <w:jc w:val="both"/>
        <w:rPr>
          <w:rFonts w:ascii="Arial" w:eastAsia="Calibri" w:hAnsi="Arial" w:cs="Arial"/>
          <w:szCs w:val="20"/>
          <w:lang w:val="en-GB"/>
        </w:rPr>
      </w:pPr>
      <w:r w:rsidRPr="006C0061">
        <w:rPr>
          <w:rFonts w:ascii="Arial" w:eastAsia="Calibri" w:hAnsi="Arial" w:cs="Arial"/>
          <w:szCs w:val="20"/>
          <w:lang w:val="en-GB"/>
        </w:rPr>
        <w:t>The City of Cape Town denied the author’s applications covering the period 2008–2013 on 22 March 2011 and 23 April 2013, and rejected his appeals on 30 April 2012 and 23 May 201</w:t>
      </w:r>
      <w:r w:rsidR="00A10A81" w:rsidRPr="006C0061">
        <w:rPr>
          <w:rFonts w:ascii="Arial" w:eastAsia="Calibri" w:hAnsi="Arial" w:cs="Arial"/>
          <w:szCs w:val="20"/>
          <w:lang w:val="en-GB"/>
        </w:rPr>
        <w:t xml:space="preserve">3 because </w:t>
      </w:r>
      <w:r w:rsidRPr="006C0061">
        <w:rPr>
          <w:rFonts w:ascii="Arial" w:eastAsia="Calibri" w:hAnsi="Arial" w:cs="Arial"/>
          <w:szCs w:val="20"/>
          <w:lang w:val="en-GB"/>
        </w:rPr>
        <w:t>his income was too high. According to the author, the City had falsely and without any reason classified the insurance payments as income</w:t>
      </w:r>
      <w:r w:rsidR="006C0061" w:rsidRPr="006C0061">
        <w:rPr>
          <w:rFonts w:ascii="Arial" w:eastAsia="Calibri" w:hAnsi="Arial" w:cs="Arial"/>
          <w:szCs w:val="20"/>
          <w:lang w:val="en-GB"/>
        </w:rPr>
        <w:t xml:space="preserve"> and </w:t>
      </w:r>
      <w:r w:rsidR="00A10A81" w:rsidRPr="006C0061">
        <w:rPr>
          <w:rFonts w:ascii="Arial" w:eastAsia="Calibri" w:hAnsi="Arial" w:cs="Arial"/>
          <w:szCs w:val="20"/>
          <w:lang w:val="en-GB"/>
        </w:rPr>
        <w:t>his</w:t>
      </w:r>
      <w:r w:rsidRPr="006C0061">
        <w:rPr>
          <w:rFonts w:ascii="Arial" w:eastAsia="Calibri" w:hAnsi="Arial" w:cs="Arial"/>
          <w:szCs w:val="20"/>
          <w:lang w:val="en-GB"/>
        </w:rPr>
        <w:t xml:space="preserve"> actual income would have rendered him eligible for the full, or almost the full, tax rebate rate. The author claims that he has exhausted all available domestic remedies. He states that his complaints and appeals to the City of Cape Town’s senior echelons – including the Mayor, the Deputy Mayor, the Speaker, the Director of Revenue, the City Manager, the Director of Legal Services, the City Ombudsman and the ward councillors – have either been “brushed aside” or ignored. </w:t>
      </w:r>
      <w:r w:rsidR="00A10A81" w:rsidRPr="006C0061">
        <w:rPr>
          <w:rFonts w:ascii="Arial" w:eastAsia="Calibri" w:hAnsi="Arial" w:cs="Arial"/>
          <w:szCs w:val="20"/>
          <w:lang w:val="en-GB"/>
        </w:rPr>
        <w:t>The author additionally sent complaints to South African Human Rights Commission three departments of the Western Cape provincial government, but not receive a substantive response either.</w:t>
      </w:r>
    </w:p>
    <w:p w14:paraId="12AF5208" w14:textId="77777777" w:rsidR="00950CEE" w:rsidRPr="00A46B9D" w:rsidRDefault="00D34E5E" w:rsidP="00A46B9D">
      <w:pPr>
        <w:jc w:val="both"/>
        <w:rPr>
          <w:rFonts w:ascii="Arial" w:eastAsia="Calibri" w:hAnsi="Arial" w:cs="Arial"/>
          <w:szCs w:val="20"/>
          <w:lang w:val="en-GB"/>
        </w:rPr>
      </w:pPr>
      <w:r w:rsidRPr="006C0061">
        <w:rPr>
          <w:rFonts w:ascii="Arial" w:eastAsia="Calibri" w:hAnsi="Arial" w:cs="Arial"/>
          <w:szCs w:val="20"/>
          <w:lang w:val="en-GB"/>
        </w:rPr>
        <w:t>The author claims that the authorities’ decisions on his tax rebate claims have been unlawful under the State party’s constitution and the City of Cape Town’s Rebates Policy, as well as unreasonable and discriminatory given that others in the same position have received rebates</w:t>
      </w:r>
      <w:r w:rsidR="006C0061" w:rsidRPr="00A46B9D">
        <w:rPr>
          <w:rFonts w:ascii="Arial" w:eastAsia="Calibri" w:hAnsi="Arial" w:cs="Arial"/>
          <w:szCs w:val="20"/>
          <w:lang w:val="en-GB"/>
        </w:rPr>
        <w:t>.</w:t>
      </w:r>
    </w:p>
    <w:p w14:paraId="6AEAB999" w14:textId="77777777" w:rsidR="0041764F" w:rsidRDefault="0041764F" w:rsidP="0041764F">
      <w:pPr>
        <w:rPr>
          <w:rFonts w:ascii="Arial" w:eastAsia="Calibri" w:hAnsi="Arial" w:cs="Arial"/>
          <w:b/>
          <w:sz w:val="24"/>
          <w:szCs w:val="24"/>
          <w:lang w:val="en-GB"/>
        </w:rPr>
      </w:pPr>
      <w:r w:rsidRPr="0041764F">
        <w:rPr>
          <w:rFonts w:ascii="Arial" w:eastAsia="Calibri" w:hAnsi="Arial" w:cs="Arial"/>
          <w:b/>
          <w:sz w:val="24"/>
          <w:szCs w:val="24"/>
          <w:lang w:val="en-GB"/>
        </w:rPr>
        <w:t>Complaint</w:t>
      </w:r>
    </w:p>
    <w:p w14:paraId="49DF015E" w14:textId="77777777" w:rsidR="00B76C3B" w:rsidRDefault="00B76C3B" w:rsidP="0041764F">
      <w:pPr>
        <w:rPr>
          <w:rFonts w:ascii="Arial" w:eastAsia="Calibri" w:hAnsi="Arial" w:cs="Arial"/>
          <w:szCs w:val="20"/>
          <w:lang w:val="en-GB"/>
        </w:rPr>
      </w:pPr>
      <w:r w:rsidRPr="00B76C3B">
        <w:rPr>
          <w:rFonts w:ascii="Arial" w:eastAsia="Calibri" w:hAnsi="Arial" w:cs="Arial"/>
          <w:szCs w:val="20"/>
          <w:u w:val="single"/>
          <w:lang w:val="en-GB"/>
        </w:rPr>
        <w:t>Regarding article 28 (2)</w:t>
      </w:r>
      <w:r w:rsidRPr="00B76C3B">
        <w:rPr>
          <w:rFonts w:ascii="Arial" w:eastAsia="Calibri" w:hAnsi="Arial" w:cs="Arial"/>
          <w:szCs w:val="20"/>
          <w:lang w:val="en-GB"/>
        </w:rPr>
        <w:t>,</w:t>
      </w:r>
      <w:r>
        <w:rPr>
          <w:rFonts w:ascii="Arial" w:eastAsia="Calibri" w:hAnsi="Arial" w:cs="Arial"/>
          <w:szCs w:val="20"/>
          <w:lang w:val="en-GB"/>
        </w:rPr>
        <w:t xml:space="preserve"> the author claims that the City of Cape Town violated</w:t>
      </w:r>
      <w:r w:rsidRPr="00B76C3B">
        <w:rPr>
          <w:rFonts w:ascii="Arial" w:eastAsia="Calibri" w:hAnsi="Arial" w:cs="Arial"/>
          <w:szCs w:val="20"/>
          <w:lang w:val="en-GB"/>
        </w:rPr>
        <w:t xml:space="preserve"> of his right to social protection</w:t>
      </w:r>
      <w:r>
        <w:rPr>
          <w:rFonts w:ascii="Arial" w:eastAsia="Calibri" w:hAnsi="Arial" w:cs="Arial"/>
          <w:szCs w:val="20"/>
          <w:lang w:val="en-GB"/>
        </w:rPr>
        <w:t xml:space="preserve"> </w:t>
      </w:r>
      <w:r w:rsidRPr="00B76C3B">
        <w:rPr>
          <w:rFonts w:ascii="Arial" w:eastAsia="Calibri" w:hAnsi="Arial" w:cs="Arial"/>
          <w:szCs w:val="20"/>
          <w:lang w:val="en-GB"/>
        </w:rPr>
        <w:t xml:space="preserve">when </w:t>
      </w:r>
      <w:r>
        <w:rPr>
          <w:rFonts w:ascii="Arial" w:eastAsia="Calibri" w:hAnsi="Arial" w:cs="Arial"/>
          <w:szCs w:val="20"/>
          <w:lang w:val="en-GB"/>
        </w:rPr>
        <w:t>denied</w:t>
      </w:r>
      <w:r w:rsidRPr="00B76C3B">
        <w:rPr>
          <w:rFonts w:ascii="Arial" w:eastAsia="Calibri" w:hAnsi="Arial" w:cs="Arial"/>
          <w:szCs w:val="20"/>
          <w:lang w:val="en-GB"/>
        </w:rPr>
        <w:t xml:space="preserve"> of social assistance in the form of rebates on property taxes</w:t>
      </w:r>
      <w:r>
        <w:rPr>
          <w:rFonts w:ascii="Arial" w:eastAsia="Calibri" w:hAnsi="Arial" w:cs="Arial"/>
          <w:szCs w:val="20"/>
          <w:lang w:val="en-GB"/>
        </w:rPr>
        <w:t>.</w:t>
      </w:r>
    </w:p>
    <w:p w14:paraId="0B444473" w14:textId="77777777" w:rsidR="00B76C3B" w:rsidRDefault="00B76C3B" w:rsidP="0041764F">
      <w:pPr>
        <w:rPr>
          <w:rFonts w:ascii="Arial" w:eastAsia="Calibri" w:hAnsi="Arial" w:cs="Arial"/>
          <w:szCs w:val="20"/>
          <w:lang w:val="en-GB"/>
        </w:rPr>
      </w:pPr>
      <w:r w:rsidRPr="00B76C3B">
        <w:rPr>
          <w:rFonts w:ascii="Arial" w:eastAsia="Calibri" w:hAnsi="Arial" w:cs="Arial"/>
          <w:szCs w:val="20"/>
          <w:u w:val="single"/>
          <w:lang w:val="en-US"/>
        </w:rPr>
        <w:t xml:space="preserve">Regarding </w:t>
      </w:r>
      <w:r w:rsidRPr="00B76C3B">
        <w:rPr>
          <w:rFonts w:ascii="Arial" w:eastAsia="Calibri" w:hAnsi="Arial" w:cs="Arial"/>
          <w:szCs w:val="20"/>
          <w:u w:val="single"/>
          <w:lang w:val="en-GB"/>
        </w:rPr>
        <w:t>article 28 (1)</w:t>
      </w:r>
      <w:r w:rsidRPr="00B76C3B">
        <w:rPr>
          <w:rFonts w:ascii="Arial" w:eastAsia="Calibri" w:hAnsi="Arial" w:cs="Arial"/>
          <w:szCs w:val="20"/>
          <w:lang w:val="en-GB"/>
        </w:rPr>
        <w:t>,</w:t>
      </w:r>
      <w:r>
        <w:rPr>
          <w:rFonts w:ascii="Arial" w:eastAsia="Calibri" w:hAnsi="Arial" w:cs="Arial"/>
          <w:szCs w:val="20"/>
          <w:lang w:val="en-GB"/>
        </w:rPr>
        <w:t xml:space="preserve"> the author claims, that his</w:t>
      </w:r>
      <w:r w:rsidRPr="00B76C3B">
        <w:rPr>
          <w:rFonts w:ascii="Arial" w:eastAsia="Calibri" w:hAnsi="Arial" w:cs="Arial"/>
          <w:szCs w:val="20"/>
          <w:lang w:val="en-GB"/>
        </w:rPr>
        <w:t xml:space="preserve"> right to an adequate standard of living</w:t>
      </w:r>
      <w:r>
        <w:rPr>
          <w:rFonts w:ascii="Arial" w:eastAsia="Calibri" w:hAnsi="Arial" w:cs="Arial"/>
          <w:szCs w:val="20"/>
          <w:lang w:val="en-GB"/>
        </w:rPr>
        <w:t xml:space="preserve"> was violated since </w:t>
      </w:r>
      <w:r w:rsidRPr="00B76C3B">
        <w:rPr>
          <w:rFonts w:ascii="Arial" w:eastAsia="Calibri" w:hAnsi="Arial" w:cs="Arial"/>
          <w:szCs w:val="20"/>
          <w:lang w:val="en-GB"/>
        </w:rPr>
        <w:t>he was made to pay undue amounts</w:t>
      </w:r>
      <w:r>
        <w:rPr>
          <w:rFonts w:ascii="Arial" w:eastAsia="Calibri" w:hAnsi="Arial" w:cs="Arial"/>
          <w:szCs w:val="20"/>
          <w:lang w:val="en-GB"/>
        </w:rPr>
        <w:t>.</w:t>
      </w:r>
    </w:p>
    <w:p w14:paraId="5502A653" w14:textId="77777777" w:rsidR="009F0C21" w:rsidRDefault="009F0C21" w:rsidP="0041764F">
      <w:pPr>
        <w:rPr>
          <w:rFonts w:ascii="Arial" w:eastAsia="Calibri" w:hAnsi="Arial" w:cs="Arial"/>
          <w:szCs w:val="20"/>
          <w:lang w:val="en-GB"/>
        </w:rPr>
      </w:pPr>
      <w:r w:rsidRPr="009F0C21">
        <w:rPr>
          <w:rFonts w:ascii="Arial" w:eastAsia="Calibri" w:hAnsi="Arial" w:cs="Arial"/>
          <w:szCs w:val="20"/>
          <w:u w:val="single"/>
          <w:lang w:val="en-GB"/>
        </w:rPr>
        <w:lastRenderedPageBreak/>
        <w:t>Regarding article 12 (5),</w:t>
      </w:r>
      <w:r>
        <w:rPr>
          <w:rFonts w:ascii="Arial" w:eastAsia="Calibri" w:hAnsi="Arial" w:cs="Arial"/>
          <w:szCs w:val="20"/>
          <w:lang w:val="en-GB"/>
        </w:rPr>
        <w:t xml:space="preserve"> the author claims that his right to property was deprived.</w:t>
      </w:r>
    </w:p>
    <w:p w14:paraId="61B3A0FB" w14:textId="77777777" w:rsidR="009F0C21" w:rsidRDefault="009F0C21" w:rsidP="0041764F">
      <w:pPr>
        <w:rPr>
          <w:rFonts w:ascii="Arial" w:eastAsia="Calibri" w:hAnsi="Arial" w:cs="Arial"/>
          <w:szCs w:val="20"/>
          <w:lang w:val="en-GB"/>
        </w:rPr>
      </w:pPr>
      <w:r w:rsidRPr="009F0C21">
        <w:rPr>
          <w:rFonts w:ascii="Arial" w:eastAsia="Calibri" w:hAnsi="Arial" w:cs="Arial"/>
          <w:szCs w:val="20"/>
          <w:u w:val="single"/>
          <w:lang w:val="en-GB"/>
        </w:rPr>
        <w:t>Regarding articles 3 (e) and 5 (1)</w:t>
      </w:r>
      <w:r w:rsidRPr="009F0C21">
        <w:rPr>
          <w:rFonts w:ascii="Arial" w:eastAsia="Calibri" w:hAnsi="Arial" w:cs="Arial"/>
          <w:szCs w:val="20"/>
          <w:lang w:val="en-GB"/>
        </w:rPr>
        <w:t>,</w:t>
      </w:r>
      <w:r w:rsidRPr="009F0C21">
        <w:rPr>
          <w:lang w:val="en-US"/>
        </w:rPr>
        <w:t xml:space="preserve"> </w:t>
      </w:r>
      <w:r>
        <w:rPr>
          <w:rFonts w:ascii="Arial" w:eastAsia="Calibri" w:hAnsi="Arial" w:cs="Arial"/>
          <w:szCs w:val="20"/>
          <w:lang w:val="en-US"/>
        </w:rPr>
        <w:t>the author</w:t>
      </w:r>
      <w:r w:rsidRPr="009F0C21">
        <w:rPr>
          <w:rFonts w:ascii="Arial" w:eastAsia="Calibri" w:hAnsi="Arial" w:cs="Arial"/>
          <w:szCs w:val="20"/>
          <w:lang w:val="en-GB"/>
        </w:rPr>
        <w:t xml:space="preserve"> claims violations of his right to equality</w:t>
      </w:r>
      <w:r>
        <w:rPr>
          <w:rFonts w:ascii="Arial" w:eastAsia="Calibri" w:hAnsi="Arial" w:cs="Arial"/>
          <w:szCs w:val="20"/>
          <w:lang w:val="en-GB"/>
        </w:rPr>
        <w:t>.</w:t>
      </w:r>
    </w:p>
    <w:p w14:paraId="4333AD6D" w14:textId="77777777" w:rsidR="00827824" w:rsidRDefault="00827824" w:rsidP="0041764F">
      <w:pPr>
        <w:rPr>
          <w:rFonts w:ascii="Arial" w:eastAsia="Calibri" w:hAnsi="Arial" w:cs="Arial"/>
          <w:szCs w:val="20"/>
          <w:lang w:val="en-GB"/>
        </w:rPr>
      </w:pPr>
      <w:r w:rsidRPr="00827824">
        <w:rPr>
          <w:rFonts w:ascii="Arial" w:eastAsia="Calibri" w:hAnsi="Arial" w:cs="Arial"/>
          <w:szCs w:val="20"/>
          <w:u w:val="single"/>
          <w:lang w:val="en-GB"/>
        </w:rPr>
        <w:t>Regarding article 15 (2),</w:t>
      </w:r>
      <w:r>
        <w:rPr>
          <w:rFonts w:ascii="Arial" w:eastAsia="Calibri" w:hAnsi="Arial" w:cs="Arial"/>
          <w:szCs w:val="20"/>
          <w:lang w:val="en-GB"/>
        </w:rPr>
        <w:t xml:space="preserve"> the author claims </w:t>
      </w:r>
      <w:r w:rsidRPr="00827824">
        <w:rPr>
          <w:rFonts w:ascii="Arial" w:eastAsia="Calibri" w:hAnsi="Arial" w:cs="Arial"/>
          <w:szCs w:val="20"/>
          <w:lang w:val="en-GB"/>
        </w:rPr>
        <w:t>violations</w:t>
      </w:r>
      <w:r w:rsidRPr="00827824">
        <w:rPr>
          <w:lang w:val="en-US"/>
        </w:rPr>
        <w:t xml:space="preserve"> </w:t>
      </w:r>
      <w:r w:rsidRPr="00827824">
        <w:rPr>
          <w:rFonts w:ascii="Arial" w:eastAsia="Calibri" w:hAnsi="Arial" w:cs="Arial"/>
          <w:szCs w:val="20"/>
          <w:lang w:val="en-GB"/>
        </w:rPr>
        <w:t>of his right to freedom from degrading treatment</w:t>
      </w:r>
      <w:r>
        <w:rPr>
          <w:rFonts w:ascii="Arial" w:eastAsia="Calibri" w:hAnsi="Arial" w:cs="Arial"/>
          <w:szCs w:val="20"/>
          <w:lang w:val="en-GB"/>
        </w:rPr>
        <w:t xml:space="preserve">. </w:t>
      </w:r>
    </w:p>
    <w:p w14:paraId="30910C2F" w14:textId="77777777" w:rsidR="009F0C21" w:rsidRDefault="00827824" w:rsidP="0041764F">
      <w:pPr>
        <w:rPr>
          <w:rFonts w:ascii="Arial" w:eastAsia="Calibri" w:hAnsi="Arial" w:cs="Arial"/>
          <w:szCs w:val="20"/>
          <w:lang w:val="en-GB"/>
        </w:rPr>
      </w:pPr>
      <w:r w:rsidRPr="00827824">
        <w:rPr>
          <w:rFonts w:ascii="Arial" w:eastAsia="Calibri" w:hAnsi="Arial" w:cs="Arial"/>
          <w:szCs w:val="20"/>
          <w:u w:val="single"/>
          <w:lang w:val="en-GB"/>
        </w:rPr>
        <w:t>Regarding article 17,</w:t>
      </w:r>
      <w:r w:rsidR="00A12F80">
        <w:rPr>
          <w:rFonts w:ascii="Arial" w:eastAsia="Calibri" w:hAnsi="Arial" w:cs="Arial"/>
          <w:szCs w:val="20"/>
          <w:u w:val="single"/>
          <w:lang w:val="en-GB"/>
        </w:rPr>
        <w:t xml:space="preserve"> </w:t>
      </w:r>
      <w:r w:rsidR="00A12F80">
        <w:rPr>
          <w:rFonts w:ascii="Arial" w:eastAsia="Calibri" w:hAnsi="Arial" w:cs="Arial"/>
          <w:szCs w:val="20"/>
          <w:lang w:val="en-GB"/>
        </w:rPr>
        <w:t xml:space="preserve">the author claims </w:t>
      </w:r>
      <w:r w:rsidR="00A12F80" w:rsidRPr="00A12F80">
        <w:rPr>
          <w:rFonts w:ascii="Arial" w:eastAsia="Calibri" w:hAnsi="Arial" w:cs="Arial"/>
          <w:szCs w:val="20"/>
          <w:lang w:val="en-GB"/>
        </w:rPr>
        <w:t xml:space="preserve">the stress </w:t>
      </w:r>
      <w:r w:rsidR="00A12F80">
        <w:rPr>
          <w:rFonts w:ascii="Arial" w:eastAsia="Calibri" w:hAnsi="Arial" w:cs="Arial"/>
          <w:szCs w:val="20"/>
          <w:lang w:val="en-GB"/>
        </w:rPr>
        <w:t>has</w:t>
      </w:r>
      <w:r w:rsidR="00A12F80" w:rsidRPr="00A12F80">
        <w:rPr>
          <w:rFonts w:ascii="Arial" w:eastAsia="Calibri" w:hAnsi="Arial" w:cs="Arial"/>
          <w:szCs w:val="20"/>
          <w:lang w:val="en-GB"/>
        </w:rPr>
        <w:t xml:space="preserve"> had a foreseeable negative impact on his mental and physical integrity and have significantly increased his early mortality risk.</w:t>
      </w:r>
    </w:p>
    <w:p w14:paraId="478D3BE5" w14:textId="77777777" w:rsidR="00A12F80" w:rsidRPr="00A46B9D" w:rsidRDefault="00A12F80" w:rsidP="00A46B9D">
      <w:pPr>
        <w:jc w:val="both"/>
        <w:rPr>
          <w:rFonts w:ascii="Arial" w:eastAsia="Calibri" w:hAnsi="Arial" w:cs="Arial"/>
          <w:szCs w:val="20"/>
          <w:lang w:val="en-GB"/>
        </w:rPr>
      </w:pPr>
      <w:r w:rsidRPr="00A46B9D">
        <w:rPr>
          <w:rFonts w:ascii="Arial" w:eastAsia="Calibri" w:hAnsi="Arial" w:cs="Arial"/>
          <w:szCs w:val="20"/>
          <w:u w:val="single"/>
          <w:lang w:val="en-GB"/>
        </w:rPr>
        <w:t>Regarding articles 8 (1) (b) and 13 (1)</w:t>
      </w:r>
      <w:r>
        <w:rPr>
          <w:rFonts w:ascii="Arial" w:eastAsia="Calibri" w:hAnsi="Arial" w:cs="Arial"/>
          <w:szCs w:val="20"/>
          <w:lang w:val="en-GB"/>
        </w:rPr>
        <w:t xml:space="preserve">, </w:t>
      </w:r>
      <w:r w:rsidR="00310579">
        <w:rPr>
          <w:rFonts w:ascii="Arial" w:eastAsia="Calibri" w:hAnsi="Arial" w:cs="Arial"/>
          <w:szCs w:val="20"/>
          <w:lang w:val="en-GB"/>
        </w:rPr>
        <w:t xml:space="preserve">the author claims violations of </w:t>
      </w:r>
      <w:r w:rsidR="00310579" w:rsidRPr="00310579">
        <w:rPr>
          <w:rFonts w:ascii="Arial" w:eastAsia="Calibri" w:hAnsi="Arial" w:cs="Arial"/>
          <w:szCs w:val="20"/>
          <w:lang w:val="en-GB"/>
        </w:rPr>
        <w:t>his right to access to justice</w:t>
      </w:r>
      <w:r w:rsidR="00310579">
        <w:rPr>
          <w:rFonts w:ascii="Arial" w:eastAsia="Calibri" w:hAnsi="Arial" w:cs="Arial"/>
          <w:szCs w:val="20"/>
          <w:lang w:val="en-GB"/>
        </w:rPr>
        <w:t xml:space="preserve">, since the </w:t>
      </w:r>
      <w:r w:rsidR="00310579" w:rsidRPr="00310579">
        <w:rPr>
          <w:rFonts w:ascii="Arial" w:eastAsia="Calibri" w:hAnsi="Arial" w:cs="Arial"/>
          <w:szCs w:val="20"/>
          <w:lang w:val="en-GB"/>
        </w:rPr>
        <w:t>City of Cape Town and</w:t>
      </w:r>
      <w:r w:rsidR="00310579">
        <w:rPr>
          <w:rFonts w:ascii="Arial" w:eastAsia="Calibri" w:hAnsi="Arial" w:cs="Arial"/>
          <w:szCs w:val="20"/>
          <w:lang w:val="en-GB"/>
        </w:rPr>
        <w:t xml:space="preserve"> other organs of the State failed to </w:t>
      </w:r>
      <w:r w:rsidR="00310579" w:rsidRPr="00310579">
        <w:rPr>
          <w:rFonts w:ascii="Arial" w:eastAsia="Calibri" w:hAnsi="Arial" w:cs="Arial"/>
          <w:szCs w:val="20"/>
          <w:lang w:val="en-GB"/>
        </w:rPr>
        <w:t>properly act on his complaint with f</w:t>
      </w:r>
      <w:r w:rsidR="00310579">
        <w:rPr>
          <w:rFonts w:ascii="Arial" w:eastAsia="Calibri" w:hAnsi="Arial" w:cs="Arial"/>
          <w:szCs w:val="20"/>
          <w:lang w:val="en-GB"/>
        </w:rPr>
        <w:t>airness.</w:t>
      </w:r>
      <w:r w:rsidR="00310579" w:rsidRPr="00A46B9D">
        <w:rPr>
          <w:rFonts w:ascii="Arial" w:eastAsia="Calibri" w:hAnsi="Arial" w:cs="Arial"/>
          <w:szCs w:val="20"/>
          <w:lang w:val="en-GB"/>
        </w:rPr>
        <w:t xml:space="preserve"> </w:t>
      </w:r>
      <w:r w:rsidR="00310579">
        <w:rPr>
          <w:rFonts w:ascii="Arial" w:eastAsia="Calibri" w:hAnsi="Arial" w:cs="Arial"/>
          <w:szCs w:val="20"/>
          <w:lang w:val="en-GB"/>
        </w:rPr>
        <w:t>He adds</w:t>
      </w:r>
      <w:r w:rsidR="00310579" w:rsidRPr="00310579">
        <w:rPr>
          <w:rFonts w:ascii="Arial" w:eastAsia="Calibri" w:hAnsi="Arial" w:cs="Arial"/>
          <w:szCs w:val="20"/>
          <w:lang w:val="en-GB"/>
        </w:rPr>
        <w:t xml:space="preserve"> that the City of Cape Town’s Revenue Department, failed to advise him of his right to appeal and that, during the appeal, he was not advised of his rights and was not allowed to make any submissions or provide further information.</w:t>
      </w:r>
    </w:p>
    <w:p w14:paraId="103F8B59" w14:textId="77777777" w:rsidR="00654792" w:rsidRPr="00654792" w:rsidRDefault="00654792" w:rsidP="00654792">
      <w:pPr>
        <w:rPr>
          <w:rFonts w:ascii="Arial" w:eastAsia="Calibri" w:hAnsi="Arial" w:cs="Arial"/>
          <w:b/>
          <w:sz w:val="24"/>
          <w:szCs w:val="24"/>
          <w:lang w:val="en-GB"/>
        </w:rPr>
      </w:pPr>
      <w:r w:rsidRPr="00654792">
        <w:rPr>
          <w:rFonts w:ascii="Arial" w:eastAsia="Calibri" w:hAnsi="Arial" w:cs="Arial"/>
          <w:b/>
          <w:sz w:val="24"/>
          <w:szCs w:val="24"/>
          <w:lang w:val="en-GB"/>
        </w:rPr>
        <w:t>Additional submissions from the author</w:t>
      </w:r>
    </w:p>
    <w:p w14:paraId="70D18FEC" w14:textId="0AE7E3CF" w:rsidR="0041764F" w:rsidRPr="00D63A28" w:rsidRDefault="00D63A28" w:rsidP="00A46B9D">
      <w:pPr>
        <w:jc w:val="both"/>
        <w:rPr>
          <w:rFonts w:ascii="Arial" w:eastAsia="Calibri" w:hAnsi="Arial" w:cs="Arial"/>
          <w:szCs w:val="20"/>
          <w:lang w:val="en-GB"/>
        </w:rPr>
      </w:pPr>
      <w:r w:rsidRPr="00D63A28">
        <w:rPr>
          <w:rFonts w:ascii="Arial" w:eastAsia="Calibri" w:hAnsi="Arial" w:cs="Arial"/>
          <w:szCs w:val="20"/>
          <w:lang w:val="en-GB"/>
        </w:rPr>
        <w:t xml:space="preserve">In </w:t>
      </w:r>
      <w:r w:rsidR="00654792" w:rsidRPr="00D63A28">
        <w:rPr>
          <w:rFonts w:ascii="Arial" w:eastAsia="Calibri" w:hAnsi="Arial" w:cs="Arial"/>
          <w:szCs w:val="20"/>
          <w:lang w:val="en-GB"/>
        </w:rPr>
        <w:t>2017, the author provided further submissions, reiterating that he has exhausted all available domestic remedies. He states that he has done so over the course of almost four years and that it would be unreasonable to expect him to wait longer, given that the remedies engaged had proven in</w:t>
      </w:r>
      <w:r w:rsidRPr="00D63A28">
        <w:rPr>
          <w:rFonts w:ascii="Arial" w:eastAsia="Calibri" w:hAnsi="Arial" w:cs="Arial"/>
          <w:szCs w:val="20"/>
          <w:lang w:val="en-GB"/>
        </w:rPr>
        <w:t>effective. T</w:t>
      </w:r>
      <w:r w:rsidR="00654792" w:rsidRPr="00D63A28">
        <w:rPr>
          <w:rFonts w:ascii="Arial" w:eastAsia="Calibri" w:hAnsi="Arial" w:cs="Arial"/>
          <w:szCs w:val="20"/>
          <w:lang w:val="en-GB"/>
        </w:rPr>
        <w:t xml:space="preserve">he author adds that he lacks the health required to undergo the stress of a court application, as well as the necessary financial resources, and that he has therefore addressed other authorities for remedies. </w:t>
      </w:r>
      <w:r w:rsidR="00615A2E">
        <w:rPr>
          <w:rFonts w:ascii="Arial" w:eastAsia="Calibri" w:hAnsi="Arial" w:cs="Arial"/>
          <w:szCs w:val="20"/>
          <w:lang w:val="en-GB"/>
        </w:rPr>
        <w:t>Further submissions sent i</w:t>
      </w:r>
      <w:r w:rsidRPr="00D63A28">
        <w:rPr>
          <w:rFonts w:ascii="Arial" w:eastAsia="Calibri" w:hAnsi="Arial" w:cs="Arial"/>
          <w:szCs w:val="20"/>
          <w:lang w:val="en-GB"/>
        </w:rPr>
        <w:t>n 2019</w:t>
      </w:r>
      <w:r w:rsidR="00615A2E">
        <w:rPr>
          <w:rFonts w:ascii="Arial" w:eastAsia="Calibri" w:hAnsi="Arial" w:cs="Arial"/>
          <w:szCs w:val="20"/>
          <w:lang w:val="en-GB"/>
        </w:rPr>
        <w:t xml:space="preserve"> to</w:t>
      </w:r>
      <w:r w:rsidRPr="00D63A28">
        <w:rPr>
          <w:rFonts w:ascii="Arial" w:eastAsia="Calibri" w:hAnsi="Arial" w:cs="Arial"/>
          <w:szCs w:val="20"/>
          <w:lang w:val="en-GB"/>
        </w:rPr>
        <w:t xml:space="preserve"> </w:t>
      </w:r>
      <w:r w:rsidR="00654792" w:rsidRPr="00D63A28">
        <w:rPr>
          <w:rFonts w:ascii="Arial" w:eastAsia="Calibri" w:hAnsi="Arial" w:cs="Arial"/>
          <w:szCs w:val="20"/>
          <w:lang w:val="en-GB"/>
        </w:rPr>
        <w:t>various departments in the City of Cape Town and other authorities continued to be either ignored or not re</w:t>
      </w:r>
      <w:r w:rsidRPr="00D63A28">
        <w:rPr>
          <w:rFonts w:ascii="Arial" w:eastAsia="Calibri" w:hAnsi="Arial" w:cs="Arial"/>
          <w:szCs w:val="20"/>
          <w:lang w:val="en-GB"/>
        </w:rPr>
        <w:t xml:space="preserve">sponded to substantively. In </w:t>
      </w:r>
      <w:r w:rsidR="00654792" w:rsidRPr="00D63A28">
        <w:rPr>
          <w:rFonts w:ascii="Arial" w:eastAsia="Calibri" w:hAnsi="Arial" w:cs="Arial"/>
          <w:szCs w:val="20"/>
          <w:lang w:val="en-GB"/>
        </w:rPr>
        <w:t xml:space="preserve">2020, the author communicated that the City of Cape Town had still not provided him with the rebates requested and that it continued to fail to respond. </w:t>
      </w:r>
    </w:p>
    <w:p w14:paraId="328B5296" w14:textId="77777777" w:rsidR="00065E7D" w:rsidRPr="00065E7D" w:rsidRDefault="00065E7D" w:rsidP="00065E7D">
      <w:pPr>
        <w:rPr>
          <w:rFonts w:ascii="Arial" w:eastAsia="Calibri" w:hAnsi="Arial" w:cs="Arial"/>
          <w:b/>
          <w:sz w:val="24"/>
          <w:szCs w:val="24"/>
          <w:lang w:val="en-GB"/>
        </w:rPr>
      </w:pPr>
      <w:r w:rsidRPr="00065E7D">
        <w:rPr>
          <w:rFonts w:ascii="Arial" w:eastAsia="Calibri" w:hAnsi="Arial" w:cs="Arial"/>
          <w:b/>
          <w:sz w:val="24"/>
          <w:szCs w:val="24"/>
          <w:lang w:val="en-GB"/>
        </w:rPr>
        <w:t>Committee’s consideration of admissibility</w:t>
      </w:r>
    </w:p>
    <w:p w14:paraId="25EC1617" w14:textId="77777777" w:rsidR="0041764F" w:rsidRPr="00065E7D" w:rsidRDefault="00065E7D" w:rsidP="00A46B9D">
      <w:pPr>
        <w:jc w:val="both"/>
        <w:rPr>
          <w:rFonts w:ascii="Arial" w:eastAsia="Calibri" w:hAnsi="Arial" w:cs="Arial"/>
          <w:szCs w:val="20"/>
          <w:lang w:val="en-GB"/>
        </w:rPr>
      </w:pPr>
      <w:r w:rsidRPr="00065E7D">
        <w:rPr>
          <w:rFonts w:ascii="Arial" w:eastAsia="Calibri" w:hAnsi="Arial" w:cs="Arial"/>
          <w:szCs w:val="20"/>
          <w:lang w:val="en-GB"/>
        </w:rPr>
        <w:t>The Committee considers that the author has not effectively shown that bringing a complaint to the South African courts would objectively have no prospect of success. The Committee notes that the author’s comment that legal aid fees are steep is of a general nature. The author has not explained whether he undertook any efforts to obtain access to low-cost or free legal aid for the purpose of a court application, or whether there were any circumstances rendering it unreasonable for him to undertake such efforts. Further, the author has provided no substantiation demonstrating that his health situation inhibits him from submitting a claim to the South African courts, including through a lawyer. In the circumstances, the Committee finds that it is precluded from considering the communication under article 2 (d) of the Optional Protocol.</w:t>
      </w:r>
    </w:p>
    <w:p w14:paraId="6D1842C6" w14:textId="77777777" w:rsidR="001C66A0" w:rsidRPr="006C0061" w:rsidRDefault="001C66A0" w:rsidP="006C0061">
      <w:pPr>
        <w:rPr>
          <w:rFonts w:ascii="Arial" w:eastAsia="Calibri" w:hAnsi="Arial" w:cs="Arial"/>
          <w:b/>
          <w:sz w:val="24"/>
          <w:szCs w:val="24"/>
          <w:lang w:val="en-GB"/>
        </w:rPr>
      </w:pPr>
      <w:r w:rsidRPr="006C0061">
        <w:rPr>
          <w:rFonts w:ascii="Arial" w:eastAsia="Calibri" w:hAnsi="Arial" w:cs="Arial"/>
          <w:b/>
          <w:sz w:val="24"/>
          <w:szCs w:val="24"/>
          <w:lang w:val="en-GB"/>
        </w:rPr>
        <w:t xml:space="preserve">Conclusion </w:t>
      </w:r>
    </w:p>
    <w:p w14:paraId="56C69EA3" w14:textId="77777777" w:rsidR="001C66A0" w:rsidRPr="006C0061" w:rsidRDefault="009849C4" w:rsidP="006C0061">
      <w:pPr>
        <w:rPr>
          <w:rFonts w:ascii="Arial" w:eastAsia="Calibri" w:hAnsi="Arial" w:cs="Arial"/>
          <w:szCs w:val="20"/>
          <w:lang w:val="en-GB"/>
        </w:rPr>
      </w:pPr>
      <w:r w:rsidRPr="006C0061">
        <w:rPr>
          <w:rFonts w:ascii="Arial" w:eastAsia="Calibri" w:hAnsi="Arial" w:cs="Arial"/>
          <w:szCs w:val="20"/>
          <w:lang w:val="en-GB"/>
        </w:rPr>
        <w:t>The</w:t>
      </w:r>
      <w:r w:rsidR="001C66A0" w:rsidRPr="006C0061">
        <w:rPr>
          <w:rFonts w:ascii="Arial" w:eastAsia="Calibri" w:hAnsi="Arial" w:cs="Arial"/>
          <w:szCs w:val="20"/>
          <w:lang w:val="en-GB"/>
        </w:rPr>
        <w:t xml:space="preserve"> communication is inadmissible under article</w:t>
      </w:r>
      <w:r w:rsidR="001D6B4D" w:rsidRPr="006C0061">
        <w:rPr>
          <w:rFonts w:ascii="Arial" w:eastAsia="Calibri" w:hAnsi="Arial" w:cs="Arial"/>
          <w:szCs w:val="20"/>
          <w:lang w:val="en-GB"/>
        </w:rPr>
        <w:t xml:space="preserve"> 2 (d) of the Optional Protocol. </w:t>
      </w:r>
    </w:p>
    <w:p w14:paraId="1CC0C509" w14:textId="77777777" w:rsidR="001C66A0" w:rsidRPr="001C66A0" w:rsidRDefault="001C66A0" w:rsidP="00D34E5E">
      <w:pPr>
        <w:rPr>
          <w:lang w:val="en-US"/>
        </w:rPr>
      </w:pPr>
    </w:p>
    <w:sectPr w:rsidR="001C66A0" w:rsidRPr="001C66A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76AA8" w14:textId="77777777" w:rsidR="007A5AB0" w:rsidRDefault="007A5AB0" w:rsidP="009B73D8">
      <w:pPr>
        <w:spacing w:after="0" w:line="240" w:lineRule="auto"/>
      </w:pPr>
      <w:r>
        <w:separator/>
      </w:r>
    </w:p>
  </w:endnote>
  <w:endnote w:type="continuationSeparator" w:id="0">
    <w:p w14:paraId="7BE78CF6" w14:textId="77777777" w:rsidR="007A5AB0" w:rsidRDefault="007A5AB0" w:rsidP="009B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554CA" w14:textId="77777777" w:rsidR="007A5AB0" w:rsidRDefault="007A5AB0" w:rsidP="009B73D8">
      <w:pPr>
        <w:spacing w:after="0" w:line="240" w:lineRule="auto"/>
      </w:pPr>
      <w:r>
        <w:separator/>
      </w:r>
    </w:p>
  </w:footnote>
  <w:footnote w:type="continuationSeparator" w:id="0">
    <w:p w14:paraId="0320E250" w14:textId="77777777" w:rsidR="007A5AB0" w:rsidRDefault="007A5AB0" w:rsidP="009B73D8">
      <w:pPr>
        <w:spacing w:after="0" w:line="240" w:lineRule="auto"/>
      </w:pPr>
      <w:r>
        <w:continuationSeparator/>
      </w:r>
    </w:p>
  </w:footnote>
  <w:footnote w:id="1">
    <w:p w14:paraId="4E6DD18B" w14:textId="77777777" w:rsidR="009B73D8" w:rsidRPr="00575A24" w:rsidRDefault="009B73D8" w:rsidP="009B73D8">
      <w:pPr>
        <w:spacing w:after="0"/>
        <w:jc w:val="both"/>
        <w:rPr>
          <w:rFonts w:ascii="Arial" w:hAnsi="Arial" w:cs="Arial"/>
          <w:sz w:val="18"/>
          <w:szCs w:val="18"/>
          <w:lang w:val="en-GB"/>
        </w:rPr>
      </w:pPr>
      <w:r w:rsidRPr="000E3E18">
        <w:rPr>
          <w:rStyle w:val="FootnoteReference"/>
          <w:rFonts w:ascii="Arial" w:hAnsi="Arial"/>
          <w:sz w:val="16"/>
          <w:szCs w:val="16"/>
        </w:rPr>
        <w:footnoteRef/>
      </w:r>
      <w:r w:rsidRPr="000E3E18">
        <w:rPr>
          <w:rFonts w:ascii="Arial" w:hAnsi="Arial"/>
          <w:sz w:val="16"/>
          <w:szCs w:val="16"/>
          <w:lang w:val="en-US"/>
        </w:rPr>
        <w:t xml:space="preserve"> </w:t>
      </w:r>
      <w:r w:rsidRPr="000E3E18">
        <w:rPr>
          <w:rFonts w:ascii="Arial" w:hAnsi="Arial" w:cs="Arial"/>
          <w:sz w:val="16"/>
          <w:szCs w:val="16"/>
          <w:lang w:val="en-GB"/>
        </w:rPr>
        <w:t>T</w:t>
      </w:r>
      <w:r w:rsidRPr="00FD4FA3">
        <w:rPr>
          <w:rFonts w:ascii="Arial" w:hAnsi="Arial" w:cs="Arial"/>
          <w:sz w:val="16"/>
          <w:szCs w:val="16"/>
          <w:lang w:val="en-GB"/>
        </w:rPr>
        <w:t xml:space="preserve">his summary has been prepared by the International Disability Alliance. For more information on how to lodge individual communications under the Optional Protocol to the CRPD, visit </w:t>
      </w:r>
      <w:hyperlink r:id="rId1" w:history="1">
        <w:r w:rsidRPr="00FD4FA3">
          <w:rPr>
            <w:rStyle w:val="Hyperlink"/>
            <w:rFonts w:ascii="Arial" w:hAnsi="Arial" w:cs="Arial"/>
            <w:sz w:val="16"/>
            <w:szCs w:val="16"/>
            <w:lang w:val="en-GB"/>
          </w:rPr>
          <w:t xml:space="preserve">IDA’s disability rights litigation website. </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71"/>
    <w:rsid w:val="00065E7D"/>
    <w:rsid w:val="001C66A0"/>
    <w:rsid w:val="001D6B4D"/>
    <w:rsid w:val="00255931"/>
    <w:rsid w:val="00267492"/>
    <w:rsid w:val="00310579"/>
    <w:rsid w:val="0041764F"/>
    <w:rsid w:val="00496D71"/>
    <w:rsid w:val="004B782A"/>
    <w:rsid w:val="005129AA"/>
    <w:rsid w:val="005467D3"/>
    <w:rsid w:val="00615A2E"/>
    <w:rsid w:val="00654792"/>
    <w:rsid w:val="006A4884"/>
    <w:rsid w:val="006C0061"/>
    <w:rsid w:val="00756154"/>
    <w:rsid w:val="00773AB9"/>
    <w:rsid w:val="007A5AB0"/>
    <w:rsid w:val="00827824"/>
    <w:rsid w:val="008B30ED"/>
    <w:rsid w:val="008D5C85"/>
    <w:rsid w:val="00950CEE"/>
    <w:rsid w:val="009849C4"/>
    <w:rsid w:val="009B73D8"/>
    <w:rsid w:val="009F0C21"/>
    <w:rsid w:val="00A10A81"/>
    <w:rsid w:val="00A12F80"/>
    <w:rsid w:val="00A46B9D"/>
    <w:rsid w:val="00AE729C"/>
    <w:rsid w:val="00B76C3B"/>
    <w:rsid w:val="00D16A2C"/>
    <w:rsid w:val="00D34E5E"/>
    <w:rsid w:val="00D63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53FC"/>
  <w15:chartTrackingRefBased/>
  <w15:docId w15:val="{54AB2527-20BA-4BB6-BB71-75ECE73C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B73D8"/>
    <w:rPr>
      <w:color w:val="0000FF"/>
      <w:u w:val="single"/>
    </w:rPr>
  </w:style>
  <w:style w:type="character" w:styleId="FootnoteReference">
    <w:name w:val="footnote reference"/>
    <w:aliases w:val="4_G,Footnote number"/>
    <w:uiPriority w:val="99"/>
    <w:rsid w:val="009B73D8"/>
    <w:rPr>
      <w:rFonts w:ascii="Times New Roman" w:hAnsi="Times New Roman"/>
      <w:sz w:val="18"/>
      <w:vertAlign w:val="superscript"/>
    </w:rPr>
  </w:style>
  <w:style w:type="paragraph" w:customStyle="1" w:styleId="H1G">
    <w:name w:val="_ H_1_G"/>
    <w:basedOn w:val="Normal"/>
    <w:next w:val="Normal"/>
    <w:rsid w:val="001C66A0"/>
    <w:pPr>
      <w:keepNext/>
      <w:keepLines/>
      <w:tabs>
        <w:tab w:val="right" w:pos="851"/>
      </w:tabs>
      <w:suppressAutoHyphens/>
      <w:spacing w:before="360" w:after="240" w:line="270" w:lineRule="exact"/>
      <w:ind w:left="1134" w:right="1134" w:hanging="1134"/>
      <w:outlineLvl w:val="2"/>
    </w:pPr>
    <w:rPr>
      <w:rFonts w:ascii="Times New Roman" w:eastAsia="SimSun" w:hAnsi="Times New Roman" w:cs="Times New Roman"/>
      <w:b/>
      <w:sz w:val="24"/>
      <w:szCs w:val="20"/>
      <w:lang w:val="en-GB" w:eastAsia="zh-CN"/>
    </w:rPr>
  </w:style>
  <w:style w:type="character" w:customStyle="1" w:styleId="SingleTxtGChar">
    <w:name w:val="_ Single Txt_G Char"/>
    <w:basedOn w:val="DefaultParagraphFont"/>
    <w:link w:val="SingleTxtG"/>
    <w:locked/>
    <w:rsid w:val="001C66A0"/>
    <w:rPr>
      <w:rFonts w:ascii="Times New Roman" w:hAnsi="Times New Roman" w:cs="Times New Roman"/>
      <w:sz w:val="20"/>
      <w:szCs w:val="20"/>
    </w:rPr>
  </w:style>
  <w:style w:type="paragraph" w:customStyle="1" w:styleId="SingleTxtG">
    <w:name w:val="_ Single Txt_G"/>
    <w:basedOn w:val="Normal"/>
    <w:link w:val="SingleTxtGChar"/>
    <w:rsid w:val="001C66A0"/>
    <w:pPr>
      <w:suppressAutoHyphens/>
      <w:spacing w:after="120" w:line="240" w:lineRule="atLeast"/>
      <w:ind w:left="1134" w:right="1134"/>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92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chr.org/EN/HRBodies/CRPD/Pages/ConventionRightsPersonsWithDisabilities.aspx" TargetMode="External"/><Relationship Id="rId13" Type="http://schemas.openxmlformats.org/officeDocument/2006/relationships/hyperlink" Target="https://ohchr.org/EN/HRBodies/CRPD/Pages/OptionalProtocolRightsPersonsWithDisabilities.aspx" TargetMode="External"/><Relationship Id="rId18" Type="http://schemas.openxmlformats.org/officeDocument/2006/relationships/hyperlink" Target="https://undocs.org/ru/CRPD/C/23/D/73/2019"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ohchr.org/EN/HRBodies/CRPD/Pages/ConventionRightsPersonsWithDisabilities.aspx" TargetMode="External"/><Relationship Id="rId12" Type="http://schemas.openxmlformats.org/officeDocument/2006/relationships/hyperlink" Target="https://ohchr.org/EN/HRBodies/CRPD/Pages/OptionalProtocolRightsPersonsWithDisabilities.aspx" TargetMode="External"/><Relationship Id="rId17" Type="http://schemas.openxmlformats.org/officeDocument/2006/relationships/hyperlink" Target="https://undocs.org/fr/CRPD/C/23/D/73/2019" TargetMode="External"/><Relationship Id="rId2" Type="http://schemas.openxmlformats.org/officeDocument/2006/relationships/settings" Target="settings.xml"/><Relationship Id="rId16" Type="http://schemas.openxmlformats.org/officeDocument/2006/relationships/hyperlink" Target="https://undocs.org/en/CRPD/C/23/D/73/2019"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ndocs.org/CRPD/C/23/D/73/2019" TargetMode="External"/><Relationship Id="rId11" Type="http://schemas.openxmlformats.org/officeDocument/2006/relationships/hyperlink" Target="https://ohchr.org/EN/HRBodies/CRPD/Pages/ConventionRightsPersonsWithDisabilities.aspx" TargetMode="External"/><Relationship Id="rId5" Type="http://schemas.openxmlformats.org/officeDocument/2006/relationships/endnotes" Target="endnotes.xml"/><Relationship Id="rId15" Type="http://schemas.openxmlformats.org/officeDocument/2006/relationships/hyperlink" Target="https://undocs.org/zh/CRPD/C/23/D/73/2019" TargetMode="External"/><Relationship Id="rId10" Type="http://schemas.openxmlformats.org/officeDocument/2006/relationships/hyperlink" Target="https://ohchr.org/EN/HRBodies/CRPD/Pages/ConventionRightsPersonsWithDisabilities.aspx" TargetMode="External"/><Relationship Id="rId19" Type="http://schemas.openxmlformats.org/officeDocument/2006/relationships/hyperlink" Target="https://undocs.org/es/CRPD/C/23/D/73/2019" TargetMode="External"/><Relationship Id="rId4" Type="http://schemas.openxmlformats.org/officeDocument/2006/relationships/footnotes" Target="footnotes.xml"/><Relationship Id="rId9" Type="http://schemas.openxmlformats.org/officeDocument/2006/relationships/hyperlink" Target="https://ohchr.org/EN/HRBodies/CRPD/Pages/ConventionRightsPersonsWithDisabilities.aspx" TargetMode="External"/><Relationship Id="rId14" Type="http://schemas.openxmlformats.org/officeDocument/2006/relationships/hyperlink" Target="https://undocs.org/ar/CRPD/C/23/D/73/201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nternationaldisabilityalliance.org/es/node/1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1038</Words>
  <Characters>5920</Characters>
  <Application>Microsoft Office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IDA-JIPB</cp:lastModifiedBy>
  <cp:revision>31</cp:revision>
  <dcterms:created xsi:type="dcterms:W3CDTF">2021-01-25T09:40:00Z</dcterms:created>
  <dcterms:modified xsi:type="dcterms:W3CDTF">2021-05-05T09:15:00Z</dcterms:modified>
</cp:coreProperties>
</file>