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8A193" w14:textId="77777777" w:rsidR="00143C8E" w:rsidRDefault="00143C8E" w:rsidP="00E27D8B">
      <w:pPr>
        <w:jc w:val="center"/>
      </w:pPr>
      <w:bookmarkStart w:id="0" w:name="_GoBack"/>
      <w:bookmarkEnd w:id="0"/>
      <w:r w:rsidRPr="00143C8E">
        <w:rPr>
          <w:noProof/>
          <w:lang w:val="en-GB" w:eastAsia="en-GB"/>
        </w:rPr>
        <w:drawing>
          <wp:inline distT="0" distB="0" distL="0" distR="0" wp14:anchorId="353BE323" wp14:editId="55857315">
            <wp:extent cx="2378964" cy="1482852"/>
            <wp:effectExtent l="19050" t="0" r="2286" b="0"/>
            <wp:docPr id="2" name="Picture 0" descr="TCI asi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I asia FINAL LOGO.jpg"/>
                    <pic:cNvPicPr/>
                  </pic:nvPicPr>
                  <pic:blipFill>
                    <a:blip r:embed="rId5"/>
                    <a:stretch>
                      <a:fillRect/>
                    </a:stretch>
                  </pic:blipFill>
                  <pic:spPr>
                    <a:xfrm>
                      <a:off x="0" y="0"/>
                      <a:ext cx="2378964" cy="1482852"/>
                    </a:xfrm>
                    <a:prstGeom prst="rect">
                      <a:avLst/>
                    </a:prstGeom>
                  </pic:spPr>
                </pic:pic>
              </a:graphicData>
            </a:graphic>
          </wp:inline>
        </w:drawing>
      </w:r>
    </w:p>
    <w:p w14:paraId="150B5B3F" w14:textId="77777777" w:rsidR="004878FF" w:rsidRDefault="004878FF">
      <w:pPr>
        <w:rPr>
          <w:b/>
          <w:u w:val="single"/>
        </w:rPr>
      </w:pPr>
    </w:p>
    <w:p w14:paraId="6FB8475E" w14:textId="77777777" w:rsidR="0004027E" w:rsidRDefault="009E7268">
      <w:pPr>
        <w:rPr>
          <w:b/>
          <w:u w:val="single"/>
        </w:rPr>
      </w:pPr>
      <w:r w:rsidRPr="006B105A">
        <w:rPr>
          <w:b/>
          <w:u w:val="single"/>
        </w:rPr>
        <w:t>TCI Asia Plenary in Bali, August 2018</w:t>
      </w:r>
    </w:p>
    <w:p w14:paraId="0B96C5EE" w14:textId="77777777" w:rsidR="004878FF" w:rsidRPr="004878FF" w:rsidRDefault="004878FF">
      <w:r>
        <w:t>[</w:t>
      </w:r>
      <w:r w:rsidRPr="004878FF">
        <w:t xml:space="preserve">in partnership with Indonesian Mental Health Association, </w:t>
      </w:r>
      <w:proofErr w:type="spellStart"/>
      <w:r w:rsidRPr="004878FF">
        <w:t>Bapu</w:t>
      </w:r>
      <w:proofErr w:type="spellEnd"/>
      <w:r w:rsidRPr="004878FF">
        <w:t xml:space="preserve"> Trust and International Disability Alliance; and support of Open Society Foundation and CBM-Australia</w:t>
      </w:r>
      <w:r>
        <w:t>]</w:t>
      </w:r>
      <w:r w:rsidRPr="004878FF">
        <w:t>.</w:t>
      </w:r>
    </w:p>
    <w:p w14:paraId="3233FAC7" w14:textId="77777777" w:rsidR="006B105A" w:rsidRPr="006B105A" w:rsidRDefault="00084D4F">
      <w:pPr>
        <w:rPr>
          <w:b/>
          <w:u w:val="single"/>
        </w:rPr>
      </w:pPr>
      <w:r>
        <w:rPr>
          <w:b/>
          <w:u w:val="single"/>
        </w:rPr>
        <w:t>Proposed d</w:t>
      </w:r>
      <w:r w:rsidR="006B105A">
        <w:rPr>
          <w:b/>
          <w:u w:val="single"/>
        </w:rPr>
        <w:t>raft proceedings</w:t>
      </w:r>
    </w:p>
    <w:p w14:paraId="0F286A6E" w14:textId="77777777" w:rsidR="00143C8E" w:rsidRDefault="006B105A" w:rsidP="00143C8E">
      <w:pPr>
        <w:spacing w:after="0" w:line="240" w:lineRule="auto"/>
      </w:pPr>
      <w:r>
        <w:rPr>
          <w:b/>
          <w:u w:val="single"/>
        </w:rPr>
        <w:t>Dates</w:t>
      </w:r>
      <w:r w:rsidR="00143C8E">
        <w:t xml:space="preserve"> : </w:t>
      </w:r>
      <w:r w:rsidR="00E63A1A">
        <w:t xml:space="preserve">27-28-29 </w:t>
      </w:r>
      <w:r w:rsidR="00856A25">
        <w:t>August 2018</w:t>
      </w:r>
      <w:r w:rsidR="00143C8E">
        <w:t xml:space="preserve">.  </w:t>
      </w:r>
      <w:r w:rsidR="000A6458">
        <w:t>30</w:t>
      </w:r>
      <w:r w:rsidR="00E27D8B">
        <w:t>th</w:t>
      </w:r>
      <w:r w:rsidR="000A6458">
        <w:t>- S</w:t>
      </w:r>
      <w:r w:rsidR="00E27D8B">
        <w:t xml:space="preserve">teering </w:t>
      </w:r>
      <w:r w:rsidR="000A6458">
        <w:t>C</w:t>
      </w:r>
      <w:r w:rsidR="00E27D8B">
        <w:t>ommittee</w:t>
      </w:r>
      <w:r w:rsidR="000A6458">
        <w:t xml:space="preserve"> meeting.</w:t>
      </w:r>
    </w:p>
    <w:p w14:paraId="1C87B20A" w14:textId="77777777" w:rsidR="006B105A" w:rsidRDefault="006B105A" w:rsidP="00143C8E">
      <w:pPr>
        <w:spacing w:after="0" w:line="240" w:lineRule="auto"/>
      </w:pPr>
    </w:p>
    <w:p w14:paraId="1CC5E654" w14:textId="77777777" w:rsidR="00084D4F" w:rsidRDefault="009E7268" w:rsidP="00143C8E">
      <w:pPr>
        <w:spacing w:after="0" w:line="240" w:lineRule="auto"/>
      </w:pPr>
      <w:r>
        <w:rPr>
          <w:b/>
          <w:u w:val="single"/>
        </w:rPr>
        <w:t>Format</w:t>
      </w:r>
      <w:r w:rsidR="006B105A">
        <w:rPr>
          <w:b/>
          <w:u w:val="single"/>
        </w:rPr>
        <w:t xml:space="preserve"> of the plenary:</w:t>
      </w:r>
    </w:p>
    <w:p w14:paraId="6F21DCEF" w14:textId="77777777" w:rsidR="00084D4F" w:rsidRDefault="00084D4F" w:rsidP="00143C8E">
      <w:pPr>
        <w:spacing w:after="0" w:line="240" w:lineRule="auto"/>
      </w:pPr>
    </w:p>
    <w:p w14:paraId="0125B46A" w14:textId="77777777" w:rsidR="006B105A" w:rsidRDefault="006B105A" w:rsidP="00143C8E">
      <w:pPr>
        <w:spacing w:after="0" w:line="240" w:lineRule="auto"/>
      </w:pPr>
      <w:r>
        <w:t xml:space="preserve">As has become a norm, the plenary format will have the following elements: </w:t>
      </w:r>
    </w:p>
    <w:p w14:paraId="1E86F617" w14:textId="77777777" w:rsidR="00E27D8B" w:rsidRDefault="00E27D8B" w:rsidP="00143C8E">
      <w:pPr>
        <w:spacing w:after="0" w:line="240" w:lineRule="auto"/>
      </w:pPr>
    </w:p>
    <w:p w14:paraId="3A9B90F2" w14:textId="77777777" w:rsidR="006B105A" w:rsidRDefault="006B105A" w:rsidP="006B105A">
      <w:pPr>
        <w:pStyle w:val="ListParagraph"/>
        <w:numPr>
          <w:ilvl w:val="0"/>
          <w:numId w:val="4"/>
        </w:numPr>
        <w:spacing w:after="0" w:line="240" w:lineRule="auto"/>
      </w:pPr>
      <w:r>
        <w:t xml:space="preserve">Pre-preparation for new country members (26th </w:t>
      </w:r>
      <w:r w:rsidR="00E27D8B">
        <w:t>mid-</w:t>
      </w:r>
      <w:r>
        <w:t>afternoon) and 'catching up' sessions in the evenings</w:t>
      </w:r>
    </w:p>
    <w:p w14:paraId="7D1468EB" w14:textId="77777777" w:rsidR="006B105A" w:rsidRDefault="006B105A" w:rsidP="006B105A">
      <w:pPr>
        <w:pStyle w:val="ListParagraph"/>
        <w:numPr>
          <w:ilvl w:val="0"/>
          <w:numId w:val="4"/>
        </w:numPr>
        <w:spacing w:after="0" w:line="240" w:lineRule="auto"/>
      </w:pPr>
      <w:r>
        <w:t>Market Place (Country status reports on status of persons with psychosocial disabilities)</w:t>
      </w:r>
    </w:p>
    <w:p w14:paraId="1309EF2B" w14:textId="77777777" w:rsidR="009E7268" w:rsidRDefault="006B105A" w:rsidP="009D5FC3">
      <w:pPr>
        <w:pStyle w:val="ListParagraph"/>
        <w:numPr>
          <w:ilvl w:val="0"/>
          <w:numId w:val="4"/>
        </w:numPr>
        <w:spacing w:after="0" w:line="240" w:lineRule="auto"/>
      </w:pPr>
      <w:r>
        <w:t>Capacity building and learning cycles on Inclusion(Presentation of Inclusion synthesis report; Dialogue on WHO Quality Rights;</w:t>
      </w:r>
      <w:r w:rsidR="009D5FC3">
        <w:t xml:space="preserve"> focus on mainstreaming of persons with psychosocial disabilities in different development areas</w:t>
      </w:r>
      <w:r>
        <w:t xml:space="preserve">) </w:t>
      </w:r>
    </w:p>
    <w:p w14:paraId="7F28F865" w14:textId="77777777" w:rsidR="00084D4F" w:rsidRDefault="006B105A" w:rsidP="00084D4F">
      <w:pPr>
        <w:pStyle w:val="ListParagraph"/>
        <w:numPr>
          <w:ilvl w:val="0"/>
          <w:numId w:val="4"/>
        </w:numPr>
        <w:spacing w:after="0" w:line="240" w:lineRule="auto"/>
      </w:pPr>
      <w:r>
        <w:t>Proceedings of TCI Asia on organizational matters: (AGM simulation and testing format; Refreshing Code of Conduct; Approval of TCI Asia Pacific</w:t>
      </w:r>
      <w:r w:rsidR="00E27D8B">
        <w:t xml:space="preserve"> and decision on logo</w:t>
      </w:r>
      <w:r>
        <w:t xml:space="preserve">; Sharing 1 year works and budgets; </w:t>
      </w:r>
      <w:r w:rsidR="00084D4F">
        <w:t xml:space="preserve">Memberships status; </w:t>
      </w:r>
      <w:r w:rsidR="00E27D8B">
        <w:t xml:space="preserve">New members to SC; </w:t>
      </w:r>
      <w:r w:rsidR="00084D4F">
        <w:t>Way</w:t>
      </w:r>
      <w:r>
        <w:t xml:space="preserve"> forward); News on r</w:t>
      </w:r>
      <w:r w:rsidR="00084D4F">
        <w:t>egistration and issues thereof</w:t>
      </w:r>
    </w:p>
    <w:p w14:paraId="61CE283C" w14:textId="77777777" w:rsidR="006B105A" w:rsidRDefault="006B105A" w:rsidP="00084D4F">
      <w:pPr>
        <w:pStyle w:val="ListParagraph"/>
        <w:numPr>
          <w:ilvl w:val="0"/>
          <w:numId w:val="4"/>
        </w:numPr>
        <w:spacing w:after="0" w:line="240" w:lineRule="auto"/>
      </w:pPr>
      <w:r>
        <w:t>This year, additionally, there will be a steering committee meeting, of country members, a</w:t>
      </w:r>
      <w:r w:rsidR="00084D4F">
        <w:t>nd where needed their deputies</w:t>
      </w:r>
      <w:r w:rsidR="00E27D8B">
        <w:t xml:space="preserve">; </w:t>
      </w:r>
    </w:p>
    <w:p w14:paraId="3CEA7537" w14:textId="77777777" w:rsidR="00084D4F" w:rsidRDefault="00084D4F" w:rsidP="00084D4F">
      <w:pPr>
        <w:pStyle w:val="ListParagraph"/>
        <w:numPr>
          <w:ilvl w:val="0"/>
          <w:numId w:val="4"/>
        </w:numPr>
        <w:spacing w:after="0" w:line="240" w:lineRule="auto"/>
      </w:pPr>
      <w:r>
        <w:t>Platform for dialogue with technical assistance agencies and other stakeholders from the cross</w:t>
      </w:r>
      <w:r w:rsidR="00E27D8B">
        <w:t>-</w:t>
      </w:r>
      <w:r>
        <w:t>disability movement</w:t>
      </w:r>
      <w:r w:rsidR="00E27D8B">
        <w:t>, if budgets permit</w:t>
      </w:r>
    </w:p>
    <w:p w14:paraId="099F9CA5" w14:textId="77777777" w:rsidR="006B105A" w:rsidRDefault="006B105A" w:rsidP="00143C8E">
      <w:pPr>
        <w:spacing w:after="0" w:line="240" w:lineRule="auto"/>
      </w:pPr>
    </w:p>
    <w:p w14:paraId="4B491B5D" w14:textId="77777777" w:rsidR="006B105A" w:rsidRDefault="009E7268" w:rsidP="00143C8E">
      <w:pPr>
        <w:spacing w:after="0" w:line="240" w:lineRule="auto"/>
      </w:pPr>
      <w:r>
        <w:rPr>
          <w:b/>
          <w:u w:val="single"/>
        </w:rPr>
        <w:t>Country mobilisation</w:t>
      </w:r>
      <w:r w:rsidR="006B105A">
        <w:rPr>
          <w:b/>
          <w:u w:val="single"/>
        </w:rPr>
        <w:t xml:space="preserve"> for Bali Plenary</w:t>
      </w:r>
      <w:r>
        <w:rPr>
          <w:b/>
          <w:u w:val="single"/>
        </w:rPr>
        <w:t>:</w:t>
      </w:r>
      <w:r w:rsidR="004878FF">
        <w:t xml:space="preserve"> </w:t>
      </w:r>
      <w:r w:rsidR="00E27D8B">
        <w:t xml:space="preserve"> </w:t>
      </w:r>
      <w:r w:rsidR="004878FF">
        <w:t>C</w:t>
      </w:r>
      <w:r w:rsidR="00E27D8B">
        <w:t xml:space="preserve">ountries </w:t>
      </w:r>
      <w:r w:rsidR="004878FF">
        <w:t>including,</w:t>
      </w:r>
      <w:r w:rsidR="00E27D8B">
        <w:t xml:space="preserve"> </w:t>
      </w:r>
      <w:r w:rsidR="002F5FE0">
        <w:t xml:space="preserve">Malaysia, Singapore, Nepal, Japan, Indonesia, Philippines, </w:t>
      </w:r>
      <w:proofErr w:type="spellStart"/>
      <w:r w:rsidR="002F5FE0">
        <w:t>SriLanka</w:t>
      </w:r>
      <w:proofErr w:type="spellEnd"/>
      <w:r w:rsidR="002F5FE0">
        <w:t xml:space="preserve">, India, China, Pakistan, South Korea, Bangladesh, </w:t>
      </w:r>
      <w:proofErr w:type="spellStart"/>
      <w:r w:rsidR="002F5FE0">
        <w:t>HongKong</w:t>
      </w:r>
      <w:proofErr w:type="spellEnd"/>
      <w:r w:rsidR="002F5FE0">
        <w:t xml:space="preserve">, Taiwan, Vietnam, Thailand, </w:t>
      </w:r>
      <w:r w:rsidR="004878FF">
        <w:t xml:space="preserve">Fiji, </w:t>
      </w:r>
      <w:r w:rsidR="006B105A">
        <w:t>Myanmar</w:t>
      </w:r>
    </w:p>
    <w:p w14:paraId="4EABAC2E" w14:textId="77777777" w:rsidR="002448FD" w:rsidRDefault="002448FD" w:rsidP="00143C8E">
      <w:pPr>
        <w:spacing w:after="0" w:line="240" w:lineRule="auto"/>
        <w:rPr>
          <w:b/>
          <w:u w:val="single"/>
        </w:rPr>
        <w:sectPr w:rsidR="002448FD" w:rsidSect="0004027E">
          <w:pgSz w:w="11906" w:h="16838"/>
          <w:pgMar w:top="1440" w:right="1440" w:bottom="1440" w:left="1440" w:header="708" w:footer="708" w:gutter="0"/>
          <w:cols w:space="708"/>
          <w:docGrid w:linePitch="360"/>
        </w:sectPr>
      </w:pPr>
    </w:p>
    <w:p w14:paraId="2AF9420B" w14:textId="77777777" w:rsidR="002448FD" w:rsidRDefault="002448FD" w:rsidP="0059628C">
      <w:pPr>
        <w:spacing w:after="0" w:line="240" w:lineRule="auto"/>
        <w:rPr>
          <w:b/>
          <w:u w:val="single"/>
        </w:rPr>
      </w:pPr>
      <w:r>
        <w:rPr>
          <w:b/>
          <w:u w:val="single"/>
        </w:rPr>
        <w:lastRenderedPageBreak/>
        <w:t>Provisional agenda</w:t>
      </w:r>
    </w:p>
    <w:p w14:paraId="376777F6" w14:textId="77777777" w:rsidR="002448FD" w:rsidRDefault="002448FD" w:rsidP="00143C8E">
      <w:pPr>
        <w:spacing w:after="0" w:line="240" w:lineRule="auto"/>
        <w:rPr>
          <w:b/>
          <w:u w:val="single"/>
        </w:rPr>
      </w:pPr>
    </w:p>
    <w:tbl>
      <w:tblPr>
        <w:tblW w:w="13480" w:type="dxa"/>
        <w:tblInd w:w="113" w:type="dxa"/>
        <w:tblLook w:val="04A0" w:firstRow="1" w:lastRow="0" w:firstColumn="1" w:lastColumn="0" w:noHBand="0" w:noVBand="1"/>
      </w:tblPr>
      <w:tblGrid>
        <w:gridCol w:w="1289"/>
        <w:gridCol w:w="1753"/>
        <w:gridCol w:w="1430"/>
        <w:gridCol w:w="1434"/>
        <w:gridCol w:w="1471"/>
        <w:gridCol w:w="1478"/>
        <w:gridCol w:w="1103"/>
        <w:gridCol w:w="1034"/>
        <w:gridCol w:w="1033"/>
        <w:gridCol w:w="1455"/>
      </w:tblGrid>
      <w:tr w:rsidR="0059628C" w:rsidRPr="0059628C" w14:paraId="307E52E2" w14:textId="77777777" w:rsidTr="0059628C">
        <w:trPr>
          <w:trHeight w:val="410"/>
        </w:trPr>
        <w:tc>
          <w:tcPr>
            <w:tcW w:w="1300"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1771FBA6"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w:t>
            </w:r>
          </w:p>
        </w:tc>
        <w:tc>
          <w:tcPr>
            <w:tcW w:w="1760" w:type="dxa"/>
            <w:tcBorders>
              <w:top w:val="single" w:sz="4" w:space="0" w:color="4472C4"/>
              <w:left w:val="nil"/>
              <w:bottom w:val="nil"/>
              <w:right w:val="single" w:sz="4" w:space="0" w:color="4472C4"/>
            </w:tcBorders>
            <w:shd w:val="clear" w:color="000000" w:fill="D9D9D9"/>
            <w:vAlign w:val="center"/>
            <w:hideMark/>
          </w:tcPr>
          <w:p w14:paraId="0ACFDCA2"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Sunday 26 august</w:t>
            </w:r>
          </w:p>
        </w:tc>
        <w:tc>
          <w:tcPr>
            <w:tcW w:w="2880" w:type="dxa"/>
            <w:gridSpan w:val="2"/>
            <w:tcBorders>
              <w:top w:val="single" w:sz="4" w:space="0" w:color="4472C4"/>
              <w:left w:val="nil"/>
              <w:bottom w:val="single" w:sz="4" w:space="0" w:color="4472C4"/>
              <w:right w:val="single" w:sz="4" w:space="0" w:color="4472C4"/>
            </w:tcBorders>
            <w:shd w:val="clear" w:color="000000" w:fill="D9D9D9"/>
            <w:vAlign w:val="center"/>
            <w:hideMark/>
          </w:tcPr>
          <w:p w14:paraId="634FF7B5"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Monday 27th </w:t>
            </w:r>
          </w:p>
        </w:tc>
        <w:tc>
          <w:tcPr>
            <w:tcW w:w="2960" w:type="dxa"/>
            <w:gridSpan w:val="2"/>
            <w:tcBorders>
              <w:top w:val="single" w:sz="4" w:space="0" w:color="4472C4"/>
              <w:left w:val="nil"/>
              <w:bottom w:val="single" w:sz="4" w:space="0" w:color="4472C4"/>
              <w:right w:val="single" w:sz="4" w:space="0" w:color="4472C4"/>
            </w:tcBorders>
            <w:shd w:val="clear" w:color="000000" w:fill="D9D9D9"/>
            <w:vAlign w:val="center"/>
            <w:hideMark/>
          </w:tcPr>
          <w:p w14:paraId="0DDED830"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Tuesday 28th </w:t>
            </w:r>
          </w:p>
        </w:tc>
        <w:tc>
          <w:tcPr>
            <w:tcW w:w="3120" w:type="dxa"/>
            <w:gridSpan w:val="3"/>
            <w:tcBorders>
              <w:top w:val="single" w:sz="4" w:space="0" w:color="4472C4"/>
              <w:left w:val="nil"/>
              <w:bottom w:val="single" w:sz="4" w:space="0" w:color="4472C4"/>
              <w:right w:val="single" w:sz="4" w:space="0" w:color="4472C4"/>
            </w:tcBorders>
            <w:shd w:val="clear" w:color="000000" w:fill="D9D9D9"/>
            <w:vAlign w:val="center"/>
            <w:hideMark/>
          </w:tcPr>
          <w:p w14:paraId="39185F76"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Wednesday 29th </w:t>
            </w:r>
          </w:p>
        </w:tc>
        <w:tc>
          <w:tcPr>
            <w:tcW w:w="1460" w:type="dxa"/>
            <w:tcBorders>
              <w:top w:val="single" w:sz="4" w:space="0" w:color="4472C4"/>
              <w:left w:val="nil"/>
              <w:bottom w:val="single" w:sz="4" w:space="0" w:color="4472C4"/>
              <w:right w:val="single" w:sz="4" w:space="0" w:color="4472C4"/>
            </w:tcBorders>
            <w:shd w:val="clear" w:color="000000" w:fill="D9D9D9"/>
            <w:vAlign w:val="center"/>
            <w:hideMark/>
          </w:tcPr>
          <w:p w14:paraId="77130A48"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Thursday 30th</w:t>
            </w:r>
          </w:p>
        </w:tc>
      </w:tr>
      <w:tr w:rsidR="0059628C" w:rsidRPr="0059628C" w14:paraId="1C908A32" w14:textId="77777777" w:rsidTr="0059628C">
        <w:trPr>
          <w:trHeight w:val="410"/>
        </w:trPr>
        <w:tc>
          <w:tcPr>
            <w:tcW w:w="1300" w:type="dxa"/>
            <w:tcBorders>
              <w:top w:val="nil"/>
              <w:left w:val="single" w:sz="4" w:space="0" w:color="4472C4"/>
              <w:bottom w:val="single" w:sz="4" w:space="0" w:color="4472C4"/>
              <w:right w:val="single" w:sz="4" w:space="0" w:color="4472C4"/>
            </w:tcBorders>
            <w:shd w:val="clear" w:color="auto" w:fill="auto"/>
            <w:vAlign w:val="center"/>
            <w:hideMark/>
          </w:tcPr>
          <w:p w14:paraId="793E8323"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09.00-09.50</w:t>
            </w:r>
          </w:p>
        </w:tc>
        <w:tc>
          <w:tcPr>
            <w:tcW w:w="1760" w:type="dxa"/>
            <w:vMerge w:val="restart"/>
            <w:tcBorders>
              <w:top w:val="nil"/>
              <w:left w:val="single" w:sz="4" w:space="0" w:color="4472C4"/>
              <w:bottom w:val="nil"/>
              <w:right w:val="single" w:sz="4" w:space="0" w:color="4472C4"/>
            </w:tcBorders>
            <w:shd w:val="clear" w:color="000000" w:fill="D9D9D9"/>
            <w:vAlign w:val="center"/>
            <w:hideMark/>
          </w:tcPr>
          <w:p w14:paraId="6E39CA27"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ARRIVAL</w:t>
            </w:r>
          </w:p>
        </w:tc>
        <w:tc>
          <w:tcPr>
            <w:tcW w:w="2880" w:type="dxa"/>
            <w:gridSpan w:val="2"/>
            <w:tcBorders>
              <w:top w:val="single" w:sz="4" w:space="0" w:color="4472C4"/>
              <w:left w:val="nil"/>
              <w:bottom w:val="single" w:sz="4" w:space="0" w:color="4472C4"/>
              <w:right w:val="single" w:sz="4" w:space="0" w:color="4472C4"/>
            </w:tcBorders>
            <w:shd w:val="clear" w:color="auto" w:fill="auto"/>
            <w:vAlign w:val="center"/>
            <w:hideMark/>
          </w:tcPr>
          <w:p w14:paraId="3A0D1E7F"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 Introduction and Market place </w:t>
            </w:r>
          </w:p>
        </w:tc>
        <w:tc>
          <w:tcPr>
            <w:tcW w:w="2960" w:type="dxa"/>
            <w:gridSpan w:val="2"/>
            <w:tcBorders>
              <w:top w:val="single" w:sz="4" w:space="0" w:color="4472C4"/>
              <w:left w:val="nil"/>
              <w:bottom w:val="single" w:sz="4" w:space="0" w:color="4472C4"/>
              <w:right w:val="single" w:sz="4" w:space="0" w:color="4472C4"/>
            </w:tcBorders>
            <w:shd w:val="clear" w:color="auto" w:fill="auto"/>
            <w:vAlign w:val="center"/>
            <w:hideMark/>
          </w:tcPr>
          <w:p w14:paraId="2457D05F"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E. Work and employment </w:t>
            </w:r>
          </w:p>
        </w:tc>
        <w:tc>
          <w:tcPr>
            <w:tcW w:w="3120" w:type="dxa"/>
            <w:gridSpan w:val="3"/>
            <w:tcBorders>
              <w:top w:val="single" w:sz="4" w:space="0" w:color="4472C4"/>
              <w:left w:val="nil"/>
              <w:bottom w:val="single" w:sz="4" w:space="0" w:color="4472C4"/>
              <w:right w:val="single" w:sz="4" w:space="0" w:color="4472C4"/>
            </w:tcBorders>
            <w:shd w:val="clear" w:color="auto" w:fill="auto"/>
            <w:vAlign w:val="center"/>
            <w:hideMark/>
          </w:tcPr>
          <w:p w14:paraId="57E18502" w14:textId="77777777" w:rsidR="0059628C" w:rsidRPr="0059628C" w:rsidRDefault="0059628C" w:rsidP="008A4B04">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H. </w:t>
            </w:r>
            <w:r w:rsidR="008A4B04">
              <w:rPr>
                <w:rFonts w:ascii="Calibri" w:eastAsia="Times New Roman" w:hAnsi="Calibri" w:cs="Times New Roman"/>
                <w:color w:val="000000"/>
                <w:sz w:val="20"/>
                <w:szCs w:val="20"/>
                <w:lang w:val="en-GB" w:eastAsia="zh-CN"/>
              </w:rPr>
              <w:t>Self preservation</w:t>
            </w:r>
          </w:p>
        </w:tc>
        <w:tc>
          <w:tcPr>
            <w:tcW w:w="1460" w:type="dxa"/>
            <w:vMerge w:val="restart"/>
            <w:tcBorders>
              <w:top w:val="nil"/>
              <w:left w:val="single" w:sz="4" w:space="0" w:color="4472C4"/>
              <w:bottom w:val="single" w:sz="4" w:space="0" w:color="4472C4"/>
              <w:right w:val="single" w:sz="4" w:space="0" w:color="4472C4"/>
            </w:tcBorders>
            <w:shd w:val="clear" w:color="000000" w:fill="FFF2CC"/>
            <w:vAlign w:val="center"/>
            <w:hideMark/>
          </w:tcPr>
          <w:p w14:paraId="01B875EC"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STEERING COMMITTEE</w:t>
            </w:r>
          </w:p>
        </w:tc>
      </w:tr>
      <w:tr w:rsidR="0059628C" w:rsidRPr="0059628C" w14:paraId="470FFC13" w14:textId="77777777" w:rsidTr="0059628C">
        <w:trPr>
          <w:trHeight w:val="689"/>
        </w:trPr>
        <w:tc>
          <w:tcPr>
            <w:tcW w:w="1300" w:type="dxa"/>
            <w:tcBorders>
              <w:top w:val="nil"/>
              <w:left w:val="single" w:sz="4" w:space="0" w:color="4472C4"/>
              <w:bottom w:val="single" w:sz="4" w:space="0" w:color="4472C4"/>
              <w:right w:val="single" w:sz="4" w:space="0" w:color="4472C4"/>
            </w:tcBorders>
            <w:shd w:val="clear" w:color="auto" w:fill="auto"/>
            <w:vAlign w:val="center"/>
            <w:hideMark/>
          </w:tcPr>
          <w:p w14:paraId="70126120"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10.05-11.00</w:t>
            </w:r>
          </w:p>
        </w:tc>
        <w:tc>
          <w:tcPr>
            <w:tcW w:w="1760" w:type="dxa"/>
            <w:vMerge/>
            <w:tcBorders>
              <w:top w:val="nil"/>
              <w:left w:val="single" w:sz="4" w:space="0" w:color="4472C4"/>
              <w:bottom w:val="nil"/>
              <w:right w:val="single" w:sz="4" w:space="0" w:color="4472C4"/>
            </w:tcBorders>
            <w:vAlign w:val="center"/>
            <w:hideMark/>
          </w:tcPr>
          <w:p w14:paraId="0C250BFA"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2880" w:type="dxa"/>
            <w:gridSpan w:val="2"/>
            <w:tcBorders>
              <w:top w:val="single" w:sz="4" w:space="0" w:color="4472C4"/>
              <w:left w:val="nil"/>
              <w:bottom w:val="single" w:sz="4" w:space="0" w:color="4472C4"/>
              <w:right w:val="single" w:sz="4" w:space="0" w:color="4472C4"/>
            </w:tcBorders>
            <w:shd w:val="clear" w:color="auto" w:fill="auto"/>
            <w:vAlign w:val="center"/>
            <w:hideMark/>
          </w:tcPr>
          <w:p w14:paraId="04493956"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A. Reframing the momentum(S) </w:t>
            </w:r>
          </w:p>
        </w:tc>
        <w:tc>
          <w:tcPr>
            <w:tcW w:w="1480" w:type="dxa"/>
            <w:tcBorders>
              <w:top w:val="nil"/>
              <w:left w:val="nil"/>
              <w:bottom w:val="single" w:sz="4" w:space="0" w:color="4472C4"/>
              <w:right w:val="single" w:sz="4" w:space="0" w:color="4472C4"/>
            </w:tcBorders>
            <w:shd w:val="clear" w:color="auto" w:fill="auto"/>
            <w:vAlign w:val="center"/>
            <w:hideMark/>
          </w:tcPr>
          <w:p w14:paraId="08293E9C"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5. Children with psycho-social </w:t>
            </w:r>
          </w:p>
        </w:tc>
        <w:tc>
          <w:tcPr>
            <w:tcW w:w="1480" w:type="dxa"/>
            <w:tcBorders>
              <w:top w:val="nil"/>
              <w:left w:val="nil"/>
              <w:bottom w:val="single" w:sz="4" w:space="0" w:color="4472C4"/>
              <w:right w:val="single" w:sz="4" w:space="0" w:color="4472C4"/>
            </w:tcBorders>
            <w:shd w:val="clear" w:color="auto" w:fill="auto"/>
            <w:vAlign w:val="center"/>
            <w:hideMark/>
          </w:tcPr>
          <w:p w14:paraId="31539A26"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6. Health</w:t>
            </w:r>
          </w:p>
        </w:tc>
        <w:tc>
          <w:tcPr>
            <w:tcW w:w="1040" w:type="dxa"/>
            <w:tcBorders>
              <w:top w:val="nil"/>
              <w:left w:val="nil"/>
              <w:bottom w:val="single" w:sz="4" w:space="0" w:color="4472C4"/>
              <w:right w:val="single" w:sz="4" w:space="0" w:color="4472C4"/>
            </w:tcBorders>
            <w:shd w:val="clear" w:color="auto" w:fill="auto"/>
            <w:vAlign w:val="center"/>
            <w:hideMark/>
          </w:tcPr>
          <w:p w14:paraId="6F4D7579"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MH movement </w:t>
            </w:r>
          </w:p>
        </w:tc>
        <w:tc>
          <w:tcPr>
            <w:tcW w:w="1040" w:type="dxa"/>
            <w:tcBorders>
              <w:top w:val="nil"/>
              <w:left w:val="nil"/>
              <w:bottom w:val="single" w:sz="4" w:space="0" w:color="4472C4"/>
              <w:right w:val="single" w:sz="4" w:space="0" w:color="4472C4"/>
            </w:tcBorders>
            <w:shd w:val="clear" w:color="auto" w:fill="auto"/>
            <w:vAlign w:val="center"/>
            <w:hideMark/>
          </w:tcPr>
          <w:p w14:paraId="09A0A2B7"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ASEAN</w:t>
            </w:r>
          </w:p>
        </w:tc>
        <w:tc>
          <w:tcPr>
            <w:tcW w:w="1040" w:type="dxa"/>
            <w:tcBorders>
              <w:top w:val="nil"/>
              <w:left w:val="nil"/>
              <w:bottom w:val="single" w:sz="4" w:space="0" w:color="4472C4"/>
              <w:right w:val="single" w:sz="4" w:space="0" w:color="4472C4"/>
            </w:tcBorders>
            <w:shd w:val="clear" w:color="auto" w:fill="auto"/>
            <w:vAlign w:val="center"/>
            <w:hideMark/>
          </w:tcPr>
          <w:p w14:paraId="728EEE6A" w14:textId="77777777" w:rsidR="0059628C" w:rsidRPr="0059628C" w:rsidRDefault="00CA1D7D" w:rsidP="0059628C">
            <w:pPr>
              <w:spacing w:after="0" w:line="240" w:lineRule="auto"/>
              <w:jc w:val="center"/>
              <w:rPr>
                <w:rFonts w:ascii="Calibri" w:eastAsia="Times New Roman" w:hAnsi="Calibri" w:cs="Times New Roman"/>
                <w:color w:val="000000"/>
                <w:sz w:val="20"/>
                <w:szCs w:val="20"/>
                <w:lang w:val="en-GB" w:eastAsia="zh-CN"/>
              </w:rPr>
            </w:pPr>
            <w:r>
              <w:rPr>
                <w:rFonts w:ascii="Calibri" w:eastAsia="Times New Roman" w:hAnsi="Calibri" w:cs="Times New Roman"/>
                <w:color w:val="000000"/>
                <w:sz w:val="20"/>
                <w:szCs w:val="20"/>
                <w:lang w:val="en-GB" w:eastAsia="zh-CN"/>
              </w:rPr>
              <w:t xml:space="preserve">Pacific </w:t>
            </w:r>
          </w:p>
        </w:tc>
        <w:tc>
          <w:tcPr>
            <w:tcW w:w="1460" w:type="dxa"/>
            <w:vMerge/>
            <w:tcBorders>
              <w:top w:val="nil"/>
              <w:left w:val="single" w:sz="4" w:space="0" w:color="4472C4"/>
              <w:bottom w:val="single" w:sz="4" w:space="0" w:color="4472C4"/>
              <w:right w:val="single" w:sz="4" w:space="0" w:color="4472C4"/>
            </w:tcBorders>
            <w:vAlign w:val="center"/>
            <w:hideMark/>
          </w:tcPr>
          <w:p w14:paraId="705D5197"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r>
      <w:tr w:rsidR="0059628C" w:rsidRPr="0059628C" w14:paraId="2D7A9866" w14:textId="77777777" w:rsidTr="0059628C">
        <w:trPr>
          <w:trHeight w:val="213"/>
        </w:trPr>
        <w:tc>
          <w:tcPr>
            <w:tcW w:w="1300" w:type="dxa"/>
            <w:tcBorders>
              <w:top w:val="nil"/>
              <w:left w:val="single" w:sz="4" w:space="0" w:color="4472C4"/>
              <w:bottom w:val="single" w:sz="4" w:space="0" w:color="4472C4"/>
              <w:right w:val="single" w:sz="4" w:space="0" w:color="4472C4"/>
            </w:tcBorders>
            <w:shd w:val="clear" w:color="000000" w:fill="D9D9D9"/>
            <w:vAlign w:val="center"/>
            <w:hideMark/>
          </w:tcPr>
          <w:p w14:paraId="4B46463C"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w:t>
            </w:r>
          </w:p>
        </w:tc>
        <w:tc>
          <w:tcPr>
            <w:tcW w:w="1760" w:type="dxa"/>
            <w:vMerge/>
            <w:tcBorders>
              <w:top w:val="nil"/>
              <w:left w:val="single" w:sz="4" w:space="0" w:color="4472C4"/>
              <w:bottom w:val="nil"/>
              <w:right w:val="single" w:sz="4" w:space="0" w:color="4472C4"/>
            </w:tcBorders>
            <w:vAlign w:val="center"/>
            <w:hideMark/>
          </w:tcPr>
          <w:p w14:paraId="620143C3"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2880" w:type="dxa"/>
            <w:gridSpan w:val="2"/>
            <w:tcBorders>
              <w:top w:val="single" w:sz="4" w:space="0" w:color="4472C4"/>
              <w:left w:val="nil"/>
              <w:bottom w:val="single" w:sz="4" w:space="0" w:color="4472C4"/>
              <w:right w:val="single" w:sz="4" w:space="0" w:color="4472C4"/>
            </w:tcBorders>
            <w:shd w:val="clear" w:color="000000" w:fill="D9D9D9"/>
            <w:vAlign w:val="center"/>
            <w:hideMark/>
          </w:tcPr>
          <w:p w14:paraId="6591731E"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Break</w:t>
            </w:r>
          </w:p>
        </w:tc>
        <w:tc>
          <w:tcPr>
            <w:tcW w:w="2960" w:type="dxa"/>
            <w:gridSpan w:val="2"/>
            <w:tcBorders>
              <w:top w:val="single" w:sz="4" w:space="0" w:color="4472C4"/>
              <w:left w:val="nil"/>
              <w:bottom w:val="single" w:sz="4" w:space="0" w:color="4472C4"/>
              <w:right w:val="single" w:sz="4" w:space="0" w:color="4472C4"/>
            </w:tcBorders>
            <w:shd w:val="clear" w:color="000000" w:fill="D9D9D9"/>
            <w:vAlign w:val="center"/>
            <w:hideMark/>
          </w:tcPr>
          <w:p w14:paraId="17FA3997"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Break</w:t>
            </w:r>
          </w:p>
        </w:tc>
        <w:tc>
          <w:tcPr>
            <w:tcW w:w="3120" w:type="dxa"/>
            <w:gridSpan w:val="3"/>
            <w:tcBorders>
              <w:top w:val="single" w:sz="4" w:space="0" w:color="4472C4"/>
              <w:left w:val="nil"/>
              <w:bottom w:val="single" w:sz="4" w:space="0" w:color="4472C4"/>
              <w:right w:val="single" w:sz="4" w:space="0" w:color="4472C4"/>
            </w:tcBorders>
            <w:shd w:val="clear" w:color="000000" w:fill="D9D9D9"/>
            <w:vAlign w:val="center"/>
            <w:hideMark/>
          </w:tcPr>
          <w:p w14:paraId="75801AB6"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Break</w:t>
            </w:r>
          </w:p>
        </w:tc>
        <w:tc>
          <w:tcPr>
            <w:tcW w:w="1460" w:type="dxa"/>
            <w:vMerge/>
            <w:tcBorders>
              <w:top w:val="nil"/>
              <w:left w:val="single" w:sz="4" w:space="0" w:color="4472C4"/>
              <w:bottom w:val="single" w:sz="4" w:space="0" w:color="4472C4"/>
              <w:right w:val="single" w:sz="4" w:space="0" w:color="4472C4"/>
            </w:tcBorders>
            <w:vAlign w:val="center"/>
            <w:hideMark/>
          </w:tcPr>
          <w:p w14:paraId="4E8DB58C"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r>
      <w:tr w:rsidR="0059628C" w:rsidRPr="0059628C" w14:paraId="7BE50351" w14:textId="77777777" w:rsidTr="0059628C">
        <w:trPr>
          <w:trHeight w:val="860"/>
        </w:trPr>
        <w:tc>
          <w:tcPr>
            <w:tcW w:w="1300" w:type="dxa"/>
            <w:tcBorders>
              <w:top w:val="nil"/>
              <w:left w:val="single" w:sz="4" w:space="0" w:color="4472C4"/>
              <w:bottom w:val="single" w:sz="4" w:space="0" w:color="4472C4"/>
              <w:right w:val="single" w:sz="4" w:space="0" w:color="4472C4"/>
            </w:tcBorders>
            <w:shd w:val="clear" w:color="auto" w:fill="auto"/>
            <w:vAlign w:val="center"/>
            <w:hideMark/>
          </w:tcPr>
          <w:p w14:paraId="5335410B"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11.15-11.55</w:t>
            </w:r>
          </w:p>
        </w:tc>
        <w:tc>
          <w:tcPr>
            <w:tcW w:w="1760" w:type="dxa"/>
            <w:vMerge/>
            <w:tcBorders>
              <w:top w:val="nil"/>
              <w:left w:val="single" w:sz="4" w:space="0" w:color="4472C4"/>
              <w:bottom w:val="nil"/>
              <w:right w:val="single" w:sz="4" w:space="0" w:color="4472C4"/>
            </w:tcBorders>
            <w:vAlign w:val="center"/>
            <w:hideMark/>
          </w:tcPr>
          <w:p w14:paraId="3D0D217B"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2880" w:type="dxa"/>
            <w:gridSpan w:val="2"/>
            <w:tcBorders>
              <w:top w:val="single" w:sz="4" w:space="0" w:color="4472C4"/>
              <w:left w:val="nil"/>
              <w:bottom w:val="single" w:sz="4" w:space="0" w:color="4472C4"/>
              <w:right w:val="single" w:sz="4" w:space="0" w:color="4472C4"/>
            </w:tcBorders>
            <w:shd w:val="clear" w:color="auto" w:fill="auto"/>
            <w:vAlign w:val="center"/>
            <w:hideMark/>
          </w:tcPr>
          <w:p w14:paraId="3BCA4765" w14:textId="77777777" w:rsidR="0059628C" w:rsidRPr="0059628C" w:rsidRDefault="0059628C" w:rsidP="009D5FC3">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B. Update</w:t>
            </w:r>
            <w:r w:rsidR="00500031">
              <w:rPr>
                <w:rFonts w:ascii="Calibri" w:eastAsia="Times New Roman" w:hAnsi="Calibri" w:cs="Times New Roman"/>
                <w:color w:val="000000"/>
                <w:sz w:val="20"/>
                <w:szCs w:val="20"/>
                <w:lang w:val="en-GB" w:eastAsia="zh-CN"/>
              </w:rPr>
              <w:t>s</w:t>
            </w:r>
            <w:r w:rsidRPr="0059628C">
              <w:rPr>
                <w:rFonts w:ascii="Calibri" w:eastAsia="Times New Roman" w:hAnsi="Calibri" w:cs="Times New Roman"/>
                <w:color w:val="000000"/>
                <w:sz w:val="20"/>
                <w:szCs w:val="20"/>
                <w:lang w:val="en-GB" w:eastAsia="zh-CN"/>
              </w:rPr>
              <w:t xml:space="preserve"> from the Global level </w:t>
            </w:r>
          </w:p>
        </w:tc>
        <w:tc>
          <w:tcPr>
            <w:tcW w:w="2960" w:type="dxa"/>
            <w:gridSpan w:val="2"/>
            <w:tcBorders>
              <w:top w:val="single" w:sz="4" w:space="0" w:color="4472C4"/>
              <w:left w:val="nil"/>
              <w:bottom w:val="single" w:sz="4" w:space="0" w:color="4472C4"/>
              <w:right w:val="single" w:sz="4" w:space="0" w:color="4472C4"/>
            </w:tcBorders>
            <w:shd w:val="clear" w:color="auto" w:fill="auto"/>
            <w:vAlign w:val="center"/>
            <w:hideMark/>
          </w:tcPr>
          <w:p w14:paraId="5A21D41E"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F. Social protection (cash benefit, social </w:t>
            </w:r>
            <w:proofErr w:type="gramStart"/>
            <w:r w:rsidRPr="0059628C">
              <w:rPr>
                <w:rFonts w:ascii="Calibri" w:eastAsia="Times New Roman" w:hAnsi="Calibri" w:cs="Times New Roman"/>
                <w:color w:val="000000"/>
                <w:sz w:val="20"/>
                <w:szCs w:val="20"/>
                <w:lang w:val="en-GB" w:eastAsia="zh-CN"/>
              </w:rPr>
              <w:t>housing..</w:t>
            </w:r>
            <w:proofErr w:type="gramEnd"/>
            <w:r w:rsidRPr="0059628C">
              <w:rPr>
                <w:rFonts w:ascii="Calibri" w:eastAsia="Times New Roman" w:hAnsi="Calibri" w:cs="Times New Roman"/>
                <w:color w:val="000000"/>
                <w:sz w:val="20"/>
                <w:szCs w:val="20"/>
                <w:lang w:val="en-GB" w:eastAsia="zh-CN"/>
              </w:rPr>
              <w:t>)</w:t>
            </w:r>
          </w:p>
        </w:tc>
        <w:tc>
          <w:tcPr>
            <w:tcW w:w="3120" w:type="dxa"/>
            <w:gridSpan w:val="3"/>
            <w:tcBorders>
              <w:top w:val="single" w:sz="4" w:space="0" w:color="4472C4"/>
              <w:left w:val="nil"/>
              <w:bottom w:val="single" w:sz="4" w:space="0" w:color="4472C4"/>
              <w:right w:val="single" w:sz="4" w:space="0" w:color="4472C4"/>
            </w:tcBorders>
            <w:shd w:val="clear" w:color="auto" w:fill="auto"/>
            <w:vAlign w:val="center"/>
            <w:hideMark/>
          </w:tcPr>
          <w:p w14:paraId="5ED3685A"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I. Adoption of the Bali declaration</w:t>
            </w:r>
          </w:p>
        </w:tc>
        <w:tc>
          <w:tcPr>
            <w:tcW w:w="1460" w:type="dxa"/>
            <w:vMerge/>
            <w:tcBorders>
              <w:top w:val="nil"/>
              <w:left w:val="single" w:sz="4" w:space="0" w:color="4472C4"/>
              <w:bottom w:val="single" w:sz="4" w:space="0" w:color="4472C4"/>
              <w:right w:val="single" w:sz="4" w:space="0" w:color="4472C4"/>
            </w:tcBorders>
            <w:vAlign w:val="center"/>
            <w:hideMark/>
          </w:tcPr>
          <w:p w14:paraId="6F571C49"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r>
      <w:tr w:rsidR="0059628C" w:rsidRPr="0059628C" w14:paraId="6B0484A8" w14:textId="77777777" w:rsidTr="0059628C">
        <w:trPr>
          <w:trHeight w:val="1060"/>
        </w:trPr>
        <w:tc>
          <w:tcPr>
            <w:tcW w:w="1300" w:type="dxa"/>
            <w:tcBorders>
              <w:top w:val="nil"/>
              <w:left w:val="single" w:sz="4" w:space="0" w:color="4472C4"/>
              <w:bottom w:val="single" w:sz="4" w:space="0" w:color="4472C4"/>
              <w:right w:val="single" w:sz="4" w:space="0" w:color="4472C4"/>
            </w:tcBorders>
            <w:shd w:val="clear" w:color="auto" w:fill="auto"/>
            <w:vAlign w:val="center"/>
            <w:hideMark/>
          </w:tcPr>
          <w:p w14:paraId="1BBD42B9"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12.00-13.00</w:t>
            </w:r>
          </w:p>
        </w:tc>
        <w:tc>
          <w:tcPr>
            <w:tcW w:w="1760" w:type="dxa"/>
            <w:vMerge/>
            <w:tcBorders>
              <w:top w:val="nil"/>
              <w:left w:val="single" w:sz="4" w:space="0" w:color="4472C4"/>
              <w:bottom w:val="nil"/>
              <w:right w:val="single" w:sz="4" w:space="0" w:color="4472C4"/>
            </w:tcBorders>
            <w:vAlign w:val="center"/>
            <w:hideMark/>
          </w:tcPr>
          <w:p w14:paraId="46B57645"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1440" w:type="dxa"/>
            <w:tcBorders>
              <w:top w:val="nil"/>
              <w:left w:val="nil"/>
              <w:bottom w:val="single" w:sz="4" w:space="0" w:color="4472C4"/>
              <w:right w:val="nil"/>
            </w:tcBorders>
            <w:shd w:val="clear" w:color="auto" w:fill="auto"/>
            <w:vAlign w:val="center"/>
            <w:hideMark/>
          </w:tcPr>
          <w:p w14:paraId="3A86FE59" w14:textId="77777777" w:rsidR="0059628C" w:rsidRPr="0059628C" w:rsidRDefault="0059628C" w:rsidP="009D5FC3">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1.</w:t>
            </w:r>
            <w:r w:rsidR="00500031">
              <w:rPr>
                <w:rFonts w:ascii="Calibri" w:eastAsia="Times New Roman" w:hAnsi="Calibri" w:cs="Times New Roman"/>
                <w:color w:val="000000"/>
                <w:sz w:val="20"/>
                <w:szCs w:val="20"/>
                <w:lang w:val="en-GB" w:eastAsia="zh-CN"/>
              </w:rPr>
              <w:t xml:space="preserve"> WHO</w:t>
            </w:r>
            <w:r w:rsidRPr="0059628C">
              <w:rPr>
                <w:rFonts w:ascii="Calibri" w:eastAsia="Times New Roman" w:hAnsi="Calibri" w:cs="Times New Roman"/>
                <w:color w:val="000000"/>
                <w:sz w:val="20"/>
                <w:szCs w:val="20"/>
                <w:lang w:val="en-GB" w:eastAsia="zh-CN"/>
              </w:rPr>
              <w:t xml:space="preserve"> Quality rights </w:t>
            </w:r>
          </w:p>
        </w:tc>
        <w:tc>
          <w:tcPr>
            <w:tcW w:w="1440" w:type="dxa"/>
            <w:tcBorders>
              <w:top w:val="nil"/>
              <w:left w:val="nil"/>
              <w:bottom w:val="single" w:sz="4" w:space="0" w:color="4472C4"/>
              <w:right w:val="single" w:sz="4" w:space="0" w:color="4472C4"/>
            </w:tcBorders>
            <w:shd w:val="clear" w:color="auto" w:fill="auto"/>
            <w:vAlign w:val="center"/>
            <w:hideMark/>
          </w:tcPr>
          <w:p w14:paraId="67D86888" w14:textId="77777777" w:rsidR="0059628C" w:rsidRPr="0059628C" w:rsidRDefault="0059628C" w:rsidP="009D5FC3">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2. Special rapporteur report </w:t>
            </w:r>
          </w:p>
        </w:tc>
        <w:tc>
          <w:tcPr>
            <w:tcW w:w="1480" w:type="dxa"/>
            <w:tcBorders>
              <w:top w:val="nil"/>
              <w:left w:val="nil"/>
              <w:bottom w:val="single" w:sz="4" w:space="0" w:color="4472C4"/>
              <w:right w:val="single" w:sz="4" w:space="0" w:color="4472C4"/>
            </w:tcBorders>
            <w:shd w:val="clear" w:color="auto" w:fill="auto"/>
            <w:vAlign w:val="center"/>
            <w:hideMark/>
          </w:tcPr>
          <w:p w14:paraId="742F1F31"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7. Women with disabilities </w:t>
            </w:r>
          </w:p>
        </w:tc>
        <w:tc>
          <w:tcPr>
            <w:tcW w:w="1480" w:type="dxa"/>
            <w:tcBorders>
              <w:top w:val="nil"/>
              <w:left w:val="nil"/>
              <w:bottom w:val="single" w:sz="4" w:space="0" w:color="4472C4"/>
              <w:right w:val="single" w:sz="4" w:space="0" w:color="4472C4"/>
            </w:tcBorders>
            <w:shd w:val="clear" w:color="auto" w:fill="auto"/>
            <w:vAlign w:val="center"/>
            <w:hideMark/>
          </w:tcPr>
          <w:p w14:paraId="4ECC8952"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8. Disability determination </w:t>
            </w:r>
          </w:p>
        </w:tc>
        <w:tc>
          <w:tcPr>
            <w:tcW w:w="3120" w:type="dxa"/>
            <w:gridSpan w:val="3"/>
            <w:tcBorders>
              <w:top w:val="single" w:sz="4" w:space="0" w:color="4472C4"/>
              <w:left w:val="nil"/>
              <w:bottom w:val="single" w:sz="4" w:space="0" w:color="4472C4"/>
              <w:right w:val="single" w:sz="4" w:space="0" w:color="4472C4"/>
            </w:tcBorders>
            <w:shd w:val="clear" w:color="auto" w:fill="auto"/>
            <w:vAlign w:val="center"/>
            <w:hideMark/>
          </w:tcPr>
          <w:p w14:paraId="17BCE5A2"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Plenary Decisions</w:t>
            </w:r>
          </w:p>
        </w:tc>
        <w:tc>
          <w:tcPr>
            <w:tcW w:w="1460" w:type="dxa"/>
            <w:vMerge/>
            <w:tcBorders>
              <w:top w:val="nil"/>
              <w:left w:val="single" w:sz="4" w:space="0" w:color="4472C4"/>
              <w:bottom w:val="single" w:sz="4" w:space="0" w:color="4472C4"/>
              <w:right w:val="single" w:sz="4" w:space="0" w:color="4472C4"/>
            </w:tcBorders>
            <w:vAlign w:val="center"/>
            <w:hideMark/>
          </w:tcPr>
          <w:p w14:paraId="44C23F55"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r>
      <w:tr w:rsidR="0059628C" w:rsidRPr="0059628C" w14:paraId="2C6730C1" w14:textId="77777777" w:rsidTr="0059628C">
        <w:trPr>
          <w:trHeight w:val="227"/>
        </w:trPr>
        <w:tc>
          <w:tcPr>
            <w:tcW w:w="1300" w:type="dxa"/>
            <w:tcBorders>
              <w:top w:val="nil"/>
              <w:left w:val="single" w:sz="4" w:space="0" w:color="4472C4"/>
              <w:bottom w:val="single" w:sz="4" w:space="0" w:color="4472C4"/>
              <w:right w:val="single" w:sz="4" w:space="0" w:color="4472C4"/>
            </w:tcBorders>
            <w:shd w:val="clear" w:color="000000" w:fill="D9D9D9"/>
            <w:vAlign w:val="center"/>
            <w:hideMark/>
          </w:tcPr>
          <w:p w14:paraId="276206A3"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w:t>
            </w:r>
          </w:p>
        </w:tc>
        <w:tc>
          <w:tcPr>
            <w:tcW w:w="1760" w:type="dxa"/>
            <w:tcBorders>
              <w:top w:val="nil"/>
              <w:left w:val="nil"/>
              <w:bottom w:val="single" w:sz="4" w:space="0" w:color="4472C4"/>
              <w:right w:val="single" w:sz="4" w:space="0" w:color="4472C4"/>
            </w:tcBorders>
            <w:shd w:val="clear" w:color="000000" w:fill="D9D9D9"/>
            <w:vAlign w:val="center"/>
            <w:hideMark/>
          </w:tcPr>
          <w:p w14:paraId="76A55A60"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w:t>
            </w:r>
          </w:p>
        </w:tc>
        <w:tc>
          <w:tcPr>
            <w:tcW w:w="2880" w:type="dxa"/>
            <w:gridSpan w:val="2"/>
            <w:tcBorders>
              <w:top w:val="single" w:sz="4" w:space="0" w:color="4472C4"/>
              <w:left w:val="nil"/>
              <w:bottom w:val="single" w:sz="4" w:space="0" w:color="4472C4"/>
              <w:right w:val="single" w:sz="4" w:space="0" w:color="4472C4"/>
            </w:tcBorders>
            <w:shd w:val="clear" w:color="000000" w:fill="D9D9D9"/>
            <w:vAlign w:val="center"/>
            <w:hideMark/>
          </w:tcPr>
          <w:p w14:paraId="408919CC"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Lunch</w:t>
            </w:r>
          </w:p>
        </w:tc>
        <w:tc>
          <w:tcPr>
            <w:tcW w:w="2960" w:type="dxa"/>
            <w:gridSpan w:val="2"/>
            <w:tcBorders>
              <w:top w:val="single" w:sz="4" w:space="0" w:color="4472C4"/>
              <w:left w:val="nil"/>
              <w:bottom w:val="single" w:sz="4" w:space="0" w:color="4472C4"/>
              <w:right w:val="single" w:sz="4" w:space="0" w:color="4472C4"/>
            </w:tcBorders>
            <w:shd w:val="clear" w:color="000000" w:fill="D9D9D9"/>
            <w:vAlign w:val="center"/>
            <w:hideMark/>
          </w:tcPr>
          <w:p w14:paraId="66AF89F0"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Lunch</w:t>
            </w:r>
          </w:p>
        </w:tc>
        <w:tc>
          <w:tcPr>
            <w:tcW w:w="3120" w:type="dxa"/>
            <w:gridSpan w:val="3"/>
            <w:tcBorders>
              <w:top w:val="single" w:sz="4" w:space="0" w:color="4472C4"/>
              <w:left w:val="nil"/>
              <w:bottom w:val="single" w:sz="4" w:space="0" w:color="4472C4"/>
              <w:right w:val="single" w:sz="4" w:space="0" w:color="4472C4"/>
            </w:tcBorders>
            <w:shd w:val="clear" w:color="000000" w:fill="D9D9D9"/>
            <w:vAlign w:val="center"/>
            <w:hideMark/>
          </w:tcPr>
          <w:p w14:paraId="774BAC6D"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Lunch</w:t>
            </w:r>
          </w:p>
        </w:tc>
        <w:tc>
          <w:tcPr>
            <w:tcW w:w="1460" w:type="dxa"/>
            <w:vMerge w:val="restart"/>
            <w:tcBorders>
              <w:top w:val="nil"/>
              <w:left w:val="single" w:sz="4" w:space="0" w:color="4472C4"/>
              <w:bottom w:val="single" w:sz="4" w:space="0" w:color="4472C4"/>
              <w:right w:val="single" w:sz="4" w:space="0" w:color="4472C4"/>
            </w:tcBorders>
            <w:shd w:val="clear" w:color="000000" w:fill="D9D9D9"/>
            <w:vAlign w:val="center"/>
            <w:hideMark/>
          </w:tcPr>
          <w:p w14:paraId="2D22D58C"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w:t>
            </w:r>
          </w:p>
        </w:tc>
      </w:tr>
      <w:tr w:rsidR="0059628C" w:rsidRPr="0059628C" w14:paraId="008A5359" w14:textId="77777777" w:rsidTr="0059628C">
        <w:trPr>
          <w:trHeight w:val="860"/>
        </w:trPr>
        <w:tc>
          <w:tcPr>
            <w:tcW w:w="1300" w:type="dxa"/>
            <w:tcBorders>
              <w:top w:val="nil"/>
              <w:left w:val="single" w:sz="4" w:space="0" w:color="4472C4"/>
              <w:bottom w:val="single" w:sz="4" w:space="0" w:color="4472C4"/>
              <w:right w:val="single" w:sz="4" w:space="0" w:color="4472C4"/>
            </w:tcBorders>
            <w:shd w:val="clear" w:color="auto" w:fill="auto"/>
            <w:vAlign w:val="center"/>
            <w:hideMark/>
          </w:tcPr>
          <w:p w14:paraId="0DC62E3D"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14.15-15.05</w:t>
            </w:r>
          </w:p>
        </w:tc>
        <w:tc>
          <w:tcPr>
            <w:tcW w:w="1760" w:type="dxa"/>
            <w:vMerge w:val="restart"/>
            <w:tcBorders>
              <w:top w:val="nil"/>
              <w:left w:val="single" w:sz="4" w:space="0" w:color="4472C4"/>
              <w:bottom w:val="single" w:sz="4" w:space="0" w:color="4472C4"/>
              <w:right w:val="single" w:sz="4" w:space="0" w:color="4472C4"/>
            </w:tcBorders>
            <w:shd w:val="clear" w:color="000000" w:fill="E2EFDA"/>
            <w:vAlign w:val="center"/>
            <w:hideMark/>
          </w:tcPr>
          <w:p w14:paraId="06E890A3" w14:textId="77777777" w:rsidR="008A4B04" w:rsidRDefault="008A4B04" w:rsidP="0059628C">
            <w:pPr>
              <w:spacing w:after="0" w:line="240" w:lineRule="auto"/>
              <w:jc w:val="center"/>
              <w:rPr>
                <w:rFonts w:ascii="Calibri" w:eastAsia="Times New Roman" w:hAnsi="Calibri" w:cs="Times New Roman"/>
                <w:b/>
                <w:bCs/>
                <w:color w:val="000000"/>
                <w:sz w:val="20"/>
                <w:szCs w:val="20"/>
                <w:lang w:val="en-GB" w:eastAsia="zh-CN"/>
              </w:rPr>
            </w:pPr>
            <w:r>
              <w:rPr>
                <w:rFonts w:ascii="Calibri" w:eastAsia="Times New Roman" w:hAnsi="Calibri" w:cs="Times New Roman"/>
                <w:b/>
                <w:bCs/>
                <w:color w:val="000000"/>
                <w:sz w:val="20"/>
                <w:szCs w:val="20"/>
                <w:lang w:val="en-GB" w:eastAsia="zh-CN"/>
              </w:rPr>
              <w:t xml:space="preserve">3pm -6pm </w:t>
            </w:r>
          </w:p>
          <w:p w14:paraId="230172B7"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b/>
                <w:bCs/>
                <w:color w:val="000000"/>
                <w:sz w:val="20"/>
                <w:szCs w:val="20"/>
                <w:lang w:val="en-GB" w:eastAsia="zh-CN"/>
              </w:rPr>
              <w:t>INDUCTION NEW MEMBERS</w:t>
            </w:r>
            <w:r w:rsidRPr="0059628C">
              <w:rPr>
                <w:rFonts w:ascii="Calibri" w:eastAsia="Times New Roman" w:hAnsi="Calibri" w:cs="Times New Roman"/>
                <w:color w:val="000000"/>
                <w:sz w:val="20"/>
                <w:szCs w:val="20"/>
                <w:lang w:val="en-GB" w:eastAsia="zh-CN"/>
              </w:rPr>
              <w:br/>
              <w:t>What is TCI?</w:t>
            </w:r>
            <w:r w:rsidRPr="0059628C">
              <w:rPr>
                <w:rFonts w:ascii="Calibri" w:eastAsia="Times New Roman" w:hAnsi="Calibri" w:cs="Times New Roman"/>
                <w:color w:val="000000"/>
                <w:sz w:val="20"/>
                <w:szCs w:val="20"/>
                <w:lang w:val="en-GB" w:eastAsia="zh-CN"/>
              </w:rPr>
              <w:br/>
              <w:t>CRPD</w:t>
            </w:r>
            <w:r w:rsidRPr="0059628C">
              <w:rPr>
                <w:rFonts w:ascii="Calibri" w:eastAsia="Times New Roman" w:hAnsi="Calibri" w:cs="Times New Roman"/>
                <w:color w:val="000000"/>
                <w:sz w:val="20"/>
                <w:szCs w:val="20"/>
                <w:lang w:val="en-GB" w:eastAsia="zh-CN"/>
              </w:rPr>
              <w:br/>
              <w:t>Art 19</w:t>
            </w:r>
            <w:r w:rsidRPr="0059628C">
              <w:rPr>
                <w:rFonts w:ascii="Calibri" w:eastAsia="Times New Roman" w:hAnsi="Calibri" w:cs="Times New Roman"/>
                <w:color w:val="000000"/>
                <w:sz w:val="20"/>
                <w:szCs w:val="20"/>
                <w:lang w:val="en-GB" w:eastAsia="zh-CN"/>
              </w:rPr>
              <w:br/>
              <w:t>Transformative services</w:t>
            </w:r>
            <w:r w:rsidRPr="0059628C">
              <w:rPr>
                <w:rFonts w:ascii="Calibri" w:eastAsia="Times New Roman" w:hAnsi="Calibri" w:cs="Times New Roman"/>
                <w:color w:val="000000"/>
                <w:sz w:val="20"/>
                <w:szCs w:val="20"/>
                <w:lang w:val="en-GB" w:eastAsia="zh-CN"/>
              </w:rPr>
              <w:br/>
              <w:t>…</w:t>
            </w:r>
          </w:p>
        </w:tc>
        <w:tc>
          <w:tcPr>
            <w:tcW w:w="2880" w:type="dxa"/>
            <w:gridSpan w:val="2"/>
            <w:tcBorders>
              <w:top w:val="single" w:sz="4" w:space="0" w:color="4472C4"/>
              <w:left w:val="nil"/>
              <w:bottom w:val="single" w:sz="4" w:space="0" w:color="4472C4"/>
              <w:right w:val="single" w:sz="4" w:space="0" w:color="4472C4"/>
            </w:tcBorders>
            <w:shd w:val="clear" w:color="auto" w:fill="auto"/>
            <w:vAlign w:val="center"/>
            <w:hideMark/>
          </w:tcPr>
          <w:p w14:paraId="099AA47C" w14:textId="77777777" w:rsidR="0059628C" w:rsidRPr="0059628C" w:rsidRDefault="0059628C" w:rsidP="009D5FC3">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C. The inclusion report</w:t>
            </w:r>
            <w:r w:rsidR="00500031">
              <w:rPr>
                <w:rFonts w:ascii="Calibri" w:eastAsia="Times New Roman" w:hAnsi="Calibri" w:cs="Times New Roman"/>
                <w:color w:val="000000"/>
                <w:sz w:val="20"/>
                <w:szCs w:val="20"/>
                <w:lang w:val="en-GB" w:eastAsia="zh-CN"/>
              </w:rPr>
              <w:t>(s)</w:t>
            </w:r>
          </w:p>
        </w:tc>
        <w:tc>
          <w:tcPr>
            <w:tcW w:w="2960" w:type="dxa"/>
            <w:gridSpan w:val="2"/>
            <w:tcBorders>
              <w:top w:val="single" w:sz="4" w:space="0" w:color="4472C4"/>
              <w:left w:val="nil"/>
              <w:bottom w:val="single" w:sz="4" w:space="0" w:color="4472C4"/>
              <w:right w:val="single" w:sz="4" w:space="0" w:color="4472C4"/>
            </w:tcBorders>
            <w:shd w:val="clear" w:color="auto" w:fill="auto"/>
            <w:vAlign w:val="center"/>
            <w:hideMark/>
          </w:tcPr>
          <w:p w14:paraId="0CA4DFE6"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G. Kenya case study </w:t>
            </w:r>
          </w:p>
        </w:tc>
        <w:tc>
          <w:tcPr>
            <w:tcW w:w="3120" w:type="dxa"/>
            <w:gridSpan w:val="3"/>
            <w:vMerge w:val="restart"/>
            <w:tcBorders>
              <w:top w:val="single" w:sz="4" w:space="0" w:color="4472C4"/>
              <w:left w:val="single" w:sz="4" w:space="0" w:color="4472C4"/>
              <w:bottom w:val="single" w:sz="4" w:space="0" w:color="4472C4"/>
              <w:right w:val="single" w:sz="4" w:space="0" w:color="4472C4"/>
            </w:tcBorders>
            <w:shd w:val="clear" w:color="000000" w:fill="FFF2CC"/>
            <w:vAlign w:val="center"/>
            <w:hideMark/>
          </w:tcPr>
          <w:p w14:paraId="2C2E2C89"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STEERING COMMITTEE</w:t>
            </w:r>
          </w:p>
        </w:tc>
        <w:tc>
          <w:tcPr>
            <w:tcW w:w="1460" w:type="dxa"/>
            <w:vMerge/>
            <w:tcBorders>
              <w:top w:val="nil"/>
              <w:left w:val="single" w:sz="4" w:space="0" w:color="4472C4"/>
              <w:bottom w:val="single" w:sz="4" w:space="0" w:color="4472C4"/>
              <w:right w:val="single" w:sz="4" w:space="0" w:color="4472C4"/>
            </w:tcBorders>
            <w:vAlign w:val="center"/>
            <w:hideMark/>
          </w:tcPr>
          <w:p w14:paraId="026F3D2B"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r>
      <w:tr w:rsidR="0059628C" w:rsidRPr="0059628C" w14:paraId="7D82CA2B" w14:textId="77777777" w:rsidTr="0059628C">
        <w:trPr>
          <w:trHeight w:val="920"/>
        </w:trPr>
        <w:tc>
          <w:tcPr>
            <w:tcW w:w="1300" w:type="dxa"/>
            <w:tcBorders>
              <w:top w:val="nil"/>
              <w:left w:val="single" w:sz="4" w:space="0" w:color="4472C4"/>
              <w:bottom w:val="single" w:sz="4" w:space="0" w:color="4472C4"/>
              <w:right w:val="single" w:sz="4" w:space="0" w:color="4472C4"/>
            </w:tcBorders>
            <w:shd w:val="clear" w:color="auto" w:fill="auto"/>
            <w:vAlign w:val="center"/>
            <w:hideMark/>
          </w:tcPr>
          <w:p w14:paraId="55AC1DB4"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15.15-16.15</w:t>
            </w:r>
          </w:p>
        </w:tc>
        <w:tc>
          <w:tcPr>
            <w:tcW w:w="1760" w:type="dxa"/>
            <w:vMerge/>
            <w:tcBorders>
              <w:top w:val="nil"/>
              <w:left w:val="single" w:sz="4" w:space="0" w:color="4472C4"/>
              <w:bottom w:val="single" w:sz="4" w:space="0" w:color="4472C4"/>
              <w:right w:val="single" w:sz="4" w:space="0" w:color="4472C4"/>
            </w:tcBorders>
            <w:vAlign w:val="center"/>
            <w:hideMark/>
          </w:tcPr>
          <w:p w14:paraId="46FC5ED9"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2880" w:type="dxa"/>
            <w:gridSpan w:val="2"/>
            <w:tcBorders>
              <w:top w:val="single" w:sz="4" w:space="0" w:color="4472C4"/>
              <w:left w:val="nil"/>
              <w:bottom w:val="single" w:sz="4" w:space="0" w:color="4472C4"/>
              <w:right w:val="single" w:sz="4" w:space="0" w:color="4472C4"/>
            </w:tcBorders>
            <w:shd w:val="clear" w:color="auto" w:fill="auto"/>
            <w:vAlign w:val="center"/>
            <w:hideMark/>
          </w:tcPr>
          <w:p w14:paraId="5ACF771C"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D. Human rights based services for inclusion</w:t>
            </w:r>
          </w:p>
        </w:tc>
        <w:tc>
          <w:tcPr>
            <w:tcW w:w="1480" w:type="dxa"/>
            <w:tcBorders>
              <w:top w:val="nil"/>
              <w:left w:val="nil"/>
              <w:bottom w:val="single" w:sz="4" w:space="0" w:color="4472C4"/>
              <w:right w:val="single" w:sz="4" w:space="0" w:color="4472C4"/>
            </w:tcBorders>
            <w:shd w:val="clear" w:color="auto" w:fill="auto"/>
            <w:vAlign w:val="center"/>
            <w:hideMark/>
          </w:tcPr>
          <w:p w14:paraId="64194390"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9. Legal issues </w:t>
            </w:r>
          </w:p>
        </w:tc>
        <w:tc>
          <w:tcPr>
            <w:tcW w:w="1480" w:type="dxa"/>
            <w:tcBorders>
              <w:top w:val="nil"/>
              <w:left w:val="nil"/>
              <w:bottom w:val="single" w:sz="4" w:space="0" w:color="4472C4"/>
              <w:right w:val="single" w:sz="4" w:space="0" w:color="4472C4"/>
            </w:tcBorders>
            <w:shd w:val="clear" w:color="auto" w:fill="auto"/>
            <w:vAlign w:val="center"/>
            <w:hideMark/>
          </w:tcPr>
          <w:p w14:paraId="3841D5B6"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10. Public financing  </w:t>
            </w:r>
          </w:p>
        </w:tc>
        <w:tc>
          <w:tcPr>
            <w:tcW w:w="3120" w:type="dxa"/>
            <w:gridSpan w:val="3"/>
            <w:vMerge/>
            <w:tcBorders>
              <w:top w:val="nil"/>
              <w:left w:val="nil"/>
              <w:bottom w:val="single" w:sz="4" w:space="0" w:color="4472C4"/>
              <w:right w:val="single" w:sz="4" w:space="0" w:color="4472C4"/>
            </w:tcBorders>
            <w:vAlign w:val="center"/>
            <w:hideMark/>
          </w:tcPr>
          <w:p w14:paraId="50B07E42"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1460" w:type="dxa"/>
            <w:vMerge/>
            <w:tcBorders>
              <w:top w:val="nil"/>
              <w:left w:val="single" w:sz="4" w:space="0" w:color="4472C4"/>
              <w:bottom w:val="single" w:sz="4" w:space="0" w:color="4472C4"/>
              <w:right w:val="single" w:sz="4" w:space="0" w:color="4472C4"/>
            </w:tcBorders>
            <w:vAlign w:val="center"/>
            <w:hideMark/>
          </w:tcPr>
          <w:p w14:paraId="1DE88D55"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r>
      <w:tr w:rsidR="0059628C" w:rsidRPr="0059628C" w14:paraId="253D0331" w14:textId="77777777" w:rsidTr="0059628C">
        <w:trPr>
          <w:trHeight w:val="157"/>
        </w:trPr>
        <w:tc>
          <w:tcPr>
            <w:tcW w:w="1300" w:type="dxa"/>
            <w:tcBorders>
              <w:top w:val="nil"/>
              <w:left w:val="single" w:sz="4" w:space="0" w:color="4472C4"/>
              <w:bottom w:val="single" w:sz="4" w:space="0" w:color="4472C4"/>
              <w:right w:val="single" w:sz="4" w:space="0" w:color="4472C4"/>
            </w:tcBorders>
            <w:shd w:val="clear" w:color="000000" w:fill="D9D9D9"/>
            <w:vAlign w:val="center"/>
            <w:hideMark/>
          </w:tcPr>
          <w:p w14:paraId="1D92E117"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w:t>
            </w:r>
          </w:p>
        </w:tc>
        <w:tc>
          <w:tcPr>
            <w:tcW w:w="1760" w:type="dxa"/>
            <w:vMerge/>
            <w:tcBorders>
              <w:top w:val="nil"/>
              <w:left w:val="single" w:sz="4" w:space="0" w:color="4472C4"/>
              <w:bottom w:val="single" w:sz="4" w:space="0" w:color="4472C4"/>
              <w:right w:val="single" w:sz="4" w:space="0" w:color="4472C4"/>
            </w:tcBorders>
            <w:vAlign w:val="center"/>
            <w:hideMark/>
          </w:tcPr>
          <w:p w14:paraId="26D1E06F"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2880" w:type="dxa"/>
            <w:gridSpan w:val="2"/>
            <w:tcBorders>
              <w:top w:val="single" w:sz="4" w:space="0" w:color="4472C4"/>
              <w:left w:val="nil"/>
              <w:bottom w:val="single" w:sz="4" w:space="0" w:color="4472C4"/>
              <w:right w:val="single" w:sz="4" w:space="0" w:color="4472C4"/>
            </w:tcBorders>
            <w:shd w:val="clear" w:color="000000" w:fill="D9D9D9"/>
            <w:vAlign w:val="center"/>
            <w:hideMark/>
          </w:tcPr>
          <w:p w14:paraId="5C9BDB30"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Break</w:t>
            </w:r>
          </w:p>
        </w:tc>
        <w:tc>
          <w:tcPr>
            <w:tcW w:w="2960" w:type="dxa"/>
            <w:gridSpan w:val="2"/>
            <w:tcBorders>
              <w:top w:val="single" w:sz="4" w:space="0" w:color="4472C4"/>
              <w:left w:val="nil"/>
              <w:bottom w:val="single" w:sz="4" w:space="0" w:color="4472C4"/>
              <w:right w:val="single" w:sz="4" w:space="0" w:color="4472C4"/>
            </w:tcBorders>
            <w:shd w:val="clear" w:color="000000" w:fill="D9D9D9"/>
            <w:vAlign w:val="center"/>
            <w:hideMark/>
          </w:tcPr>
          <w:p w14:paraId="6234AA9C"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Break</w:t>
            </w:r>
          </w:p>
        </w:tc>
        <w:tc>
          <w:tcPr>
            <w:tcW w:w="3120" w:type="dxa"/>
            <w:gridSpan w:val="3"/>
            <w:vMerge/>
            <w:tcBorders>
              <w:top w:val="nil"/>
              <w:left w:val="nil"/>
              <w:bottom w:val="single" w:sz="4" w:space="0" w:color="4472C4"/>
              <w:right w:val="single" w:sz="4" w:space="0" w:color="4472C4"/>
            </w:tcBorders>
            <w:vAlign w:val="center"/>
            <w:hideMark/>
          </w:tcPr>
          <w:p w14:paraId="19820B46"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1460" w:type="dxa"/>
            <w:vMerge/>
            <w:tcBorders>
              <w:top w:val="nil"/>
              <w:left w:val="single" w:sz="4" w:space="0" w:color="4472C4"/>
              <w:bottom w:val="single" w:sz="4" w:space="0" w:color="4472C4"/>
              <w:right w:val="single" w:sz="4" w:space="0" w:color="4472C4"/>
            </w:tcBorders>
            <w:vAlign w:val="center"/>
            <w:hideMark/>
          </w:tcPr>
          <w:p w14:paraId="2CF745C9"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r>
      <w:tr w:rsidR="0059628C" w:rsidRPr="0059628C" w14:paraId="79908B25" w14:textId="77777777" w:rsidTr="0059628C">
        <w:trPr>
          <w:trHeight w:val="1320"/>
        </w:trPr>
        <w:tc>
          <w:tcPr>
            <w:tcW w:w="1300" w:type="dxa"/>
            <w:tcBorders>
              <w:top w:val="nil"/>
              <w:left w:val="single" w:sz="4" w:space="0" w:color="4472C4"/>
              <w:bottom w:val="nil"/>
              <w:right w:val="single" w:sz="4" w:space="0" w:color="4472C4"/>
            </w:tcBorders>
            <w:shd w:val="clear" w:color="auto" w:fill="auto"/>
            <w:vAlign w:val="center"/>
            <w:hideMark/>
          </w:tcPr>
          <w:p w14:paraId="30B03A1B"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16.30-17.30</w:t>
            </w:r>
          </w:p>
        </w:tc>
        <w:tc>
          <w:tcPr>
            <w:tcW w:w="1760" w:type="dxa"/>
            <w:vMerge/>
            <w:tcBorders>
              <w:top w:val="nil"/>
              <w:left w:val="single" w:sz="4" w:space="0" w:color="4472C4"/>
              <w:bottom w:val="single" w:sz="4" w:space="0" w:color="4472C4"/>
              <w:right w:val="single" w:sz="4" w:space="0" w:color="4472C4"/>
            </w:tcBorders>
            <w:vAlign w:val="center"/>
            <w:hideMark/>
          </w:tcPr>
          <w:p w14:paraId="73B1E656"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1440" w:type="dxa"/>
            <w:tcBorders>
              <w:top w:val="nil"/>
              <w:left w:val="nil"/>
              <w:bottom w:val="single" w:sz="4" w:space="0" w:color="4472C4"/>
              <w:right w:val="single" w:sz="4" w:space="0" w:color="4472C4"/>
            </w:tcBorders>
            <w:shd w:val="clear" w:color="auto" w:fill="auto"/>
            <w:vAlign w:val="center"/>
            <w:hideMark/>
          </w:tcPr>
          <w:p w14:paraId="0ADE6ADB"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3. Advocacy for change  </w:t>
            </w:r>
          </w:p>
        </w:tc>
        <w:tc>
          <w:tcPr>
            <w:tcW w:w="1440" w:type="dxa"/>
            <w:tcBorders>
              <w:top w:val="nil"/>
              <w:left w:val="nil"/>
              <w:bottom w:val="single" w:sz="4" w:space="0" w:color="4472C4"/>
              <w:right w:val="nil"/>
            </w:tcBorders>
            <w:shd w:val="clear" w:color="auto" w:fill="auto"/>
            <w:vAlign w:val="center"/>
            <w:hideMark/>
          </w:tcPr>
          <w:p w14:paraId="11B5FF8B"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4. Community support system </w:t>
            </w:r>
          </w:p>
        </w:tc>
        <w:tc>
          <w:tcPr>
            <w:tcW w:w="2960" w:type="dxa"/>
            <w:gridSpan w:val="2"/>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0E1942E1"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Feedback groups in plenary on cross cutting issues </w:t>
            </w:r>
            <w:r w:rsidRPr="0059628C">
              <w:rPr>
                <w:rFonts w:ascii="Calibri" w:eastAsia="Times New Roman" w:hAnsi="Calibri" w:cs="Times New Roman"/>
                <w:color w:val="000000"/>
                <w:sz w:val="20"/>
                <w:szCs w:val="20"/>
                <w:lang w:val="en-GB" w:eastAsia="zh-CN"/>
              </w:rPr>
              <w:br/>
              <w:t xml:space="preserve">Preparation planning and decision plenary  </w:t>
            </w:r>
          </w:p>
        </w:tc>
        <w:tc>
          <w:tcPr>
            <w:tcW w:w="3120" w:type="dxa"/>
            <w:gridSpan w:val="3"/>
            <w:vMerge/>
            <w:tcBorders>
              <w:top w:val="nil"/>
              <w:left w:val="nil"/>
              <w:bottom w:val="single" w:sz="4" w:space="0" w:color="4472C4"/>
              <w:right w:val="single" w:sz="4" w:space="0" w:color="4472C4"/>
            </w:tcBorders>
            <w:vAlign w:val="center"/>
            <w:hideMark/>
          </w:tcPr>
          <w:p w14:paraId="7A275ADF"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c>
          <w:tcPr>
            <w:tcW w:w="1460" w:type="dxa"/>
            <w:vMerge/>
            <w:tcBorders>
              <w:top w:val="nil"/>
              <w:left w:val="single" w:sz="4" w:space="0" w:color="4472C4"/>
              <w:bottom w:val="single" w:sz="4" w:space="0" w:color="4472C4"/>
              <w:right w:val="single" w:sz="4" w:space="0" w:color="4472C4"/>
            </w:tcBorders>
            <w:vAlign w:val="center"/>
            <w:hideMark/>
          </w:tcPr>
          <w:p w14:paraId="52D61280"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r>
      <w:tr w:rsidR="0059628C" w:rsidRPr="0059628C" w14:paraId="7560B4BD" w14:textId="77777777" w:rsidTr="0059628C">
        <w:trPr>
          <w:trHeight w:val="640"/>
        </w:trPr>
        <w:tc>
          <w:tcPr>
            <w:tcW w:w="1300" w:type="dxa"/>
            <w:tcBorders>
              <w:top w:val="nil"/>
              <w:left w:val="single" w:sz="4" w:space="0" w:color="4472C4"/>
              <w:bottom w:val="single" w:sz="4" w:space="0" w:color="4472C4"/>
              <w:right w:val="single" w:sz="4" w:space="0" w:color="4472C4"/>
            </w:tcBorders>
            <w:shd w:val="clear" w:color="auto" w:fill="auto"/>
            <w:vAlign w:val="center"/>
            <w:hideMark/>
          </w:tcPr>
          <w:p w14:paraId="3936F1B1"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w:t>
            </w:r>
          </w:p>
        </w:tc>
        <w:tc>
          <w:tcPr>
            <w:tcW w:w="1760" w:type="dxa"/>
            <w:tcBorders>
              <w:top w:val="nil"/>
              <w:left w:val="nil"/>
              <w:bottom w:val="single" w:sz="4" w:space="0" w:color="4472C4"/>
              <w:right w:val="single" w:sz="4" w:space="0" w:color="4472C4"/>
            </w:tcBorders>
            <w:shd w:val="clear" w:color="auto" w:fill="auto"/>
            <w:vAlign w:val="center"/>
            <w:hideMark/>
          </w:tcPr>
          <w:p w14:paraId="0BE2F8D5" w14:textId="77777777" w:rsidR="0059628C" w:rsidRPr="0059628C" w:rsidRDefault="0059628C" w:rsidP="0059628C">
            <w:pPr>
              <w:spacing w:after="0" w:line="240" w:lineRule="auto"/>
              <w:jc w:val="center"/>
              <w:rPr>
                <w:rFonts w:ascii="Calibri" w:eastAsia="Times New Roman" w:hAnsi="Calibri" w:cs="Times New Roman"/>
                <w:color w:val="000000"/>
                <w:sz w:val="20"/>
                <w:szCs w:val="20"/>
                <w:lang w:val="en-GB" w:eastAsia="zh-CN"/>
              </w:rPr>
            </w:pPr>
            <w:r w:rsidRPr="0059628C">
              <w:rPr>
                <w:rFonts w:ascii="Calibri" w:eastAsia="Times New Roman" w:hAnsi="Calibri" w:cs="Times New Roman"/>
                <w:color w:val="000000"/>
                <w:sz w:val="20"/>
                <w:szCs w:val="20"/>
                <w:lang w:val="en-GB" w:eastAsia="zh-CN"/>
              </w:rPr>
              <w:t xml:space="preserve">Preparation </w:t>
            </w:r>
          </w:p>
        </w:tc>
        <w:tc>
          <w:tcPr>
            <w:tcW w:w="2880" w:type="dxa"/>
            <w:gridSpan w:val="2"/>
            <w:tcBorders>
              <w:top w:val="single" w:sz="4" w:space="0" w:color="4472C4"/>
              <w:left w:val="nil"/>
              <w:bottom w:val="single" w:sz="4" w:space="0" w:color="4472C4"/>
              <w:right w:val="single" w:sz="4" w:space="0" w:color="4472C4"/>
            </w:tcBorders>
            <w:shd w:val="clear" w:color="auto" w:fill="auto"/>
            <w:vAlign w:val="center"/>
            <w:hideMark/>
          </w:tcPr>
          <w:p w14:paraId="1D70BB94" w14:textId="77777777" w:rsidR="0059628C" w:rsidRPr="0059628C" w:rsidRDefault="0059628C" w:rsidP="0059628C">
            <w:pPr>
              <w:spacing w:after="0" w:line="240" w:lineRule="auto"/>
              <w:jc w:val="center"/>
              <w:rPr>
                <w:rFonts w:ascii="Calibri" w:eastAsia="Times New Roman" w:hAnsi="Calibri" w:cs="Times New Roman"/>
                <w:b/>
                <w:bCs/>
                <w:color w:val="000000"/>
                <w:sz w:val="20"/>
                <w:szCs w:val="20"/>
                <w:lang w:val="en-GB" w:eastAsia="zh-CN"/>
              </w:rPr>
            </w:pPr>
            <w:r w:rsidRPr="0059628C">
              <w:rPr>
                <w:rFonts w:ascii="Calibri" w:eastAsia="Times New Roman" w:hAnsi="Calibri" w:cs="Times New Roman"/>
                <w:b/>
                <w:bCs/>
                <w:color w:val="000000"/>
                <w:sz w:val="20"/>
                <w:szCs w:val="20"/>
                <w:lang w:val="en-GB" w:eastAsia="zh-CN"/>
              </w:rPr>
              <w:t xml:space="preserve">SOCIAL EVENT </w:t>
            </w:r>
          </w:p>
        </w:tc>
        <w:tc>
          <w:tcPr>
            <w:tcW w:w="2960" w:type="dxa"/>
            <w:gridSpan w:val="2"/>
            <w:tcBorders>
              <w:top w:val="single" w:sz="4" w:space="0" w:color="4472C4"/>
              <w:left w:val="nil"/>
              <w:bottom w:val="single" w:sz="4" w:space="0" w:color="4472C4"/>
              <w:right w:val="single" w:sz="4" w:space="0" w:color="4472C4"/>
            </w:tcBorders>
            <w:shd w:val="clear" w:color="auto" w:fill="auto"/>
            <w:vAlign w:val="center"/>
            <w:hideMark/>
          </w:tcPr>
          <w:p w14:paraId="08D8D916" w14:textId="77777777" w:rsidR="0059628C" w:rsidRPr="0059628C" w:rsidRDefault="0059628C" w:rsidP="0059628C">
            <w:pPr>
              <w:spacing w:after="0" w:line="240" w:lineRule="auto"/>
              <w:jc w:val="center"/>
              <w:rPr>
                <w:rFonts w:ascii="Calibri" w:eastAsia="Times New Roman" w:hAnsi="Calibri" w:cs="Times New Roman"/>
                <w:b/>
                <w:bCs/>
                <w:color w:val="000000"/>
                <w:sz w:val="20"/>
                <w:szCs w:val="20"/>
                <w:lang w:val="en-GB" w:eastAsia="zh-CN"/>
              </w:rPr>
            </w:pPr>
            <w:r w:rsidRPr="0059628C">
              <w:rPr>
                <w:rFonts w:ascii="Calibri" w:eastAsia="Times New Roman" w:hAnsi="Calibri" w:cs="Times New Roman"/>
                <w:b/>
                <w:bCs/>
                <w:color w:val="000000"/>
                <w:sz w:val="20"/>
                <w:szCs w:val="20"/>
                <w:lang w:val="en-GB" w:eastAsia="zh-CN"/>
              </w:rPr>
              <w:t>Preparation of the declaration</w:t>
            </w:r>
          </w:p>
        </w:tc>
        <w:tc>
          <w:tcPr>
            <w:tcW w:w="3120" w:type="dxa"/>
            <w:gridSpan w:val="3"/>
            <w:tcBorders>
              <w:top w:val="single" w:sz="4" w:space="0" w:color="4472C4"/>
              <w:left w:val="nil"/>
              <w:bottom w:val="single" w:sz="4" w:space="0" w:color="4472C4"/>
              <w:right w:val="single" w:sz="4" w:space="0" w:color="4472C4"/>
            </w:tcBorders>
            <w:shd w:val="clear" w:color="auto" w:fill="auto"/>
            <w:vAlign w:val="center"/>
            <w:hideMark/>
          </w:tcPr>
          <w:p w14:paraId="020CDCF0" w14:textId="77777777" w:rsidR="0059628C" w:rsidRPr="0059628C" w:rsidRDefault="0059628C" w:rsidP="0059628C">
            <w:pPr>
              <w:spacing w:after="0" w:line="240" w:lineRule="auto"/>
              <w:jc w:val="center"/>
              <w:rPr>
                <w:rFonts w:ascii="Calibri" w:eastAsia="Times New Roman" w:hAnsi="Calibri" w:cs="Times New Roman"/>
                <w:b/>
                <w:bCs/>
                <w:color w:val="000000"/>
                <w:sz w:val="20"/>
                <w:szCs w:val="20"/>
                <w:lang w:val="en-GB" w:eastAsia="zh-CN"/>
              </w:rPr>
            </w:pPr>
            <w:r w:rsidRPr="0059628C">
              <w:rPr>
                <w:rFonts w:ascii="Calibri" w:eastAsia="Times New Roman" w:hAnsi="Calibri" w:cs="Times New Roman"/>
                <w:b/>
                <w:bCs/>
                <w:color w:val="000000"/>
                <w:sz w:val="20"/>
                <w:szCs w:val="20"/>
                <w:lang w:val="en-GB" w:eastAsia="zh-CN"/>
              </w:rPr>
              <w:t xml:space="preserve">Dinner Steering </w:t>
            </w:r>
            <w:r w:rsidR="00500031" w:rsidRPr="0059628C">
              <w:rPr>
                <w:rFonts w:ascii="Calibri" w:eastAsia="Times New Roman" w:hAnsi="Calibri" w:cs="Times New Roman"/>
                <w:b/>
                <w:bCs/>
                <w:color w:val="000000"/>
                <w:sz w:val="20"/>
                <w:szCs w:val="20"/>
                <w:lang w:val="en-GB" w:eastAsia="zh-CN"/>
              </w:rPr>
              <w:t>committ</w:t>
            </w:r>
            <w:r w:rsidR="00500031">
              <w:rPr>
                <w:rFonts w:ascii="Calibri" w:eastAsia="Times New Roman" w:hAnsi="Calibri" w:cs="Times New Roman"/>
                <w:b/>
                <w:bCs/>
                <w:color w:val="000000"/>
                <w:sz w:val="20"/>
                <w:szCs w:val="20"/>
                <w:lang w:val="en-GB" w:eastAsia="zh-CN"/>
              </w:rPr>
              <w:t>ee</w:t>
            </w:r>
          </w:p>
        </w:tc>
        <w:tc>
          <w:tcPr>
            <w:tcW w:w="1460" w:type="dxa"/>
            <w:vMerge/>
            <w:tcBorders>
              <w:top w:val="nil"/>
              <w:left w:val="single" w:sz="4" w:space="0" w:color="4472C4"/>
              <w:bottom w:val="single" w:sz="4" w:space="0" w:color="4472C4"/>
              <w:right w:val="single" w:sz="4" w:space="0" w:color="4472C4"/>
            </w:tcBorders>
            <w:vAlign w:val="center"/>
            <w:hideMark/>
          </w:tcPr>
          <w:p w14:paraId="4284A2A7" w14:textId="77777777" w:rsidR="0059628C" w:rsidRPr="0059628C" w:rsidRDefault="0059628C" w:rsidP="0059628C">
            <w:pPr>
              <w:spacing w:after="0" w:line="240" w:lineRule="auto"/>
              <w:rPr>
                <w:rFonts w:ascii="Calibri" w:eastAsia="Times New Roman" w:hAnsi="Calibri" w:cs="Times New Roman"/>
                <w:color w:val="000000"/>
                <w:sz w:val="20"/>
                <w:szCs w:val="20"/>
                <w:lang w:val="en-GB" w:eastAsia="zh-CN"/>
              </w:rPr>
            </w:pPr>
          </w:p>
        </w:tc>
      </w:tr>
    </w:tbl>
    <w:p w14:paraId="1A029FDD" w14:textId="77777777" w:rsidR="002448FD" w:rsidRDefault="002448FD" w:rsidP="00143C8E">
      <w:pPr>
        <w:spacing w:after="0" w:line="240" w:lineRule="auto"/>
        <w:rPr>
          <w:b/>
        </w:rPr>
        <w:sectPr w:rsidR="002448FD" w:rsidSect="002448FD">
          <w:pgSz w:w="16838" w:h="11906" w:orient="landscape"/>
          <w:pgMar w:top="1440" w:right="1440" w:bottom="1440" w:left="1440" w:header="708" w:footer="708" w:gutter="0"/>
          <w:cols w:space="708"/>
          <w:docGrid w:linePitch="360"/>
        </w:sectPr>
      </w:pPr>
    </w:p>
    <w:p w14:paraId="71BB95A8" w14:textId="77777777" w:rsidR="002448FD" w:rsidRPr="004878FF" w:rsidRDefault="0059628C" w:rsidP="00143C8E">
      <w:pPr>
        <w:spacing w:after="0" w:line="240" w:lineRule="auto"/>
        <w:rPr>
          <w:b/>
          <w:u w:val="single"/>
        </w:rPr>
      </w:pPr>
      <w:r w:rsidRPr="004878FF">
        <w:rPr>
          <w:b/>
          <w:u w:val="single"/>
        </w:rPr>
        <w:t>Thematic sessions:</w:t>
      </w:r>
    </w:p>
    <w:p w14:paraId="44694CF6" w14:textId="77777777" w:rsidR="00402A48" w:rsidRPr="004878FF" w:rsidRDefault="00402A48" w:rsidP="00143C8E">
      <w:pPr>
        <w:spacing w:after="0" w:line="240" w:lineRule="auto"/>
        <w:rPr>
          <w:b/>
        </w:rPr>
      </w:pPr>
    </w:p>
    <w:p w14:paraId="16BA47D2" w14:textId="77777777" w:rsidR="00402A48" w:rsidRPr="004878FF" w:rsidRDefault="00402A48" w:rsidP="0093742E">
      <w:pPr>
        <w:spacing w:after="0" w:line="240" w:lineRule="auto"/>
        <w:rPr>
          <w:bCs/>
        </w:rPr>
      </w:pPr>
      <w:r w:rsidRPr="004878FF">
        <w:rPr>
          <w:bCs/>
        </w:rPr>
        <w:t xml:space="preserve"> Below is a short</w:t>
      </w:r>
      <w:r w:rsidR="0093742E" w:rsidRPr="004878FF">
        <w:rPr>
          <w:bCs/>
        </w:rPr>
        <w:t xml:space="preserve"> and provisional </w:t>
      </w:r>
      <w:r w:rsidRPr="004878FF">
        <w:rPr>
          <w:bCs/>
        </w:rPr>
        <w:t xml:space="preserve"> description of  the different sessions </w:t>
      </w:r>
      <w:r w:rsidR="0093742E" w:rsidRPr="004878FF">
        <w:rPr>
          <w:bCs/>
        </w:rPr>
        <w:t>planned for the convening. It is important that members of the steering committee contribute to the facilitation of those sessions. Please indicate your interest for contributing or facilitating one or several sessions. Ideally, a diversity of steering committee members would be involved</w:t>
      </w:r>
    </w:p>
    <w:p w14:paraId="0361FD96" w14:textId="77777777" w:rsidR="0059628C" w:rsidRPr="004878FF" w:rsidRDefault="0059628C" w:rsidP="00143C8E">
      <w:pPr>
        <w:spacing w:after="0" w:line="240" w:lineRule="auto"/>
        <w:rPr>
          <w:b/>
        </w:rPr>
      </w:pPr>
    </w:p>
    <w:p w14:paraId="614A231B" w14:textId="77777777" w:rsidR="0059628C" w:rsidRPr="004878FF" w:rsidRDefault="0059628C" w:rsidP="00143C8E">
      <w:pPr>
        <w:spacing w:after="0" w:line="240" w:lineRule="auto"/>
        <w:rPr>
          <w:b/>
          <w:i/>
          <w:iCs/>
          <w:u w:val="single"/>
        </w:rPr>
      </w:pPr>
      <w:r w:rsidRPr="004878FF">
        <w:rPr>
          <w:b/>
          <w:i/>
          <w:iCs/>
          <w:u w:val="single"/>
        </w:rPr>
        <w:t>Plenary session</w:t>
      </w:r>
      <w:r w:rsidR="00034209" w:rsidRPr="004878FF">
        <w:rPr>
          <w:b/>
          <w:i/>
          <w:iCs/>
          <w:u w:val="single"/>
        </w:rPr>
        <w:t>s</w:t>
      </w:r>
      <w:r w:rsidR="00C16D3A" w:rsidRPr="004878FF">
        <w:rPr>
          <w:b/>
          <w:i/>
          <w:iCs/>
          <w:u w:val="single"/>
        </w:rPr>
        <w:t xml:space="preserve"> description</w:t>
      </w:r>
    </w:p>
    <w:p w14:paraId="7431A4D0" w14:textId="77777777" w:rsidR="0059628C" w:rsidRPr="004878FF" w:rsidRDefault="0059628C" w:rsidP="00143C8E">
      <w:pPr>
        <w:spacing w:after="0" w:line="240" w:lineRule="auto"/>
        <w:rPr>
          <w:b/>
        </w:rPr>
      </w:pPr>
    </w:p>
    <w:p w14:paraId="2F8CAFE2" w14:textId="77777777" w:rsidR="0059628C" w:rsidRPr="004878FF" w:rsidRDefault="0059628C" w:rsidP="0059628C">
      <w:pPr>
        <w:pStyle w:val="ListParagraph"/>
        <w:numPr>
          <w:ilvl w:val="0"/>
          <w:numId w:val="6"/>
        </w:numPr>
        <w:rPr>
          <w:u w:val="single"/>
        </w:rPr>
      </w:pPr>
      <w:r w:rsidRPr="004878FF">
        <w:rPr>
          <w:u w:val="single"/>
        </w:rPr>
        <w:t xml:space="preserve">Reframing the momentum </w:t>
      </w:r>
    </w:p>
    <w:p w14:paraId="43442F5E" w14:textId="77777777" w:rsidR="00D3731F" w:rsidRPr="004878FF" w:rsidRDefault="00B10B4C" w:rsidP="00C16D3A">
      <w:pPr>
        <w:pStyle w:val="CommentText"/>
        <w:ind w:left="360"/>
        <w:rPr>
          <w:bCs/>
          <w:sz w:val="22"/>
          <w:szCs w:val="22"/>
        </w:rPr>
      </w:pPr>
      <w:r w:rsidRPr="004878FF">
        <w:rPr>
          <w:bCs/>
          <w:sz w:val="22"/>
          <w:szCs w:val="22"/>
        </w:rPr>
        <w:t>This session w</w:t>
      </w:r>
      <w:r w:rsidR="00D3731F" w:rsidRPr="004878FF">
        <w:rPr>
          <w:bCs/>
          <w:sz w:val="22"/>
          <w:szCs w:val="22"/>
        </w:rPr>
        <w:t xml:space="preserve">ill </w:t>
      </w:r>
      <w:r w:rsidRPr="004878FF">
        <w:rPr>
          <w:bCs/>
          <w:sz w:val="22"/>
          <w:szCs w:val="22"/>
        </w:rPr>
        <w:t xml:space="preserve">tackled </w:t>
      </w:r>
      <w:r w:rsidR="00D3731F" w:rsidRPr="004878FF">
        <w:rPr>
          <w:bCs/>
          <w:sz w:val="22"/>
          <w:szCs w:val="22"/>
        </w:rPr>
        <w:t xml:space="preserve"> the key  issues</w:t>
      </w:r>
      <w:r w:rsidRPr="004878FF">
        <w:rPr>
          <w:bCs/>
          <w:sz w:val="22"/>
          <w:szCs w:val="22"/>
        </w:rPr>
        <w:t xml:space="preserve"> promoted</w:t>
      </w:r>
      <w:r w:rsidR="000D507B" w:rsidRPr="004878FF">
        <w:rPr>
          <w:bCs/>
          <w:sz w:val="22"/>
          <w:szCs w:val="22"/>
        </w:rPr>
        <w:t xml:space="preserve"> by TCI </w:t>
      </w:r>
      <w:r w:rsidRPr="004878FF">
        <w:rPr>
          <w:bCs/>
          <w:sz w:val="22"/>
          <w:szCs w:val="22"/>
        </w:rPr>
        <w:t xml:space="preserve">Asia. It will go back to the original charter of </w:t>
      </w:r>
      <w:r w:rsidR="000D507B" w:rsidRPr="004878FF">
        <w:rPr>
          <w:bCs/>
          <w:sz w:val="22"/>
          <w:szCs w:val="22"/>
        </w:rPr>
        <w:t>TCI Asia and describe the p</w:t>
      </w:r>
      <w:r w:rsidRPr="004878FF">
        <w:rPr>
          <w:bCs/>
          <w:sz w:val="22"/>
          <w:szCs w:val="22"/>
        </w:rPr>
        <w:t>ath achieved since</w:t>
      </w:r>
      <w:r w:rsidR="000D507B" w:rsidRPr="004878FF">
        <w:rPr>
          <w:bCs/>
          <w:sz w:val="22"/>
          <w:szCs w:val="22"/>
        </w:rPr>
        <w:t>. I</w:t>
      </w:r>
      <w:r w:rsidRPr="004878FF">
        <w:rPr>
          <w:bCs/>
          <w:sz w:val="22"/>
          <w:szCs w:val="22"/>
        </w:rPr>
        <w:t>t wil</w:t>
      </w:r>
      <w:r w:rsidR="000D507B" w:rsidRPr="004878FF">
        <w:rPr>
          <w:bCs/>
          <w:sz w:val="22"/>
          <w:szCs w:val="22"/>
        </w:rPr>
        <w:t xml:space="preserve">l articulate the key steps that </w:t>
      </w:r>
      <w:r w:rsidRPr="004878FF">
        <w:rPr>
          <w:bCs/>
          <w:sz w:val="22"/>
          <w:szCs w:val="22"/>
        </w:rPr>
        <w:t>ar</w:t>
      </w:r>
      <w:r w:rsidR="000D507B" w:rsidRPr="004878FF">
        <w:rPr>
          <w:bCs/>
          <w:sz w:val="22"/>
          <w:szCs w:val="22"/>
        </w:rPr>
        <w:t>e</w:t>
      </w:r>
      <w:r w:rsidRPr="004878FF">
        <w:rPr>
          <w:bCs/>
          <w:sz w:val="22"/>
          <w:szCs w:val="22"/>
        </w:rPr>
        <w:t xml:space="preserve"> required to reframe th</w:t>
      </w:r>
      <w:r w:rsidR="000D507B" w:rsidRPr="004878FF">
        <w:rPr>
          <w:bCs/>
          <w:sz w:val="22"/>
          <w:szCs w:val="22"/>
        </w:rPr>
        <w:t xml:space="preserve">e </w:t>
      </w:r>
      <w:r w:rsidR="00C16D3A" w:rsidRPr="004878FF">
        <w:rPr>
          <w:bCs/>
          <w:sz w:val="22"/>
          <w:szCs w:val="22"/>
        </w:rPr>
        <w:t xml:space="preserve">political and donors discussions around </w:t>
      </w:r>
      <w:r w:rsidR="000D507B" w:rsidRPr="004878FF">
        <w:rPr>
          <w:bCs/>
          <w:sz w:val="22"/>
          <w:szCs w:val="22"/>
        </w:rPr>
        <w:t>mental-health towa</w:t>
      </w:r>
      <w:r w:rsidRPr="004878FF">
        <w:rPr>
          <w:bCs/>
          <w:sz w:val="22"/>
          <w:szCs w:val="22"/>
        </w:rPr>
        <w:t>rds inclusive development and inclusive communities</w:t>
      </w:r>
      <w:r w:rsidR="000D507B" w:rsidRPr="004878FF">
        <w:rPr>
          <w:bCs/>
          <w:sz w:val="22"/>
          <w:szCs w:val="22"/>
        </w:rPr>
        <w:t xml:space="preserve"> and  </w:t>
      </w:r>
      <w:r w:rsidRPr="004878FF">
        <w:rPr>
          <w:bCs/>
          <w:sz w:val="22"/>
          <w:szCs w:val="22"/>
        </w:rPr>
        <w:t>will serve as a background for the overall convening.</w:t>
      </w:r>
      <w:r w:rsidR="002E70C9" w:rsidRPr="004878FF">
        <w:rPr>
          <w:bCs/>
          <w:sz w:val="22"/>
          <w:szCs w:val="22"/>
        </w:rPr>
        <w:t xml:space="preserve"> It will emphasise new ways of articulating questions</w:t>
      </w:r>
      <w:r w:rsidR="00C16D3A" w:rsidRPr="004878FF">
        <w:rPr>
          <w:bCs/>
          <w:sz w:val="22"/>
          <w:szCs w:val="22"/>
        </w:rPr>
        <w:t xml:space="preserve"> (</w:t>
      </w:r>
      <w:r w:rsidR="002E70C9" w:rsidRPr="004878FF">
        <w:rPr>
          <w:bCs/>
          <w:sz w:val="22"/>
          <w:szCs w:val="22"/>
        </w:rPr>
        <w:t>For example, when people discuss "how many psychiatrists are there?" wewill ask, "how many support persons are there?" etc</w:t>
      </w:r>
      <w:r w:rsidR="00C16D3A" w:rsidRPr="004878FF">
        <w:rPr>
          <w:bCs/>
          <w:sz w:val="22"/>
          <w:szCs w:val="22"/>
        </w:rPr>
        <w:t xml:space="preserve">). </w:t>
      </w:r>
      <w:r w:rsidR="00A711D9" w:rsidRPr="004878FF">
        <w:rPr>
          <w:bCs/>
          <w:sz w:val="22"/>
          <w:szCs w:val="22"/>
        </w:rPr>
        <w:t>It will put emphasis on</w:t>
      </w:r>
      <w:r w:rsidR="000D507B" w:rsidRPr="004878FF">
        <w:rPr>
          <w:bCs/>
          <w:sz w:val="22"/>
          <w:szCs w:val="22"/>
        </w:rPr>
        <w:t xml:space="preserve"> the imperative of working on the inclusion of person with psychosocial disabilities in all areas off inclusive development.</w:t>
      </w:r>
      <w:r w:rsidR="00DD1A01" w:rsidRPr="004878FF">
        <w:rPr>
          <w:bCs/>
          <w:sz w:val="22"/>
          <w:szCs w:val="22"/>
        </w:rPr>
        <w:t xml:space="preserve"> The session will emphasize the need to understand "inclusion" as a vital practice in community development. </w:t>
      </w:r>
    </w:p>
    <w:p w14:paraId="29DA00D1" w14:textId="77777777" w:rsidR="0059628C" w:rsidRPr="004878FF" w:rsidRDefault="0059628C" w:rsidP="0059628C">
      <w:pPr>
        <w:pStyle w:val="ListParagraph"/>
        <w:numPr>
          <w:ilvl w:val="0"/>
          <w:numId w:val="6"/>
        </w:numPr>
        <w:rPr>
          <w:u w:val="single"/>
        </w:rPr>
      </w:pPr>
      <w:r w:rsidRPr="004878FF">
        <w:rPr>
          <w:u w:val="single"/>
        </w:rPr>
        <w:t>Update from global level</w:t>
      </w:r>
    </w:p>
    <w:p w14:paraId="2B5E1956" w14:textId="77777777" w:rsidR="00A711D9" w:rsidRPr="004878FF" w:rsidRDefault="006A086E" w:rsidP="006A086E">
      <w:pPr>
        <w:ind w:left="360"/>
      </w:pPr>
      <w:r w:rsidRPr="004878FF">
        <w:t xml:space="preserve">The session will </w:t>
      </w:r>
      <w:r w:rsidR="00C54E61" w:rsidRPr="004878FF">
        <w:t xml:space="preserve">recap the </w:t>
      </w:r>
      <w:r w:rsidR="00A711D9" w:rsidRPr="004878FF">
        <w:t xml:space="preserve">updates </w:t>
      </w:r>
      <w:r w:rsidR="00150253" w:rsidRPr="004878FF">
        <w:t xml:space="preserve">related to TCI Asia </w:t>
      </w:r>
      <w:r w:rsidRPr="004878FF">
        <w:t>engagement</w:t>
      </w:r>
      <w:r w:rsidR="00150253" w:rsidRPr="004878FF">
        <w:t xml:space="preserve"> at global level including the </w:t>
      </w:r>
      <w:r w:rsidR="00C54E61" w:rsidRPr="004878FF">
        <w:t>11th Conference of States Parties (</w:t>
      </w:r>
      <w:r w:rsidR="00150253" w:rsidRPr="004878FF">
        <w:t>COSP</w:t>
      </w:r>
      <w:r w:rsidR="00C54E61" w:rsidRPr="004878FF">
        <w:t>)</w:t>
      </w:r>
      <w:r w:rsidR="00150253" w:rsidRPr="004878FF">
        <w:t>,  the consultations on mental-health and Human Rights as well as on the right to health of person with disabilities that took place  in Geneva</w:t>
      </w:r>
      <w:r w:rsidR="00C54E61" w:rsidRPr="004878FF">
        <w:t xml:space="preserve">.We will share </w:t>
      </w:r>
      <w:r w:rsidR="00150253" w:rsidRPr="004878FF">
        <w:t>the differen</w:t>
      </w:r>
      <w:r w:rsidR="00C54E61" w:rsidRPr="004878FF">
        <w:t>t</w:t>
      </w:r>
      <w:r w:rsidR="00150253" w:rsidRPr="004878FF">
        <w:t xml:space="preserve"> on</w:t>
      </w:r>
      <w:r w:rsidRPr="004878FF">
        <w:t>-</w:t>
      </w:r>
      <w:r w:rsidR="00150253" w:rsidRPr="004878FF">
        <w:t>going processes such as the globe summit on mental health planned for fall 2018 in London</w:t>
      </w:r>
      <w:r w:rsidR="00C54E61" w:rsidRPr="004878FF">
        <w:t>.</w:t>
      </w:r>
    </w:p>
    <w:p w14:paraId="53FEAFB0" w14:textId="77777777" w:rsidR="0059628C" w:rsidRPr="004878FF" w:rsidRDefault="0059628C" w:rsidP="0059628C">
      <w:pPr>
        <w:pStyle w:val="ListParagraph"/>
        <w:numPr>
          <w:ilvl w:val="0"/>
          <w:numId w:val="6"/>
        </w:numPr>
        <w:rPr>
          <w:u w:val="single"/>
        </w:rPr>
      </w:pPr>
      <w:r w:rsidRPr="004878FF">
        <w:rPr>
          <w:u w:val="single"/>
        </w:rPr>
        <w:t>Inclusion report</w:t>
      </w:r>
    </w:p>
    <w:p w14:paraId="6CA6DCA9" w14:textId="77777777" w:rsidR="006A086E" w:rsidRPr="004878FF" w:rsidRDefault="00E61AF2" w:rsidP="00E61AF2">
      <w:pPr>
        <w:ind w:left="360"/>
      </w:pPr>
      <w:r w:rsidRPr="004878FF">
        <w:t>The session will</w:t>
      </w:r>
      <w:r w:rsidR="006A086E" w:rsidRPr="004878FF">
        <w:t xml:space="preserve"> cover the presentation of the inclusion report developed by TCI-Asia </w:t>
      </w:r>
      <w:r w:rsidRPr="004878FF">
        <w:t>c</w:t>
      </w:r>
      <w:r w:rsidR="006A086E" w:rsidRPr="004878FF">
        <w:t xml:space="preserve">overing </w:t>
      </w:r>
      <w:r w:rsidR="00500031" w:rsidRPr="004878FF">
        <w:t xml:space="preserve">what means 'inclusion' for persons with psychosocial disabilities, scope of </w:t>
      </w:r>
      <w:r w:rsidR="006A086E" w:rsidRPr="004878FF">
        <w:t>legal harmonisation</w:t>
      </w:r>
      <w:r w:rsidR="00500031" w:rsidRPr="004878FF">
        <w:t xml:space="preserve"> for Asian region</w:t>
      </w:r>
      <w:r w:rsidR="006A086E" w:rsidRPr="004878FF">
        <w:t>, public budget</w:t>
      </w:r>
      <w:r w:rsidR="00500031" w:rsidRPr="004878FF">
        <w:t>- a case study</w:t>
      </w:r>
      <w:r w:rsidR="006A086E" w:rsidRPr="004878FF">
        <w:t>,</w:t>
      </w:r>
      <w:r w:rsidRPr="004878FF">
        <w:t>Community service</w:t>
      </w:r>
      <w:r w:rsidR="00500031" w:rsidRPr="004878FF">
        <w:t xml:space="preserve"> for inclusion</w:t>
      </w:r>
      <w:r w:rsidRPr="004878FF">
        <w:t xml:space="preserve">  and other </w:t>
      </w:r>
      <w:r w:rsidR="009C038E" w:rsidRPr="004878FF">
        <w:t>learnings on Inclusion</w:t>
      </w:r>
      <w:r w:rsidR="00500031" w:rsidRPr="004878FF">
        <w:t>.</w:t>
      </w:r>
    </w:p>
    <w:p w14:paraId="586C248C" w14:textId="77777777" w:rsidR="00E61AF2" w:rsidRPr="004878FF" w:rsidRDefault="0059628C" w:rsidP="00E61AF2">
      <w:pPr>
        <w:pStyle w:val="ListParagraph"/>
        <w:numPr>
          <w:ilvl w:val="0"/>
          <w:numId w:val="6"/>
        </w:numPr>
        <w:rPr>
          <w:u w:val="single"/>
        </w:rPr>
      </w:pPr>
      <w:r w:rsidRPr="004878FF">
        <w:rPr>
          <w:u w:val="single"/>
        </w:rPr>
        <w:t>Human Rights  based services</w:t>
      </w:r>
    </w:p>
    <w:p w14:paraId="47C2F117" w14:textId="77777777" w:rsidR="00E61AF2" w:rsidRPr="004878FF" w:rsidRDefault="00E61AF2" w:rsidP="00E61AF2">
      <w:pPr>
        <w:ind w:left="360"/>
      </w:pPr>
      <w:r w:rsidRPr="004878FF">
        <w:t xml:space="preserve">This session </w:t>
      </w:r>
      <w:r w:rsidR="009C038E" w:rsidRPr="004878FF">
        <w:t>w</w:t>
      </w:r>
      <w:r w:rsidRPr="004878FF">
        <w:t xml:space="preserve">ill </w:t>
      </w:r>
      <w:r w:rsidR="009C038E" w:rsidRPr="004878FF">
        <w:t xml:space="preserve">address </w:t>
      </w:r>
      <w:r w:rsidRPr="004878FF">
        <w:t>the requirement of human rights based services. Many countries are working on so-called CRPD  compliance before but it appears are there is either a lack of understanding or confusion</w:t>
      </w:r>
      <w:r w:rsidR="00C54022" w:rsidRPr="004878FF">
        <w:t xml:space="preserve"> on</w:t>
      </w:r>
      <w:r w:rsidR="005B7A2E" w:rsidRPr="004878FF">
        <w:t xml:space="preserve"> the exact requirements</w:t>
      </w:r>
      <w:r w:rsidR="00C54022" w:rsidRPr="004878FF">
        <w:t xml:space="preserve"> to achieve such compliance.  The session</w:t>
      </w:r>
      <w:r w:rsidR="004A16DD" w:rsidRPr="004878FF">
        <w:t xml:space="preserve"> will allow e</w:t>
      </w:r>
      <w:r w:rsidR="00C54022" w:rsidRPr="004878FF">
        <w:t>xchange between participants on those trends and seek</w:t>
      </w:r>
      <w:r w:rsidR="004A16DD" w:rsidRPr="004878FF">
        <w:t xml:space="preserve"> to identify  best ways to ensure the newly developed services are truly grounded on human rights.</w:t>
      </w:r>
    </w:p>
    <w:p w14:paraId="1CA7DE38" w14:textId="77777777" w:rsidR="0059628C" w:rsidRPr="004878FF" w:rsidRDefault="0059628C" w:rsidP="0059628C">
      <w:pPr>
        <w:pStyle w:val="ListParagraph"/>
        <w:numPr>
          <w:ilvl w:val="0"/>
          <w:numId w:val="6"/>
        </w:numPr>
        <w:rPr>
          <w:u w:val="single"/>
        </w:rPr>
      </w:pPr>
      <w:r w:rsidRPr="004878FF">
        <w:rPr>
          <w:u w:val="single"/>
        </w:rPr>
        <w:t>Work and Employment</w:t>
      </w:r>
    </w:p>
    <w:p w14:paraId="6F04BC2B" w14:textId="77777777" w:rsidR="004A16DD" w:rsidRPr="004878FF" w:rsidRDefault="0003660B" w:rsidP="002E70C9">
      <w:pPr>
        <w:ind w:left="360"/>
      </w:pPr>
      <w:r w:rsidRPr="004878FF">
        <w:t>The session w</w:t>
      </w:r>
      <w:r w:rsidR="004A16DD" w:rsidRPr="004878FF">
        <w:t>ill explore the d</w:t>
      </w:r>
      <w:r w:rsidRPr="004878FF">
        <w:t xml:space="preserve">ifferent issues related to </w:t>
      </w:r>
      <w:r w:rsidR="004A16DD" w:rsidRPr="004878FF">
        <w:t xml:space="preserve">access to employment as well as inclusion </w:t>
      </w:r>
      <w:r w:rsidRPr="004878FF">
        <w:t>of person with psychosocial disa</w:t>
      </w:r>
      <w:r w:rsidR="004A16DD" w:rsidRPr="004878FF">
        <w:t>bility</w:t>
      </w:r>
      <w:r w:rsidRPr="004878FF">
        <w:t xml:space="preserve"> in work and livelihood programs. As for other sessions of the second day there will be a short introduction of key concepts and issues following</w:t>
      </w:r>
      <w:r w:rsidR="007B3A06" w:rsidRPr="004878FF">
        <w:t xml:space="preserve"> by open exchange with the participants. This session should  allow  identification of research</w:t>
      </w:r>
      <w:r w:rsidR="002E70C9" w:rsidRPr="004878FF">
        <w:t xml:space="preserve"> topics</w:t>
      </w:r>
      <w:r w:rsidR="007B3A06" w:rsidRPr="004878FF">
        <w:t xml:space="preserve"> or further capacity building needs to support TCI members in this field</w:t>
      </w:r>
      <w:r w:rsidR="009C038E" w:rsidRPr="004878FF">
        <w:t>.</w:t>
      </w:r>
    </w:p>
    <w:p w14:paraId="23B3B5CF" w14:textId="77777777" w:rsidR="0059628C" w:rsidRPr="004878FF" w:rsidRDefault="0059628C" w:rsidP="0059628C">
      <w:pPr>
        <w:pStyle w:val="ListParagraph"/>
        <w:numPr>
          <w:ilvl w:val="0"/>
          <w:numId w:val="6"/>
        </w:numPr>
        <w:rPr>
          <w:u w:val="single"/>
        </w:rPr>
      </w:pPr>
      <w:r w:rsidRPr="004878FF">
        <w:rPr>
          <w:u w:val="single"/>
        </w:rPr>
        <w:t xml:space="preserve">Social Protection (housing…) </w:t>
      </w:r>
    </w:p>
    <w:p w14:paraId="4052872A" w14:textId="77777777" w:rsidR="00DD75B5" w:rsidRPr="004878FF" w:rsidRDefault="007B3A06" w:rsidP="00DD75B5">
      <w:pPr>
        <w:ind w:left="360"/>
      </w:pPr>
      <w:r w:rsidRPr="004878FF">
        <w:t xml:space="preserve">This session </w:t>
      </w:r>
      <w:r w:rsidR="009C038E" w:rsidRPr="004878FF">
        <w:t xml:space="preserve">will </w:t>
      </w:r>
      <w:r w:rsidRPr="004878FF">
        <w:t>cover the differen</w:t>
      </w:r>
      <w:r w:rsidR="009C038E" w:rsidRPr="004878FF">
        <w:t>t</w:t>
      </w:r>
      <w:r w:rsidRPr="004878FF">
        <w:t xml:space="preserve"> aspect of social protection that could be supporting of inclusion of person with psychosocial disabilities</w:t>
      </w:r>
      <w:r w:rsidR="009C038E" w:rsidRPr="004878FF">
        <w:t>;</w:t>
      </w:r>
      <w:r w:rsidRPr="004878FF">
        <w:t xml:space="preserve"> as well as the specific issues undermining access to social protection</w:t>
      </w:r>
      <w:r w:rsidR="00034209" w:rsidRPr="004878FF">
        <w:t>, in different country scenarios</w:t>
      </w:r>
      <w:r w:rsidRPr="004878FF">
        <w:t xml:space="preserve">. </w:t>
      </w:r>
      <w:r w:rsidR="00DD75B5" w:rsidRPr="004878FF">
        <w:t xml:space="preserve">It will tackle  cash  transfer, in kind support, health insurance housing and other type of schemes. It will be the opportunity for members to share  their concerns, practices and experiences in advocacy </w:t>
      </w:r>
      <w:r w:rsidR="004E4C95" w:rsidRPr="004878FF">
        <w:t>related to social protection reforms.</w:t>
      </w:r>
    </w:p>
    <w:p w14:paraId="39181C3E" w14:textId="77777777" w:rsidR="0059628C" w:rsidRPr="004878FF" w:rsidRDefault="0059628C" w:rsidP="004E4C95">
      <w:pPr>
        <w:pStyle w:val="ListParagraph"/>
        <w:numPr>
          <w:ilvl w:val="0"/>
          <w:numId w:val="6"/>
        </w:numPr>
        <w:rPr>
          <w:u w:val="single"/>
        </w:rPr>
      </w:pPr>
      <w:r w:rsidRPr="004878FF">
        <w:rPr>
          <w:u w:val="single"/>
        </w:rPr>
        <w:t>Kenya case study</w:t>
      </w:r>
    </w:p>
    <w:p w14:paraId="6D004306" w14:textId="77777777" w:rsidR="004E4C95" w:rsidRPr="004878FF" w:rsidRDefault="004E4C95" w:rsidP="00963FC6">
      <w:pPr>
        <w:ind w:left="360"/>
      </w:pPr>
      <w:r w:rsidRPr="004878FF">
        <w:t xml:space="preserve">Taking advantage of Michael </w:t>
      </w:r>
      <w:proofErr w:type="spellStart"/>
      <w:r w:rsidRPr="004878FF">
        <w:t>Njenga</w:t>
      </w:r>
      <w:proofErr w:type="spellEnd"/>
      <w:r w:rsidRPr="004878FF">
        <w:t>, from USP-Kenya,  the session will presen</w:t>
      </w:r>
      <w:r w:rsidR="00034209" w:rsidRPr="004878FF">
        <w:t>t</w:t>
      </w:r>
      <w:r w:rsidRPr="004878FF">
        <w:t xml:space="preserve"> the context,  challenges and successes of  advocacy of persons with psychosocial disabilities in  Kenya</w:t>
      </w:r>
      <w:r w:rsidR="00963FC6" w:rsidRPr="004878FF">
        <w:t>, with regards to legal harmonisation and budget among others.</w:t>
      </w:r>
      <w:r w:rsidRPr="004878FF">
        <w:t xml:space="preserve">. </w:t>
      </w:r>
      <w:r w:rsidR="00963FC6" w:rsidRPr="004878FF">
        <w:t xml:space="preserve">It will also </w:t>
      </w:r>
      <w:r w:rsidR="00034209" w:rsidRPr="004878FF">
        <w:t xml:space="preserve">provide </w:t>
      </w:r>
      <w:r w:rsidR="00963FC6" w:rsidRPr="004878FF">
        <w:t>the opportunity  for Michael to share the experience of peer support services at community level.</w:t>
      </w:r>
    </w:p>
    <w:p w14:paraId="3E18287A" w14:textId="77777777" w:rsidR="00AA5E52" w:rsidRPr="004878FF" w:rsidRDefault="00AA5E52" w:rsidP="00AA5E52">
      <w:pPr>
        <w:pStyle w:val="ListParagraph"/>
        <w:numPr>
          <w:ilvl w:val="0"/>
          <w:numId w:val="6"/>
        </w:numPr>
        <w:rPr>
          <w:u w:val="single"/>
        </w:rPr>
      </w:pPr>
      <w:r w:rsidRPr="004878FF">
        <w:rPr>
          <w:u w:val="single"/>
        </w:rPr>
        <w:t>Self Preservation</w:t>
      </w:r>
    </w:p>
    <w:p w14:paraId="3FD5AE5B" w14:textId="77777777" w:rsidR="00AA5E52" w:rsidRPr="004878FF" w:rsidRDefault="00AA5E52" w:rsidP="00344C3B">
      <w:pPr>
        <w:ind w:left="360"/>
      </w:pPr>
      <w:r w:rsidRPr="004878FF">
        <w:t>This workshop willy and opportunity to share the different practices of TCI members  related to self-preservation. It will offer a space to share  specific practices, individual or collective  such as arts based therapy but also  traditional and cultural practices that offer effective support and relief.</w:t>
      </w:r>
    </w:p>
    <w:p w14:paraId="038EB154" w14:textId="77777777" w:rsidR="0059628C" w:rsidRPr="004878FF" w:rsidRDefault="0059628C" w:rsidP="0059628C">
      <w:pPr>
        <w:pStyle w:val="ListParagraph"/>
        <w:numPr>
          <w:ilvl w:val="0"/>
          <w:numId w:val="6"/>
        </w:numPr>
        <w:rPr>
          <w:u w:val="single"/>
        </w:rPr>
      </w:pPr>
      <w:r w:rsidRPr="004878FF">
        <w:rPr>
          <w:u w:val="single"/>
        </w:rPr>
        <w:t xml:space="preserve">Adoption </w:t>
      </w:r>
      <w:r w:rsidR="00344C3B" w:rsidRPr="004878FF">
        <w:rPr>
          <w:u w:val="single"/>
        </w:rPr>
        <w:t xml:space="preserve">of </w:t>
      </w:r>
      <w:r w:rsidRPr="004878FF">
        <w:rPr>
          <w:u w:val="single"/>
        </w:rPr>
        <w:t>Bali declaration</w:t>
      </w:r>
    </w:p>
    <w:p w14:paraId="143595F2" w14:textId="77777777" w:rsidR="0059628C" w:rsidRPr="004878FF" w:rsidRDefault="00970D9A" w:rsidP="0093742E">
      <w:pPr>
        <w:ind w:left="360"/>
      </w:pPr>
      <w:r w:rsidRPr="004878FF">
        <w:t>It is proposed that as a conclusion off the convening DCA Asia becoming TCA Asia-Pacific adopt  the declaration promoting the values goals and key asks  of the organisation. This declaration would become  the platform for regional and global advocacy. In particul</w:t>
      </w:r>
      <w:r w:rsidR="00AC519A" w:rsidRPr="004878FF">
        <w:t xml:space="preserve">ar the declaration would be TCI Asia-Pacific  contribution to the upcoming Global Summit on mental health  among others. </w:t>
      </w:r>
    </w:p>
    <w:p w14:paraId="66C621C1" w14:textId="77777777" w:rsidR="00D3731F" w:rsidRPr="004878FF" w:rsidRDefault="00D3731F" w:rsidP="0059628C">
      <w:pPr>
        <w:rPr>
          <w:b/>
          <w:bCs/>
          <w:i/>
          <w:iCs/>
        </w:rPr>
      </w:pPr>
      <w:r w:rsidRPr="004878FF">
        <w:rPr>
          <w:b/>
          <w:bCs/>
          <w:i/>
          <w:iCs/>
        </w:rPr>
        <w:t>Parallel workshop</w:t>
      </w:r>
      <w:r w:rsidR="00034209" w:rsidRPr="004878FF">
        <w:rPr>
          <w:b/>
          <w:bCs/>
          <w:i/>
          <w:iCs/>
        </w:rPr>
        <w:t xml:space="preserve"> description</w:t>
      </w:r>
    </w:p>
    <w:p w14:paraId="5A09D5D5" w14:textId="77777777" w:rsidR="00D3731F" w:rsidRPr="004878FF" w:rsidRDefault="00D3731F" w:rsidP="00D3731F">
      <w:pPr>
        <w:pStyle w:val="ListParagraph"/>
        <w:numPr>
          <w:ilvl w:val="0"/>
          <w:numId w:val="7"/>
        </w:numPr>
        <w:rPr>
          <w:u w:val="single"/>
        </w:rPr>
      </w:pPr>
      <w:r w:rsidRPr="004878FF">
        <w:rPr>
          <w:u w:val="single"/>
        </w:rPr>
        <w:t xml:space="preserve">Review of </w:t>
      </w:r>
      <w:proofErr w:type="spellStart"/>
      <w:r w:rsidR="0059628C" w:rsidRPr="004878FF">
        <w:rPr>
          <w:u w:val="single"/>
        </w:rPr>
        <w:t>Q</w:t>
      </w:r>
      <w:r w:rsidRPr="004878FF">
        <w:rPr>
          <w:u w:val="single"/>
        </w:rPr>
        <w:t>ualityRights</w:t>
      </w:r>
      <w:proofErr w:type="spellEnd"/>
      <w:r w:rsidRPr="004878FF">
        <w:rPr>
          <w:u w:val="single"/>
        </w:rPr>
        <w:t xml:space="preserve"> WHO package </w:t>
      </w:r>
    </w:p>
    <w:p w14:paraId="465D3BB9" w14:textId="77777777" w:rsidR="00AC519A" w:rsidRPr="004878FF" w:rsidRDefault="00AC519A" w:rsidP="00AC519A">
      <w:r w:rsidRPr="004878FF">
        <w:t xml:space="preserve">The workshop we present the review of the </w:t>
      </w:r>
      <w:r w:rsidR="001529F6" w:rsidRPr="004878FF">
        <w:t>WHO</w:t>
      </w:r>
      <w:r w:rsidRPr="004878FF">
        <w:t xml:space="preserve">Quality rights  package made by </w:t>
      </w:r>
      <w:proofErr w:type="spellStart"/>
      <w:r w:rsidRPr="004878FF">
        <w:t>Yeni</w:t>
      </w:r>
      <w:proofErr w:type="spellEnd"/>
      <w:r w:rsidRPr="004878FF">
        <w:t xml:space="preserve"> Rosa and Janice </w:t>
      </w:r>
      <w:proofErr w:type="spellStart"/>
      <w:r w:rsidRPr="004878FF">
        <w:t>Cambri</w:t>
      </w:r>
      <w:proofErr w:type="spellEnd"/>
      <w:r w:rsidRPr="004878FF">
        <w:t xml:space="preserve">. </w:t>
      </w:r>
      <w:r w:rsidR="001529F6" w:rsidRPr="004878FF">
        <w:t>It will offer the opportunity of exchange to consider under which conditions TCI Asia would support they use of WHO QR.</w:t>
      </w:r>
    </w:p>
    <w:p w14:paraId="01C8FEE7" w14:textId="77777777" w:rsidR="00D3731F" w:rsidRPr="004878FF" w:rsidRDefault="0059628C" w:rsidP="00D3731F">
      <w:pPr>
        <w:pStyle w:val="ListParagraph"/>
        <w:numPr>
          <w:ilvl w:val="0"/>
          <w:numId w:val="7"/>
        </w:numPr>
        <w:rPr>
          <w:u w:val="single"/>
        </w:rPr>
      </w:pPr>
      <w:r w:rsidRPr="004878FF">
        <w:rPr>
          <w:u w:val="single"/>
        </w:rPr>
        <w:t>S</w:t>
      </w:r>
      <w:r w:rsidR="00D3731F" w:rsidRPr="004878FF">
        <w:rPr>
          <w:u w:val="single"/>
        </w:rPr>
        <w:t xml:space="preserve">pecial </w:t>
      </w:r>
      <w:r w:rsidRPr="004878FF">
        <w:rPr>
          <w:u w:val="single"/>
        </w:rPr>
        <w:t>R</w:t>
      </w:r>
      <w:r w:rsidR="00D3731F" w:rsidRPr="004878FF">
        <w:rPr>
          <w:u w:val="single"/>
        </w:rPr>
        <w:t>apporteurs</w:t>
      </w:r>
      <w:r w:rsidRPr="004878FF">
        <w:rPr>
          <w:u w:val="single"/>
        </w:rPr>
        <w:t xml:space="preserve"> report</w:t>
      </w:r>
      <w:r w:rsidR="00D3731F" w:rsidRPr="004878FF">
        <w:rPr>
          <w:u w:val="single"/>
        </w:rPr>
        <w:t>s (</w:t>
      </w:r>
      <w:proofErr w:type="spellStart"/>
      <w:r w:rsidR="00D3731F" w:rsidRPr="004878FF">
        <w:rPr>
          <w:u w:val="single"/>
        </w:rPr>
        <w:t>DaniusPuras</w:t>
      </w:r>
      <w:proofErr w:type="spellEnd"/>
      <w:r w:rsidR="00D3731F" w:rsidRPr="004878FF">
        <w:rPr>
          <w:u w:val="single"/>
        </w:rPr>
        <w:t xml:space="preserve"> and Catalina </w:t>
      </w:r>
      <w:proofErr w:type="spellStart"/>
      <w:r w:rsidR="00D3731F" w:rsidRPr="004878FF">
        <w:rPr>
          <w:u w:val="single"/>
        </w:rPr>
        <w:t>Devandas</w:t>
      </w:r>
      <w:proofErr w:type="spellEnd"/>
      <w:r w:rsidR="00D3731F" w:rsidRPr="004878FF">
        <w:rPr>
          <w:u w:val="single"/>
        </w:rPr>
        <w:t>)</w:t>
      </w:r>
    </w:p>
    <w:p w14:paraId="16E79D77" w14:textId="77777777" w:rsidR="001529F6" w:rsidRPr="004878FF" w:rsidRDefault="001529F6" w:rsidP="001529F6">
      <w:r w:rsidRPr="004878FF">
        <w:t>The workshop with present  the Rep</w:t>
      </w:r>
      <w:r w:rsidR="006235A3" w:rsidRPr="004878FF">
        <w:t>ort of the special rapporteur o</w:t>
      </w:r>
      <w:r w:rsidRPr="004878FF">
        <w:t>n</w:t>
      </w:r>
      <w:r w:rsidR="006235A3" w:rsidRPr="004878FF">
        <w:t xml:space="preserve"> the</w:t>
      </w:r>
      <w:r w:rsidRPr="004878FF">
        <w:t xml:space="preserve"> right to health </w:t>
      </w:r>
      <w:r w:rsidR="006235A3" w:rsidRPr="004878FF">
        <w:t xml:space="preserve">on mental health </w:t>
      </w:r>
      <w:r w:rsidRPr="004878FF">
        <w:t>as well as the report off the special rapporteur on rights of Persons wit</w:t>
      </w:r>
      <w:r w:rsidR="006235A3" w:rsidRPr="004878FF">
        <w:t xml:space="preserve">h disabilities related to </w:t>
      </w:r>
      <w:r w:rsidRPr="004878FF">
        <w:t>legal</w:t>
      </w:r>
      <w:r w:rsidR="006235A3" w:rsidRPr="004878FF">
        <w:t xml:space="preserve"> capacity.  Those two documents provide  important elements for national and regional advocacy.</w:t>
      </w:r>
    </w:p>
    <w:p w14:paraId="4E90A4E4" w14:textId="77777777" w:rsidR="00D3731F" w:rsidRPr="004878FF" w:rsidRDefault="0059628C" w:rsidP="00D3731F">
      <w:pPr>
        <w:pStyle w:val="ListParagraph"/>
        <w:numPr>
          <w:ilvl w:val="0"/>
          <w:numId w:val="7"/>
        </w:numPr>
        <w:rPr>
          <w:u w:val="single"/>
        </w:rPr>
      </w:pPr>
      <w:r w:rsidRPr="004878FF">
        <w:rPr>
          <w:u w:val="single"/>
        </w:rPr>
        <w:t>Advocacy for change</w:t>
      </w:r>
    </w:p>
    <w:p w14:paraId="1E129453" w14:textId="77777777" w:rsidR="006235A3" w:rsidRPr="004878FF" w:rsidRDefault="006235A3" w:rsidP="001E496A">
      <w:r w:rsidRPr="004878FF">
        <w:t xml:space="preserve">This workshop Will focus on experience of </w:t>
      </w:r>
      <w:r w:rsidR="001E496A" w:rsidRPr="004878FF">
        <w:t>members in their advocacy effort</w:t>
      </w:r>
      <w:r w:rsidRPr="004878FF">
        <w:t>s</w:t>
      </w:r>
      <w:r w:rsidR="001E496A" w:rsidRPr="004878FF">
        <w:t xml:space="preserve">. it will offer opportunity to </w:t>
      </w:r>
      <w:r w:rsidRPr="004878FF">
        <w:t xml:space="preserve">exchange between members </w:t>
      </w:r>
      <w:r w:rsidR="001E496A" w:rsidRPr="004878FF">
        <w:t xml:space="preserve">and </w:t>
      </w:r>
      <w:r w:rsidRPr="004878FF">
        <w:t xml:space="preserve">try to identify the facilitators and obstacles to advocacy it will serve as </w:t>
      </w:r>
      <w:r w:rsidR="001E496A" w:rsidRPr="004878FF">
        <w:t>a  background for the second and  third day</w:t>
      </w:r>
    </w:p>
    <w:p w14:paraId="49D0F14B" w14:textId="77777777" w:rsidR="00D3731F" w:rsidRPr="004878FF" w:rsidRDefault="0059628C" w:rsidP="00D3731F">
      <w:pPr>
        <w:pStyle w:val="ListParagraph"/>
        <w:numPr>
          <w:ilvl w:val="0"/>
          <w:numId w:val="7"/>
        </w:numPr>
        <w:rPr>
          <w:u w:val="single"/>
        </w:rPr>
      </w:pPr>
      <w:r w:rsidRPr="004878FF">
        <w:rPr>
          <w:u w:val="single"/>
        </w:rPr>
        <w:t>Community support system</w:t>
      </w:r>
      <w:r w:rsidR="00D3731F" w:rsidRPr="004878FF">
        <w:rPr>
          <w:u w:val="single"/>
        </w:rPr>
        <w:t>s</w:t>
      </w:r>
    </w:p>
    <w:p w14:paraId="6FC5AC79" w14:textId="77777777" w:rsidR="001E496A" w:rsidRPr="004878FF" w:rsidRDefault="001E496A" w:rsidP="001E496A">
      <w:r w:rsidRPr="004878FF">
        <w:t>This workshop we look at the different elements of support that needs to be available in the community</w:t>
      </w:r>
      <w:r w:rsidR="00166A71" w:rsidRPr="004878FF">
        <w:t>. It will offer the opportunity to present  and exchange on members’ practices in the field. It will also look and a necessary condition that would help development and scaling up  of community services.</w:t>
      </w:r>
    </w:p>
    <w:p w14:paraId="0D76A32F" w14:textId="77777777" w:rsidR="00D3731F" w:rsidRPr="004878FF" w:rsidRDefault="0059628C" w:rsidP="00D3731F">
      <w:pPr>
        <w:pStyle w:val="ListParagraph"/>
        <w:numPr>
          <w:ilvl w:val="0"/>
          <w:numId w:val="7"/>
        </w:numPr>
        <w:rPr>
          <w:u w:val="single"/>
        </w:rPr>
      </w:pPr>
      <w:r w:rsidRPr="004878FF">
        <w:rPr>
          <w:u w:val="single"/>
        </w:rPr>
        <w:t xml:space="preserve">Children with disabilities </w:t>
      </w:r>
    </w:p>
    <w:p w14:paraId="1B5EF40E" w14:textId="77777777" w:rsidR="00166A71" w:rsidRPr="004878FF" w:rsidRDefault="00166A71" w:rsidP="00E132FC">
      <w:r w:rsidRPr="004878FF">
        <w:t>To some extent as the movement is mostly let by adults with</w:t>
      </w:r>
      <w:r w:rsidR="00E132FC" w:rsidRPr="004878FF">
        <w:t xml:space="preserve"> psychosocial disability,  it may seem  that little attention have been paid to children with psychosocial disabilities. The workshop Will be a first attempt for TCI Asia members  to consider the key issues and the possible next steps.</w:t>
      </w:r>
    </w:p>
    <w:p w14:paraId="24C5767C" w14:textId="77777777" w:rsidR="00E132FC" w:rsidRPr="004878FF" w:rsidRDefault="0059628C" w:rsidP="00E132FC">
      <w:pPr>
        <w:pStyle w:val="ListParagraph"/>
        <w:numPr>
          <w:ilvl w:val="0"/>
          <w:numId w:val="7"/>
        </w:numPr>
        <w:rPr>
          <w:u w:val="single"/>
        </w:rPr>
      </w:pPr>
      <w:r w:rsidRPr="004878FF">
        <w:rPr>
          <w:u w:val="single"/>
        </w:rPr>
        <w:t xml:space="preserve">Women with psychosocial disabilities ( sexual and reproductive  rights, gender equality)  </w:t>
      </w:r>
    </w:p>
    <w:p w14:paraId="465F2BC4" w14:textId="77777777" w:rsidR="00E132FC" w:rsidRPr="004878FF" w:rsidRDefault="00E132FC" w:rsidP="00FC1C4E">
      <w:r w:rsidRPr="004878FF">
        <w:t>The workshop</w:t>
      </w:r>
      <w:r w:rsidR="00FC1C4E" w:rsidRPr="004878FF">
        <w:t xml:space="preserve"> will be the opportunity  to tackle  medical discriminations and specific issues faced  by women  with psychosocial disability. This will include sexual and reproductive rights as well as mainstreaming off disability in gender equality and women empowerment’s movements. </w:t>
      </w:r>
    </w:p>
    <w:p w14:paraId="4C1EEB4C" w14:textId="77777777" w:rsidR="00094ED3" w:rsidRPr="004878FF" w:rsidRDefault="00094ED3" w:rsidP="00D3731F">
      <w:pPr>
        <w:pStyle w:val="ListParagraph"/>
        <w:numPr>
          <w:ilvl w:val="0"/>
          <w:numId w:val="7"/>
        </w:numPr>
        <w:rPr>
          <w:u w:val="single"/>
        </w:rPr>
      </w:pPr>
      <w:r w:rsidRPr="004878FF">
        <w:rPr>
          <w:u w:val="single"/>
        </w:rPr>
        <w:t xml:space="preserve">Disability assessment and determination </w:t>
      </w:r>
    </w:p>
    <w:p w14:paraId="5935AE6E" w14:textId="77777777" w:rsidR="00094ED3" w:rsidRPr="004878FF" w:rsidRDefault="00094ED3" w:rsidP="00CC1227">
      <w:r w:rsidRPr="004878FF">
        <w:t xml:space="preserve">This session we look at the specific issues related to disability assessment and eligibility determination for social protection programs. </w:t>
      </w:r>
      <w:r w:rsidR="00CC1227" w:rsidRPr="004878FF">
        <w:t>In most countries disability assessment for persons with psychosocial disabilities is supposed to be carried out by a psychiatrist. This tremendously reinforces the gatekeeping role of the mental health system. The session will seek to identify possible and credible  alternative that could be advocated for.</w:t>
      </w:r>
    </w:p>
    <w:p w14:paraId="7B719A68" w14:textId="77777777" w:rsidR="00D3731F" w:rsidRPr="004878FF" w:rsidRDefault="0059628C" w:rsidP="00D3731F">
      <w:pPr>
        <w:pStyle w:val="ListParagraph"/>
        <w:numPr>
          <w:ilvl w:val="0"/>
          <w:numId w:val="7"/>
        </w:numPr>
        <w:rPr>
          <w:u w:val="single"/>
        </w:rPr>
      </w:pPr>
      <w:r w:rsidRPr="004878FF">
        <w:rPr>
          <w:u w:val="single"/>
        </w:rPr>
        <w:t>Legal harmonisation</w:t>
      </w:r>
    </w:p>
    <w:p w14:paraId="503D8FED" w14:textId="77777777" w:rsidR="00611571" w:rsidRPr="004878FF" w:rsidRDefault="00794E0B" w:rsidP="00611571">
      <w:r w:rsidRPr="004878FF">
        <w:t>The workshop will be looking at</w:t>
      </w:r>
      <w:r w:rsidR="00611571" w:rsidRPr="004878FF">
        <w:t xml:space="preserve"> the progress</w:t>
      </w:r>
      <w:r w:rsidRPr="004878FF">
        <w:t xml:space="preserve"> and challenges relating to legal harmonisation in Asia in the last three years. It will consider disability rights legislation as well as mental health laws. </w:t>
      </w:r>
    </w:p>
    <w:p w14:paraId="64C75295" w14:textId="77777777" w:rsidR="0059628C" w:rsidRPr="004878FF" w:rsidRDefault="0059628C" w:rsidP="00D3731F">
      <w:pPr>
        <w:pStyle w:val="ListParagraph"/>
        <w:numPr>
          <w:ilvl w:val="0"/>
          <w:numId w:val="7"/>
        </w:numPr>
        <w:rPr>
          <w:u w:val="single"/>
        </w:rPr>
      </w:pPr>
      <w:r w:rsidRPr="004878FF">
        <w:rPr>
          <w:u w:val="single"/>
        </w:rPr>
        <w:t>Public financing</w:t>
      </w:r>
    </w:p>
    <w:p w14:paraId="4DB81603" w14:textId="77777777" w:rsidR="00794E0B" w:rsidRPr="004878FF" w:rsidRDefault="00794E0B" w:rsidP="00794E0B">
      <w:r w:rsidRPr="004878FF">
        <w:t>Based on the work of TCI Asia and EQUALS,  the workshop will  consider the key elements of that the financing impacting inclusion of person with psychosocial disabilities. It will offer</w:t>
      </w:r>
      <w:r w:rsidR="00402A48" w:rsidRPr="004878FF">
        <w:t xml:space="preserve"> an introduction to CRPD compliance budget advocacy and allow sharing of experience by members.</w:t>
      </w:r>
    </w:p>
    <w:p w14:paraId="2A3162E8" w14:textId="77777777" w:rsidR="00095438" w:rsidRPr="004878FF" w:rsidRDefault="00095438" w:rsidP="00A03310">
      <w:pPr>
        <w:pStyle w:val="ListParagraph"/>
        <w:numPr>
          <w:ilvl w:val="0"/>
          <w:numId w:val="7"/>
        </w:numPr>
        <w:rPr>
          <w:u w:val="single"/>
        </w:rPr>
      </w:pPr>
      <w:proofErr w:type="spellStart"/>
      <w:r w:rsidRPr="004878FF">
        <w:rPr>
          <w:u w:val="single"/>
        </w:rPr>
        <w:t>Asean</w:t>
      </w:r>
      <w:proofErr w:type="spellEnd"/>
      <w:r w:rsidRPr="004878FF">
        <w:rPr>
          <w:u w:val="single"/>
        </w:rPr>
        <w:t xml:space="preserve">/Mental Health Movement/Pacific </w:t>
      </w:r>
    </w:p>
    <w:p w14:paraId="43AC34C0" w14:textId="77777777" w:rsidR="00095438" w:rsidRPr="004878FF" w:rsidRDefault="00095438" w:rsidP="00A03310">
      <w:r w:rsidRPr="004878FF">
        <w:t>Those parallel working groups</w:t>
      </w:r>
      <w:r w:rsidR="00A03310" w:rsidRPr="004878FF">
        <w:t xml:space="preserve"> will</w:t>
      </w:r>
      <w:r w:rsidRPr="004878FF">
        <w:t xml:space="preserve"> focus on </w:t>
      </w:r>
      <w:r w:rsidR="00A03310" w:rsidRPr="004878FF">
        <w:t xml:space="preserve">exploring </w:t>
      </w:r>
      <w:r w:rsidRPr="004878FF">
        <w:t xml:space="preserve">engagement opportunities with the ASEAN and the </w:t>
      </w:r>
      <w:proofErr w:type="spellStart"/>
      <w:r w:rsidRPr="004878FF">
        <w:t>Asean</w:t>
      </w:r>
      <w:proofErr w:type="spellEnd"/>
      <w:r w:rsidRPr="004878FF">
        <w:t xml:space="preserve"> Disability forum,  the Mental health movement at regional </w:t>
      </w:r>
      <w:r w:rsidR="00A03310" w:rsidRPr="004878FF">
        <w:t xml:space="preserve">and national </w:t>
      </w:r>
      <w:r w:rsidRPr="004878FF">
        <w:t>level and with the Pacific region.</w:t>
      </w:r>
    </w:p>
    <w:p w14:paraId="407074C1" w14:textId="77777777" w:rsidR="00095438" w:rsidRDefault="00095438" w:rsidP="00095438"/>
    <w:sectPr w:rsidR="00095438" w:rsidSect="00040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A7A55"/>
    <w:multiLevelType w:val="hybridMultilevel"/>
    <w:tmpl w:val="755E017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801BAF"/>
    <w:multiLevelType w:val="hybridMultilevel"/>
    <w:tmpl w:val="5720EC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7622B1"/>
    <w:multiLevelType w:val="hybridMultilevel"/>
    <w:tmpl w:val="47201802"/>
    <w:lvl w:ilvl="0" w:tplc="C8B8CDE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0A603C8"/>
    <w:multiLevelType w:val="hybridMultilevel"/>
    <w:tmpl w:val="76D0A2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3393B51"/>
    <w:multiLevelType w:val="hybridMultilevel"/>
    <w:tmpl w:val="C64AAD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6017838"/>
    <w:multiLevelType w:val="hybridMultilevel"/>
    <w:tmpl w:val="804A09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E7371DC"/>
    <w:multiLevelType w:val="hybridMultilevel"/>
    <w:tmpl w:val="AA7AB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8E"/>
    <w:rsid w:val="00034209"/>
    <w:rsid w:val="0003660B"/>
    <w:rsid w:val="0004027E"/>
    <w:rsid w:val="00084D4F"/>
    <w:rsid w:val="00094ED3"/>
    <w:rsid w:val="00095438"/>
    <w:rsid w:val="000A6458"/>
    <w:rsid w:val="000D507B"/>
    <w:rsid w:val="00143C8E"/>
    <w:rsid w:val="00150253"/>
    <w:rsid w:val="001529F6"/>
    <w:rsid w:val="00166A71"/>
    <w:rsid w:val="00193A26"/>
    <w:rsid w:val="001945A6"/>
    <w:rsid w:val="001E496A"/>
    <w:rsid w:val="001F262B"/>
    <w:rsid w:val="002261B8"/>
    <w:rsid w:val="002448FD"/>
    <w:rsid w:val="002E70C9"/>
    <w:rsid w:val="002F18E4"/>
    <w:rsid w:val="002F5FE0"/>
    <w:rsid w:val="00344C3B"/>
    <w:rsid w:val="003B7798"/>
    <w:rsid w:val="00402A48"/>
    <w:rsid w:val="00403752"/>
    <w:rsid w:val="00436039"/>
    <w:rsid w:val="004878FF"/>
    <w:rsid w:val="004A16DD"/>
    <w:rsid w:val="004E4C95"/>
    <w:rsid w:val="00500031"/>
    <w:rsid w:val="0059628C"/>
    <w:rsid w:val="005A45C5"/>
    <w:rsid w:val="005B7A2E"/>
    <w:rsid w:val="00611571"/>
    <w:rsid w:val="00615869"/>
    <w:rsid w:val="006235A3"/>
    <w:rsid w:val="00656CC1"/>
    <w:rsid w:val="006639C7"/>
    <w:rsid w:val="006A086E"/>
    <w:rsid w:val="006B105A"/>
    <w:rsid w:val="006E3725"/>
    <w:rsid w:val="00794E0B"/>
    <w:rsid w:val="007B3A06"/>
    <w:rsid w:val="00856A25"/>
    <w:rsid w:val="008A4B04"/>
    <w:rsid w:val="0093742E"/>
    <w:rsid w:val="00963FC6"/>
    <w:rsid w:val="00970D9A"/>
    <w:rsid w:val="009C038E"/>
    <w:rsid w:val="009D5FC3"/>
    <w:rsid w:val="009E7268"/>
    <w:rsid w:val="00A03310"/>
    <w:rsid w:val="00A711D9"/>
    <w:rsid w:val="00AA5E52"/>
    <w:rsid w:val="00AC519A"/>
    <w:rsid w:val="00AF6997"/>
    <w:rsid w:val="00B10B4C"/>
    <w:rsid w:val="00B35EA1"/>
    <w:rsid w:val="00C16D3A"/>
    <w:rsid w:val="00C54022"/>
    <w:rsid w:val="00C54E61"/>
    <w:rsid w:val="00CA1D7D"/>
    <w:rsid w:val="00CC1227"/>
    <w:rsid w:val="00D357D4"/>
    <w:rsid w:val="00D3731F"/>
    <w:rsid w:val="00D464C6"/>
    <w:rsid w:val="00DD1A01"/>
    <w:rsid w:val="00DD75B5"/>
    <w:rsid w:val="00DF4DC0"/>
    <w:rsid w:val="00E132FC"/>
    <w:rsid w:val="00E27D8B"/>
    <w:rsid w:val="00E61AF2"/>
    <w:rsid w:val="00E63A1A"/>
    <w:rsid w:val="00EE58AA"/>
    <w:rsid w:val="00F60E0B"/>
    <w:rsid w:val="00F6659F"/>
    <w:rsid w:val="00FC1C4E"/>
  </w:rsids>
  <m:mathPr>
    <m:mathFont m:val="Cambria Math"/>
    <m:brkBin m:val="before"/>
    <m:brkBinSub m:val="--"/>
    <m:smallFrac/>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E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8E"/>
    <w:rPr>
      <w:rFonts w:ascii="Tahoma" w:hAnsi="Tahoma" w:cs="Tahoma"/>
      <w:sz w:val="16"/>
      <w:szCs w:val="16"/>
    </w:rPr>
  </w:style>
  <w:style w:type="paragraph" w:styleId="ListParagraph">
    <w:name w:val="List Paragraph"/>
    <w:basedOn w:val="Normal"/>
    <w:uiPriority w:val="34"/>
    <w:qFormat/>
    <w:rsid w:val="00143C8E"/>
    <w:pPr>
      <w:ind w:left="720"/>
      <w:contextualSpacing/>
    </w:pPr>
  </w:style>
  <w:style w:type="paragraph" w:styleId="NormalWeb">
    <w:name w:val="Normal (Web)"/>
    <w:basedOn w:val="Normal"/>
    <w:uiPriority w:val="99"/>
    <w:semiHidden/>
    <w:unhideWhenUsed/>
    <w:rsid w:val="009E726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DD1A01"/>
    <w:rPr>
      <w:sz w:val="16"/>
      <w:szCs w:val="16"/>
    </w:rPr>
  </w:style>
  <w:style w:type="paragraph" w:styleId="CommentText">
    <w:name w:val="annotation text"/>
    <w:basedOn w:val="Normal"/>
    <w:link w:val="CommentTextChar"/>
    <w:uiPriority w:val="99"/>
    <w:unhideWhenUsed/>
    <w:rsid w:val="00DD1A01"/>
    <w:pPr>
      <w:spacing w:line="240" w:lineRule="auto"/>
    </w:pPr>
    <w:rPr>
      <w:sz w:val="20"/>
      <w:szCs w:val="20"/>
    </w:rPr>
  </w:style>
  <w:style w:type="character" w:customStyle="1" w:styleId="CommentTextChar">
    <w:name w:val="Comment Text Char"/>
    <w:basedOn w:val="DefaultParagraphFont"/>
    <w:link w:val="CommentText"/>
    <w:uiPriority w:val="99"/>
    <w:rsid w:val="00DD1A01"/>
    <w:rPr>
      <w:sz w:val="20"/>
      <w:szCs w:val="20"/>
    </w:rPr>
  </w:style>
  <w:style w:type="paragraph" w:styleId="CommentSubject">
    <w:name w:val="annotation subject"/>
    <w:basedOn w:val="CommentText"/>
    <w:next w:val="CommentText"/>
    <w:link w:val="CommentSubjectChar"/>
    <w:uiPriority w:val="99"/>
    <w:semiHidden/>
    <w:unhideWhenUsed/>
    <w:rsid w:val="00DD1A01"/>
    <w:rPr>
      <w:b/>
      <w:bCs/>
    </w:rPr>
  </w:style>
  <w:style w:type="character" w:customStyle="1" w:styleId="CommentSubjectChar">
    <w:name w:val="Comment Subject Char"/>
    <w:basedOn w:val="CommentTextChar"/>
    <w:link w:val="CommentSubject"/>
    <w:uiPriority w:val="99"/>
    <w:semiHidden/>
    <w:rsid w:val="00DD1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77">
      <w:bodyDiv w:val="1"/>
      <w:marLeft w:val="0"/>
      <w:marRight w:val="0"/>
      <w:marTop w:val="0"/>
      <w:marBottom w:val="0"/>
      <w:divBdr>
        <w:top w:val="none" w:sz="0" w:space="0" w:color="auto"/>
        <w:left w:val="none" w:sz="0" w:space="0" w:color="auto"/>
        <w:bottom w:val="none" w:sz="0" w:space="0" w:color="auto"/>
        <w:right w:val="none" w:sz="0" w:space="0" w:color="auto"/>
      </w:divBdr>
    </w:div>
    <w:div w:id="830606807">
      <w:bodyDiv w:val="1"/>
      <w:marLeft w:val="0"/>
      <w:marRight w:val="0"/>
      <w:marTop w:val="0"/>
      <w:marBottom w:val="0"/>
      <w:divBdr>
        <w:top w:val="none" w:sz="0" w:space="0" w:color="auto"/>
        <w:left w:val="none" w:sz="0" w:space="0" w:color="auto"/>
        <w:bottom w:val="none" w:sz="0" w:space="0" w:color="auto"/>
        <w:right w:val="none" w:sz="0" w:space="0" w:color="auto"/>
      </w:divBdr>
    </w:div>
    <w:div w:id="20275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9046</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Bapu Trust</dc:creator>
  <cp:lastModifiedBy>Microsoft Office User</cp:lastModifiedBy>
  <cp:revision>2</cp:revision>
  <dcterms:created xsi:type="dcterms:W3CDTF">2018-08-02T09:35:00Z</dcterms:created>
  <dcterms:modified xsi:type="dcterms:W3CDTF">2018-08-02T09:35:00Z</dcterms:modified>
</cp:coreProperties>
</file>