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C2D5" w14:textId="7360303E" w:rsidR="00CA6AC6" w:rsidRPr="00CA6AC6" w:rsidRDefault="00CA6AC6" w:rsidP="38D9A73E">
      <w:pPr>
        <w:pStyle w:val="Heading1"/>
        <w:bidi/>
      </w:pPr>
      <w:r>
        <w:rPr>
          <w:noProof/>
          <w:lang w:val="en-GB" w:eastAsia="en-GB"/>
        </w:rPr>
        <w:drawing>
          <wp:inline distT="0" distB="0" distL="0" distR="0" wp14:anchorId="713CDE2F" wp14:editId="4EED7488">
            <wp:extent cx="1593588" cy="800100"/>
            <wp:effectExtent l="0" t="0" r="6985" b="0"/>
            <wp:docPr id="1" name="Picture 1" descr="A picture of 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IDA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93588" cy="800100"/>
                    </a:xfrm>
                    <a:prstGeom prst="rect">
                      <a:avLst/>
                    </a:prstGeom>
                    <a:noFill/>
                    <a:ln>
                      <a:noFill/>
                    </a:ln>
                  </pic:spPr>
                </pic:pic>
              </a:graphicData>
            </a:graphic>
          </wp:inline>
        </w:drawing>
      </w:r>
      <w:r>
        <w:rPr>
          <w:color w:val="000000"/>
          <w:shd w:val="clear" w:color="auto" w:fill="FFFFFF"/>
        </w:rPr>
        <w:t xml:space="preserve">  </w:t>
      </w:r>
      <w:r>
        <w:rPr>
          <w:noProof/>
          <w:lang w:val="en-GB" w:eastAsia="en-GB"/>
        </w:rPr>
        <w:drawing>
          <wp:inline distT="0" distB="0" distL="0" distR="0" wp14:anchorId="53CD7B46" wp14:editId="415E5325">
            <wp:extent cx="3112770" cy="745438"/>
            <wp:effectExtent l="0" t="0" r="0" b="0"/>
            <wp:docPr id="2" name="Picture 2" descr="A picture of UNH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UNHC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6277" cy="751067"/>
                    </a:xfrm>
                    <a:prstGeom prst="rect">
                      <a:avLst/>
                    </a:prstGeom>
                    <a:noFill/>
                    <a:ln>
                      <a:noFill/>
                    </a:ln>
                  </pic:spPr>
                </pic:pic>
              </a:graphicData>
            </a:graphic>
          </wp:inline>
        </w:drawing>
      </w:r>
      <w:r>
        <w:rPr>
          <w:color w:val="2F5496"/>
          <w:shd w:val="clear" w:color="auto" w:fill="FFFFFF"/>
        </w:rPr>
        <w:br/>
      </w:r>
    </w:p>
    <w:p w14:paraId="13C93352" w14:textId="0CD8453B" w:rsidR="00703EC3" w:rsidRDefault="00703EC3" w:rsidP="00345546">
      <w:pPr>
        <w:pStyle w:val="Heading1"/>
        <w:bidi/>
        <w:jc w:val="both"/>
      </w:pPr>
      <w:r>
        <w:rPr>
          <w:rtl/>
          <w:lang w:bidi="ar"/>
        </w:rPr>
        <w:t xml:space="preserve">التعاون الاستراتيجي بين التحالف الدولي للإعاقة والمفوضية السامية للأمم المتحدة لشؤون اللاجئين في عام 2021: الإنجازات، والتحديات، وسبل المضيّ قُدُمًا </w:t>
      </w:r>
    </w:p>
    <w:p w14:paraId="1381021D" w14:textId="3E1FB731" w:rsidR="00703EC3" w:rsidRDefault="00703EC3" w:rsidP="00500CAF">
      <w:pPr>
        <w:bidi/>
        <w:spacing w:before="120"/>
        <w:jc w:val="both"/>
      </w:pPr>
      <w:r>
        <w:rPr>
          <w:rtl/>
          <w:lang w:bidi="ar"/>
        </w:rPr>
        <w:t>يُقدِّم هذا التقرير ملخصًا للأنشطة التي نُظمت بشكل مشترك بين التحالف الدولي للإعاقة (</w:t>
      </w:r>
      <w:r>
        <w:t>IDA</w:t>
      </w:r>
      <w:r>
        <w:rPr>
          <w:rtl/>
          <w:lang w:bidi="ar"/>
        </w:rPr>
        <w:t>) والمفوضية السامية للأمم المتحدة لشؤون اللاجئين (</w:t>
      </w:r>
      <w:r>
        <w:t>UNHCR</w:t>
      </w:r>
      <w:r>
        <w:rPr>
          <w:rtl/>
          <w:lang w:bidi="ar"/>
        </w:rPr>
        <w:t>) في عام 2021 لتحقيق الأهداف المنصوص عليها في مذكرة التفاهم (</w:t>
      </w:r>
      <w:r>
        <w:t>MOU</w:t>
      </w:r>
      <w:r>
        <w:rPr>
          <w:rtl/>
          <w:lang w:bidi="ar"/>
        </w:rPr>
        <w:t xml:space="preserve">) لعام 2020. </w:t>
      </w:r>
    </w:p>
    <w:p w14:paraId="04710A87" w14:textId="5ABAB432" w:rsidR="00F3615D" w:rsidRPr="00831474" w:rsidRDefault="7862C746" w:rsidP="00CF45A8">
      <w:pPr>
        <w:bidi/>
        <w:jc w:val="both"/>
      </w:pPr>
      <w:r>
        <w:rPr>
          <w:rtl/>
          <w:lang w:bidi="ar"/>
        </w:rPr>
        <w:t xml:space="preserve">كان عام 2021 هو العام الأول للتعاون الاستراتيجي للمنظمتين، حيث شهد الكثير من الإنجازات الرائعة، </w:t>
      </w:r>
      <w:r w:rsidR="00F66F6B">
        <w:rPr>
          <w:rFonts w:hint="cs"/>
          <w:rtl/>
          <w:lang w:bidi="ar"/>
        </w:rPr>
        <w:t>كما كانت هناك</w:t>
      </w:r>
      <w:r w:rsidR="00F66F6B">
        <w:rPr>
          <w:rtl/>
          <w:lang w:bidi="ar"/>
        </w:rPr>
        <w:t xml:space="preserve"> </w:t>
      </w:r>
      <w:r>
        <w:rPr>
          <w:rtl/>
          <w:lang w:bidi="ar"/>
        </w:rPr>
        <w:t xml:space="preserve">العديد من الدروس القيّمة المستفادة. يجمع </w:t>
      </w:r>
      <w:r w:rsidR="002F47AB">
        <w:rPr>
          <w:rFonts w:hint="cs"/>
          <w:rtl/>
          <w:lang w:bidi="ar"/>
        </w:rPr>
        <w:t xml:space="preserve">هذا </w:t>
      </w:r>
      <w:r>
        <w:rPr>
          <w:rtl/>
          <w:lang w:bidi="ar"/>
        </w:rPr>
        <w:t xml:space="preserve">الملخص الأنشطة </w:t>
      </w:r>
      <w:r w:rsidR="00F66F6B">
        <w:rPr>
          <w:rFonts w:hint="cs"/>
          <w:rtl/>
          <w:lang w:bidi="ar"/>
        </w:rPr>
        <w:t>التي تم تنفيذها في</w:t>
      </w:r>
      <w:r w:rsidR="00F66F6B">
        <w:rPr>
          <w:rtl/>
          <w:lang w:bidi="ar"/>
        </w:rPr>
        <w:t xml:space="preserve"> </w:t>
      </w:r>
      <w:r>
        <w:rPr>
          <w:rtl/>
          <w:lang w:bidi="ar"/>
        </w:rPr>
        <w:t>كل مجال من مجالات التعاون</w:t>
      </w:r>
      <w:r w:rsidR="00CF45A8" w:rsidRPr="00CF45A8">
        <w:rPr>
          <w:rtl/>
          <w:lang w:bidi="ar"/>
        </w:rPr>
        <w:t xml:space="preserve"> </w:t>
      </w:r>
      <w:r w:rsidR="00CF45A8">
        <w:rPr>
          <w:rtl/>
          <w:lang w:bidi="ar"/>
        </w:rPr>
        <w:t>الأربع</w:t>
      </w:r>
      <w:r>
        <w:rPr>
          <w:rtl/>
          <w:lang w:bidi="ar"/>
        </w:rPr>
        <w:t xml:space="preserve"> الرئيسية المشار إليها في مذكرة التفاهم بالإضافة إلى نظرة عامة على الفجوات المحد</w:t>
      </w:r>
      <w:r w:rsidR="002F47AB">
        <w:rPr>
          <w:rtl/>
          <w:lang w:bidi="ar"/>
        </w:rPr>
        <w:t xml:space="preserve">دة في كل مجال، وبعض الأفكار </w:t>
      </w:r>
      <w:r w:rsidR="002F47AB">
        <w:rPr>
          <w:rFonts w:hint="cs"/>
          <w:rtl/>
          <w:lang w:bidi="ar"/>
        </w:rPr>
        <w:t>حول</w:t>
      </w:r>
      <w:r w:rsidR="00B95B03">
        <w:rPr>
          <w:rtl/>
          <w:lang w:bidi="ar"/>
        </w:rPr>
        <w:t xml:space="preserve"> كيفية معالجتها في عام 2022</w:t>
      </w:r>
      <w:r>
        <w:rPr>
          <w:rtl/>
          <w:lang w:bidi="ar"/>
        </w:rPr>
        <w:t xml:space="preserve"> </w:t>
      </w:r>
      <w:r w:rsidR="00AA14B6">
        <w:rPr>
          <w:rFonts w:ascii="Arial" w:hAnsi="Arial" w:cs="Arial"/>
          <w:color w:val="000000"/>
          <w:shd w:val="clear" w:color="auto" w:fill="FFFFFF"/>
          <w:rtl/>
        </w:rPr>
        <w:t>و</w:t>
      </w:r>
      <w:r w:rsidR="00B95B03" w:rsidRPr="00B95B03">
        <w:rPr>
          <w:rFonts w:hint="cs"/>
          <w:rtl/>
          <w:lang w:bidi="ar"/>
        </w:rPr>
        <w:t xml:space="preserve"> </w:t>
      </w:r>
      <w:r w:rsidR="00B95B03">
        <w:rPr>
          <w:rFonts w:hint="cs"/>
          <w:rtl/>
          <w:lang w:bidi="ar"/>
        </w:rPr>
        <w:t>الفترة التي تلي</w:t>
      </w:r>
      <w:r w:rsidR="00AA14B6">
        <w:rPr>
          <w:rtl/>
          <w:lang w:bidi="ar"/>
        </w:rPr>
        <w:t xml:space="preserve"> </w:t>
      </w:r>
      <w:r>
        <w:rPr>
          <w:rtl/>
          <w:lang w:bidi="ar"/>
        </w:rPr>
        <w:t xml:space="preserve">ذلك. </w:t>
      </w:r>
    </w:p>
    <w:p w14:paraId="67C63324" w14:textId="0A343B04" w:rsidR="00860E56" w:rsidRPr="00EE201A" w:rsidRDefault="002F47AB" w:rsidP="00F66F6B">
      <w:pPr>
        <w:pStyle w:val="Heading2"/>
        <w:bidi/>
        <w:jc w:val="both"/>
        <w:rPr>
          <w:b/>
          <w:bCs/>
        </w:rPr>
      </w:pPr>
      <w:r w:rsidRPr="00EE201A">
        <w:rPr>
          <w:b/>
          <w:bCs/>
          <w:rtl/>
          <w:lang w:bidi="ar"/>
        </w:rPr>
        <w:t xml:space="preserve">بناء القدرات </w:t>
      </w:r>
      <w:r w:rsidR="00F66F6B" w:rsidRPr="00EE201A">
        <w:rPr>
          <w:b/>
          <w:bCs/>
          <w:color w:val="2F5496"/>
          <w:shd w:val="clear" w:color="auto" w:fill="FFFFFF"/>
        </w:rPr>
        <w:t> </w:t>
      </w:r>
      <w:r w:rsidR="00F66F6B" w:rsidRPr="00EE201A">
        <w:rPr>
          <w:b/>
          <w:bCs/>
          <w:rtl/>
          <w:lang w:bidi="ar"/>
        </w:rPr>
        <w:t>المُ</w:t>
      </w:r>
      <w:r w:rsidR="00F66F6B" w:rsidRPr="00EE201A">
        <w:rPr>
          <w:rFonts w:hint="cs"/>
          <w:b/>
          <w:bCs/>
          <w:rtl/>
          <w:lang w:bidi="ar"/>
        </w:rPr>
        <w:t>تبادل</w:t>
      </w:r>
      <w:r w:rsidR="002C7048" w:rsidRPr="00EE201A">
        <w:rPr>
          <w:b/>
          <w:bCs/>
          <w:rtl/>
          <w:lang w:bidi="ar"/>
        </w:rPr>
        <w:t xml:space="preserve"> </w:t>
      </w:r>
    </w:p>
    <w:p w14:paraId="216AE6CD" w14:textId="31361FCF" w:rsidR="00413B7B" w:rsidRDefault="00986ED2" w:rsidP="00181333">
      <w:pPr>
        <w:bidi/>
        <w:jc w:val="both"/>
      </w:pPr>
      <w:r>
        <w:rPr>
          <w:rtl/>
          <w:lang w:bidi="ar"/>
        </w:rPr>
        <w:t xml:space="preserve">تمثَّل الهدف الرئيسي لبناء القدرات في عام 2021 في </w:t>
      </w:r>
      <w:r w:rsidR="00181333">
        <w:rPr>
          <w:rFonts w:ascii="Arial" w:hAnsi="Arial" w:cs="Arial" w:hint="cs"/>
          <w:color w:val="000000"/>
          <w:shd w:val="clear" w:color="auto" w:fill="FFFFFF"/>
          <w:rtl/>
        </w:rPr>
        <w:t xml:space="preserve"> </w:t>
      </w:r>
      <w:r w:rsidR="00F66F6B">
        <w:rPr>
          <w:rFonts w:hint="cs"/>
          <w:rtl/>
          <w:lang w:bidi="ar"/>
        </w:rPr>
        <w:t xml:space="preserve">تعريف </w:t>
      </w:r>
      <w:r>
        <w:rPr>
          <w:rtl/>
          <w:lang w:bidi="ar"/>
        </w:rPr>
        <w:t>أعضا</w:t>
      </w:r>
      <w:r w:rsidR="00EE201A">
        <w:rPr>
          <w:rtl/>
          <w:lang w:bidi="ar"/>
        </w:rPr>
        <w:t>ء التحالف الدولي للإعاقة وعمل</w:t>
      </w:r>
      <w:r>
        <w:rPr>
          <w:rtl/>
          <w:lang w:bidi="ar"/>
        </w:rPr>
        <w:t xml:space="preserve"> المفوضية السامية لل</w:t>
      </w:r>
      <w:r w:rsidR="001158CF">
        <w:rPr>
          <w:rtl/>
          <w:lang w:bidi="ar"/>
        </w:rPr>
        <w:t xml:space="preserve">أمم المتحدة لشئون اللاجئين </w:t>
      </w:r>
      <w:r w:rsidR="00181333">
        <w:rPr>
          <w:rFonts w:ascii="Arial" w:hAnsi="Arial" w:cs="Arial" w:hint="cs"/>
          <w:color w:val="000000"/>
          <w:shd w:val="clear" w:color="auto" w:fill="FFFFFF"/>
          <w:rtl/>
        </w:rPr>
        <w:t>ب</w:t>
      </w:r>
      <w:r w:rsidR="00181333">
        <w:rPr>
          <w:rFonts w:ascii="Arial" w:hAnsi="Arial" w:cs="Arial"/>
          <w:color w:val="000000"/>
          <w:shd w:val="clear" w:color="auto" w:fill="FFFFFF"/>
          <w:rtl/>
        </w:rPr>
        <w:t>مذكرة</w:t>
      </w:r>
      <w:r w:rsidR="00181333">
        <w:rPr>
          <w:rFonts w:ascii="Arial" w:hAnsi="Arial" w:cs="Arial" w:hint="cs"/>
          <w:color w:val="000000"/>
          <w:shd w:val="clear" w:color="auto" w:fill="FFFFFF"/>
          <w:rtl/>
        </w:rPr>
        <w:t xml:space="preserve"> </w:t>
      </w:r>
      <w:r>
        <w:rPr>
          <w:rtl/>
          <w:lang w:bidi="ar"/>
        </w:rPr>
        <w:t xml:space="preserve">التفاهم، وأهدافها، وكيفية المساهمة في تنفيذها. وحررت المنظمتان لهذا الغرض </w:t>
      </w:r>
      <w:hyperlink r:id="rId11" w:history="1">
        <w:r w:rsidRPr="005B59C2">
          <w:rPr>
            <w:rStyle w:val="Hyperlink"/>
            <w:rtl/>
            <w:lang w:bidi="ar"/>
          </w:rPr>
          <w:t>وثيقة موجزة</w:t>
        </w:r>
      </w:hyperlink>
      <w:r>
        <w:rPr>
          <w:rtl/>
          <w:lang w:bidi="ar"/>
        </w:rPr>
        <w:t xml:space="preserve"> بلغة مبسَّطة، لخصت فيها مبادئ التعاون، بالإضافة إلى مجالات المصلحة المشتركة. ونُشرت هذه الوثيقة أيضًا باللغات العربية، والفرنسية، والإسبانية، وبلغة الإشارة الدولية في صفحة على شبكة الإنترنت مخصصة لتعاونهما: </w:t>
      </w:r>
      <w:hyperlink r:id="rId12">
        <w:r>
          <w:rPr>
            <w:rStyle w:val="Hyperlink"/>
            <w:rtl/>
            <w:lang w:bidi="ar"/>
          </w:rPr>
          <w:t>اللاجئون والنازحون داخليًا والأشخاص ذوي الإعاقة | التحالف الدولي للإعاقة</w:t>
        </w:r>
      </w:hyperlink>
      <w:r>
        <w:rPr>
          <w:rtl/>
          <w:lang w:bidi="ar"/>
        </w:rPr>
        <w:t xml:space="preserve">. </w:t>
      </w:r>
    </w:p>
    <w:p w14:paraId="33194DCB" w14:textId="1D5927D6" w:rsidR="00E82C4A" w:rsidRDefault="00E82C4A" w:rsidP="00345546">
      <w:pPr>
        <w:bidi/>
        <w:jc w:val="both"/>
      </w:pPr>
      <w:r>
        <w:rPr>
          <w:rtl/>
          <w:lang w:bidi="ar"/>
        </w:rPr>
        <w:t>تمثلت الخطوة التالية في تنظيم التحالف الدولي للإعاقة والمفوضية السامية للأمم المتحدة لشئون اللاجئين ست ندوات عبر الإنترنت على المستوى الإقليمي للتعريف بمذكرة التفاهم وتيسير التواصل بين الأعضاء الإقليميين والوطنيين</w:t>
      </w:r>
      <w:r w:rsidR="00EE201A">
        <w:rPr>
          <w:rtl/>
          <w:lang w:bidi="ar"/>
        </w:rPr>
        <w:t xml:space="preserve"> بالتحالف الدولي للإعاقة وعمل</w:t>
      </w:r>
      <w:r>
        <w:rPr>
          <w:rtl/>
          <w:lang w:bidi="ar"/>
        </w:rPr>
        <w:t xml:space="preserve"> المفوضية السامية على المستوى الإقليمي والقُطري. وتبادل المشاركون في هذه الندوات المعلومات حول التحديات التي يواجها الأشخاص النازحون وعديمي الجنسية من ذوي الإعاقة، بالإضافة إلى الممارسات الواعدة في كل منطقة. وكان من بين المشاركين المسجلين ممثلين من 41 منظمة إقليمية ووطنية للأشخاص ذوي الإعاقة، و57 مكتبًا وطنيًا وإقليميًا للمفوضية. </w:t>
      </w:r>
    </w:p>
    <w:p w14:paraId="0A3C5F9B" w14:textId="3D915300" w:rsidR="00557EC7" w:rsidRDefault="00557EC7" w:rsidP="00181333">
      <w:pPr>
        <w:bidi/>
        <w:jc w:val="both"/>
      </w:pPr>
      <w:r>
        <w:rPr>
          <w:rtl/>
          <w:lang w:bidi="ar"/>
        </w:rPr>
        <w:t xml:space="preserve">واستنادًا إلى ما تم تبادله في الندوات الإقليمية المنعقدة على الإنترنت، </w:t>
      </w:r>
      <w:r w:rsidR="00181333">
        <w:rPr>
          <w:rFonts w:hint="cs"/>
          <w:rtl/>
          <w:lang w:bidi="ar"/>
        </w:rPr>
        <w:t>اتضح أنه ي</w:t>
      </w:r>
      <w:r w:rsidR="00181333">
        <w:rPr>
          <w:rtl/>
          <w:lang w:bidi="ar"/>
        </w:rPr>
        <w:t>واجه</w:t>
      </w:r>
      <w:r w:rsidR="00181333">
        <w:rPr>
          <w:rFonts w:ascii="Arial" w:hAnsi="Arial" w:cs="Arial" w:hint="cs"/>
          <w:color w:val="000000"/>
          <w:shd w:val="clear" w:color="auto" w:fill="FFFFFF"/>
          <w:rtl/>
        </w:rPr>
        <w:t xml:space="preserve"> </w:t>
      </w:r>
      <w:r>
        <w:rPr>
          <w:rtl/>
          <w:lang w:bidi="ar"/>
        </w:rPr>
        <w:t xml:space="preserve">النازحون قسراً وعديمو الجنسية من ذوي الإعاقة أربع تحديات رئيسية: </w:t>
      </w:r>
    </w:p>
    <w:p w14:paraId="348998AA" w14:textId="540AF53B" w:rsidR="002C0D7B" w:rsidRDefault="00CF45A8" w:rsidP="00CF45A8">
      <w:pPr>
        <w:pStyle w:val="ListBullet"/>
        <w:bidi/>
      </w:pPr>
      <w:r w:rsidRPr="00CF45A8">
        <w:rPr>
          <w:rFonts w:cs="Arial"/>
          <w:rtl/>
          <w:lang w:bidi="ar"/>
        </w:rPr>
        <w:t xml:space="preserve">غياب الاحصاءات الرسمية الدقيقة حول </w:t>
      </w:r>
      <w:r w:rsidR="002C0D7B">
        <w:rPr>
          <w:rtl/>
          <w:lang w:bidi="ar"/>
        </w:rPr>
        <w:t xml:space="preserve">الأشخاص ذوي الإعاقة في </w:t>
      </w:r>
      <w:bookmarkStart w:id="0" w:name="_Int_yIwvPNUd"/>
      <w:r w:rsidR="002C0D7B">
        <w:rPr>
          <w:rtl/>
          <w:lang w:bidi="ar"/>
        </w:rPr>
        <w:t>بيانات</w:t>
      </w:r>
      <w:bookmarkEnd w:id="0"/>
      <w:r w:rsidR="002C0D7B">
        <w:rPr>
          <w:rtl/>
          <w:lang w:bidi="ar"/>
        </w:rPr>
        <w:t xml:space="preserve"> تسجيل اللاجئين؛ </w:t>
      </w:r>
    </w:p>
    <w:p w14:paraId="4A36EFAB" w14:textId="0B2A0E68" w:rsidR="002C0D7B" w:rsidRDefault="002C0D7B" w:rsidP="00181333">
      <w:pPr>
        <w:pStyle w:val="ListBullet"/>
        <w:bidi/>
        <w:jc w:val="both"/>
      </w:pPr>
      <w:r>
        <w:rPr>
          <w:rtl/>
          <w:lang w:bidi="ar"/>
        </w:rPr>
        <w:t xml:space="preserve">التمثيل غير الكافي: محدودية </w:t>
      </w:r>
      <w:r w:rsidR="00181333">
        <w:rPr>
          <w:rFonts w:hint="cs"/>
          <w:rtl/>
          <w:lang w:bidi="ar"/>
        </w:rPr>
        <w:t>شمول</w:t>
      </w:r>
      <w:r w:rsidR="00181333">
        <w:rPr>
          <w:rtl/>
          <w:lang w:bidi="ar"/>
        </w:rPr>
        <w:t xml:space="preserve"> </w:t>
      </w:r>
      <w:r>
        <w:rPr>
          <w:rtl/>
          <w:lang w:bidi="ar"/>
        </w:rPr>
        <w:t xml:space="preserve">الأشخاص ذوي الإعاقة ومشاركتهم في </w:t>
      </w:r>
      <w:bookmarkStart w:id="1" w:name="_Int_pXj75BP9"/>
      <w:r>
        <w:rPr>
          <w:rtl/>
          <w:lang w:bidi="ar"/>
        </w:rPr>
        <w:t>المنظمات</w:t>
      </w:r>
      <w:bookmarkEnd w:id="1"/>
      <w:r>
        <w:rPr>
          <w:rtl/>
          <w:lang w:bidi="ar"/>
        </w:rPr>
        <w:t xml:space="preserve"> التي يُديرها لاجئون؛ </w:t>
      </w:r>
    </w:p>
    <w:p w14:paraId="19E0B46D" w14:textId="23C40488" w:rsidR="00D86A4D" w:rsidRDefault="00D86A4D" w:rsidP="00CF45A8">
      <w:pPr>
        <w:pStyle w:val="ListBullet"/>
        <w:bidi/>
        <w:jc w:val="both"/>
      </w:pPr>
      <w:r>
        <w:rPr>
          <w:rtl/>
          <w:lang w:bidi="ar"/>
        </w:rPr>
        <w:t xml:space="preserve">العوائق التي تحول دون الوصول إلى الخدمات، </w:t>
      </w:r>
      <w:r w:rsidR="00181333">
        <w:rPr>
          <w:rFonts w:hint="cs"/>
          <w:rtl/>
          <w:lang w:bidi="ar"/>
        </w:rPr>
        <w:t>بمافيها خدمة المساعدات النقدية</w:t>
      </w:r>
      <w:r w:rsidR="00181333">
        <w:rPr>
          <w:rtl/>
          <w:lang w:bidi="ar"/>
        </w:rPr>
        <w:t xml:space="preserve"> </w:t>
      </w:r>
      <w:r>
        <w:rPr>
          <w:rtl/>
          <w:lang w:bidi="ar"/>
        </w:rPr>
        <w:t xml:space="preserve">؛ </w:t>
      </w:r>
    </w:p>
    <w:p w14:paraId="19CBEDBC" w14:textId="6777695F" w:rsidR="004C4D0D" w:rsidRDefault="00E42BCB" w:rsidP="00181333">
      <w:pPr>
        <w:pStyle w:val="ListBullet"/>
        <w:bidi/>
        <w:jc w:val="both"/>
      </w:pPr>
      <w:r>
        <w:rPr>
          <w:rtl/>
          <w:lang w:bidi="ar"/>
        </w:rPr>
        <w:t xml:space="preserve">التعرض للعنف والاعتداء </w:t>
      </w:r>
      <w:r w:rsidR="00181333">
        <w:rPr>
          <w:rFonts w:ascii="Arial" w:hAnsi="Arial" w:cs="Arial" w:hint="cs"/>
          <w:color w:val="000000"/>
          <w:shd w:val="clear" w:color="auto" w:fill="FFFFFF"/>
          <w:rtl/>
        </w:rPr>
        <w:t>وعدم</w:t>
      </w:r>
      <w:r w:rsidR="00181333">
        <w:rPr>
          <w:rFonts w:ascii="Arial" w:hAnsi="Arial" w:cs="Arial"/>
          <w:color w:val="000000"/>
          <w:shd w:val="clear" w:color="auto" w:fill="FFFFFF"/>
          <w:rtl/>
        </w:rPr>
        <w:t xml:space="preserve"> المساواة</w:t>
      </w:r>
      <w:r w:rsidR="00181333">
        <w:rPr>
          <w:rtl/>
          <w:lang w:bidi="ar"/>
        </w:rPr>
        <w:t xml:space="preserve"> </w:t>
      </w:r>
      <w:r w:rsidR="00181333">
        <w:rPr>
          <w:rFonts w:hint="cs"/>
          <w:rtl/>
          <w:lang w:bidi="ar"/>
        </w:rPr>
        <w:t xml:space="preserve">في </w:t>
      </w:r>
      <w:r>
        <w:rPr>
          <w:rtl/>
          <w:lang w:bidi="ar"/>
        </w:rPr>
        <w:t>الحصول على خدمات الوقاية والحماية</w:t>
      </w:r>
      <w:r w:rsidR="001158CF">
        <w:rPr>
          <w:rFonts w:hint="cs"/>
          <w:rtl/>
          <w:lang w:bidi="ar"/>
        </w:rPr>
        <w:t xml:space="preserve"> من العنف</w:t>
      </w:r>
      <w:r>
        <w:rPr>
          <w:rtl/>
          <w:lang w:bidi="ar"/>
        </w:rPr>
        <w:t xml:space="preserve">. </w:t>
      </w:r>
    </w:p>
    <w:p w14:paraId="5171FA3B" w14:textId="7DA9DB91" w:rsidR="00397010" w:rsidRDefault="00397010" w:rsidP="00B609FD">
      <w:pPr>
        <w:bidi/>
        <w:jc w:val="both"/>
      </w:pPr>
      <w:r>
        <w:rPr>
          <w:rtl/>
          <w:lang w:bidi="ar"/>
        </w:rPr>
        <w:t>تضمنت الممارسات الواعدة الشراكات مع المنظمات الإقليمية للأشخاص ذوي الإعاقة (</w:t>
      </w:r>
      <w:bookmarkStart w:id="2" w:name="_Int_Vic6WYHn"/>
      <w:r>
        <w:rPr>
          <w:rtl/>
          <w:lang w:bidi="ar"/>
        </w:rPr>
        <w:t>على سبيل المثال</w:t>
      </w:r>
      <w:bookmarkEnd w:id="2"/>
      <w:r>
        <w:rPr>
          <w:rtl/>
          <w:lang w:bidi="ar"/>
        </w:rPr>
        <w:t xml:space="preserve"> في الأميركتين</w:t>
      </w:r>
      <w:bookmarkStart w:id="3" w:name="_Int_V3HxDZkw"/>
      <w:r>
        <w:rPr>
          <w:rtl/>
          <w:lang w:bidi="ar"/>
        </w:rPr>
        <w:t>)؛</w:t>
      </w:r>
      <w:bookmarkEnd w:id="3"/>
      <w:r>
        <w:rPr>
          <w:rtl/>
          <w:lang w:bidi="ar"/>
        </w:rPr>
        <w:t xml:space="preserve"> تطوير </w:t>
      </w:r>
      <w:hyperlink r:id="rId13">
        <w:r>
          <w:rPr>
            <w:rStyle w:val="Hyperlink"/>
            <w:rtl/>
            <w:lang w:bidi="ar"/>
          </w:rPr>
          <w:t>معلومات ومواد اتصال يمكن الوصول إليها</w:t>
        </w:r>
      </w:hyperlink>
      <w:r>
        <w:rPr>
          <w:rtl/>
          <w:lang w:bidi="ar"/>
        </w:rPr>
        <w:t xml:space="preserve"> ب</w:t>
      </w:r>
      <w:r w:rsidR="001158CF">
        <w:rPr>
          <w:rFonts w:hint="cs"/>
          <w:rtl/>
          <w:lang w:bidi="ar"/>
        </w:rPr>
        <w:t>خصوص</w:t>
      </w:r>
      <w:r>
        <w:rPr>
          <w:rtl/>
          <w:lang w:bidi="ar"/>
        </w:rPr>
        <w:t xml:space="preserve"> العمل الإنساني المعني بالأشخاص ذوي الإعاقة و/ أو الوقاية من فيروس كوفيد-19، والعنف القائم على النوع الإجتماعي و</w:t>
      </w:r>
      <w:hyperlink r:id="rId14">
        <w:r w:rsidR="00B609FD">
          <w:rPr>
            <w:rStyle w:val="Hyperlink"/>
            <w:rFonts w:hint="cs"/>
            <w:rtl/>
            <w:lang w:bidi="ar"/>
          </w:rPr>
          <w:t>غيرها من قضايا</w:t>
        </w:r>
        <w:r>
          <w:rPr>
            <w:rStyle w:val="Hyperlink"/>
            <w:rtl/>
            <w:lang w:bidi="ar"/>
          </w:rPr>
          <w:t xml:space="preserve"> الحماية</w:t>
        </w:r>
      </w:hyperlink>
      <w:r w:rsidR="00B609FD">
        <w:rPr>
          <w:rStyle w:val="Hyperlink"/>
          <w:rFonts w:hint="cs"/>
          <w:rtl/>
          <w:lang w:bidi="ar"/>
        </w:rPr>
        <w:t xml:space="preserve"> الأخرى</w:t>
      </w:r>
      <w:r>
        <w:rPr>
          <w:rtl/>
          <w:lang w:bidi="ar"/>
        </w:rPr>
        <w:t>؛</w:t>
      </w:r>
      <w:r w:rsidR="001158CF">
        <w:rPr>
          <w:rFonts w:hint="cs"/>
          <w:rtl/>
          <w:lang w:bidi="ar"/>
        </w:rPr>
        <w:t xml:space="preserve"> </w:t>
      </w:r>
      <w:r>
        <w:rPr>
          <w:rtl/>
          <w:lang w:bidi="ar"/>
        </w:rPr>
        <w:t xml:space="preserve">وتطوير </w:t>
      </w:r>
      <w:r w:rsidR="00CF45A8">
        <w:rPr>
          <w:rtl/>
          <w:lang w:bidi="ar"/>
        </w:rPr>
        <w:t xml:space="preserve"> </w:t>
      </w:r>
      <w:r w:rsidR="00CF45A8">
        <w:rPr>
          <w:rStyle w:val="Hyperlink"/>
          <w:rFonts w:hint="cs"/>
          <w:rtl/>
          <w:lang w:bidi="ar"/>
        </w:rPr>
        <w:t xml:space="preserve"> كتيبات </w:t>
      </w:r>
      <w:r>
        <w:rPr>
          <w:rtl/>
          <w:lang w:bidi="ar"/>
        </w:rPr>
        <w:t xml:space="preserve"> و</w:t>
      </w:r>
      <w:hyperlink r:id="rId15">
        <w:r>
          <w:rPr>
            <w:rStyle w:val="Hyperlink"/>
            <w:rtl/>
            <w:lang w:bidi="ar"/>
          </w:rPr>
          <w:t>تقارير</w:t>
        </w:r>
      </w:hyperlink>
      <w:r>
        <w:rPr>
          <w:rtl/>
          <w:lang w:bidi="ar"/>
        </w:rPr>
        <w:t xml:space="preserve"> بشأن حقوق الأشخاص ذوي الإعاقة في حالات النزوح القسري.</w:t>
      </w:r>
    </w:p>
    <w:p w14:paraId="6D80D820" w14:textId="6086D495" w:rsidR="00A33BB8" w:rsidRDefault="4568CB40" w:rsidP="00CF45A8">
      <w:pPr>
        <w:bidi/>
        <w:jc w:val="both"/>
      </w:pPr>
      <w:r>
        <w:rPr>
          <w:rtl/>
          <w:lang w:bidi="ar"/>
        </w:rPr>
        <w:t xml:space="preserve">تمثَّل أحد الإنجازات المهمة في عام 2021 في </w:t>
      </w:r>
      <w:r w:rsidR="005701BA">
        <w:rPr>
          <w:rFonts w:hint="cs"/>
          <w:rtl/>
          <w:lang w:bidi="ar"/>
        </w:rPr>
        <w:t>اكتمال</w:t>
      </w:r>
      <w:r>
        <w:rPr>
          <w:rtl/>
          <w:lang w:bidi="ar"/>
        </w:rPr>
        <w:t xml:space="preserve"> </w:t>
      </w:r>
      <w:hyperlink r:id="rId16">
        <w:r>
          <w:rPr>
            <w:rStyle w:val="Hyperlink"/>
            <w:rtl/>
            <w:lang w:bidi="ar"/>
          </w:rPr>
          <w:t>دليل الميسّر التابع للمفوضية السامية</w:t>
        </w:r>
      </w:hyperlink>
      <w:r>
        <w:rPr>
          <w:rtl/>
          <w:lang w:bidi="ar"/>
        </w:rPr>
        <w:t xml:space="preserve"> بشأن تعزيز حماية الأشخاص ذوي الإعاقة في حالات النزوح القسري. ويتضمن هذا الدليل، الذي وضعته المفوضية السامية بعد التشاور مع الأشخاص ذوي الإعاقة، نصائح عملية، وإرشادات مفصّلة لضمان </w:t>
      </w:r>
      <w:r w:rsidR="00B609FD">
        <w:rPr>
          <w:rFonts w:hint="cs"/>
          <w:rtl/>
          <w:lang w:bidi="ar"/>
        </w:rPr>
        <w:t>شمول</w:t>
      </w:r>
      <w:r w:rsidR="00CF45A8">
        <w:rPr>
          <w:rFonts w:hint="cs"/>
          <w:rtl/>
          <w:lang w:bidi="ar"/>
        </w:rPr>
        <w:t xml:space="preserve"> </w:t>
      </w:r>
      <w:r>
        <w:rPr>
          <w:rtl/>
          <w:lang w:bidi="ar"/>
        </w:rPr>
        <w:t>الإعاقة في البرامج وجهود تجميع البيانات، وإمكانية الوصول إلى</w:t>
      </w:r>
      <w:r w:rsidR="005701BA">
        <w:rPr>
          <w:rFonts w:hint="cs"/>
          <w:rtl/>
          <w:lang w:bidi="ar"/>
        </w:rPr>
        <w:t xml:space="preserve"> </w:t>
      </w:r>
      <w:r w:rsidR="00B609FD">
        <w:rPr>
          <w:rFonts w:ascii="Arial" w:hAnsi="Arial" w:cs="Arial"/>
          <w:color w:val="000000"/>
          <w:shd w:val="clear" w:color="auto" w:fill="FFFFFF"/>
          <w:rtl/>
        </w:rPr>
        <w:t>ا</w:t>
      </w:r>
      <w:r w:rsidR="00B609FD">
        <w:rPr>
          <w:rFonts w:hint="cs"/>
          <w:rtl/>
          <w:lang w:bidi="ar"/>
        </w:rPr>
        <w:t>لبرامج</w:t>
      </w:r>
      <w:r w:rsidR="00B609FD">
        <w:rPr>
          <w:rtl/>
          <w:lang w:bidi="ar"/>
        </w:rPr>
        <w:t xml:space="preserve"> التدريب</w:t>
      </w:r>
      <w:r w:rsidR="00B609FD">
        <w:rPr>
          <w:rFonts w:hint="cs"/>
          <w:rtl/>
          <w:lang w:bidi="ar"/>
        </w:rPr>
        <w:t>ة</w:t>
      </w:r>
      <w:r>
        <w:rPr>
          <w:rtl/>
          <w:lang w:bidi="ar"/>
        </w:rPr>
        <w:t xml:space="preserve">. وعقدت المفوضية </w:t>
      </w:r>
      <w:r>
        <w:rPr>
          <w:rtl/>
          <w:lang w:bidi="ar"/>
        </w:rPr>
        <w:lastRenderedPageBreak/>
        <w:t>السامية والتحالف الدولي للإعاقة ندوات مشتركة عبر ال</w:t>
      </w:r>
      <w:r w:rsidR="005701BA">
        <w:rPr>
          <w:rtl/>
          <w:lang w:bidi="ar"/>
        </w:rPr>
        <w:t>إنترنت للتعريف بهذا الدليل و</w:t>
      </w:r>
      <w:r w:rsidR="00B609FD" w:rsidRPr="00B609FD">
        <w:rPr>
          <w:rtl/>
          <w:lang w:bidi="ar"/>
        </w:rPr>
        <w:t xml:space="preserve"> </w:t>
      </w:r>
      <w:r w:rsidR="00B609FD">
        <w:rPr>
          <w:rtl/>
          <w:lang w:bidi="ar"/>
        </w:rPr>
        <w:t>ل</w:t>
      </w:r>
      <w:r w:rsidR="00B609FD">
        <w:rPr>
          <w:rFonts w:hint="cs"/>
          <w:rtl/>
          <w:lang w:bidi="ar"/>
        </w:rPr>
        <w:t>تضمين</w:t>
      </w:r>
      <w:r w:rsidR="00B609FD" w:rsidRPr="00CF45A8">
        <w:rPr>
          <w:rFonts w:hint="cs"/>
          <w:u w:val="single"/>
          <w:rtl/>
          <w:lang w:bidi="ar"/>
        </w:rPr>
        <w:t xml:space="preserve"> </w:t>
      </w:r>
      <w:hyperlink r:id="rId17" w:history="1">
        <w:r w:rsidRPr="00CF45A8">
          <w:rPr>
            <w:rStyle w:val="Hyperlink"/>
            <w:rtl/>
            <w:lang w:bidi="ar"/>
          </w:rPr>
          <w:t>أسئلة فريق واشنطن حول الإعاقة</w:t>
        </w:r>
      </w:hyperlink>
      <w:r>
        <w:rPr>
          <w:rtl/>
          <w:lang w:bidi="ar"/>
        </w:rPr>
        <w:t xml:space="preserve"> في نظام التسجيل الخاص بالمفوضية السامية. ولكن لم يُستخدم دليل الميسّر على نطاق واسع في تدريبات وعمليات المفوضية السامية. ولمعالجة هذه الفجوات، يخطط التحالف الدولي للإعاقة والمفوضية السامية لمواصلة دعم نشر الدليل </w:t>
      </w:r>
      <w:r w:rsidR="005701BA">
        <w:rPr>
          <w:rFonts w:hint="cs"/>
          <w:rtl/>
          <w:lang w:bidi="ar"/>
        </w:rPr>
        <w:t>من خلال</w:t>
      </w:r>
      <w:r>
        <w:rPr>
          <w:rtl/>
          <w:lang w:bidi="ar"/>
        </w:rPr>
        <w:t xml:space="preserve"> عدد </w:t>
      </w:r>
      <w:r w:rsidR="00EE201A">
        <w:rPr>
          <w:rtl/>
          <w:lang w:bidi="ar"/>
        </w:rPr>
        <w:t>من الدورات التدريبية لعمل</w:t>
      </w:r>
      <w:r>
        <w:rPr>
          <w:rtl/>
          <w:lang w:bidi="ar"/>
        </w:rPr>
        <w:t xml:space="preserve"> المفوضية في</w:t>
      </w:r>
      <w:r w:rsidR="005701BA">
        <w:rPr>
          <w:rFonts w:hint="cs"/>
          <w:rtl/>
          <w:lang w:bidi="ar"/>
        </w:rPr>
        <w:t xml:space="preserve"> </w:t>
      </w:r>
      <w:r w:rsidR="00F93962">
        <w:rPr>
          <w:rFonts w:hint="cs"/>
          <w:rtl/>
          <w:lang w:bidi="ar"/>
        </w:rPr>
        <w:t>عدد من</w:t>
      </w:r>
      <w:r w:rsidR="00F93962">
        <w:rPr>
          <w:rtl/>
          <w:lang w:bidi="ar"/>
        </w:rPr>
        <w:t xml:space="preserve"> </w:t>
      </w:r>
      <w:r>
        <w:rPr>
          <w:rtl/>
          <w:lang w:bidi="ar"/>
        </w:rPr>
        <w:t>البلدان، بالإضافة إلى إنتاج دروس تعليمية بنُسُق فيديو للتعريف بالدليل ووظيفته.</w:t>
      </w:r>
    </w:p>
    <w:p w14:paraId="507278E8" w14:textId="1047E4EF" w:rsidR="5377935B" w:rsidRDefault="5377935B" w:rsidP="004C52A9">
      <w:pPr>
        <w:bidi/>
        <w:spacing w:line="257" w:lineRule="auto"/>
        <w:jc w:val="both"/>
      </w:pPr>
      <w:r w:rsidRPr="00CF45A8">
        <w:rPr>
          <w:rtl/>
          <w:lang w:bidi="ar"/>
        </w:rPr>
        <w:t>يُعد تداخل ومشاركة فئ</w:t>
      </w:r>
      <w:r w:rsidR="005701BA" w:rsidRPr="00CF45A8">
        <w:rPr>
          <w:rtl/>
          <w:lang w:bidi="ar"/>
        </w:rPr>
        <w:t>ات الأشخاص ذوي الإعاقة</w:t>
      </w:r>
      <w:r w:rsidR="00F93962" w:rsidRPr="00CF45A8">
        <w:rPr>
          <w:rtl/>
          <w:lang w:bidi="ar"/>
        </w:rPr>
        <w:t xml:space="preserve"> </w:t>
      </w:r>
      <w:r w:rsidR="00F93962" w:rsidRPr="00CF45A8">
        <w:rPr>
          <w:rFonts w:hint="cs"/>
          <w:rtl/>
          <w:lang w:bidi="ar"/>
        </w:rPr>
        <w:t>الأقل تمثيلاً</w:t>
      </w:r>
      <w:r w:rsidRPr="00CF45A8">
        <w:rPr>
          <w:rtl/>
          <w:lang w:bidi="ar"/>
        </w:rPr>
        <w:t xml:space="preserve">، أولوية رئيسية في التعاون الاستراتيجي بين التحالف الدولي للإعاقة والمفوضية السامية. وتحقيقًا لهذه الغاية، </w:t>
      </w:r>
      <w:r w:rsidR="004C52A9">
        <w:rPr>
          <w:rFonts w:hint="cs"/>
          <w:rtl/>
          <w:lang w:bidi="ar"/>
        </w:rPr>
        <w:t>ي</w:t>
      </w:r>
      <w:r w:rsidRPr="00CF45A8">
        <w:rPr>
          <w:rtl/>
          <w:lang w:bidi="ar"/>
        </w:rPr>
        <w:t>تم تشجيع فئات الأشخاص ذوي الإعاقة</w:t>
      </w:r>
      <w:r w:rsidR="00F93962" w:rsidRPr="00CF45A8">
        <w:rPr>
          <w:rtl/>
          <w:lang w:bidi="ar"/>
        </w:rPr>
        <w:t xml:space="preserve"> </w:t>
      </w:r>
      <w:r w:rsidR="00F93962" w:rsidRPr="00CF45A8">
        <w:rPr>
          <w:rFonts w:hint="cs"/>
          <w:rtl/>
          <w:lang w:bidi="ar"/>
        </w:rPr>
        <w:t>الأقل تمثيلاً</w:t>
      </w:r>
      <w:r w:rsidR="00F93962" w:rsidRPr="00CF45A8">
        <w:rPr>
          <w:rtl/>
          <w:lang w:bidi="ar"/>
        </w:rPr>
        <w:t xml:space="preserve"> </w:t>
      </w:r>
      <w:r w:rsidRPr="00CF45A8">
        <w:rPr>
          <w:rtl/>
          <w:lang w:bidi="ar"/>
        </w:rPr>
        <w:t xml:space="preserve">باستمرار على الانضمام إلى أنشطة بناء القدرات والمساهمة فيها. علاوة </w:t>
      </w:r>
      <w:r w:rsidR="004C52A9">
        <w:rPr>
          <w:rtl/>
          <w:lang w:bidi="ar"/>
        </w:rPr>
        <w:t xml:space="preserve">على ذلك، نظمت الأطراف جلسة </w:t>
      </w:r>
      <w:r w:rsidR="004C52A9">
        <w:rPr>
          <w:rFonts w:hint="cs"/>
          <w:rtl/>
          <w:lang w:bidi="ar"/>
        </w:rPr>
        <w:t>خاصة</w:t>
      </w:r>
      <w:r w:rsidRPr="00CF45A8">
        <w:rPr>
          <w:rtl/>
          <w:lang w:bidi="ar"/>
        </w:rPr>
        <w:t xml:space="preserve"> لتجمع الشباب التابع للتحالف الدولي للإعاقة لمناقشة المساواة في الحماية و</w:t>
      </w:r>
      <w:r w:rsidR="00F93962" w:rsidRPr="00CF45A8">
        <w:rPr>
          <w:rtl/>
          <w:lang w:bidi="ar"/>
        </w:rPr>
        <w:t xml:space="preserve"> </w:t>
      </w:r>
      <w:r w:rsidR="00F93962" w:rsidRPr="00CF45A8">
        <w:rPr>
          <w:rFonts w:hint="cs"/>
          <w:rtl/>
          <w:lang w:bidi="ar"/>
        </w:rPr>
        <w:t>شمول</w:t>
      </w:r>
      <w:r w:rsidRPr="00CF45A8">
        <w:rPr>
          <w:rtl/>
          <w:lang w:bidi="ar"/>
        </w:rPr>
        <w:t xml:space="preserve"> الشباب من ذوي الإعاقة في حالات الخطر والطوارئ الإنسانية، مع التركيز بشكلٍ خاص على النزوح القسري وانعدام الجنسية. وتبادل اللاجئون الشباب، والنازحو</w:t>
      </w:r>
      <w:r w:rsidR="00CF45A8" w:rsidRPr="00CF45A8">
        <w:rPr>
          <w:rtl/>
          <w:lang w:bidi="ar"/>
        </w:rPr>
        <w:t>ن داخليًا من ذوي الإعاقة أيضًا</w:t>
      </w:r>
      <w:r w:rsidR="00CF45A8" w:rsidRPr="00CF45A8">
        <w:rPr>
          <w:rFonts w:hint="cs"/>
          <w:rtl/>
          <w:lang w:bidi="ar"/>
        </w:rPr>
        <w:t xml:space="preserve"> </w:t>
      </w:r>
      <w:r w:rsidRPr="00CF45A8">
        <w:rPr>
          <w:rtl/>
          <w:lang w:bidi="ar"/>
        </w:rPr>
        <w:t xml:space="preserve">في هذه الجلسة تجربتهم في </w:t>
      </w:r>
      <w:r w:rsidR="00F93962" w:rsidRPr="00CF45A8">
        <w:rPr>
          <w:rFonts w:hint="cs"/>
          <w:rtl/>
          <w:lang w:bidi="ar"/>
        </w:rPr>
        <w:t>مناصرة</w:t>
      </w:r>
      <w:r w:rsidR="00F93962" w:rsidRPr="00CF45A8">
        <w:rPr>
          <w:rtl/>
          <w:lang w:bidi="ar"/>
        </w:rPr>
        <w:t xml:space="preserve"> </w:t>
      </w:r>
      <w:r w:rsidR="00F93962" w:rsidRPr="00CF45A8">
        <w:rPr>
          <w:rFonts w:hint="cs"/>
          <w:rtl/>
          <w:lang w:bidi="ar"/>
        </w:rPr>
        <w:t>الشمول</w:t>
      </w:r>
      <w:r w:rsidRPr="00CF45A8">
        <w:rPr>
          <w:rtl/>
          <w:lang w:bidi="ar"/>
        </w:rPr>
        <w:t xml:space="preserve"> والمشاركة. ودعمت الأطراف أيضًا اجتماعًا </w:t>
      </w:r>
      <w:r w:rsidR="00F93962" w:rsidRPr="00CF45A8">
        <w:rPr>
          <w:rFonts w:hint="cs"/>
          <w:rtl/>
          <w:lang w:bidi="ar"/>
        </w:rPr>
        <w:t>خاصاً</w:t>
      </w:r>
      <w:r w:rsidR="004C52A9">
        <w:rPr>
          <w:rFonts w:hint="cs"/>
          <w:rtl/>
          <w:lang w:bidi="ar"/>
        </w:rPr>
        <w:t xml:space="preserve"> </w:t>
      </w:r>
      <w:r w:rsidRPr="00CF45A8">
        <w:rPr>
          <w:rtl/>
          <w:lang w:bidi="ar"/>
        </w:rPr>
        <w:t>مع</w:t>
      </w:r>
      <w:r w:rsidR="004C52A9">
        <w:rPr>
          <w:rtl/>
          <w:lang w:bidi="ar"/>
        </w:rPr>
        <w:t xml:space="preserve"> أعضاء الاتحاد العالمي للصم </w:t>
      </w:r>
      <w:r w:rsidR="004C52A9">
        <w:rPr>
          <w:rFonts w:hint="cs"/>
          <w:rtl/>
          <w:lang w:bidi="ar"/>
        </w:rPr>
        <w:t>اشتمل على التعريف</w:t>
      </w:r>
      <w:r w:rsidR="004C52A9">
        <w:rPr>
          <w:rtl/>
          <w:lang w:bidi="ar"/>
        </w:rPr>
        <w:t xml:space="preserve"> </w:t>
      </w:r>
      <w:r w:rsidR="004C52A9">
        <w:rPr>
          <w:rFonts w:hint="cs"/>
          <w:rtl/>
          <w:lang w:bidi="ar"/>
        </w:rPr>
        <w:t>با</w:t>
      </w:r>
      <w:r w:rsidRPr="00CF45A8">
        <w:rPr>
          <w:rtl/>
          <w:lang w:bidi="ar"/>
        </w:rPr>
        <w:t>لتعاون الاستراتيجي بين التحالف الدولي للإعاقة والمفوضية السامية</w:t>
      </w:r>
      <w:r>
        <w:rPr>
          <w:rFonts w:ascii="Calibri" w:eastAsia="Calibri" w:hAnsi="Calibri" w:cs="Calibri"/>
          <w:rtl/>
          <w:lang w:bidi="ar"/>
        </w:rPr>
        <w:t>.</w:t>
      </w:r>
    </w:p>
    <w:p w14:paraId="4B6C2473" w14:textId="05A54BB5" w:rsidR="008419DC" w:rsidRDefault="008419DC" w:rsidP="004C52A9">
      <w:pPr>
        <w:bidi/>
        <w:jc w:val="both"/>
      </w:pPr>
      <w:r>
        <w:rPr>
          <w:rtl/>
          <w:lang w:bidi="ar"/>
        </w:rPr>
        <w:t xml:space="preserve">ونظرًا للاهتمام الكبير الذي تجسد خلال الندوات الثلاث المعنية بالتوعية في إفريقيا </w:t>
      </w:r>
      <w:r w:rsidR="004C52A9">
        <w:rPr>
          <w:rFonts w:hint="cs"/>
          <w:rtl/>
          <w:lang w:bidi="ar"/>
        </w:rPr>
        <w:t xml:space="preserve">والتي عقدت </w:t>
      </w:r>
      <w:r w:rsidR="004C52A9">
        <w:rPr>
          <w:rtl/>
          <w:lang w:bidi="ar"/>
        </w:rPr>
        <w:t xml:space="preserve">عبر الإنترنت </w:t>
      </w:r>
      <w:r>
        <w:rPr>
          <w:rtl/>
          <w:lang w:bidi="ar"/>
        </w:rPr>
        <w:t xml:space="preserve">، تم تنظيم </w:t>
      </w:r>
      <w:hyperlink r:id="rId18">
        <w:r>
          <w:rPr>
            <w:rStyle w:val="Hyperlink"/>
            <w:rtl/>
            <w:lang w:bidi="ar"/>
          </w:rPr>
          <w:t>ورشة</w:t>
        </w:r>
      </w:hyperlink>
      <w:r>
        <w:rPr>
          <w:rtl/>
          <w:lang w:bidi="ar"/>
        </w:rPr>
        <w:t xml:space="preserve"> لممثلين من منظمات للأشخاص ذوي الإعاقة (</w:t>
      </w:r>
      <w:r>
        <w:t>OPDs</w:t>
      </w:r>
      <w:r>
        <w:rPr>
          <w:rtl/>
          <w:lang w:bidi="ar"/>
        </w:rPr>
        <w:t>) من 23 دولة. وفي هذه الورشة، عزز المشاركون معرفتهم بالنزوح القسري وانعدام الجنسية و</w:t>
      </w:r>
      <w:r w:rsidR="00F93962" w:rsidRPr="00F93962">
        <w:rPr>
          <w:rFonts w:ascii="Arial" w:hAnsi="Arial" w:cs="Arial"/>
          <w:color w:val="000000"/>
          <w:shd w:val="clear" w:color="auto" w:fill="FFFFFF"/>
          <w:rtl/>
        </w:rPr>
        <w:t xml:space="preserve"> </w:t>
      </w:r>
      <w:r w:rsidR="00F93962">
        <w:rPr>
          <w:rFonts w:hint="cs"/>
          <w:rtl/>
          <w:lang w:bidi="ar"/>
        </w:rPr>
        <w:t xml:space="preserve">مجالات عمل </w:t>
      </w:r>
      <w:r>
        <w:rPr>
          <w:rtl/>
          <w:lang w:bidi="ar"/>
        </w:rPr>
        <w:t xml:space="preserve">المفوضية السامية وأتيحت </w:t>
      </w:r>
      <w:r w:rsidR="00DA4184">
        <w:rPr>
          <w:rtl/>
          <w:lang w:bidi="ar"/>
        </w:rPr>
        <w:t xml:space="preserve">لهم الفرصة لمشاركة خبراتهم، </w:t>
      </w:r>
      <w:r w:rsidR="00DA4184">
        <w:rPr>
          <w:rFonts w:hint="cs"/>
          <w:rtl/>
          <w:lang w:bidi="ar"/>
        </w:rPr>
        <w:t xml:space="preserve">و </w:t>
      </w:r>
      <w:r w:rsidR="00A32C43">
        <w:rPr>
          <w:rFonts w:hint="cs"/>
          <w:rtl/>
          <w:lang w:bidi="ar"/>
        </w:rPr>
        <w:t xml:space="preserve">مدى </w:t>
      </w:r>
      <w:r>
        <w:rPr>
          <w:rtl/>
          <w:lang w:bidi="ar"/>
        </w:rPr>
        <w:t xml:space="preserve">اهتمامهم </w:t>
      </w:r>
      <w:r w:rsidR="00A32C43">
        <w:rPr>
          <w:rFonts w:hint="cs"/>
          <w:rtl/>
          <w:lang w:bidi="ar"/>
        </w:rPr>
        <w:t xml:space="preserve">ورغبتهم في </w:t>
      </w:r>
      <w:r>
        <w:rPr>
          <w:rtl/>
          <w:lang w:bidi="ar"/>
        </w:rPr>
        <w:t xml:space="preserve"> الانخراط في هذه المجالات في عام 2022 من خلال الاستبيان المتاح باللغتين الفرنسية، والإنجليزية.</w:t>
      </w:r>
    </w:p>
    <w:p w14:paraId="4F5A43ED" w14:textId="76F698D9" w:rsidR="00C526A7" w:rsidRDefault="0087774A" w:rsidP="00A32C43">
      <w:pPr>
        <w:bidi/>
        <w:jc w:val="both"/>
      </w:pPr>
      <w:r>
        <w:rPr>
          <w:rtl/>
          <w:lang w:bidi="ar"/>
        </w:rPr>
        <w:t xml:space="preserve">علاوة على ذلك، تمكّن موظفو المفوضية السامية في المكتب القُطري بالعراق من مراقبة </w:t>
      </w:r>
      <w:r w:rsidR="004C52A9">
        <w:rPr>
          <w:rStyle w:val="Hyperlink"/>
          <w:rtl/>
          <w:lang w:bidi="ar"/>
        </w:rPr>
        <w:t>تدريب بريدج</w:t>
      </w:r>
      <w:r w:rsidR="00A32C43">
        <w:rPr>
          <w:rStyle w:val="normaltextrun"/>
          <w:rFonts w:ascii="Arial" w:hAnsi="Arial" w:cs="Arial"/>
          <w:color w:val="0563C1"/>
          <w:u w:val="single"/>
          <w:shd w:val="clear" w:color="auto" w:fill="FFFFFF"/>
          <w:rtl/>
          <w:lang w:bidi="ar"/>
        </w:rPr>
        <w:t xml:space="preserve"> </w:t>
      </w:r>
      <w:r w:rsidR="00A32C43">
        <w:rPr>
          <w:rStyle w:val="normaltextrun"/>
          <w:rFonts w:ascii="Arial" w:hAnsi="Arial" w:cs="Arial" w:hint="cs"/>
          <w:color w:val="0563C1"/>
          <w:u w:val="single"/>
          <w:shd w:val="clear" w:color="auto" w:fill="FFFFFF"/>
          <w:rtl/>
          <w:lang w:bidi="ar"/>
        </w:rPr>
        <w:t>حول</w:t>
      </w:r>
      <w:r w:rsidR="00A32C43">
        <w:rPr>
          <w:rStyle w:val="normaltextrun"/>
          <w:rFonts w:ascii="Arial" w:hAnsi="Arial" w:cs="Arial"/>
          <w:color w:val="0563C1"/>
          <w:u w:val="single"/>
          <w:shd w:val="clear" w:color="auto" w:fill="FFFFFF"/>
          <w:rtl/>
          <w:lang w:bidi="ar"/>
        </w:rPr>
        <w:t xml:space="preserve"> </w:t>
      </w:r>
      <w:r w:rsidR="00A32C43">
        <w:rPr>
          <w:rStyle w:val="normaltextrun"/>
          <w:rFonts w:ascii="Arial" w:hAnsi="Arial" w:cs="Arial" w:hint="cs"/>
          <w:color w:val="0563C1"/>
          <w:u w:val="single"/>
          <w:shd w:val="clear" w:color="auto" w:fill="FFFFFF"/>
          <w:rtl/>
          <w:lang w:bidi="ar"/>
        </w:rPr>
        <w:t>ال</w:t>
      </w:r>
      <w:r w:rsidR="00A32C43">
        <w:rPr>
          <w:rStyle w:val="normaltextrun"/>
          <w:rFonts w:ascii="Arial" w:hAnsi="Arial" w:cs="Arial"/>
          <w:color w:val="0563C1"/>
          <w:u w:val="single"/>
          <w:shd w:val="clear" w:color="auto" w:fill="FFFFFF"/>
          <w:rtl/>
          <w:lang w:bidi="ar"/>
        </w:rPr>
        <w:t>اتفاقية</w:t>
      </w:r>
      <w:r w:rsidR="00A32C43">
        <w:rPr>
          <w:rStyle w:val="normaltextrun"/>
          <w:rFonts w:ascii="Arial" w:hAnsi="Arial" w:cs="Arial" w:hint="cs"/>
          <w:color w:val="0563C1"/>
          <w:u w:val="single"/>
          <w:shd w:val="clear" w:color="auto" w:fill="FFFFFF"/>
          <w:rtl/>
          <w:lang w:bidi="ar"/>
        </w:rPr>
        <w:t xml:space="preserve"> الدولية</w:t>
      </w:r>
      <w:r w:rsidR="00A32C43">
        <w:rPr>
          <w:rStyle w:val="normaltextrun"/>
          <w:rFonts w:ascii="Arial" w:hAnsi="Arial" w:cs="Arial"/>
          <w:color w:val="0563C1"/>
          <w:u w:val="single"/>
          <w:shd w:val="clear" w:color="auto" w:fill="FFFFFF"/>
          <w:rtl/>
          <w:lang w:bidi="ar"/>
        </w:rPr>
        <w:t xml:space="preserve"> </w:t>
      </w:r>
      <w:r w:rsidR="00A32C43">
        <w:rPr>
          <w:rStyle w:val="normaltextrun"/>
          <w:rFonts w:ascii="Arial" w:hAnsi="Arial" w:cs="Arial" w:hint="cs"/>
          <w:color w:val="0563C1"/>
          <w:u w:val="single"/>
          <w:shd w:val="clear" w:color="auto" w:fill="FFFFFF"/>
          <w:rtl/>
          <w:lang w:bidi="ar"/>
        </w:rPr>
        <w:t>ل</w:t>
      </w:r>
      <w:r w:rsidR="00A32C43">
        <w:rPr>
          <w:rStyle w:val="normaltextrun"/>
          <w:rFonts w:ascii="Arial" w:hAnsi="Arial" w:cs="Arial"/>
          <w:color w:val="0563C1"/>
          <w:u w:val="single"/>
          <w:shd w:val="clear" w:color="auto" w:fill="FFFFFF"/>
          <w:rtl/>
          <w:lang w:bidi="ar"/>
        </w:rPr>
        <w:t xml:space="preserve">حقوق الأشخاص ذوي الإعاقة وأهداف التنمية </w:t>
      </w:r>
      <w:r>
        <w:rPr>
          <w:rStyle w:val="Hyperlink"/>
          <w:rtl/>
          <w:lang w:bidi="ar"/>
        </w:rPr>
        <w:t>المستدامة</w:t>
      </w:r>
      <w:r w:rsidR="004C52A9">
        <w:rPr>
          <w:rtl/>
          <w:lang w:bidi="ar"/>
        </w:rPr>
        <w:t xml:space="preserve"> </w:t>
      </w:r>
      <w:r>
        <w:rPr>
          <w:rtl/>
          <w:lang w:bidi="ar"/>
        </w:rPr>
        <w:t xml:space="preserve">، وهو تدريب شامل مكثف لمدة ثمانية أيام للأشخاص ذوي الإعاقة لتعريفهم بالقواعد والمبادئ المنصوص عليها في اتفاقية حقوق الأشخاص ذوي الإعاقة، وأهداف التنمية المستدامة، وكيفية استخدامها في </w:t>
      </w:r>
      <w:r w:rsidR="00A32C43">
        <w:rPr>
          <w:rFonts w:hint="cs"/>
          <w:rtl/>
          <w:lang w:bidi="ar"/>
        </w:rPr>
        <w:t>مناصرة حقوق الأشخاص ذوي الإعاقة</w:t>
      </w:r>
      <w:r w:rsidR="00A32C43">
        <w:rPr>
          <w:rtl/>
          <w:lang w:bidi="ar"/>
        </w:rPr>
        <w:t xml:space="preserve"> </w:t>
      </w:r>
      <w:r>
        <w:rPr>
          <w:rtl/>
          <w:lang w:bidi="ar"/>
        </w:rPr>
        <w:t xml:space="preserve">على النطاق الوطني والدولي. وخلال التدريب، يسّرت جهات التنسيق التابعة للتحالف الدولي للإعاقة والمفوضية السامية أيضًا جلسة </w:t>
      </w:r>
      <w:r w:rsidR="00A32C43">
        <w:rPr>
          <w:rFonts w:hint="cs"/>
          <w:rtl/>
        </w:rPr>
        <w:t>خاصة</w:t>
      </w:r>
      <w:r w:rsidR="00A32C43">
        <w:rPr>
          <w:rFonts w:hint="cs"/>
          <w:rtl/>
          <w:lang w:bidi="ar"/>
        </w:rPr>
        <w:t xml:space="preserve"> </w:t>
      </w:r>
      <w:r>
        <w:rPr>
          <w:rtl/>
          <w:lang w:bidi="ar"/>
        </w:rPr>
        <w:t xml:space="preserve">للمشاركين في تدريب بريدج </w:t>
      </w:r>
      <w:r w:rsidR="00A32C43">
        <w:rPr>
          <w:rFonts w:hint="cs"/>
          <w:rtl/>
          <w:lang w:bidi="ar"/>
        </w:rPr>
        <w:t xml:space="preserve">المعني حول ضمان </w:t>
      </w:r>
      <w:r>
        <w:rPr>
          <w:rtl/>
          <w:lang w:bidi="ar"/>
        </w:rPr>
        <w:t xml:space="preserve">المساواة في الحماية، وتعزيز مشاركة الأشخاص ذوي الإعاقة في الاستجابة لحالات الخطر والطوارئ الإنسانية، بالإضافة إلى التركيز بشكلٍ خاص على النزوح القسري وانعدام الجنسية. </w:t>
      </w:r>
    </w:p>
    <w:p w14:paraId="616E2283" w14:textId="2A8C0091" w:rsidR="00757232" w:rsidRPr="00EE201A" w:rsidRDefault="00A432D0" w:rsidP="00345546">
      <w:pPr>
        <w:pStyle w:val="Heading2"/>
        <w:bidi/>
        <w:jc w:val="both"/>
        <w:rPr>
          <w:b/>
          <w:bCs/>
        </w:rPr>
      </w:pPr>
      <w:r w:rsidRPr="00EE201A">
        <w:rPr>
          <w:b/>
          <w:bCs/>
          <w:rtl/>
          <w:lang w:bidi="ar"/>
        </w:rPr>
        <w:t xml:space="preserve">تنسيق الشؤون الإنسانية </w:t>
      </w:r>
    </w:p>
    <w:p w14:paraId="57FE7857" w14:textId="17C68FA4" w:rsidR="00A432D0" w:rsidRDefault="00E35B2F" w:rsidP="00CE028C">
      <w:pPr>
        <w:bidi/>
        <w:jc w:val="both"/>
      </w:pPr>
      <w:r>
        <w:rPr>
          <w:rtl/>
          <w:lang w:bidi="ar"/>
        </w:rPr>
        <w:t xml:space="preserve">يهدف التحالف الدولي للإعاقة والمفوضية السامية إلى تعزيز </w:t>
      </w:r>
      <w:r w:rsidR="00A32C43">
        <w:rPr>
          <w:rFonts w:hint="cs"/>
          <w:rtl/>
          <w:lang w:bidi="ar"/>
        </w:rPr>
        <w:t xml:space="preserve">شمول </w:t>
      </w:r>
      <w:r>
        <w:rPr>
          <w:rtl/>
          <w:lang w:bidi="ar"/>
        </w:rPr>
        <w:t>ومشاركة الأشخاص ذوي الإعاقة في عمل المجموعة العالمية للحماية (</w:t>
      </w:r>
      <w:r>
        <w:t>GPC</w:t>
      </w:r>
      <w:r>
        <w:rPr>
          <w:rtl/>
          <w:lang w:bidi="ar"/>
        </w:rPr>
        <w:t xml:space="preserve">)، والمنتدى العالمي للاجئين. وفي عام 2021، </w:t>
      </w:r>
      <w:r w:rsidR="00CE028C">
        <w:rPr>
          <w:rFonts w:hint="cs"/>
          <w:rtl/>
          <w:lang w:bidi="ar"/>
        </w:rPr>
        <w:t>تم انتداب</w:t>
      </w:r>
      <w:r w:rsidR="00CE028C">
        <w:rPr>
          <w:rStyle w:val="normaltextrun"/>
          <w:rFonts w:ascii="Arial" w:hAnsi="Arial" w:cs="Arial"/>
          <w:color w:val="000000"/>
          <w:shd w:val="clear" w:color="auto" w:fill="FFFFFF"/>
          <w:rtl/>
          <w:lang w:bidi="ar"/>
        </w:rPr>
        <w:t xml:space="preserve"> جهة تنسيق </w:t>
      </w:r>
      <w:r w:rsidR="00CE028C">
        <w:rPr>
          <w:rFonts w:hint="cs"/>
          <w:rtl/>
          <w:lang w:bidi="ar"/>
        </w:rPr>
        <w:t xml:space="preserve">من قبل </w:t>
      </w:r>
      <w:r w:rsidR="00CE028C" w:rsidRPr="0019019E">
        <w:rPr>
          <w:rFonts w:cs="Arial"/>
          <w:rtl/>
          <w:lang w:bidi="ar"/>
        </w:rPr>
        <w:t>منظمة الإنسانية والشمول (</w:t>
      </w:r>
      <w:r w:rsidR="00CE028C" w:rsidRPr="0019019E">
        <w:rPr>
          <w:lang w:bidi="ar"/>
        </w:rPr>
        <w:t>Humanity &amp; Inclusion</w:t>
      </w:r>
      <w:r w:rsidR="00CE028C">
        <w:rPr>
          <w:rFonts w:hint="cs"/>
          <w:rtl/>
          <w:lang w:bidi="ar"/>
        </w:rPr>
        <w:t xml:space="preserve">) </w:t>
      </w:r>
      <w:r w:rsidR="00CE028C">
        <w:rPr>
          <w:rStyle w:val="normaltextrun"/>
          <w:rFonts w:ascii="Arial" w:hAnsi="Arial" w:cs="Arial"/>
          <w:color w:val="000000"/>
          <w:shd w:val="clear" w:color="auto" w:fill="FFFFFF"/>
          <w:rtl/>
          <w:lang w:bidi="ar"/>
        </w:rPr>
        <w:t xml:space="preserve"> إلى المجموعة العالمية للحماية</w:t>
      </w:r>
      <w:r w:rsidR="00CE028C" w:rsidRPr="00CE028C">
        <w:rPr>
          <w:rtl/>
          <w:lang w:bidi="ar"/>
        </w:rPr>
        <w:t xml:space="preserve"> </w:t>
      </w:r>
      <w:r w:rsidR="00CE028C">
        <w:rPr>
          <w:rtl/>
          <w:lang w:bidi="ar"/>
        </w:rPr>
        <w:t>معنية ب</w:t>
      </w:r>
      <w:r w:rsidR="00CE028C">
        <w:rPr>
          <w:rFonts w:hint="cs"/>
          <w:rtl/>
          <w:lang w:bidi="ar"/>
        </w:rPr>
        <w:t>ضمان شمول</w:t>
      </w:r>
      <w:r w:rsidR="00CE028C">
        <w:rPr>
          <w:rtl/>
          <w:lang w:bidi="ar"/>
        </w:rPr>
        <w:t xml:space="preserve"> الإعاقة</w:t>
      </w:r>
      <w:r w:rsidR="00CE028C">
        <w:rPr>
          <w:rStyle w:val="normaltextrun"/>
          <w:rFonts w:ascii="Arial" w:hAnsi="Arial" w:cs="Arial"/>
          <w:color w:val="000000"/>
          <w:shd w:val="clear" w:color="auto" w:fill="FFFFFF"/>
          <w:rtl/>
          <w:lang w:bidi="ar"/>
        </w:rPr>
        <w:t xml:space="preserve">. </w:t>
      </w:r>
      <w:r w:rsidR="00CE028C">
        <w:rPr>
          <w:rtl/>
          <w:lang w:bidi="ar"/>
        </w:rPr>
        <w:t>و</w:t>
      </w:r>
      <w:r w:rsidR="00CE028C">
        <w:rPr>
          <w:rFonts w:hint="cs"/>
          <w:rtl/>
          <w:lang w:bidi="ar"/>
        </w:rPr>
        <w:t>ستركز جهود</w:t>
      </w:r>
      <w:r w:rsidR="00CE028C">
        <w:rPr>
          <w:rStyle w:val="normaltextrun"/>
          <w:rFonts w:ascii="Arial" w:hAnsi="Arial" w:cs="Arial"/>
          <w:color w:val="000000"/>
          <w:shd w:val="clear" w:color="auto" w:fill="FFFFFF"/>
          <w:rtl/>
          <w:lang w:bidi="ar"/>
        </w:rPr>
        <w:t xml:space="preserve"> التنسيق في عام 2022  على تعزيز المشاركة الهادفة لمنظمات الأشخاص ذوي الإعاقة في إطار هذا التعاون</w:t>
      </w:r>
      <w:r>
        <w:rPr>
          <w:rtl/>
          <w:lang w:bidi="ar"/>
        </w:rPr>
        <w:t xml:space="preserve">. </w:t>
      </w:r>
    </w:p>
    <w:p w14:paraId="2B5AFBC3" w14:textId="76413274" w:rsidR="00DE1C27" w:rsidRDefault="00CE028C" w:rsidP="004C52A9">
      <w:pPr>
        <w:bidi/>
        <w:jc w:val="both"/>
      </w:pPr>
      <w:r>
        <w:rPr>
          <w:rFonts w:hint="cs"/>
          <w:rtl/>
        </w:rPr>
        <w:t>ك</w:t>
      </w:r>
      <w:r w:rsidR="004C52A9">
        <w:rPr>
          <w:rFonts w:hint="cs"/>
          <w:rtl/>
        </w:rPr>
        <w:t>ذلك كان هنالك تعاون فعال من قبل</w:t>
      </w:r>
      <w:r>
        <w:rPr>
          <w:rFonts w:ascii="Arial" w:hAnsi="Arial" w:cs="Arial"/>
          <w:color w:val="000000"/>
          <w:shd w:val="clear" w:color="auto" w:fill="FFFFFF"/>
          <w:rtl/>
        </w:rPr>
        <w:t xml:space="preserve"> الأطراف </w:t>
      </w:r>
      <w:r w:rsidR="00A75AA8">
        <w:rPr>
          <w:rtl/>
          <w:lang w:bidi="ar"/>
        </w:rPr>
        <w:t>لتعزيز حماية و</w:t>
      </w:r>
      <w:r w:rsidRPr="00CE028C">
        <w:rPr>
          <w:rFonts w:hint="cs"/>
          <w:rtl/>
          <w:lang w:bidi="ar"/>
        </w:rPr>
        <w:t xml:space="preserve"> </w:t>
      </w:r>
      <w:r>
        <w:rPr>
          <w:rFonts w:hint="cs"/>
          <w:rtl/>
          <w:lang w:bidi="ar"/>
        </w:rPr>
        <w:t>شمول</w:t>
      </w:r>
      <w:r w:rsidR="00A75AA8">
        <w:rPr>
          <w:rtl/>
          <w:lang w:bidi="ar"/>
        </w:rPr>
        <w:t xml:space="preserve"> النازحين قسرًا، وعديمي الجنسية من ذوي الإعاقة في الفعاليات المتعلقة باجتماع كبار المسؤولين. وسيظل التأثير </w:t>
      </w:r>
      <w:r w:rsidR="00187E94">
        <w:rPr>
          <w:rFonts w:hint="cs"/>
          <w:rtl/>
          <w:lang w:bidi="ar"/>
        </w:rPr>
        <w:t>على</w:t>
      </w:r>
      <w:r w:rsidR="00A75AA8">
        <w:rPr>
          <w:rtl/>
          <w:lang w:bidi="ar"/>
        </w:rPr>
        <w:t xml:space="preserve"> المنتدى العالمي للاجئين ا</w:t>
      </w:r>
      <w:r w:rsidR="004C52A9">
        <w:rPr>
          <w:rFonts w:hint="cs"/>
          <w:rtl/>
          <w:lang w:bidi="ar"/>
        </w:rPr>
        <w:t>الذي سيعقد في المستقبل القريب</w:t>
      </w:r>
      <w:r w:rsidR="00A75AA8">
        <w:rPr>
          <w:rtl/>
          <w:lang w:bidi="ar"/>
        </w:rPr>
        <w:t xml:space="preserve"> من خلال المشاركة</w:t>
      </w:r>
      <w:r w:rsidRPr="00CE028C">
        <w:rPr>
          <w:rFonts w:ascii="Arial" w:hAnsi="Arial" w:cs="Arial"/>
          <w:color w:val="000000"/>
          <w:shd w:val="clear" w:color="auto" w:fill="FFFFFF"/>
          <w:rtl/>
        </w:rPr>
        <w:t xml:space="preserve"> </w:t>
      </w:r>
      <w:r>
        <w:rPr>
          <w:rFonts w:hint="cs"/>
          <w:rtl/>
          <w:lang w:bidi="ar"/>
        </w:rPr>
        <w:t>الفاعلة</w:t>
      </w:r>
      <w:r w:rsidR="00A75AA8">
        <w:rPr>
          <w:rtl/>
          <w:lang w:bidi="ar"/>
        </w:rPr>
        <w:t xml:space="preserve"> للأشخاص ذ</w:t>
      </w:r>
      <w:r w:rsidR="00187E94">
        <w:rPr>
          <w:rtl/>
          <w:lang w:bidi="ar"/>
        </w:rPr>
        <w:t>وي الإعاقة أولوية رئيسية ل</w:t>
      </w:r>
      <w:r w:rsidR="00187E94">
        <w:rPr>
          <w:rFonts w:hint="cs"/>
          <w:rtl/>
          <w:lang w:bidi="ar"/>
        </w:rPr>
        <w:t>ل</w:t>
      </w:r>
      <w:r w:rsidR="00187E94">
        <w:rPr>
          <w:rtl/>
          <w:lang w:bidi="ar"/>
        </w:rPr>
        <w:t>تعاون</w:t>
      </w:r>
      <w:r w:rsidR="00187E94">
        <w:rPr>
          <w:rFonts w:hint="cs"/>
          <w:rtl/>
          <w:lang w:bidi="ar"/>
        </w:rPr>
        <w:t xml:space="preserve"> بين </w:t>
      </w:r>
      <w:r w:rsidR="00187E94">
        <w:rPr>
          <w:rtl/>
          <w:lang w:bidi="ar"/>
        </w:rPr>
        <w:t>التحالف الدولي للإعاقة والمفوضية السامية</w:t>
      </w:r>
      <w:r w:rsidR="00A75AA8">
        <w:rPr>
          <w:rtl/>
          <w:lang w:bidi="ar"/>
        </w:rPr>
        <w:t>. وستتعاون المنظمتان في هذا الصدد في عام 2022 ل</w:t>
      </w:r>
      <w:r w:rsidR="00187E94">
        <w:rPr>
          <w:rtl/>
          <w:lang w:bidi="ar"/>
        </w:rPr>
        <w:t xml:space="preserve">دعم </w:t>
      </w:r>
      <w:r w:rsidR="00187E94">
        <w:rPr>
          <w:rFonts w:hint="cs"/>
          <w:rtl/>
          <w:lang w:bidi="ar"/>
        </w:rPr>
        <w:t>و</w:t>
      </w:r>
      <w:r w:rsidR="00A75AA8">
        <w:rPr>
          <w:rtl/>
          <w:lang w:bidi="ar"/>
        </w:rPr>
        <w:t xml:space="preserve">تحديد </w:t>
      </w:r>
      <w:r w:rsidR="00187E94">
        <w:rPr>
          <w:rFonts w:hint="cs"/>
          <w:rtl/>
          <w:lang w:bidi="ar"/>
        </w:rPr>
        <w:t xml:space="preserve">كيفية </w:t>
      </w:r>
      <w:r w:rsidR="00A75AA8">
        <w:rPr>
          <w:rtl/>
          <w:lang w:bidi="ar"/>
        </w:rPr>
        <w:t>المشاركة الهادفة للاجئين ذوي الإعاقة في عمل المنظمات التي يُديرها لاجئون، ومنظمات الأشخاص ذوي الإعاقة.</w:t>
      </w:r>
    </w:p>
    <w:p w14:paraId="2049A883" w14:textId="3067BF6C" w:rsidR="00263BB6" w:rsidRPr="00EE201A" w:rsidRDefault="00187E94" w:rsidP="00345546">
      <w:pPr>
        <w:pStyle w:val="Heading2"/>
        <w:bidi/>
        <w:jc w:val="both"/>
        <w:rPr>
          <w:b/>
          <w:bCs/>
        </w:rPr>
      </w:pPr>
      <w:r w:rsidRPr="00EE201A">
        <w:rPr>
          <w:b/>
          <w:bCs/>
          <w:rtl/>
          <w:lang w:bidi="ar"/>
        </w:rPr>
        <w:t>ال</w:t>
      </w:r>
      <w:r w:rsidRPr="00EE201A">
        <w:rPr>
          <w:rFonts w:hint="cs"/>
          <w:b/>
          <w:bCs/>
          <w:rtl/>
          <w:lang w:bidi="ar"/>
        </w:rPr>
        <w:t>مناصرة</w:t>
      </w:r>
      <w:r w:rsidR="00CB449E" w:rsidRPr="00EE201A">
        <w:rPr>
          <w:b/>
          <w:bCs/>
          <w:rtl/>
          <w:lang w:bidi="ar"/>
        </w:rPr>
        <w:t xml:space="preserve"> ورصد اتفاقية حقوق الأشخاص ذوي الإعاقة </w:t>
      </w:r>
    </w:p>
    <w:p w14:paraId="0CF961F7" w14:textId="247F4386" w:rsidR="009620EE" w:rsidRDefault="00672AA3" w:rsidP="0030204E">
      <w:pPr>
        <w:bidi/>
        <w:jc w:val="both"/>
      </w:pPr>
      <w:r>
        <w:rPr>
          <w:rtl/>
          <w:lang w:bidi="ar"/>
        </w:rPr>
        <w:t>استجابةً لل</w:t>
      </w:r>
      <w:r>
        <w:rPr>
          <w:rFonts w:hint="cs"/>
          <w:rtl/>
          <w:lang w:bidi="ar"/>
        </w:rPr>
        <w:t>إهتمام</w:t>
      </w:r>
      <w:r>
        <w:rPr>
          <w:rtl/>
          <w:lang w:bidi="ar"/>
        </w:rPr>
        <w:t xml:space="preserve"> المتزايد بشأن تأثير </w:t>
      </w:r>
      <w:r>
        <w:rPr>
          <w:rFonts w:hint="cs"/>
          <w:rtl/>
          <w:lang w:bidi="ar"/>
        </w:rPr>
        <w:t>ال</w:t>
      </w:r>
      <w:r>
        <w:rPr>
          <w:rtl/>
          <w:lang w:bidi="ar"/>
        </w:rPr>
        <w:t>تغير المناخ</w:t>
      </w:r>
      <w:r>
        <w:rPr>
          <w:rFonts w:hint="cs"/>
          <w:rtl/>
          <w:lang w:bidi="ar"/>
        </w:rPr>
        <w:t>ي</w:t>
      </w:r>
      <w:r>
        <w:rPr>
          <w:rtl/>
          <w:lang w:bidi="ar"/>
        </w:rPr>
        <w:t xml:space="preserve"> بما في ذلك زيادة النزوح القسري</w:t>
      </w:r>
      <w:r>
        <w:rPr>
          <w:rFonts w:hint="cs"/>
          <w:rtl/>
          <w:lang w:bidi="ar"/>
        </w:rPr>
        <w:t>،</w:t>
      </w:r>
      <w:r>
        <w:rPr>
          <w:rtl/>
          <w:lang w:bidi="ar"/>
        </w:rPr>
        <w:t xml:space="preserve"> </w:t>
      </w:r>
      <w:r w:rsidR="009620EE">
        <w:rPr>
          <w:rtl/>
          <w:lang w:bidi="ar"/>
        </w:rPr>
        <w:t xml:space="preserve">نشرت الأطراف بالتعاون مع مركز مراقبة النزوح الداخلي </w:t>
      </w:r>
      <w:hyperlink r:id="rId19">
        <w:r w:rsidR="009620EE">
          <w:rPr>
            <w:rStyle w:val="Hyperlink"/>
            <w:rtl/>
            <w:lang w:bidi="ar"/>
          </w:rPr>
          <w:t>صحيفة وقائع</w:t>
        </w:r>
      </w:hyperlink>
      <w:r w:rsidR="004C52A9">
        <w:rPr>
          <w:rtl/>
          <w:lang w:bidi="ar"/>
        </w:rPr>
        <w:t xml:space="preserve"> حول الإعاقة</w:t>
      </w:r>
      <w:r w:rsidR="004C52A9">
        <w:rPr>
          <w:rFonts w:hint="cs"/>
          <w:rtl/>
          <w:lang w:bidi="ar"/>
        </w:rPr>
        <w:t xml:space="preserve"> </w:t>
      </w:r>
      <w:r w:rsidR="009620EE">
        <w:rPr>
          <w:rtl/>
          <w:lang w:bidi="ar"/>
        </w:rPr>
        <w:t xml:space="preserve">والنزوح، وتغير المناخ، وتُعد هذه الصحيفة أداة مفيدة </w:t>
      </w:r>
      <w:r w:rsidR="0030204E">
        <w:rPr>
          <w:rFonts w:hint="cs"/>
          <w:rtl/>
          <w:lang w:bidi="ar"/>
        </w:rPr>
        <w:t xml:space="preserve"> للمناصرة</w:t>
      </w:r>
      <w:r w:rsidR="009620EE">
        <w:rPr>
          <w:rtl/>
          <w:lang w:bidi="ar"/>
        </w:rPr>
        <w:t xml:space="preserve">، وقد رُوِّج لها في عدد من الفعاليات الرئيسية </w:t>
      </w:r>
      <w:r w:rsidR="0030204E">
        <w:rPr>
          <w:rFonts w:hint="cs"/>
          <w:rtl/>
          <w:lang w:bidi="ar"/>
        </w:rPr>
        <w:t>مثل</w:t>
      </w:r>
      <w:r w:rsidR="0030204E">
        <w:rPr>
          <w:rtl/>
          <w:lang w:bidi="ar"/>
        </w:rPr>
        <w:t xml:space="preserve"> </w:t>
      </w:r>
      <w:hyperlink r:id="rId20" w:history="1">
        <w:r w:rsidR="009620EE">
          <w:rPr>
            <w:rStyle w:val="Hyperlink"/>
            <w:rtl/>
            <w:lang w:bidi="ar"/>
          </w:rPr>
          <w:t>أسبوع الشراكة وشبكات العمل الإنساني لعام 2021</w:t>
        </w:r>
      </w:hyperlink>
      <w:r w:rsidR="009620EE">
        <w:rPr>
          <w:rtl/>
          <w:lang w:bidi="ar"/>
        </w:rPr>
        <w:t xml:space="preserve">، والمؤتمر الرابع عشر للدول الأطراف في اتفاقية حقوق الأشخاص ذوي الإعاقة. </w:t>
      </w:r>
    </w:p>
    <w:p w14:paraId="2706D9EF" w14:textId="414E3782" w:rsidR="008F60FB" w:rsidRDefault="38C21047" w:rsidP="00801131">
      <w:pPr>
        <w:bidi/>
        <w:jc w:val="both"/>
      </w:pPr>
      <w:r>
        <w:rPr>
          <w:rtl/>
          <w:lang w:bidi="ar"/>
        </w:rPr>
        <w:t xml:space="preserve">ومع اقتراب </w:t>
      </w:r>
      <w:hyperlink r:id="rId21" w:history="1">
        <w:r>
          <w:rPr>
            <w:rStyle w:val="Hyperlink"/>
            <w:rtl/>
            <w:lang w:bidi="ar"/>
          </w:rPr>
          <w:t>القمة العالمية المعنية بالإعاقة في فبراير 2022</w:t>
        </w:r>
      </w:hyperlink>
      <w:r>
        <w:rPr>
          <w:rtl/>
          <w:lang w:bidi="ar"/>
        </w:rPr>
        <w:t>، ضم التحالف الدولي للإعاقة والمفوضية السامية للأمم المتحدة لشؤون اللاجئين جهودهما للدعوة إلى الالتزام</w:t>
      </w:r>
      <w:r w:rsidR="0030204E">
        <w:rPr>
          <w:rFonts w:hint="cs"/>
          <w:rtl/>
          <w:lang w:bidi="ar"/>
        </w:rPr>
        <w:t xml:space="preserve"> </w:t>
      </w:r>
      <w:r>
        <w:rPr>
          <w:rtl/>
          <w:lang w:bidi="ar"/>
        </w:rPr>
        <w:t xml:space="preserve"> </w:t>
      </w:r>
      <w:r w:rsidR="0030204E">
        <w:rPr>
          <w:rFonts w:hint="cs"/>
          <w:rtl/>
          <w:lang w:bidi="ar"/>
        </w:rPr>
        <w:t>ب</w:t>
      </w:r>
      <w:r>
        <w:rPr>
          <w:rtl/>
          <w:lang w:bidi="ar"/>
        </w:rPr>
        <w:t xml:space="preserve">تعزيز حماية ومشاركة النازحين قسراً، وعديمي الجنسية من ذوي الإعاقة. وبصفتهما أعضاء نشطين في </w:t>
      </w:r>
      <w:hyperlink r:id="rId22" w:history="1">
        <w:r>
          <w:rPr>
            <w:rStyle w:val="Hyperlink"/>
            <w:rtl/>
            <w:lang w:bidi="ar"/>
          </w:rPr>
          <w:t xml:space="preserve">الفريق المرجعي المعني </w:t>
        </w:r>
        <w:r w:rsidR="0030204E">
          <w:rPr>
            <w:rStyle w:val="Hyperlink"/>
            <w:rtl/>
            <w:lang w:bidi="ar"/>
          </w:rPr>
          <w:t>ب</w:t>
        </w:r>
        <w:r w:rsidR="0030204E">
          <w:rPr>
            <w:rStyle w:val="Hyperlink"/>
            <w:rFonts w:hint="cs"/>
            <w:rtl/>
            <w:lang w:bidi="ar"/>
          </w:rPr>
          <w:t>شمول</w:t>
        </w:r>
        <w:r w:rsidR="0030204E">
          <w:rPr>
            <w:rStyle w:val="Hyperlink"/>
            <w:rtl/>
            <w:lang w:bidi="ar"/>
          </w:rPr>
          <w:t xml:space="preserve"> </w:t>
        </w:r>
        <w:r>
          <w:rPr>
            <w:rStyle w:val="Hyperlink"/>
            <w:rtl/>
            <w:lang w:bidi="ar"/>
          </w:rPr>
          <w:t>الأشخاص ذوي الإعاقة في العمل الإنساني (</w:t>
        </w:r>
        <w:r>
          <w:rPr>
            <w:rStyle w:val="Hyperlink"/>
          </w:rPr>
          <w:t>DRG</w:t>
        </w:r>
        <w:r>
          <w:rPr>
            <w:rStyle w:val="Hyperlink"/>
            <w:rtl/>
            <w:lang w:bidi="ar"/>
          </w:rPr>
          <w:t>)</w:t>
        </w:r>
      </w:hyperlink>
      <w:r>
        <w:rPr>
          <w:rtl/>
          <w:lang w:bidi="ar"/>
        </w:rPr>
        <w:t xml:space="preserve">، دعم كلا الطرفين تطوير وتعزيز </w:t>
      </w:r>
      <w:r w:rsidR="00801131">
        <w:rPr>
          <w:rFonts w:hint="cs"/>
          <w:rtl/>
          <w:lang w:bidi="ar"/>
        </w:rPr>
        <w:t>ال</w:t>
      </w:r>
      <w:hyperlink r:id="rId23">
        <w:r>
          <w:rPr>
            <w:rStyle w:val="Hyperlink"/>
            <w:rtl/>
            <w:lang w:bidi="ar"/>
          </w:rPr>
          <w:t>نداء من أجل العمل</w:t>
        </w:r>
      </w:hyperlink>
      <w:r>
        <w:rPr>
          <w:rtl/>
          <w:lang w:bidi="ar"/>
        </w:rPr>
        <w:t xml:space="preserve"> بشأن الالتزامات الإنسانية الشاملة  </w:t>
      </w:r>
      <w:r w:rsidR="0030204E">
        <w:rPr>
          <w:rFonts w:hint="cs"/>
          <w:rtl/>
          <w:lang w:bidi="ar"/>
        </w:rPr>
        <w:t>ل</w:t>
      </w:r>
      <w:r w:rsidR="0030204E">
        <w:rPr>
          <w:rtl/>
          <w:lang w:bidi="ar"/>
        </w:rPr>
        <w:t>لإعاقة</w:t>
      </w:r>
      <w:r>
        <w:rPr>
          <w:rtl/>
          <w:lang w:bidi="ar"/>
        </w:rPr>
        <w:t>. و</w:t>
      </w:r>
      <w:r w:rsidR="0030204E">
        <w:rPr>
          <w:rFonts w:hint="cs"/>
          <w:rtl/>
          <w:lang w:bidi="ar"/>
        </w:rPr>
        <w:t xml:space="preserve">بمصادقة </w:t>
      </w:r>
      <w:r>
        <w:rPr>
          <w:rtl/>
          <w:lang w:bidi="ar"/>
        </w:rPr>
        <w:t xml:space="preserve">أكثر من 60 كيانًا حتى الآن، يدعو  </w:t>
      </w:r>
      <w:r w:rsidR="004C52A9">
        <w:rPr>
          <w:rFonts w:hint="cs"/>
          <w:rtl/>
          <w:lang w:bidi="ar"/>
        </w:rPr>
        <w:t xml:space="preserve">النداء </w:t>
      </w:r>
      <w:r>
        <w:rPr>
          <w:rtl/>
          <w:lang w:bidi="ar"/>
        </w:rPr>
        <w:t xml:space="preserve">من أجل العمل" جميع الشركاء إلى الالتزام بـ "... ضمان اتباع نهج شامل </w:t>
      </w:r>
      <w:r w:rsidR="00801131">
        <w:rPr>
          <w:rtl/>
          <w:lang w:bidi="ar"/>
        </w:rPr>
        <w:t xml:space="preserve"> </w:t>
      </w:r>
      <w:r w:rsidR="00801131">
        <w:rPr>
          <w:rFonts w:hint="cs"/>
          <w:rtl/>
          <w:lang w:bidi="ar"/>
        </w:rPr>
        <w:t>ل</w:t>
      </w:r>
      <w:r w:rsidR="00801131">
        <w:rPr>
          <w:rtl/>
          <w:lang w:bidi="ar"/>
        </w:rPr>
        <w:t xml:space="preserve">لإعاقة </w:t>
      </w:r>
      <w:r>
        <w:rPr>
          <w:rtl/>
          <w:lang w:bidi="ar"/>
        </w:rPr>
        <w:t xml:space="preserve">في حركات </w:t>
      </w:r>
      <w:r w:rsidR="00801131">
        <w:rPr>
          <w:rFonts w:hint="cs"/>
          <w:rtl/>
          <w:lang w:bidi="ar"/>
        </w:rPr>
        <w:t xml:space="preserve"> التنقل </w:t>
      </w:r>
      <w:r>
        <w:rPr>
          <w:rtl/>
          <w:lang w:bidi="ar"/>
        </w:rPr>
        <w:t xml:space="preserve">المختلطة للأشخاص، بما في ذلك تحسين الوصول إلى </w:t>
      </w:r>
      <w:r>
        <w:rPr>
          <w:rtl/>
          <w:lang w:bidi="ar"/>
        </w:rPr>
        <w:lastRenderedPageBreak/>
        <w:t>أنظمة الخدمة الوطنية للاجئين والنازحين داخليًا والمهاجرين؛ وجعل إجراءات اللجوء والحلول الدائمة شاملةً للأشخاص ذوي الإعاقة مع تعزيز حماية الأشخاص ذوي الإعاقة في أنظمة اللجوء وطلبات إعادة التوطين، وتحديد الظروف (الآمنة والكريمة) للعودة".</w:t>
      </w:r>
    </w:p>
    <w:p w14:paraId="16A156F8" w14:textId="1237F593" w:rsidR="00CB449E" w:rsidRDefault="00BF1029" w:rsidP="009F3F18">
      <w:pPr>
        <w:bidi/>
        <w:jc w:val="both"/>
      </w:pPr>
      <w:r>
        <w:rPr>
          <w:rtl/>
          <w:lang w:bidi="ar"/>
        </w:rPr>
        <w:t xml:space="preserve">ومن المجالات الأخرى ذات الاهتمام المشترك في مجال </w:t>
      </w:r>
      <w:r w:rsidR="00801131">
        <w:rPr>
          <w:rtl/>
          <w:lang w:bidi="ar"/>
        </w:rPr>
        <w:t>ا</w:t>
      </w:r>
      <w:r w:rsidR="00801131">
        <w:rPr>
          <w:rFonts w:hint="cs"/>
          <w:rtl/>
          <w:lang w:bidi="ar"/>
        </w:rPr>
        <w:t>المناصرة،</w:t>
      </w:r>
      <w:r w:rsidR="00801131">
        <w:rPr>
          <w:rtl/>
          <w:lang w:bidi="ar"/>
        </w:rPr>
        <w:t xml:space="preserve"> </w:t>
      </w:r>
      <w:r>
        <w:rPr>
          <w:rtl/>
          <w:lang w:bidi="ar"/>
        </w:rPr>
        <w:t xml:space="preserve">تعزيز كمية ونوعية الإشارة إلى حقوق الإنسان للنازحين قسراً من ذوي الإعاقة في عمل </w:t>
      </w:r>
      <w:r w:rsidR="00801131">
        <w:rPr>
          <w:rFonts w:hint="cs"/>
          <w:rtl/>
          <w:lang w:bidi="ar"/>
        </w:rPr>
        <w:t xml:space="preserve">اللجان المعنية بإتفاقيات </w:t>
      </w:r>
      <w:r>
        <w:rPr>
          <w:rtl/>
          <w:lang w:bidi="ar"/>
        </w:rPr>
        <w:t xml:space="preserve">حقوق الإنسان التابعة للأمم المتحدة، وبالأخص لجنة اتفاقية حقوق الأشخاص ذوي الإعاقة. وكانت أنشطة لجنة اتفاقية حقوق الأشخاص ذوي الإعاقة التابعة للأمم المتحدة محدودة للغاية في عام 2021 بسبب استمرار جائحة كوفيد-19. وسعت الأطراف إلى وضع </w:t>
      </w:r>
      <w:hyperlink r:id="rId24">
        <w:r>
          <w:rPr>
            <w:rStyle w:val="Hyperlink"/>
            <w:rtl/>
            <w:lang w:bidi="ar"/>
          </w:rPr>
          <w:t>توجيهات عملية</w:t>
        </w:r>
      </w:hyperlink>
      <w:r>
        <w:rPr>
          <w:rtl/>
          <w:lang w:bidi="ar"/>
        </w:rPr>
        <w:t xml:space="preserve"> </w:t>
      </w:r>
      <w:r w:rsidR="00801131">
        <w:rPr>
          <w:rFonts w:hint="cs"/>
          <w:rtl/>
          <w:lang w:bidi="ar"/>
        </w:rPr>
        <w:t xml:space="preserve">للمكاتب </w:t>
      </w:r>
      <w:r>
        <w:rPr>
          <w:rtl/>
          <w:lang w:bidi="ar"/>
        </w:rPr>
        <w:t xml:space="preserve"> القُطرية التابعة للمفوضية السامية لمساعدتها على إعداد تقارير للجنة اتفاقية حقوق الأشخاص ذوي الإعاقة لتوثيق انتهاكات الاتفاقية ضد الأشخاص النازحين قسراً، وعديمي الجنسية من ذوي الإعاقة. </w:t>
      </w:r>
      <w:r w:rsidR="009F3F18">
        <w:rPr>
          <w:rFonts w:hint="cs"/>
          <w:rtl/>
          <w:lang w:bidi="ar"/>
        </w:rPr>
        <w:t xml:space="preserve">كما </w:t>
      </w:r>
      <w:r w:rsidR="009F3F18">
        <w:rPr>
          <w:rtl/>
          <w:lang w:bidi="ar"/>
        </w:rPr>
        <w:t xml:space="preserve">تم </w:t>
      </w:r>
      <w:r>
        <w:rPr>
          <w:rtl/>
          <w:lang w:bidi="ar"/>
        </w:rPr>
        <w:t xml:space="preserve">تحديد مجال </w:t>
      </w:r>
      <w:r w:rsidR="009F3F18">
        <w:rPr>
          <w:rFonts w:hint="cs"/>
          <w:rtl/>
          <w:lang w:bidi="ar"/>
        </w:rPr>
        <w:t xml:space="preserve">آخر </w:t>
      </w:r>
      <w:r>
        <w:rPr>
          <w:rtl/>
          <w:lang w:bidi="ar"/>
        </w:rPr>
        <w:t xml:space="preserve">لمزيد من العمل في عام 2022 أثناء وضع هذا الدليل، تمثل في </w:t>
      </w:r>
      <w:r w:rsidR="009F3F18">
        <w:rPr>
          <w:rFonts w:hint="cs"/>
          <w:rtl/>
          <w:lang w:bidi="ar"/>
        </w:rPr>
        <w:t xml:space="preserve">رفع </w:t>
      </w:r>
      <w:r>
        <w:rPr>
          <w:rtl/>
          <w:lang w:bidi="ar"/>
        </w:rPr>
        <w:t xml:space="preserve"> الوعي، وتقوية الروابط بين اتفاقية حقوق الأشخاص ذوي الإعاقة والاتفاقية الخاصة بوضع اللاجئين لعام 1951. وفي عام 2022، سيتم إعداد مناقشة تقنية، وتحرير ورقة معلومات أساسية لتسهيل تطوير المزيد من الموارد التقنية في السنوات المقبلة.</w:t>
      </w:r>
    </w:p>
    <w:p w14:paraId="4322B15B" w14:textId="07D4B92F" w:rsidR="00DA2F71" w:rsidRPr="00EE201A" w:rsidRDefault="00DA2F71" w:rsidP="009F3F18">
      <w:pPr>
        <w:pStyle w:val="Heading2"/>
        <w:bidi/>
        <w:jc w:val="both"/>
        <w:rPr>
          <w:b/>
          <w:bCs/>
        </w:rPr>
      </w:pPr>
      <w:r w:rsidRPr="00EE201A">
        <w:rPr>
          <w:b/>
          <w:bCs/>
          <w:rtl/>
          <w:lang w:bidi="ar"/>
        </w:rPr>
        <w:t xml:space="preserve">تنفيذ استراتيجية الأمم المتحدة </w:t>
      </w:r>
      <w:r w:rsidR="009F3F18" w:rsidRPr="00EE201A">
        <w:rPr>
          <w:rFonts w:hint="cs"/>
          <w:b/>
          <w:bCs/>
          <w:rtl/>
          <w:lang w:bidi="ar"/>
        </w:rPr>
        <w:t xml:space="preserve">لشمول </w:t>
      </w:r>
      <w:r w:rsidRPr="00EE201A">
        <w:rPr>
          <w:b/>
          <w:bCs/>
          <w:rtl/>
          <w:lang w:bidi="ar"/>
        </w:rPr>
        <w:t xml:space="preserve"> الإعاقة </w:t>
      </w:r>
    </w:p>
    <w:p w14:paraId="58799DFB" w14:textId="06D0FD12" w:rsidR="00A625EC" w:rsidRDefault="008D4C92" w:rsidP="009F3F18">
      <w:pPr>
        <w:bidi/>
        <w:jc w:val="both"/>
        <w:rPr>
          <w:rFonts w:asciiTheme="majorHAnsi" w:eastAsiaTheme="majorEastAsia" w:hAnsiTheme="majorHAnsi" w:cstheme="majorBidi"/>
          <w:color w:val="2F5496" w:themeColor="accent1" w:themeShade="BF"/>
          <w:sz w:val="26"/>
          <w:szCs w:val="26"/>
        </w:rPr>
      </w:pPr>
      <w:r>
        <w:rPr>
          <w:rtl/>
          <w:lang w:bidi="ar"/>
        </w:rPr>
        <w:t xml:space="preserve">تشمل مجالات التعاون، المُحددة لإجراء المزيد من التطوير في عام 2022، إشراك منظمات الأشخاص ذوي الإعاقة في المناقشات حول تعزيز الموارد البشرية المعنية </w:t>
      </w:r>
      <w:r w:rsidR="009F3F18">
        <w:rPr>
          <w:rFonts w:hint="cs"/>
          <w:rtl/>
          <w:lang w:bidi="ar"/>
        </w:rPr>
        <w:t xml:space="preserve"> بشمول</w:t>
      </w:r>
      <w:r>
        <w:rPr>
          <w:rtl/>
          <w:lang w:bidi="ar"/>
        </w:rPr>
        <w:t xml:space="preserve"> الإعاقة، بالإضافة إلى توفير التدريب للمركز العالمي للتعلم والتطوير.</w:t>
      </w:r>
    </w:p>
    <w:p w14:paraId="4AC316BF" w14:textId="0DF704A3" w:rsidR="00F64473" w:rsidRPr="00EE201A" w:rsidRDefault="00F64473" w:rsidP="00EB4DBC">
      <w:pPr>
        <w:pStyle w:val="Heading1"/>
        <w:bidi/>
        <w:rPr>
          <w:b/>
          <w:bCs/>
        </w:rPr>
      </w:pPr>
      <w:r w:rsidRPr="00EE201A">
        <w:rPr>
          <w:b/>
          <w:bCs/>
          <w:rtl/>
          <w:lang w:bidi="ar"/>
        </w:rPr>
        <w:t>التحديات، والدروس المستفادة، وسُبُل المُضي قُدُمًا</w:t>
      </w:r>
    </w:p>
    <w:p w14:paraId="1B42C145" w14:textId="1FD467B3" w:rsidR="00F64473" w:rsidRPr="00FB16D1" w:rsidRDefault="00F64473" w:rsidP="00715E41">
      <w:pPr>
        <w:bidi/>
        <w:jc w:val="both"/>
      </w:pPr>
      <w:r>
        <w:rPr>
          <w:rtl/>
          <w:lang w:bidi="ar"/>
        </w:rPr>
        <w:t xml:space="preserve">بوجه عام، واجه التعاون بين التحالف الدولي للإعاقة والمفوضية السامية تحديين رئيسيين في عام 2021 أثرا على جميع الخطط والأنشطة التي تم تنفيذها على مدار العام. تمثل أولهما في استمرار جائحة كوفيد-19 في فرض قيود شديدة على جميع المستويات، حيث أعاقت حالة </w:t>
      </w:r>
      <w:r w:rsidR="009F3F18">
        <w:rPr>
          <w:rFonts w:hint="cs"/>
          <w:rtl/>
          <w:lang w:bidi="ar"/>
        </w:rPr>
        <w:t>عدم التأكد</w:t>
      </w:r>
      <w:r>
        <w:rPr>
          <w:rtl/>
          <w:lang w:bidi="ar"/>
        </w:rPr>
        <w:t xml:space="preserve">، والتغييرات المستمرة، التخطيط للاجتماعات الشخصية، وقللت من توافر الوكالات، وأعضائها، وشركائها، ومرونتها للمشاركة </w:t>
      </w:r>
      <w:r w:rsidR="00715E41">
        <w:rPr>
          <w:rtl/>
          <w:lang w:bidi="ar"/>
        </w:rPr>
        <w:t>ب</w:t>
      </w:r>
      <w:r w:rsidR="00715E41">
        <w:rPr>
          <w:rFonts w:hint="cs"/>
          <w:rtl/>
          <w:lang w:bidi="ar"/>
        </w:rPr>
        <w:t>فاعلية و</w:t>
      </w:r>
      <w:r w:rsidR="00715E41">
        <w:rPr>
          <w:rtl/>
          <w:lang w:bidi="ar"/>
        </w:rPr>
        <w:t xml:space="preserve"> </w:t>
      </w:r>
      <w:r>
        <w:rPr>
          <w:rtl/>
          <w:lang w:bidi="ar"/>
        </w:rPr>
        <w:t xml:space="preserve">على النحو المرغوب. </w:t>
      </w:r>
    </w:p>
    <w:p w14:paraId="6AFD3B52" w14:textId="7CD85A1E" w:rsidR="00F64473" w:rsidRPr="00FB16D1" w:rsidRDefault="00F64473" w:rsidP="00E402DB">
      <w:pPr>
        <w:bidi/>
        <w:jc w:val="both"/>
      </w:pPr>
      <w:r>
        <w:rPr>
          <w:rtl/>
          <w:lang w:bidi="ar"/>
        </w:rPr>
        <w:t xml:space="preserve">وتمثل ثانيهما في </w:t>
      </w:r>
      <w:r w:rsidR="00715E41">
        <w:rPr>
          <w:rFonts w:hint="cs"/>
          <w:rtl/>
          <w:lang w:bidi="ar"/>
        </w:rPr>
        <w:t xml:space="preserve">صعوبة </w:t>
      </w:r>
      <w:r>
        <w:rPr>
          <w:rtl/>
          <w:lang w:bidi="ar"/>
        </w:rPr>
        <w:t xml:space="preserve"> تنسيق </w:t>
      </w:r>
      <w:r w:rsidR="00715E41">
        <w:rPr>
          <w:rFonts w:hint="cs"/>
          <w:rtl/>
          <w:lang w:bidi="ar"/>
        </w:rPr>
        <w:t>بعض</w:t>
      </w:r>
      <w:r w:rsidR="00715E41">
        <w:rPr>
          <w:rtl/>
          <w:lang w:bidi="ar"/>
        </w:rPr>
        <w:t xml:space="preserve"> </w:t>
      </w:r>
      <w:r w:rsidR="00715E41">
        <w:rPr>
          <w:rFonts w:hint="cs"/>
          <w:rtl/>
          <w:lang w:bidi="ar"/>
        </w:rPr>
        <w:t xml:space="preserve">الأنشطة </w:t>
      </w:r>
      <w:r>
        <w:rPr>
          <w:rtl/>
          <w:lang w:bidi="ar"/>
        </w:rPr>
        <w:t xml:space="preserve">بنفس </w:t>
      </w:r>
      <w:r w:rsidR="00E402DB">
        <w:rPr>
          <w:rFonts w:hint="cs"/>
          <w:rtl/>
          <w:lang w:bidi="ar"/>
        </w:rPr>
        <w:t>الفاعلية</w:t>
      </w:r>
      <w:r>
        <w:rPr>
          <w:rtl/>
          <w:lang w:bidi="ar"/>
        </w:rPr>
        <w:t xml:space="preserve"> نظرًا لحداثة التعاون في بعض المناطق وغيرها من </w:t>
      </w:r>
      <w:r w:rsidR="00715E41">
        <w:rPr>
          <w:rFonts w:hint="cs"/>
          <w:rtl/>
          <w:lang w:bidi="ar"/>
        </w:rPr>
        <w:t xml:space="preserve"> الأمور الحساسة</w:t>
      </w:r>
      <w:r>
        <w:rPr>
          <w:rtl/>
          <w:lang w:bidi="ar"/>
        </w:rPr>
        <w:t xml:space="preserve">. وقد أدى ذلك إلى الفشل في تنظيم بعض الأنشطة الإقليمية، </w:t>
      </w:r>
      <w:r w:rsidR="00E402DB">
        <w:rPr>
          <w:rFonts w:hint="cs"/>
          <w:rtl/>
          <w:lang w:bidi="ar"/>
        </w:rPr>
        <w:t xml:space="preserve">كما ادى الى </w:t>
      </w:r>
      <w:r>
        <w:rPr>
          <w:rtl/>
          <w:lang w:bidi="ar"/>
        </w:rPr>
        <w:t xml:space="preserve">التقدم في بعض المجالات الأخرى </w:t>
      </w:r>
      <w:r w:rsidR="00715E41">
        <w:rPr>
          <w:rFonts w:hint="cs"/>
          <w:rtl/>
          <w:lang w:bidi="ar"/>
        </w:rPr>
        <w:t xml:space="preserve"> مثل</w:t>
      </w:r>
      <w:r>
        <w:rPr>
          <w:rtl/>
          <w:lang w:bidi="ar"/>
        </w:rPr>
        <w:t xml:space="preserve"> التعامل مع آليات حقوق الإنسان التابعة للأمم المتحدة. </w:t>
      </w:r>
    </w:p>
    <w:p w14:paraId="36D95568" w14:textId="57A40790" w:rsidR="00AB1AD0" w:rsidRDefault="00AB1AD0" w:rsidP="00345546">
      <w:pPr>
        <w:bidi/>
        <w:jc w:val="both"/>
      </w:pPr>
      <w:r>
        <w:rPr>
          <w:rtl/>
          <w:lang w:bidi="ar"/>
        </w:rPr>
        <w:t xml:space="preserve">تلخيصًا للدروس المستفادة، خَلُصَت الأطراف إلى ما يلي: </w:t>
      </w:r>
    </w:p>
    <w:p w14:paraId="4AAE5ACF" w14:textId="151A3B94" w:rsidR="00AB1AD0" w:rsidRDefault="00AB1AD0" w:rsidP="00345546">
      <w:pPr>
        <w:pStyle w:val="ListParagraph"/>
        <w:numPr>
          <w:ilvl w:val="0"/>
          <w:numId w:val="2"/>
        </w:numPr>
        <w:bidi/>
        <w:jc w:val="both"/>
      </w:pPr>
      <w:r>
        <w:rPr>
          <w:rtl/>
          <w:lang w:bidi="ar"/>
        </w:rPr>
        <w:t xml:space="preserve">ثمة حاجة إلى </w:t>
      </w:r>
      <w:r w:rsidR="001A4F43">
        <w:rPr>
          <w:rFonts w:hint="cs"/>
          <w:rtl/>
          <w:lang w:bidi="ar"/>
        </w:rPr>
        <w:t xml:space="preserve">برامج </w:t>
      </w:r>
      <w:r>
        <w:rPr>
          <w:rtl/>
          <w:lang w:bidi="ar"/>
        </w:rPr>
        <w:t>بناء قدرات أكثر عمقًا ومصممة خصيصًا لأعضاء التحالف الدولي للإعاقة، وموظفي المفوضية السامية، لضمان تحوّل هادف ومستدام في دعم الأشخاص النازحين قسراً، وعديمي الجنسية من ذوي الإعاقة. وتحقيقًا لهذة الغاية، سيظل بناء القدرات المشترك أولوية قصوى لدى التحالف الدولي للإعاقة والمفوضية السامية في تعاونهما.</w:t>
      </w:r>
    </w:p>
    <w:p w14:paraId="01407DD9" w14:textId="014B1F82" w:rsidR="00AB1AD0" w:rsidRDefault="001A4F43" w:rsidP="001A4F43">
      <w:pPr>
        <w:pStyle w:val="ListParagraph"/>
        <w:numPr>
          <w:ilvl w:val="0"/>
          <w:numId w:val="2"/>
        </w:numPr>
        <w:bidi/>
        <w:jc w:val="both"/>
      </w:pPr>
      <w:r>
        <w:rPr>
          <w:rtl/>
          <w:lang w:bidi="ar"/>
        </w:rPr>
        <w:t>رغم الدور</w:t>
      </w:r>
      <w:r w:rsidR="00AB1AD0">
        <w:rPr>
          <w:rtl/>
          <w:lang w:bidi="ar"/>
        </w:rPr>
        <w:t xml:space="preserve">الرئيسي لمنظمات الأشخاص ذوي الإعاقة في </w:t>
      </w:r>
      <w:r w:rsidR="00715B32">
        <w:rPr>
          <w:rFonts w:hint="cs"/>
          <w:rtl/>
          <w:lang w:bidi="ar"/>
        </w:rPr>
        <w:t>المناصرة</w:t>
      </w:r>
      <w:r w:rsidR="00715B32">
        <w:rPr>
          <w:rtl/>
          <w:lang w:bidi="ar"/>
        </w:rPr>
        <w:t xml:space="preserve"> </w:t>
      </w:r>
      <w:r>
        <w:rPr>
          <w:rtl/>
          <w:lang w:bidi="ar"/>
        </w:rPr>
        <w:t xml:space="preserve">وبناء القدرات، </w:t>
      </w:r>
      <w:r>
        <w:rPr>
          <w:rFonts w:hint="cs"/>
          <w:rtl/>
          <w:lang w:bidi="ar"/>
        </w:rPr>
        <w:t>هناك حاجة</w:t>
      </w:r>
      <w:r>
        <w:rPr>
          <w:rtl/>
          <w:lang w:bidi="ar"/>
        </w:rPr>
        <w:t xml:space="preserve"> </w:t>
      </w:r>
      <w:r>
        <w:rPr>
          <w:rFonts w:hint="cs"/>
          <w:rtl/>
          <w:lang w:bidi="ar"/>
        </w:rPr>
        <w:t>لل</w:t>
      </w:r>
      <w:r w:rsidR="00AB1AD0">
        <w:rPr>
          <w:rtl/>
          <w:lang w:bidi="ar"/>
        </w:rPr>
        <w:t xml:space="preserve">مزيد من المشاركة الفعالة للأشخاص النازحين قسرًا وعديمي الجنسية من ذوي الإعاقة </w:t>
      </w:r>
      <w:r>
        <w:rPr>
          <w:rFonts w:hint="cs"/>
          <w:rtl/>
          <w:lang w:bidi="ar"/>
        </w:rPr>
        <w:t>بالشكل الذي يؤدي</w:t>
      </w:r>
      <w:r>
        <w:rPr>
          <w:rtl/>
          <w:lang w:bidi="ar"/>
        </w:rPr>
        <w:t xml:space="preserve"> إلى تغيير ج</w:t>
      </w:r>
      <w:r>
        <w:rPr>
          <w:rFonts w:hint="cs"/>
          <w:rtl/>
          <w:lang w:bidi="ar"/>
        </w:rPr>
        <w:t>ذري</w:t>
      </w:r>
      <w:r w:rsidR="00AB1AD0">
        <w:rPr>
          <w:rtl/>
          <w:lang w:bidi="ar"/>
        </w:rPr>
        <w:t xml:space="preserve">. وعلى وجه الخصوص، </w:t>
      </w:r>
      <w:r w:rsidR="00715B32">
        <w:rPr>
          <w:rFonts w:hint="cs"/>
          <w:rtl/>
          <w:lang w:bidi="ar"/>
        </w:rPr>
        <w:t xml:space="preserve">فإن </w:t>
      </w:r>
      <w:r w:rsidR="00AB1AD0">
        <w:rPr>
          <w:rtl/>
          <w:lang w:bidi="ar"/>
        </w:rPr>
        <w:t xml:space="preserve">مشاركتهم في المنظمات التي يُديرها لاجئون </w:t>
      </w:r>
      <w:r w:rsidR="00715B32">
        <w:rPr>
          <w:rFonts w:hint="cs"/>
          <w:rtl/>
          <w:lang w:bidi="ar"/>
        </w:rPr>
        <w:t>ستؤدي ل</w:t>
      </w:r>
      <w:r w:rsidR="00AB1AD0">
        <w:rPr>
          <w:rtl/>
          <w:lang w:bidi="ar"/>
        </w:rPr>
        <w:t>معالجة العديد من التحديات ال</w:t>
      </w:r>
      <w:r>
        <w:rPr>
          <w:rFonts w:hint="cs"/>
          <w:rtl/>
          <w:lang w:bidi="ar"/>
        </w:rPr>
        <w:t>تي تم تحيدها مسبقا</w:t>
      </w:r>
      <w:r>
        <w:rPr>
          <w:rtl/>
          <w:lang w:bidi="ar"/>
        </w:rPr>
        <w:t>. ولمعالجة هذه الفجوة، ي</w:t>
      </w:r>
      <w:r>
        <w:rPr>
          <w:rFonts w:hint="cs"/>
          <w:rtl/>
          <w:lang w:bidi="ar"/>
        </w:rPr>
        <w:t xml:space="preserve">سعى </w:t>
      </w:r>
      <w:r w:rsidR="00AB1AD0">
        <w:rPr>
          <w:rtl/>
          <w:lang w:bidi="ar"/>
        </w:rPr>
        <w:t xml:space="preserve">التحالف الدولي للإعاقة والمفوضية السامية </w:t>
      </w:r>
      <w:r>
        <w:rPr>
          <w:rFonts w:hint="cs"/>
          <w:rtl/>
          <w:lang w:bidi="ar"/>
        </w:rPr>
        <w:t xml:space="preserve">إلى </w:t>
      </w:r>
      <w:r w:rsidR="00AB1AD0">
        <w:rPr>
          <w:rtl/>
          <w:lang w:bidi="ar"/>
        </w:rPr>
        <w:t xml:space="preserve">تحديد الأشخاص النازحين وعديمي الجنسية من ذوي الإعاقة المستعدين للمشاركة ودعمهم ببناء القدرات، </w:t>
      </w:r>
      <w:r w:rsidR="00715B32">
        <w:rPr>
          <w:rFonts w:hint="cs"/>
          <w:rtl/>
          <w:lang w:bidi="ar"/>
        </w:rPr>
        <w:t>وتيسير الربط والتشبيك</w:t>
      </w:r>
      <w:r w:rsidR="00AB1AD0">
        <w:rPr>
          <w:rtl/>
          <w:lang w:bidi="ar"/>
        </w:rPr>
        <w:t xml:space="preserve">، وفرص </w:t>
      </w:r>
      <w:r w:rsidR="00715B32">
        <w:rPr>
          <w:rFonts w:hint="cs"/>
          <w:rtl/>
          <w:lang w:bidi="ar"/>
        </w:rPr>
        <w:t>المناصرة</w:t>
      </w:r>
      <w:r w:rsidR="00AB1AD0">
        <w:rPr>
          <w:rtl/>
          <w:lang w:bidi="ar"/>
        </w:rPr>
        <w:t xml:space="preserve">. </w:t>
      </w:r>
    </w:p>
    <w:p w14:paraId="65F3037A" w14:textId="1DA05B17" w:rsidR="00AB1AD0" w:rsidRDefault="005C061B" w:rsidP="00345546">
      <w:pPr>
        <w:pStyle w:val="ListParagraph"/>
        <w:numPr>
          <w:ilvl w:val="0"/>
          <w:numId w:val="2"/>
        </w:numPr>
        <w:bidi/>
        <w:jc w:val="both"/>
      </w:pPr>
      <w:r>
        <w:rPr>
          <w:rtl/>
          <w:lang w:bidi="ar"/>
        </w:rPr>
        <w:t xml:space="preserve">رغم التطور الكبير في توضيح أوجه التوافق بين اتفاقية حقوق الأشخاص ذوي الإعاقة التابعة للأمم المتحدة وقانون اللاجئين، فإن الحاجة إلى </w:t>
      </w:r>
      <w:r w:rsidR="004C2788">
        <w:rPr>
          <w:rFonts w:hint="cs"/>
          <w:rtl/>
          <w:lang w:bidi="ar"/>
        </w:rPr>
        <w:t xml:space="preserve">أن هناك حاجة ملحة الى </w:t>
      </w:r>
      <w:r>
        <w:rPr>
          <w:rtl/>
          <w:lang w:bidi="ar"/>
        </w:rPr>
        <w:t>توجيها</w:t>
      </w:r>
      <w:r w:rsidR="004C2788">
        <w:rPr>
          <w:rtl/>
          <w:lang w:bidi="ar"/>
        </w:rPr>
        <w:t>ت أكثر وضوحًا في هذا الصدد</w:t>
      </w:r>
      <w:r>
        <w:rPr>
          <w:rtl/>
          <w:lang w:bidi="ar"/>
        </w:rPr>
        <w:t xml:space="preserve">. ولسد هذه الفجوة، يخطط التحالف الدولي للإعاقة والمفوضية السامية، كخطوة أولى، للشروع في بعض الدراسات والمحادثات مع الخبراء لمناقشة كيفية تفسير قانون اللاجئين في ضوء المعايير والمبادئ التي تستند إليها اتفاقية حقوق الأشخاص ذوي الإعاقة. </w:t>
      </w:r>
    </w:p>
    <w:p w14:paraId="758AE078" w14:textId="2BD33309" w:rsidR="00E03647" w:rsidRDefault="006E7AAA" w:rsidP="00345546">
      <w:pPr>
        <w:bidi/>
        <w:jc w:val="both"/>
      </w:pPr>
      <w:r>
        <w:rPr>
          <w:rtl/>
          <w:lang w:bidi="ar"/>
        </w:rPr>
        <w:t xml:space="preserve">وستكون مجالات التعاون الثلاثة </w:t>
      </w:r>
      <w:r w:rsidR="004C2788">
        <w:rPr>
          <w:rFonts w:hint="cs"/>
          <w:rtl/>
          <w:lang w:bidi="ar"/>
        </w:rPr>
        <w:t xml:space="preserve">هذه </w:t>
      </w:r>
      <w:r>
        <w:rPr>
          <w:rtl/>
          <w:lang w:bidi="ar"/>
        </w:rPr>
        <w:t>محط التركيز للعام الثاني من التعاون في عام 2022.</w:t>
      </w:r>
    </w:p>
    <w:p w14:paraId="079927D2" w14:textId="6CE182C2" w:rsidR="00E03647" w:rsidRDefault="00E03647" w:rsidP="00345546">
      <w:pPr>
        <w:jc w:val="both"/>
      </w:pPr>
    </w:p>
    <w:sectPr w:rsidR="00E0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dE8zhk+dRBUGd" int2:id="ZYeN60uz">
      <int2:state int2:value="Rejected" int2:type="AugLoop_Text_Critique"/>
    </int2:textHash>
    <int2:textHash int2:hashCode="/1XdicFuDExp9v" int2:id="0jDWbMW0">
      <int2:state int2:value="Rejected" int2:type="AugLoop_Text_Critique"/>
    </int2:textHash>
    <int2:textHash int2:hashCode="Ce8OlaQ3S3gAaD" int2:id="gUmS36fB">
      <int2:state int2:value="Rejected" int2:type="AugLoop_Text_Critique"/>
    </int2:textHash>
    <int2:textHash int2:hashCode="e0dMsLOcF3PXGS" int2:id="11P87810">
      <int2:state int2:value="Rejected" int2:type="AugLoop_Text_Critique"/>
    </int2:textHash>
    <int2:textHash int2:hashCode="+2pzEKI+CDJmm2" int2:id="UmcFV2Yo">
      <int2:state int2:value="Rejected" int2:type="AugLoop_Text_Critique"/>
    </int2:textHash>
    <int2:textHash int2:hashCode="9p8cIKvEKUZF7/" int2:id="gjQeF511">
      <int2:state int2:value="Rejected" int2:type="AugLoop_Text_Critique"/>
    </int2:textHash>
    <int2:textHash int2:hashCode="VjEyTIQG5Cw5J+" int2:id="XYOaroLm">
      <int2:state int2:value="Rejected" int2:type="AugLoop_Text_Critique"/>
    </int2:textHash>
    <int2:textHash int2:hashCode="0lXQ0GySJQ8tJA" int2:id="qDRClj2K">
      <int2:state int2:value="Rejected" int2:type="AugLoop_Text_Critique"/>
    </int2:textHash>
    <int2:textHash int2:hashCode="yMZOtQd2cYQtih" int2:id="gUSi9d0o">
      <int2:state int2:value="Rejected" int2:type="AugLoop_Acronyms_AcronymsCritique"/>
    </int2:textHash>
    <int2:textHash int2:hashCode="lHp8kiXgjXf/Jn" int2:id="kXwSJypf">
      <int2:state int2:value="Rejected" int2:type="AugLoop_Acronyms_AcronymsCritique"/>
    </int2:textHash>
    <int2:textHash int2:hashCode="wE2IjO8mjPxwSs" int2:id="OiZFVEAg">
      <int2:state int2:value="Rejected" int2:type="AugLoop_Acronyms_AcronymsCritique"/>
    </int2:textHash>
    <int2:textHash int2:hashCode="THl6IvFVsNNuaY" int2:id="BAXBMBCW">
      <int2:state int2:value="Rejected" int2:type="AugLoop_Acronyms_AcronymsCritique"/>
    </int2:textHash>
    <int2:bookmark int2:bookmarkName="_Int_V3HxDZkw" int2:invalidationBookmarkName="" int2:hashCode="+4Yxyov9sBwbZf" int2:id="eC0yg6R3">
      <int2:state int2:value="Rejected" int2:type="LegacyProofing"/>
    </int2:bookmark>
    <int2:bookmark int2:bookmarkName="_Int_Vic6WYHn" int2:invalidationBookmarkName="" int2:hashCode="f1OmjTJDRvyEV6" int2:id="ahaFUDKh">
      <int2:state int2:value="Rejected" int2:type="LegacyProofing"/>
    </int2:bookmark>
    <int2:bookmark int2:bookmarkName="_Int_pXj75BP9" int2:invalidationBookmarkName="" int2:hashCode="rzf95f7ZdfhWsc" int2:id="4Gw7tM15">
      <int2:state int2:value="Rejected" int2:type="LegacyProofing"/>
    </int2:bookmark>
    <int2:bookmark int2:bookmarkName="_Int_yIwvPNUd" int2:invalidationBookmarkName="" int2:hashCode="7JnpR0mDEhrt0D" int2:id="qA411rBM">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A64E66"/>
    <w:lvl w:ilvl="0">
      <w:start w:val="1"/>
      <w:numFmt w:val="bullet"/>
      <w:pStyle w:val="ListBullet"/>
      <w:lvlText w:val=""/>
      <w:lvlJc w:val="left"/>
      <w:pPr>
        <w:tabs>
          <w:tab w:val="num" w:pos="360"/>
        </w:tabs>
        <w:ind w:left="720" w:hanging="360"/>
      </w:pPr>
      <w:rPr>
        <w:rFonts w:ascii="Symbol" w:hAnsi="Symbol" w:hint="default"/>
      </w:rPr>
    </w:lvl>
  </w:abstractNum>
  <w:abstractNum w:abstractNumId="1" w15:restartNumberingAfterBreak="0">
    <w:nsid w:val="139A3967"/>
    <w:multiLevelType w:val="hybridMultilevel"/>
    <w:tmpl w:val="553EC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3D2D"/>
    <w:multiLevelType w:val="hybridMultilevel"/>
    <w:tmpl w:val="5FEC768C"/>
    <w:lvl w:ilvl="0" w:tplc="44B09F3C">
      <w:start w:val="1"/>
      <w:numFmt w:val="bullet"/>
      <w:lvlText w:val=""/>
      <w:lvlJc w:val="left"/>
      <w:pPr>
        <w:ind w:left="720" w:hanging="360"/>
      </w:pPr>
      <w:rPr>
        <w:rFonts w:ascii="Symbol" w:hAnsi="Symbol" w:hint="default"/>
      </w:rPr>
    </w:lvl>
    <w:lvl w:ilvl="1" w:tplc="45A64CCC">
      <w:start w:val="1"/>
      <w:numFmt w:val="bullet"/>
      <w:lvlText w:val="o"/>
      <w:lvlJc w:val="left"/>
      <w:pPr>
        <w:ind w:left="1440" w:hanging="360"/>
      </w:pPr>
      <w:rPr>
        <w:rFonts w:ascii="Courier New" w:hAnsi="Courier New" w:hint="default"/>
      </w:rPr>
    </w:lvl>
    <w:lvl w:ilvl="2" w:tplc="89B6B6A2">
      <w:start w:val="1"/>
      <w:numFmt w:val="bullet"/>
      <w:lvlText w:val=""/>
      <w:lvlJc w:val="left"/>
      <w:pPr>
        <w:ind w:left="2160" w:hanging="360"/>
      </w:pPr>
      <w:rPr>
        <w:rFonts w:ascii="Wingdings" w:hAnsi="Wingdings" w:hint="default"/>
      </w:rPr>
    </w:lvl>
    <w:lvl w:ilvl="3" w:tplc="1CE8661E">
      <w:start w:val="1"/>
      <w:numFmt w:val="bullet"/>
      <w:lvlText w:val=""/>
      <w:lvlJc w:val="left"/>
      <w:pPr>
        <w:ind w:left="2880" w:hanging="360"/>
      </w:pPr>
      <w:rPr>
        <w:rFonts w:ascii="Symbol" w:hAnsi="Symbol" w:hint="default"/>
      </w:rPr>
    </w:lvl>
    <w:lvl w:ilvl="4" w:tplc="20D284AA">
      <w:start w:val="1"/>
      <w:numFmt w:val="bullet"/>
      <w:lvlText w:val="o"/>
      <w:lvlJc w:val="left"/>
      <w:pPr>
        <w:ind w:left="3600" w:hanging="360"/>
      </w:pPr>
      <w:rPr>
        <w:rFonts w:ascii="Courier New" w:hAnsi="Courier New" w:hint="default"/>
      </w:rPr>
    </w:lvl>
    <w:lvl w:ilvl="5" w:tplc="E9FCF876">
      <w:start w:val="1"/>
      <w:numFmt w:val="bullet"/>
      <w:lvlText w:val=""/>
      <w:lvlJc w:val="left"/>
      <w:pPr>
        <w:ind w:left="4320" w:hanging="360"/>
      </w:pPr>
      <w:rPr>
        <w:rFonts w:ascii="Wingdings" w:hAnsi="Wingdings" w:hint="default"/>
      </w:rPr>
    </w:lvl>
    <w:lvl w:ilvl="6" w:tplc="87B479C2">
      <w:start w:val="1"/>
      <w:numFmt w:val="bullet"/>
      <w:lvlText w:val=""/>
      <w:lvlJc w:val="left"/>
      <w:pPr>
        <w:ind w:left="5040" w:hanging="360"/>
      </w:pPr>
      <w:rPr>
        <w:rFonts w:ascii="Symbol" w:hAnsi="Symbol" w:hint="default"/>
      </w:rPr>
    </w:lvl>
    <w:lvl w:ilvl="7" w:tplc="ADF883F2">
      <w:start w:val="1"/>
      <w:numFmt w:val="bullet"/>
      <w:lvlText w:val="o"/>
      <w:lvlJc w:val="left"/>
      <w:pPr>
        <w:ind w:left="5760" w:hanging="360"/>
      </w:pPr>
      <w:rPr>
        <w:rFonts w:ascii="Courier New" w:hAnsi="Courier New" w:hint="default"/>
      </w:rPr>
    </w:lvl>
    <w:lvl w:ilvl="8" w:tplc="7B78122C">
      <w:start w:val="1"/>
      <w:numFmt w:val="bullet"/>
      <w:lvlText w:val=""/>
      <w:lvlJc w:val="left"/>
      <w:pPr>
        <w:ind w:left="6480" w:hanging="360"/>
      </w:pPr>
      <w:rPr>
        <w:rFonts w:ascii="Wingdings" w:hAnsi="Wingdings" w:hint="default"/>
      </w:rPr>
    </w:lvl>
  </w:abstractNum>
  <w:abstractNum w:abstractNumId="3" w15:restartNumberingAfterBreak="0">
    <w:nsid w:val="3DCA1FEA"/>
    <w:multiLevelType w:val="hybridMultilevel"/>
    <w:tmpl w:val="06C06ABA"/>
    <w:lvl w:ilvl="0" w:tplc="EE1C2B3C">
      <w:start w:val="1"/>
      <w:numFmt w:val="bullet"/>
      <w:lvlText w:val=""/>
      <w:lvlJc w:val="left"/>
      <w:pPr>
        <w:ind w:left="720" w:hanging="360"/>
      </w:pPr>
      <w:rPr>
        <w:rFonts w:ascii="Symbol" w:hAnsi="Symbol" w:hint="default"/>
      </w:rPr>
    </w:lvl>
    <w:lvl w:ilvl="1" w:tplc="26DAE496">
      <w:start w:val="1"/>
      <w:numFmt w:val="bullet"/>
      <w:lvlText w:val="o"/>
      <w:lvlJc w:val="left"/>
      <w:pPr>
        <w:ind w:left="1440" w:hanging="360"/>
      </w:pPr>
      <w:rPr>
        <w:rFonts w:ascii="Courier New" w:hAnsi="Courier New" w:hint="default"/>
      </w:rPr>
    </w:lvl>
    <w:lvl w:ilvl="2" w:tplc="DA628E24">
      <w:start w:val="1"/>
      <w:numFmt w:val="bullet"/>
      <w:lvlText w:val=""/>
      <w:lvlJc w:val="left"/>
      <w:pPr>
        <w:ind w:left="2160" w:hanging="360"/>
      </w:pPr>
      <w:rPr>
        <w:rFonts w:ascii="Wingdings" w:hAnsi="Wingdings" w:hint="default"/>
      </w:rPr>
    </w:lvl>
    <w:lvl w:ilvl="3" w:tplc="6E1C9066">
      <w:start w:val="1"/>
      <w:numFmt w:val="bullet"/>
      <w:lvlText w:val=""/>
      <w:lvlJc w:val="left"/>
      <w:pPr>
        <w:ind w:left="2880" w:hanging="360"/>
      </w:pPr>
      <w:rPr>
        <w:rFonts w:ascii="Symbol" w:hAnsi="Symbol" w:hint="default"/>
      </w:rPr>
    </w:lvl>
    <w:lvl w:ilvl="4" w:tplc="3E385A3E">
      <w:start w:val="1"/>
      <w:numFmt w:val="bullet"/>
      <w:lvlText w:val="o"/>
      <w:lvlJc w:val="left"/>
      <w:pPr>
        <w:ind w:left="3600" w:hanging="360"/>
      </w:pPr>
      <w:rPr>
        <w:rFonts w:ascii="Courier New" w:hAnsi="Courier New" w:hint="default"/>
      </w:rPr>
    </w:lvl>
    <w:lvl w:ilvl="5" w:tplc="975E6540">
      <w:start w:val="1"/>
      <w:numFmt w:val="bullet"/>
      <w:lvlText w:val=""/>
      <w:lvlJc w:val="left"/>
      <w:pPr>
        <w:ind w:left="4320" w:hanging="360"/>
      </w:pPr>
      <w:rPr>
        <w:rFonts w:ascii="Wingdings" w:hAnsi="Wingdings" w:hint="default"/>
      </w:rPr>
    </w:lvl>
    <w:lvl w:ilvl="6" w:tplc="CBB6AE30">
      <w:start w:val="1"/>
      <w:numFmt w:val="bullet"/>
      <w:lvlText w:val=""/>
      <w:lvlJc w:val="left"/>
      <w:pPr>
        <w:ind w:left="5040" w:hanging="360"/>
      </w:pPr>
      <w:rPr>
        <w:rFonts w:ascii="Symbol" w:hAnsi="Symbol" w:hint="default"/>
      </w:rPr>
    </w:lvl>
    <w:lvl w:ilvl="7" w:tplc="0E620B38">
      <w:start w:val="1"/>
      <w:numFmt w:val="bullet"/>
      <w:lvlText w:val="o"/>
      <w:lvlJc w:val="left"/>
      <w:pPr>
        <w:ind w:left="5760" w:hanging="360"/>
      </w:pPr>
      <w:rPr>
        <w:rFonts w:ascii="Courier New" w:hAnsi="Courier New" w:hint="default"/>
      </w:rPr>
    </w:lvl>
    <w:lvl w:ilvl="8" w:tplc="E5301B82">
      <w:start w:val="1"/>
      <w:numFmt w:val="bullet"/>
      <w:lvlText w:val=""/>
      <w:lvlJc w:val="left"/>
      <w:pPr>
        <w:ind w:left="6480" w:hanging="360"/>
      </w:pPr>
      <w:rPr>
        <w:rFonts w:ascii="Wingdings" w:hAnsi="Wingdings" w:hint="default"/>
      </w:rPr>
    </w:lvl>
  </w:abstractNum>
  <w:abstractNum w:abstractNumId="4" w15:restartNumberingAfterBreak="0">
    <w:nsid w:val="4E0C6451"/>
    <w:multiLevelType w:val="hybridMultilevel"/>
    <w:tmpl w:val="9A5059AA"/>
    <w:lvl w:ilvl="0" w:tplc="67105A8C">
      <w:start w:val="1"/>
      <w:numFmt w:val="bullet"/>
      <w:lvlText w:val=""/>
      <w:lvlJc w:val="left"/>
      <w:pPr>
        <w:ind w:left="720" w:hanging="360"/>
      </w:pPr>
      <w:rPr>
        <w:rFonts w:ascii="Symbol" w:hAnsi="Symbol" w:hint="default"/>
      </w:rPr>
    </w:lvl>
    <w:lvl w:ilvl="1" w:tplc="070C98AC">
      <w:start w:val="1"/>
      <w:numFmt w:val="bullet"/>
      <w:lvlText w:val="o"/>
      <w:lvlJc w:val="left"/>
      <w:pPr>
        <w:ind w:left="1440" w:hanging="360"/>
      </w:pPr>
      <w:rPr>
        <w:rFonts w:ascii="Courier New" w:hAnsi="Courier New" w:hint="default"/>
      </w:rPr>
    </w:lvl>
    <w:lvl w:ilvl="2" w:tplc="9392F4E0">
      <w:start w:val="1"/>
      <w:numFmt w:val="bullet"/>
      <w:lvlText w:val=""/>
      <w:lvlJc w:val="left"/>
      <w:pPr>
        <w:ind w:left="2160" w:hanging="360"/>
      </w:pPr>
      <w:rPr>
        <w:rFonts w:ascii="Wingdings" w:hAnsi="Wingdings" w:hint="default"/>
      </w:rPr>
    </w:lvl>
    <w:lvl w:ilvl="3" w:tplc="CE7E542E">
      <w:start w:val="1"/>
      <w:numFmt w:val="bullet"/>
      <w:lvlText w:val=""/>
      <w:lvlJc w:val="left"/>
      <w:pPr>
        <w:ind w:left="2880" w:hanging="360"/>
      </w:pPr>
      <w:rPr>
        <w:rFonts w:ascii="Symbol" w:hAnsi="Symbol" w:hint="default"/>
      </w:rPr>
    </w:lvl>
    <w:lvl w:ilvl="4" w:tplc="DBF4CEDA">
      <w:start w:val="1"/>
      <w:numFmt w:val="bullet"/>
      <w:lvlText w:val="o"/>
      <w:lvlJc w:val="left"/>
      <w:pPr>
        <w:ind w:left="3600" w:hanging="360"/>
      </w:pPr>
      <w:rPr>
        <w:rFonts w:ascii="Courier New" w:hAnsi="Courier New" w:hint="default"/>
      </w:rPr>
    </w:lvl>
    <w:lvl w:ilvl="5" w:tplc="0D88670C">
      <w:start w:val="1"/>
      <w:numFmt w:val="bullet"/>
      <w:lvlText w:val=""/>
      <w:lvlJc w:val="left"/>
      <w:pPr>
        <w:ind w:left="4320" w:hanging="360"/>
      </w:pPr>
      <w:rPr>
        <w:rFonts w:ascii="Wingdings" w:hAnsi="Wingdings" w:hint="default"/>
      </w:rPr>
    </w:lvl>
    <w:lvl w:ilvl="6" w:tplc="BF8032AE">
      <w:start w:val="1"/>
      <w:numFmt w:val="bullet"/>
      <w:lvlText w:val=""/>
      <w:lvlJc w:val="left"/>
      <w:pPr>
        <w:ind w:left="5040" w:hanging="360"/>
      </w:pPr>
      <w:rPr>
        <w:rFonts w:ascii="Symbol" w:hAnsi="Symbol" w:hint="default"/>
      </w:rPr>
    </w:lvl>
    <w:lvl w:ilvl="7" w:tplc="AEEE9584">
      <w:start w:val="1"/>
      <w:numFmt w:val="bullet"/>
      <w:lvlText w:val="o"/>
      <w:lvlJc w:val="left"/>
      <w:pPr>
        <w:ind w:left="5760" w:hanging="360"/>
      </w:pPr>
      <w:rPr>
        <w:rFonts w:ascii="Courier New" w:hAnsi="Courier New" w:hint="default"/>
      </w:rPr>
    </w:lvl>
    <w:lvl w:ilvl="8" w:tplc="53BCB9A4">
      <w:start w:val="1"/>
      <w:numFmt w:val="bullet"/>
      <w:lvlText w:val=""/>
      <w:lvlJc w:val="left"/>
      <w:pPr>
        <w:ind w:left="6480" w:hanging="360"/>
      </w:pPr>
      <w:rPr>
        <w:rFonts w:ascii="Wingdings" w:hAnsi="Wingdings" w:hint="default"/>
      </w:rPr>
    </w:lvl>
  </w:abstractNum>
  <w:abstractNum w:abstractNumId="5" w15:restartNumberingAfterBreak="0">
    <w:nsid w:val="62615F63"/>
    <w:multiLevelType w:val="hybridMultilevel"/>
    <w:tmpl w:val="65222AD2"/>
    <w:lvl w:ilvl="0" w:tplc="189C7B80">
      <w:start w:val="1"/>
      <w:numFmt w:val="bullet"/>
      <w:lvlText w:val=""/>
      <w:lvlJc w:val="left"/>
      <w:pPr>
        <w:ind w:left="720" w:hanging="360"/>
      </w:pPr>
      <w:rPr>
        <w:rFonts w:ascii="Symbol" w:hAnsi="Symbol" w:hint="default"/>
      </w:rPr>
    </w:lvl>
    <w:lvl w:ilvl="1" w:tplc="6E56525A">
      <w:start w:val="1"/>
      <w:numFmt w:val="bullet"/>
      <w:lvlText w:val="o"/>
      <w:lvlJc w:val="left"/>
      <w:pPr>
        <w:ind w:left="1440" w:hanging="360"/>
      </w:pPr>
      <w:rPr>
        <w:rFonts w:ascii="Courier New" w:hAnsi="Courier New" w:hint="default"/>
      </w:rPr>
    </w:lvl>
    <w:lvl w:ilvl="2" w:tplc="D4B23EE2">
      <w:start w:val="1"/>
      <w:numFmt w:val="bullet"/>
      <w:lvlText w:val=""/>
      <w:lvlJc w:val="left"/>
      <w:pPr>
        <w:ind w:left="2160" w:hanging="360"/>
      </w:pPr>
      <w:rPr>
        <w:rFonts w:ascii="Wingdings" w:hAnsi="Wingdings" w:hint="default"/>
      </w:rPr>
    </w:lvl>
    <w:lvl w:ilvl="3" w:tplc="E3A26D88">
      <w:start w:val="1"/>
      <w:numFmt w:val="bullet"/>
      <w:lvlText w:val=""/>
      <w:lvlJc w:val="left"/>
      <w:pPr>
        <w:ind w:left="2880" w:hanging="360"/>
      </w:pPr>
      <w:rPr>
        <w:rFonts w:ascii="Symbol" w:hAnsi="Symbol" w:hint="default"/>
      </w:rPr>
    </w:lvl>
    <w:lvl w:ilvl="4" w:tplc="56B4A262">
      <w:start w:val="1"/>
      <w:numFmt w:val="bullet"/>
      <w:lvlText w:val="o"/>
      <w:lvlJc w:val="left"/>
      <w:pPr>
        <w:ind w:left="3600" w:hanging="360"/>
      </w:pPr>
      <w:rPr>
        <w:rFonts w:ascii="Courier New" w:hAnsi="Courier New" w:hint="default"/>
      </w:rPr>
    </w:lvl>
    <w:lvl w:ilvl="5" w:tplc="0EDEB4B4">
      <w:start w:val="1"/>
      <w:numFmt w:val="bullet"/>
      <w:lvlText w:val=""/>
      <w:lvlJc w:val="left"/>
      <w:pPr>
        <w:ind w:left="4320" w:hanging="360"/>
      </w:pPr>
      <w:rPr>
        <w:rFonts w:ascii="Wingdings" w:hAnsi="Wingdings" w:hint="default"/>
      </w:rPr>
    </w:lvl>
    <w:lvl w:ilvl="6" w:tplc="E38AB3F6">
      <w:start w:val="1"/>
      <w:numFmt w:val="bullet"/>
      <w:lvlText w:val=""/>
      <w:lvlJc w:val="left"/>
      <w:pPr>
        <w:ind w:left="5040" w:hanging="360"/>
      </w:pPr>
      <w:rPr>
        <w:rFonts w:ascii="Symbol" w:hAnsi="Symbol" w:hint="default"/>
      </w:rPr>
    </w:lvl>
    <w:lvl w:ilvl="7" w:tplc="92D2FD9A">
      <w:start w:val="1"/>
      <w:numFmt w:val="bullet"/>
      <w:lvlText w:val="o"/>
      <w:lvlJc w:val="left"/>
      <w:pPr>
        <w:ind w:left="5760" w:hanging="360"/>
      </w:pPr>
      <w:rPr>
        <w:rFonts w:ascii="Courier New" w:hAnsi="Courier New" w:hint="default"/>
      </w:rPr>
    </w:lvl>
    <w:lvl w:ilvl="8" w:tplc="874844D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0A"/>
    <w:rsid w:val="0000288E"/>
    <w:rsid w:val="00003B48"/>
    <w:rsid w:val="0001403E"/>
    <w:rsid w:val="00022F66"/>
    <w:rsid w:val="00030A94"/>
    <w:rsid w:val="00037B89"/>
    <w:rsid w:val="000715E3"/>
    <w:rsid w:val="00077C00"/>
    <w:rsid w:val="00081EA5"/>
    <w:rsid w:val="00092D72"/>
    <w:rsid w:val="000A0FC2"/>
    <w:rsid w:val="000B1762"/>
    <w:rsid w:val="000C4DEB"/>
    <w:rsid w:val="000D52FE"/>
    <w:rsid w:val="000E0F95"/>
    <w:rsid w:val="000E335E"/>
    <w:rsid w:val="000E4AB6"/>
    <w:rsid w:val="000F3C90"/>
    <w:rsid w:val="000F73CC"/>
    <w:rsid w:val="00112649"/>
    <w:rsid w:val="001158CF"/>
    <w:rsid w:val="00117DD9"/>
    <w:rsid w:val="00132629"/>
    <w:rsid w:val="001337A1"/>
    <w:rsid w:val="0013612A"/>
    <w:rsid w:val="001642E4"/>
    <w:rsid w:val="00172C6F"/>
    <w:rsid w:val="00175688"/>
    <w:rsid w:val="00181333"/>
    <w:rsid w:val="00187E94"/>
    <w:rsid w:val="0019019E"/>
    <w:rsid w:val="001A4F43"/>
    <w:rsid w:val="001B4AA4"/>
    <w:rsid w:val="001C12BF"/>
    <w:rsid w:val="00201EA5"/>
    <w:rsid w:val="00204B79"/>
    <w:rsid w:val="002050DE"/>
    <w:rsid w:val="00220DBF"/>
    <w:rsid w:val="00236BC6"/>
    <w:rsid w:val="00237F19"/>
    <w:rsid w:val="00243491"/>
    <w:rsid w:val="00263BB6"/>
    <w:rsid w:val="00264CD4"/>
    <w:rsid w:val="00292345"/>
    <w:rsid w:val="002B59A5"/>
    <w:rsid w:val="002B6933"/>
    <w:rsid w:val="002C0D7B"/>
    <w:rsid w:val="002C2D66"/>
    <w:rsid w:val="002C7048"/>
    <w:rsid w:val="002D19C6"/>
    <w:rsid w:val="002F1B97"/>
    <w:rsid w:val="002F47AB"/>
    <w:rsid w:val="002F79E6"/>
    <w:rsid w:val="0030204E"/>
    <w:rsid w:val="00311F20"/>
    <w:rsid w:val="00345546"/>
    <w:rsid w:val="0035487C"/>
    <w:rsid w:val="00356393"/>
    <w:rsid w:val="00362D4C"/>
    <w:rsid w:val="00374B3D"/>
    <w:rsid w:val="00381E03"/>
    <w:rsid w:val="00382501"/>
    <w:rsid w:val="003826FA"/>
    <w:rsid w:val="003876D7"/>
    <w:rsid w:val="00397010"/>
    <w:rsid w:val="003B774E"/>
    <w:rsid w:val="003C22BD"/>
    <w:rsid w:val="003E27B5"/>
    <w:rsid w:val="003F090D"/>
    <w:rsid w:val="003F7CB0"/>
    <w:rsid w:val="00407973"/>
    <w:rsid w:val="004122AB"/>
    <w:rsid w:val="00413B7B"/>
    <w:rsid w:val="00422665"/>
    <w:rsid w:val="004348E6"/>
    <w:rsid w:val="004405AF"/>
    <w:rsid w:val="004449C3"/>
    <w:rsid w:val="00445F61"/>
    <w:rsid w:val="00452AEB"/>
    <w:rsid w:val="00454914"/>
    <w:rsid w:val="00454B59"/>
    <w:rsid w:val="004767C8"/>
    <w:rsid w:val="004A6923"/>
    <w:rsid w:val="004B5753"/>
    <w:rsid w:val="004C0714"/>
    <w:rsid w:val="004C2788"/>
    <w:rsid w:val="004C4D0D"/>
    <w:rsid w:val="004C52A9"/>
    <w:rsid w:val="004F63EF"/>
    <w:rsid w:val="00500CAF"/>
    <w:rsid w:val="005237AB"/>
    <w:rsid w:val="00541B0F"/>
    <w:rsid w:val="00551BC2"/>
    <w:rsid w:val="005531A8"/>
    <w:rsid w:val="00557EC7"/>
    <w:rsid w:val="005701BA"/>
    <w:rsid w:val="0057314D"/>
    <w:rsid w:val="00592F6D"/>
    <w:rsid w:val="005B3C1E"/>
    <w:rsid w:val="005B59C2"/>
    <w:rsid w:val="005C061B"/>
    <w:rsid w:val="005D5097"/>
    <w:rsid w:val="005E79DE"/>
    <w:rsid w:val="005F204D"/>
    <w:rsid w:val="00604A36"/>
    <w:rsid w:val="00646EF5"/>
    <w:rsid w:val="00647C1E"/>
    <w:rsid w:val="006512AD"/>
    <w:rsid w:val="00656AA6"/>
    <w:rsid w:val="00662216"/>
    <w:rsid w:val="006670B7"/>
    <w:rsid w:val="006728DA"/>
    <w:rsid w:val="00672AA3"/>
    <w:rsid w:val="00674D4F"/>
    <w:rsid w:val="00697815"/>
    <w:rsid w:val="006D081F"/>
    <w:rsid w:val="006D4C95"/>
    <w:rsid w:val="006E226E"/>
    <w:rsid w:val="006E3D3A"/>
    <w:rsid w:val="006E7AAA"/>
    <w:rsid w:val="00703E8D"/>
    <w:rsid w:val="00703EC3"/>
    <w:rsid w:val="007132FD"/>
    <w:rsid w:val="00713EBF"/>
    <w:rsid w:val="00715B32"/>
    <w:rsid w:val="00715E41"/>
    <w:rsid w:val="007205DB"/>
    <w:rsid w:val="007207AB"/>
    <w:rsid w:val="00723E0C"/>
    <w:rsid w:val="007364F7"/>
    <w:rsid w:val="00757232"/>
    <w:rsid w:val="00757236"/>
    <w:rsid w:val="00765236"/>
    <w:rsid w:val="00771503"/>
    <w:rsid w:val="00794509"/>
    <w:rsid w:val="007A35CC"/>
    <w:rsid w:val="007B1C7A"/>
    <w:rsid w:val="007B5233"/>
    <w:rsid w:val="007B6128"/>
    <w:rsid w:val="00801131"/>
    <w:rsid w:val="00815BCF"/>
    <w:rsid w:val="00831474"/>
    <w:rsid w:val="0084115E"/>
    <w:rsid w:val="008419DC"/>
    <w:rsid w:val="008428E9"/>
    <w:rsid w:val="008600E7"/>
    <w:rsid w:val="00860E56"/>
    <w:rsid w:val="00873A53"/>
    <w:rsid w:val="0087774A"/>
    <w:rsid w:val="008862BC"/>
    <w:rsid w:val="008A4AD9"/>
    <w:rsid w:val="008D4C92"/>
    <w:rsid w:val="008F60FB"/>
    <w:rsid w:val="00913476"/>
    <w:rsid w:val="009227EA"/>
    <w:rsid w:val="00925184"/>
    <w:rsid w:val="00934FC4"/>
    <w:rsid w:val="0095000E"/>
    <w:rsid w:val="00952AC9"/>
    <w:rsid w:val="009620EE"/>
    <w:rsid w:val="009859ED"/>
    <w:rsid w:val="00986ED2"/>
    <w:rsid w:val="00990B6F"/>
    <w:rsid w:val="009A1D24"/>
    <w:rsid w:val="009A7B57"/>
    <w:rsid w:val="009C4B87"/>
    <w:rsid w:val="009C68CD"/>
    <w:rsid w:val="009D332D"/>
    <w:rsid w:val="009D4257"/>
    <w:rsid w:val="009E297A"/>
    <w:rsid w:val="009E48C7"/>
    <w:rsid w:val="009F3F18"/>
    <w:rsid w:val="00A202E2"/>
    <w:rsid w:val="00A21355"/>
    <w:rsid w:val="00A32C43"/>
    <w:rsid w:val="00A33BB8"/>
    <w:rsid w:val="00A42276"/>
    <w:rsid w:val="00A432D0"/>
    <w:rsid w:val="00A571A4"/>
    <w:rsid w:val="00A576C9"/>
    <w:rsid w:val="00A625EC"/>
    <w:rsid w:val="00A747FC"/>
    <w:rsid w:val="00A74853"/>
    <w:rsid w:val="00A75AA8"/>
    <w:rsid w:val="00A76D04"/>
    <w:rsid w:val="00A81BF9"/>
    <w:rsid w:val="00AA14B6"/>
    <w:rsid w:val="00AA4CD8"/>
    <w:rsid w:val="00AB1AD0"/>
    <w:rsid w:val="00AD4AE4"/>
    <w:rsid w:val="00AE4E21"/>
    <w:rsid w:val="00AF0F74"/>
    <w:rsid w:val="00AF373A"/>
    <w:rsid w:val="00AF5522"/>
    <w:rsid w:val="00AF6FA3"/>
    <w:rsid w:val="00B02BD8"/>
    <w:rsid w:val="00B060AD"/>
    <w:rsid w:val="00B40FB8"/>
    <w:rsid w:val="00B609FD"/>
    <w:rsid w:val="00B66DA9"/>
    <w:rsid w:val="00B70CE2"/>
    <w:rsid w:val="00B95B03"/>
    <w:rsid w:val="00BD5D18"/>
    <w:rsid w:val="00BD7103"/>
    <w:rsid w:val="00BF1029"/>
    <w:rsid w:val="00BF60B4"/>
    <w:rsid w:val="00C34122"/>
    <w:rsid w:val="00C526A7"/>
    <w:rsid w:val="00C56DEF"/>
    <w:rsid w:val="00C8364E"/>
    <w:rsid w:val="00C91B70"/>
    <w:rsid w:val="00CA350D"/>
    <w:rsid w:val="00CA6AC6"/>
    <w:rsid w:val="00CB449E"/>
    <w:rsid w:val="00CD4B43"/>
    <w:rsid w:val="00CD6835"/>
    <w:rsid w:val="00CE028C"/>
    <w:rsid w:val="00CF45A8"/>
    <w:rsid w:val="00CF760A"/>
    <w:rsid w:val="00D00CD0"/>
    <w:rsid w:val="00D11BA6"/>
    <w:rsid w:val="00D13DF1"/>
    <w:rsid w:val="00D25176"/>
    <w:rsid w:val="00D25B44"/>
    <w:rsid w:val="00D369FA"/>
    <w:rsid w:val="00D42F7D"/>
    <w:rsid w:val="00D45762"/>
    <w:rsid w:val="00D47980"/>
    <w:rsid w:val="00D56887"/>
    <w:rsid w:val="00D72214"/>
    <w:rsid w:val="00D86A4D"/>
    <w:rsid w:val="00D956E1"/>
    <w:rsid w:val="00DA2481"/>
    <w:rsid w:val="00DA2F71"/>
    <w:rsid w:val="00DA4184"/>
    <w:rsid w:val="00DA5625"/>
    <w:rsid w:val="00DB20F7"/>
    <w:rsid w:val="00DC2D6C"/>
    <w:rsid w:val="00DC601D"/>
    <w:rsid w:val="00DE1C27"/>
    <w:rsid w:val="00DF5CA7"/>
    <w:rsid w:val="00E03647"/>
    <w:rsid w:val="00E07F91"/>
    <w:rsid w:val="00E338B7"/>
    <w:rsid w:val="00E35B2F"/>
    <w:rsid w:val="00E36B68"/>
    <w:rsid w:val="00E402DB"/>
    <w:rsid w:val="00E42BCB"/>
    <w:rsid w:val="00E51C19"/>
    <w:rsid w:val="00E55053"/>
    <w:rsid w:val="00E619C8"/>
    <w:rsid w:val="00E73039"/>
    <w:rsid w:val="00E82C4A"/>
    <w:rsid w:val="00E87945"/>
    <w:rsid w:val="00EB0767"/>
    <w:rsid w:val="00EB3705"/>
    <w:rsid w:val="00EB4DBC"/>
    <w:rsid w:val="00EC2D88"/>
    <w:rsid w:val="00EC37E0"/>
    <w:rsid w:val="00ED7DB8"/>
    <w:rsid w:val="00EE201A"/>
    <w:rsid w:val="00F15699"/>
    <w:rsid w:val="00F168D6"/>
    <w:rsid w:val="00F17810"/>
    <w:rsid w:val="00F34775"/>
    <w:rsid w:val="00F3615D"/>
    <w:rsid w:val="00F54E01"/>
    <w:rsid w:val="00F60D57"/>
    <w:rsid w:val="00F64473"/>
    <w:rsid w:val="00F66F6B"/>
    <w:rsid w:val="00F92A5D"/>
    <w:rsid w:val="00F93962"/>
    <w:rsid w:val="00F94335"/>
    <w:rsid w:val="00F954EE"/>
    <w:rsid w:val="00FB16D1"/>
    <w:rsid w:val="00FD2EBB"/>
    <w:rsid w:val="00FE09AD"/>
    <w:rsid w:val="00FE2194"/>
    <w:rsid w:val="016CC5E5"/>
    <w:rsid w:val="0176E7B2"/>
    <w:rsid w:val="02D20534"/>
    <w:rsid w:val="03F915D9"/>
    <w:rsid w:val="0636F0B1"/>
    <w:rsid w:val="06C7D139"/>
    <w:rsid w:val="08C8D04D"/>
    <w:rsid w:val="0B15A951"/>
    <w:rsid w:val="0C118CEB"/>
    <w:rsid w:val="0CED39A7"/>
    <w:rsid w:val="0F99AD97"/>
    <w:rsid w:val="11CC9257"/>
    <w:rsid w:val="120A78C1"/>
    <w:rsid w:val="123914F9"/>
    <w:rsid w:val="14E8543B"/>
    <w:rsid w:val="19CD617D"/>
    <w:rsid w:val="1CB1DCC7"/>
    <w:rsid w:val="1D683E5E"/>
    <w:rsid w:val="1E71DC96"/>
    <w:rsid w:val="20FA6ED9"/>
    <w:rsid w:val="2242AE77"/>
    <w:rsid w:val="23718CCF"/>
    <w:rsid w:val="25594F54"/>
    <w:rsid w:val="257C3306"/>
    <w:rsid w:val="25BD5824"/>
    <w:rsid w:val="26DCD31B"/>
    <w:rsid w:val="26FF432A"/>
    <w:rsid w:val="281C196F"/>
    <w:rsid w:val="28996BAA"/>
    <w:rsid w:val="2A28BD25"/>
    <w:rsid w:val="2BC336B8"/>
    <w:rsid w:val="2BD7326D"/>
    <w:rsid w:val="2C4D2B75"/>
    <w:rsid w:val="2DF5A733"/>
    <w:rsid w:val="2E5C3635"/>
    <w:rsid w:val="2EFD9E77"/>
    <w:rsid w:val="2F4B120D"/>
    <w:rsid w:val="323BC3A2"/>
    <w:rsid w:val="32663BBC"/>
    <w:rsid w:val="341E8330"/>
    <w:rsid w:val="34859D01"/>
    <w:rsid w:val="34AC1318"/>
    <w:rsid w:val="34E5C554"/>
    <w:rsid w:val="374C91C2"/>
    <w:rsid w:val="379F08CF"/>
    <w:rsid w:val="37CE5B40"/>
    <w:rsid w:val="3811F3F9"/>
    <w:rsid w:val="38C21047"/>
    <w:rsid w:val="38D9A73E"/>
    <w:rsid w:val="3AA5D742"/>
    <w:rsid w:val="3DCA4C91"/>
    <w:rsid w:val="3DEE95A0"/>
    <w:rsid w:val="3EA47489"/>
    <w:rsid w:val="4054F8CA"/>
    <w:rsid w:val="440D882B"/>
    <w:rsid w:val="442E1720"/>
    <w:rsid w:val="446B789C"/>
    <w:rsid w:val="450F4190"/>
    <w:rsid w:val="4568CB40"/>
    <w:rsid w:val="463FDCCD"/>
    <w:rsid w:val="47B23293"/>
    <w:rsid w:val="481F57D0"/>
    <w:rsid w:val="494A5815"/>
    <w:rsid w:val="49CE8A37"/>
    <w:rsid w:val="4CBCC48F"/>
    <w:rsid w:val="4CEFC300"/>
    <w:rsid w:val="4DAF36FD"/>
    <w:rsid w:val="4DC0D9BA"/>
    <w:rsid w:val="4DD9E496"/>
    <w:rsid w:val="4E8792BD"/>
    <w:rsid w:val="5366883D"/>
    <w:rsid w:val="5377935B"/>
    <w:rsid w:val="5864F3A2"/>
    <w:rsid w:val="5B1453EB"/>
    <w:rsid w:val="5F0FD593"/>
    <w:rsid w:val="644741B1"/>
    <w:rsid w:val="65087C06"/>
    <w:rsid w:val="652747E2"/>
    <w:rsid w:val="65985D3A"/>
    <w:rsid w:val="65F7E0A3"/>
    <w:rsid w:val="65FA7F7C"/>
    <w:rsid w:val="66527C5F"/>
    <w:rsid w:val="66CBB6D7"/>
    <w:rsid w:val="66DF470B"/>
    <w:rsid w:val="696EDA5F"/>
    <w:rsid w:val="6E73A1AD"/>
    <w:rsid w:val="6FDA49BE"/>
    <w:rsid w:val="700F720E"/>
    <w:rsid w:val="71597FDA"/>
    <w:rsid w:val="72A862B8"/>
    <w:rsid w:val="76658B35"/>
    <w:rsid w:val="76A1C9AD"/>
    <w:rsid w:val="7862C746"/>
    <w:rsid w:val="787CF9F4"/>
    <w:rsid w:val="797B47E1"/>
    <w:rsid w:val="7A3DEE13"/>
    <w:rsid w:val="7AAF828E"/>
    <w:rsid w:val="7AD91514"/>
    <w:rsid w:val="7C99E45E"/>
    <w:rsid w:val="7DB0D5EE"/>
    <w:rsid w:val="7EC95DAA"/>
    <w:rsid w:val="7EF7C1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3EA"/>
  <w15:chartTrackingRefBased/>
  <w15:docId w15:val="{1E594846-0F88-4F8A-A54F-77787FDE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6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1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EF5"/>
    <w:rPr>
      <w:color w:val="0563C1" w:themeColor="hyperlink"/>
      <w:u w:val="single"/>
    </w:rPr>
  </w:style>
  <w:style w:type="character" w:customStyle="1" w:styleId="UnresolvedMention1">
    <w:name w:val="Unresolved Mention1"/>
    <w:basedOn w:val="DefaultParagraphFont"/>
    <w:uiPriority w:val="99"/>
    <w:semiHidden/>
    <w:unhideWhenUsed/>
    <w:rsid w:val="00646EF5"/>
    <w:rPr>
      <w:color w:val="605E5C"/>
      <w:shd w:val="clear" w:color="auto" w:fill="E1DFDD"/>
    </w:rPr>
  </w:style>
  <w:style w:type="paragraph" w:styleId="ListBullet">
    <w:name w:val="List Bullet"/>
    <w:basedOn w:val="Normal"/>
    <w:uiPriority w:val="99"/>
    <w:unhideWhenUsed/>
    <w:rsid w:val="002C0D7B"/>
    <w:pPr>
      <w:numPr>
        <w:numId w:val="1"/>
      </w:numPr>
      <w:contextualSpacing/>
    </w:pPr>
  </w:style>
  <w:style w:type="character" w:styleId="CommentReference">
    <w:name w:val="annotation reference"/>
    <w:basedOn w:val="DefaultParagraphFont"/>
    <w:uiPriority w:val="99"/>
    <w:semiHidden/>
    <w:unhideWhenUsed/>
    <w:rsid w:val="00D369FA"/>
    <w:rPr>
      <w:sz w:val="16"/>
      <w:szCs w:val="16"/>
    </w:rPr>
  </w:style>
  <w:style w:type="paragraph" w:styleId="CommentText">
    <w:name w:val="annotation text"/>
    <w:basedOn w:val="Normal"/>
    <w:link w:val="CommentTextChar"/>
    <w:uiPriority w:val="99"/>
    <w:semiHidden/>
    <w:unhideWhenUsed/>
    <w:rsid w:val="00D369FA"/>
    <w:pPr>
      <w:spacing w:line="240" w:lineRule="auto"/>
    </w:pPr>
    <w:rPr>
      <w:sz w:val="20"/>
      <w:szCs w:val="20"/>
    </w:rPr>
  </w:style>
  <w:style w:type="character" w:customStyle="1" w:styleId="CommentTextChar">
    <w:name w:val="Comment Text Char"/>
    <w:basedOn w:val="DefaultParagraphFont"/>
    <w:link w:val="CommentText"/>
    <w:uiPriority w:val="99"/>
    <w:semiHidden/>
    <w:rsid w:val="00D369FA"/>
    <w:rPr>
      <w:sz w:val="20"/>
      <w:szCs w:val="20"/>
    </w:rPr>
  </w:style>
  <w:style w:type="paragraph" w:styleId="CommentSubject">
    <w:name w:val="annotation subject"/>
    <w:basedOn w:val="CommentText"/>
    <w:next w:val="CommentText"/>
    <w:link w:val="CommentSubjectChar"/>
    <w:uiPriority w:val="99"/>
    <w:semiHidden/>
    <w:unhideWhenUsed/>
    <w:rsid w:val="00D369FA"/>
    <w:rPr>
      <w:b/>
      <w:bCs/>
    </w:rPr>
  </w:style>
  <w:style w:type="character" w:customStyle="1" w:styleId="CommentSubjectChar">
    <w:name w:val="Comment Subject Char"/>
    <w:basedOn w:val="CommentTextChar"/>
    <w:link w:val="CommentSubject"/>
    <w:uiPriority w:val="99"/>
    <w:semiHidden/>
    <w:rsid w:val="00D369FA"/>
    <w:rPr>
      <w:b/>
      <w:bCs/>
      <w:sz w:val="20"/>
      <w:szCs w:val="20"/>
    </w:rPr>
  </w:style>
  <w:style w:type="paragraph" w:styleId="ListParagraph">
    <w:name w:val="List Paragraph"/>
    <w:basedOn w:val="Normal"/>
    <w:uiPriority w:val="34"/>
    <w:qFormat/>
    <w:rsid w:val="00697815"/>
    <w:pPr>
      <w:ind w:left="720"/>
      <w:contextualSpacing/>
    </w:pPr>
  </w:style>
  <w:style w:type="character" w:customStyle="1" w:styleId="Heading1Char">
    <w:name w:val="Heading 1 Char"/>
    <w:basedOn w:val="DefaultParagraphFont"/>
    <w:link w:val="Heading1"/>
    <w:uiPriority w:val="9"/>
    <w:rsid w:val="00FB16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147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45762"/>
    <w:rPr>
      <w:color w:val="954F72" w:themeColor="followedHyperlink"/>
      <w:u w:val="single"/>
    </w:rPr>
  </w:style>
  <w:style w:type="paragraph" w:styleId="Revision">
    <w:name w:val="Revision"/>
    <w:hidden/>
    <w:uiPriority w:val="99"/>
    <w:semiHidden/>
    <w:rsid w:val="00117DD9"/>
    <w:pPr>
      <w:spacing w:after="0" w:line="240" w:lineRule="auto"/>
    </w:pPr>
  </w:style>
  <w:style w:type="paragraph" w:styleId="BalloonText">
    <w:name w:val="Balloon Text"/>
    <w:basedOn w:val="Normal"/>
    <w:link w:val="BalloonTextChar"/>
    <w:uiPriority w:val="99"/>
    <w:semiHidden/>
    <w:unhideWhenUsed/>
    <w:rsid w:val="00672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AA3"/>
    <w:rPr>
      <w:rFonts w:ascii="Segoe UI" w:hAnsi="Segoe UI" w:cs="Segoe UI"/>
      <w:sz w:val="18"/>
      <w:szCs w:val="18"/>
    </w:rPr>
  </w:style>
  <w:style w:type="character" w:customStyle="1" w:styleId="normaltextrun">
    <w:name w:val="normaltextrun"/>
    <w:basedOn w:val="DefaultParagraphFont"/>
    <w:rsid w:val="00A32C43"/>
  </w:style>
  <w:style w:type="character" w:customStyle="1" w:styleId="eop">
    <w:name w:val="eop"/>
    <w:basedOn w:val="DefaultParagraphFont"/>
    <w:rsid w:val="00CE028C"/>
  </w:style>
  <w:style w:type="character" w:styleId="UnresolvedMention">
    <w:name w:val="Unresolved Mention"/>
    <w:basedOn w:val="DefaultParagraphFont"/>
    <w:uiPriority w:val="99"/>
    <w:semiHidden/>
    <w:unhideWhenUsed/>
    <w:rsid w:val="005B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adis.org/accion-humanitaria-inclusiva-acnur/" TargetMode="External"/><Relationship Id="rId18" Type="http://schemas.openxmlformats.org/officeDocument/2006/relationships/hyperlink" Target="https://www.internationaldisabilityalliance.org/blog/workshop-including-displaced-persons-disabilities-workshop-african-opd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lobaldisabilitysummit.org/pages/global-disability-summit-2022-norway" TargetMode="External"/><Relationship Id="rId7" Type="http://schemas.openxmlformats.org/officeDocument/2006/relationships/settings" Target="settings.xml"/><Relationship Id="rId12" Type="http://schemas.openxmlformats.org/officeDocument/2006/relationships/hyperlink" Target="https://www.internationaldisabilityalliance.org/idp-art11" TargetMode="External"/><Relationship Id="rId17" Type="http://schemas.openxmlformats.org/officeDocument/2006/relationships/hyperlink" Target="https://www.washingtongroup-disabilit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hcr.org/60ec2cd64.pdf" TargetMode="External"/><Relationship Id="rId20" Type="http://schemas.openxmlformats.org/officeDocument/2006/relationships/hyperlink" Target="https://www.internationaldisabilityalliance.org/hnpw-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ntroducing_ida-unhcr_collaboration_final-arabic.pdf" TargetMode="External"/><Relationship Id="rId24" Type="http://schemas.openxmlformats.org/officeDocument/2006/relationships/hyperlink" Target="https://intranet.unhcr.org/content/dam/unhcr/intranet/protection-operations/human-rights/documents/english/guidance-notes/Guidance%20Note%20on%20the%20Convention%20on%20the%20Rights%20of%20Persons%20with%20Disabilities.pdf" TargetMode="External"/><Relationship Id="rId5" Type="http://schemas.openxmlformats.org/officeDocument/2006/relationships/numbering" Target="numbering.xml"/><Relationship Id="rId15" Type="http://schemas.openxmlformats.org/officeDocument/2006/relationships/hyperlink" Target="https://disabilitiesonthemove.org/index.en.html" TargetMode="External"/><Relationship Id="rId23" Type="http://schemas.openxmlformats.org/officeDocument/2006/relationships/hyperlink" Target="https://www.globaldisabilitysummit.org/blogs/reference-group-on-inclusion-of-persons-with-disabilities-in-humanitarian-action-launches-a-call-for-action-on-disability-inclusive-humanitarian-commitments" TargetMode="External"/><Relationship Id="rId10" Type="http://schemas.openxmlformats.org/officeDocument/2006/relationships/image" Target="media/image2.png"/><Relationship Id="rId19" Type="http://schemas.openxmlformats.org/officeDocument/2006/relationships/hyperlink" Target="https://www.unhcr.org/en-us/protection/environment/60896a274/disability-displacement-climate-change.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Uw_tgwFl1t0&amp;t=1s" TargetMode="External"/><Relationship Id="rId22" Type="http://schemas.openxmlformats.org/officeDocument/2006/relationships/hyperlink" Target="https://www.internationaldisabilityalliance.org/drg"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4" ma:contentTypeDescription="Create a new document." ma:contentTypeScope="" ma:versionID="8ca2f0f59ebf10c6e40b52288a83fbc8">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f2fd5c29fe7013cd3ef57b367996740"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2e28f0a-1429-4847-bacf-d71185b1f9b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A2A49-5C50-47AA-B196-CF15E6DA252D}">
  <ds:schemaRefs>
    <ds:schemaRef ds:uri="http://schemas.openxmlformats.org/officeDocument/2006/bibliography"/>
  </ds:schemaRefs>
</ds:datastoreItem>
</file>

<file path=customXml/itemProps2.xml><?xml version="1.0" encoding="utf-8"?>
<ds:datastoreItem xmlns:ds="http://schemas.openxmlformats.org/officeDocument/2006/customXml" ds:itemID="{C941C6D1-56DC-4A6B-A2DE-624D1F19B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A31EE-152E-4D91-9243-B3BBF751BBF5}">
  <ds:schemaRefs>
    <ds:schemaRef ds:uri="http://schemas.microsoft.com/office/2006/metadata/properties"/>
    <ds:schemaRef ds:uri="http://schemas.microsoft.com/office/infopath/2007/PartnerControls"/>
    <ds:schemaRef ds:uri="e2e28f0a-1429-4847-bacf-d71185b1f9be"/>
  </ds:schemaRefs>
</ds:datastoreItem>
</file>

<file path=customXml/itemProps4.xml><?xml version="1.0" encoding="utf-8"?>
<ds:datastoreItem xmlns:ds="http://schemas.openxmlformats.org/officeDocument/2006/customXml" ds:itemID="{1828CA28-AA86-4331-B7B8-7E1C26ED4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Erin Hardin</cp:lastModifiedBy>
  <cp:revision>2</cp:revision>
  <dcterms:created xsi:type="dcterms:W3CDTF">2022-03-11T20:07:00Z</dcterms:created>
  <dcterms:modified xsi:type="dcterms:W3CDTF">2022-03-11T20:07:00Z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ies>
</file>